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5E9B" w:rsidP="003B5E9B">
      <w:pPr>
        <w:autoSpaceDE w:val="0"/>
        <w:autoSpaceDN w:val="0"/>
        <w:bidi w:val="0"/>
        <w:adjustRightInd w:val="0"/>
        <w:spacing w:line="240" w:lineRule="atLeast"/>
        <w:ind w:left="23"/>
        <w:jc w:val="center"/>
        <w:rPr>
          <w:rFonts w:ascii="Times New Roman" w:hAnsi="Times New Roman" w:cs="Times New Roman"/>
          <w:b/>
          <w:sz w:val="24"/>
          <w:szCs w:val="24"/>
        </w:rPr>
      </w:pPr>
      <w:r>
        <w:rPr>
          <w:rFonts w:ascii="Times New Roman" w:hAnsi="Times New Roman" w:cs="Times New Roman"/>
          <w:b/>
          <w:sz w:val="24"/>
          <w:szCs w:val="24"/>
        </w:rPr>
        <w:t>NÁRODNÁ    RADA   SLOVENSKEJ    REPUBLIKY</w:t>
      </w:r>
    </w:p>
    <w:p w:rsidR="003B5E9B" w:rsidP="003B5E9B">
      <w:pPr>
        <w:pBdr>
          <w:bottom w:val="single" w:sz="12" w:space="1" w:color="auto"/>
        </w:pBdr>
        <w:autoSpaceDE w:val="0"/>
        <w:autoSpaceDN w:val="0"/>
        <w:bidi w:val="0"/>
        <w:adjustRightInd w:val="0"/>
        <w:spacing w:line="240" w:lineRule="atLeast"/>
        <w:ind w:left="23"/>
        <w:jc w:val="center"/>
        <w:rPr>
          <w:rFonts w:ascii="Times New Roman" w:hAnsi="Times New Roman" w:cs="Times New Roman"/>
          <w:sz w:val="24"/>
          <w:szCs w:val="24"/>
        </w:rPr>
      </w:pPr>
      <w:r>
        <w:rPr>
          <w:rFonts w:ascii="Times New Roman" w:hAnsi="Times New Roman" w:cs="Times New Roman"/>
          <w:sz w:val="24"/>
          <w:szCs w:val="24"/>
        </w:rPr>
        <w:t>VII. volebné obdobie</w:t>
      </w:r>
    </w:p>
    <w:p w:rsidR="003B5E9B" w:rsidP="003B5E9B">
      <w:pPr>
        <w:autoSpaceDE w:val="0"/>
        <w:autoSpaceDN w:val="0"/>
        <w:bidi w:val="0"/>
        <w:adjustRightInd w:val="0"/>
        <w:spacing w:line="240" w:lineRule="atLeast"/>
        <w:ind w:left="23"/>
        <w:jc w:val="center"/>
        <w:rPr>
          <w:rFonts w:ascii="Times New Roman" w:hAnsi="Times New Roman" w:cs="Times New Roman"/>
          <w:b/>
          <w:sz w:val="24"/>
          <w:szCs w:val="24"/>
          <w:lang w:val="cs-CZ"/>
        </w:rPr>
      </w:pPr>
    </w:p>
    <w:p w:rsidR="003B5E9B" w:rsidP="003B5E9B">
      <w:pPr>
        <w:autoSpaceDE w:val="0"/>
        <w:autoSpaceDN w:val="0"/>
        <w:bidi w:val="0"/>
        <w:adjustRightInd w:val="0"/>
        <w:spacing w:line="240" w:lineRule="atLeast"/>
        <w:ind w:left="23"/>
        <w:jc w:val="center"/>
        <w:rPr>
          <w:rFonts w:ascii="Times New Roman" w:hAnsi="Times New Roman" w:cs="Times New Roman"/>
          <w:b/>
          <w:sz w:val="24"/>
          <w:szCs w:val="24"/>
          <w:lang w:val="cs-CZ"/>
        </w:rPr>
      </w:pPr>
      <w:r>
        <w:rPr>
          <w:rFonts w:ascii="Times New Roman" w:hAnsi="Times New Roman" w:cs="Times New Roman"/>
          <w:b/>
          <w:sz w:val="24"/>
          <w:szCs w:val="24"/>
          <w:lang w:val="cs-CZ"/>
        </w:rPr>
        <w:t>299</w:t>
      </w:r>
    </w:p>
    <w:p w:rsidR="003B5E9B" w:rsidP="003B5E9B">
      <w:pPr>
        <w:autoSpaceDE w:val="0"/>
        <w:autoSpaceDN w:val="0"/>
        <w:bidi w:val="0"/>
        <w:adjustRightInd w:val="0"/>
        <w:spacing w:line="240" w:lineRule="atLeast"/>
        <w:ind w:left="23"/>
        <w:jc w:val="center"/>
        <w:rPr>
          <w:rFonts w:ascii="Times New Roman" w:hAnsi="Times New Roman" w:cs="Times New Roman"/>
          <w:b/>
          <w:sz w:val="24"/>
          <w:szCs w:val="24"/>
          <w:lang w:val="cs-CZ"/>
        </w:rPr>
      </w:pPr>
      <w:r>
        <w:rPr>
          <w:rFonts w:ascii="Times New Roman" w:hAnsi="Times New Roman" w:cs="Times New Roman"/>
          <w:b/>
          <w:sz w:val="24"/>
          <w:szCs w:val="24"/>
          <w:lang w:val="cs-CZ"/>
        </w:rPr>
        <w:t>VLÁDNY  NÁVRH</w:t>
      </w:r>
    </w:p>
    <w:p w:rsidR="003B5E9B" w:rsidP="003B5E9B">
      <w:pPr>
        <w:bidi w:val="0"/>
        <w:jc w:val="center"/>
        <w:rPr>
          <w:rFonts w:ascii="Times New Roman" w:hAnsi="Times New Roman" w:cs="Times New Roman"/>
          <w:b/>
          <w:sz w:val="24"/>
          <w:szCs w:val="24"/>
          <w:lang w:eastAsia="cs-CZ"/>
        </w:rPr>
      </w:pPr>
      <w:r>
        <w:rPr>
          <w:rFonts w:ascii="Times New Roman" w:hAnsi="Times New Roman" w:cs="Times New Roman"/>
          <w:b/>
          <w:sz w:val="24"/>
          <w:szCs w:val="24"/>
          <w:lang w:eastAsia="cs-CZ"/>
        </w:rPr>
        <w:t>Z Á K O N</w:t>
      </w:r>
    </w:p>
    <w:p w:rsidR="003B5E9B" w:rsidP="003B5E9B">
      <w:pPr>
        <w:bidi w:val="0"/>
        <w:jc w:val="center"/>
        <w:rPr>
          <w:rFonts w:ascii="Times New Roman" w:hAnsi="Times New Roman" w:cs="Times New Roman"/>
          <w:b/>
          <w:sz w:val="24"/>
          <w:szCs w:val="24"/>
          <w:lang w:eastAsia="cs-CZ"/>
        </w:rPr>
      </w:pPr>
      <w:r>
        <w:rPr>
          <w:rFonts w:ascii="Times New Roman" w:hAnsi="Times New Roman" w:cs="Times New Roman"/>
          <w:b/>
          <w:sz w:val="24"/>
          <w:szCs w:val="24"/>
          <w:lang w:eastAsia="cs-CZ"/>
        </w:rPr>
        <w:t>z . . . . . . . . . . . 2016,</w:t>
      </w:r>
    </w:p>
    <w:p w:rsidR="003B5E9B" w:rsidP="003B5E9B">
      <w:pPr>
        <w:pStyle w:val="BodyTextIndent"/>
        <w:bidi w:val="0"/>
        <w:jc w:val="center"/>
        <w:rPr>
          <w:rFonts w:ascii="Times New Roman" w:hAnsi="Times New Roman"/>
          <w:b/>
          <w:bCs/>
        </w:rPr>
      </w:pPr>
      <w:r>
        <w:rPr>
          <w:rFonts w:ascii="Times New Roman" w:hAnsi="Times New Roman"/>
          <w:b/>
          <w:bCs/>
        </w:rPr>
        <w:t>ktorým  sa mení a  dopĺňa zákon č. 442/2012 Z. z. o medzinárodnej pomoci a                        spolupráci pri správe daní v znení neskorších predpisov</w:t>
      </w:r>
    </w:p>
    <w:p w:rsidR="003B5E9B" w:rsidP="003B5E9B">
      <w:pPr>
        <w:pStyle w:val="BodyTextIndent"/>
        <w:bidi w:val="0"/>
        <w:jc w:val="center"/>
        <w:rPr>
          <w:rFonts w:ascii="Times New Roman" w:hAnsi="Times New Roman"/>
        </w:rPr>
      </w:pPr>
    </w:p>
    <w:p w:rsidR="00965A39" w:rsidRPr="00FD16D6" w:rsidP="00965A39">
      <w:pPr>
        <w:pStyle w:val="BodyTextIndent"/>
        <w:bidi w:val="0"/>
        <w:jc w:val="center"/>
        <w:rPr>
          <w:rFonts w:ascii="Times New Roman" w:hAnsi="Times New Roman"/>
        </w:rPr>
      </w:pPr>
    </w:p>
    <w:p w:rsidR="00965A39" w:rsidRPr="00FD16D6" w:rsidP="00965A39">
      <w:pPr>
        <w:pStyle w:val="BodyTextIndent"/>
        <w:bidi w:val="0"/>
        <w:rPr>
          <w:rFonts w:ascii="Times New Roman" w:hAnsi="Times New Roman"/>
        </w:rPr>
      </w:pPr>
      <w:r w:rsidRPr="00FD16D6">
        <w:rPr>
          <w:rFonts w:ascii="Times New Roman" w:hAnsi="Times New Roman"/>
        </w:rPr>
        <w:t>Národná rada Slovenskej republiky sa uzniesla na tomto zákone:</w:t>
      </w:r>
    </w:p>
    <w:p w:rsidR="00965A39" w:rsidP="00965A39">
      <w:pPr>
        <w:pStyle w:val="BodyTextIndent"/>
        <w:bidi w:val="0"/>
        <w:rPr>
          <w:rFonts w:ascii="Times New Roman" w:hAnsi="Times New Roman"/>
        </w:rPr>
      </w:pPr>
    </w:p>
    <w:p w:rsidR="00C061EC" w:rsidRPr="00C061EC" w:rsidP="00C061EC">
      <w:pPr>
        <w:bidi w:val="0"/>
        <w:ind w:left="425"/>
        <w:contextualSpacing/>
        <w:jc w:val="center"/>
        <w:rPr>
          <w:rFonts w:ascii="Times New Roman" w:hAnsi="Times New Roman" w:cs="Times New Roman"/>
          <w:sz w:val="24"/>
          <w:szCs w:val="24"/>
        </w:rPr>
      </w:pPr>
      <w:r>
        <w:rPr>
          <w:rFonts w:ascii="Times New Roman" w:hAnsi="Times New Roman" w:cs="Times New Roman"/>
          <w:sz w:val="24"/>
          <w:szCs w:val="24"/>
        </w:rPr>
        <w:t>Čl. I</w:t>
      </w:r>
    </w:p>
    <w:p w:rsidR="00C061EC" w:rsidRPr="00FD16D6" w:rsidP="00965A39">
      <w:pPr>
        <w:pStyle w:val="BodyTextIndent"/>
        <w:bidi w:val="0"/>
        <w:rPr>
          <w:rFonts w:ascii="Times New Roman" w:hAnsi="Times New Roman"/>
        </w:rPr>
      </w:pPr>
    </w:p>
    <w:p w:rsidR="00965A39" w:rsidRPr="00FD16D6" w:rsidP="00965A39">
      <w:pPr>
        <w:pStyle w:val="BodyTextIndent"/>
        <w:bidi w:val="0"/>
        <w:rPr>
          <w:rFonts w:ascii="Times New Roman" w:hAnsi="Times New Roman"/>
        </w:rPr>
      </w:pPr>
      <w:r w:rsidRPr="00FD16D6">
        <w:rPr>
          <w:rFonts w:ascii="Times New Roman" w:hAnsi="Times New Roman"/>
        </w:rPr>
        <w:t xml:space="preserve">Zákon č. 442/2012 Z. z. o medzinárodnej pomoci a spolupráci pri správe daní </w:t>
      </w:r>
      <w:r w:rsidRPr="005B5E9D" w:rsidR="002E3B8E">
        <w:rPr>
          <w:rFonts w:ascii="Times New Roman" w:hAnsi="Times New Roman"/>
        </w:rPr>
        <w:t xml:space="preserve">v znení </w:t>
      </w:r>
      <w:r w:rsidRPr="0076264C" w:rsidR="0076264C">
        <w:rPr>
          <w:rFonts w:ascii="Times New Roman" w:hAnsi="Times New Roman"/>
        </w:rPr>
        <w:t xml:space="preserve">zákona č. 359/2015 Z. z. a zákona č. </w:t>
      </w:r>
      <w:r w:rsidR="009803E3">
        <w:rPr>
          <w:rFonts w:ascii="Times New Roman" w:hAnsi="Times New Roman"/>
        </w:rPr>
        <w:t>...</w:t>
      </w:r>
      <w:r w:rsidRPr="0076264C" w:rsidR="0076264C">
        <w:rPr>
          <w:rFonts w:ascii="Times New Roman" w:hAnsi="Times New Roman"/>
        </w:rPr>
        <w:t xml:space="preserve">/2016 Z. z. </w:t>
      </w:r>
      <w:r w:rsidRPr="0076264C">
        <w:rPr>
          <w:rFonts w:ascii="Times New Roman" w:hAnsi="Times New Roman"/>
        </w:rPr>
        <w:t xml:space="preserve"> sa mení a dopĺňa takto:</w:t>
      </w:r>
    </w:p>
    <w:p w:rsidR="00965A39" w:rsidP="00965A39">
      <w:pPr>
        <w:pStyle w:val="BodyTextIndent"/>
        <w:tabs>
          <w:tab w:val="left" w:pos="426"/>
        </w:tabs>
        <w:bidi w:val="0"/>
        <w:jc w:val="left"/>
        <w:rPr>
          <w:rFonts w:ascii="Times New Roman" w:hAnsi="Times New Roman"/>
        </w:rPr>
      </w:pPr>
    </w:p>
    <w:p w:rsidR="00965A39" w:rsidP="00965A39">
      <w:pPr>
        <w:pStyle w:val="BodyTextIndent"/>
        <w:tabs>
          <w:tab w:val="left" w:pos="426"/>
        </w:tabs>
        <w:bidi w:val="0"/>
        <w:jc w:val="left"/>
        <w:rPr>
          <w:rFonts w:ascii="Times New Roman" w:hAnsi="Times New Roman"/>
        </w:rPr>
      </w:pPr>
    </w:p>
    <w:p w:rsidR="00965A39" w:rsidP="00965A39">
      <w:pPr>
        <w:pStyle w:val="BodyTextIndent"/>
        <w:tabs>
          <w:tab w:val="left" w:pos="426"/>
        </w:tabs>
        <w:bidi w:val="0"/>
        <w:jc w:val="left"/>
        <w:rPr>
          <w:rFonts w:ascii="Times New Roman" w:hAnsi="Times New Roman"/>
        </w:rPr>
      </w:pPr>
    </w:p>
    <w:p w:rsidR="0076264C" w:rsidRPr="0076264C" w:rsidP="0076264C">
      <w:pPr>
        <w:pStyle w:val="ListParagraph"/>
        <w:widowControl w:val="0"/>
        <w:numPr>
          <w:numId w:val="35"/>
        </w:numPr>
        <w:autoSpaceDE w:val="0"/>
        <w:autoSpaceDN w:val="0"/>
        <w:bidi w:val="0"/>
        <w:adjustRightInd w:val="0"/>
        <w:spacing w:after="0" w:line="240" w:lineRule="auto"/>
        <w:jc w:val="both"/>
        <w:rPr>
          <w:rFonts w:ascii="Times New Roman" w:hAnsi="Times New Roman" w:cs="Times New Roman"/>
          <w:sz w:val="24"/>
          <w:szCs w:val="24"/>
        </w:rPr>
      </w:pPr>
      <w:r w:rsidRPr="0076264C">
        <w:rPr>
          <w:rFonts w:ascii="Times New Roman" w:hAnsi="Times New Roman" w:cs="Times New Roman"/>
          <w:sz w:val="24"/>
          <w:szCs w:val="24"/>
        </w:rPr>
        <w:t>§ 1 vrátane nadpisu znie:</w:t>
      </w:r>
    </w:p>
    <w:p w:rsidR="0076264C" w:rsidP="0076264C">
      <w:pPr>
        <w:pStyle w:val="ListParagraph"/>
        <w:widowControl w:val="0"/>
        <w:autoSpaceDE w:val="0"/>
        <w:autoSpaceDN w:val="0"/>
        <w:bidi w:val="0"/>
        <w:adjustRightInd w:val="0"/>
        <w:spacing w:after="0" w:line="240" w:lineRule="auto"/>
        <w:ind w:left="360"/>
        <w:jc w:val="both"/>
        <w:rPr>
          <w:rFonts w:ascii="Times New Roman" w:hAnsi="Times New Roman" w:cs="Times New Roman"/>
          <w:sz w:val="24"/>
          <w:szCs w:val="24"/>
        </w:rPr>
      </w:pPr>
    </w:p>
    <w:p w:rsidR="00716C6A" w:rsidRPr="0097693B" w:rsidP="00716C6A">
      <w:pPr>
        <w:pStyle w:val="ListParagraph"/>
        <w:widowControl w:val="0"/>
        <w:autoSpaceDE w:val="0"/>
        <w:autoSpaceDN w:val="0"/>
        <w:bidi w:val="0"/>
        <w:adjustRightInd w:val="0"/>
        <w:spacing w:after="0" w:line="240" w:lineRule="auto"/>
        <w:ind w:left="360"/>
        <w:jc w:val="center"/>
        <w:rPr>
          <w:rFonts w:ascii="Times New Roman" w:hAnsi="Times New Roman" w:cs="Times New Roman"/>
          <w:sz w:val="24"/>
          <w:szCs w:val="24"/>
        </w:rPr>
      </w:pPr>
      <w:r w:rsidRPr="0097693B">
        <w:rPr>
          <w:rFonts w:ascii="Times New Roman" w:hAnsi="Times New Roman" w:cs="Times New Roman"/>
          <w:sz w:val="24"/>
          <w:szCs w:val="24"/>
        </w:rPr>
        <w:t>„§ 1</w:t>
      </w:r>
    </w:p>
    <w:p w:rsidR="00716C6A" w:rsidRPr="0097693B" w:rsidP="00716C6A">
      <w:pPr>
        <w:pStyle w:val="ListParagraph"/>
        <w:widowControl w:val="0"/>
        <w:autoSpaceDE w:val="0"/>
        <w:autoSpaceDN w:val="0"/>
        <w:bidi w:val="0"/>
        <w:adjustRightInd w:val="0"/>
        <w:spacing w:after="0" w:line="240" w:lineRule="auto"/>
        <w:ind w:left="360"/>
        <w:jc w:val="center"/>
        <w:rPr>
          <w:rFonts w:ascii="Times New Roman" w:hAnsi="Times New Roman" w:cs="Times New Roman"/>
          <w:sz w:val="24"/>
          <w:szCs w:val="24"/>
        </w:rPr>
      </w:pPr>
    </w:p>
    <w:p w:rsidR="0076264C" w:rsidRPr="0097693B" w:rsidP="0076264C">
      <w:pPr>
        <w:bidi w:val="0"/>
        <w:spacing w:after="0" w:line="240" w:lineRule="auto"/>
        <w:jc w:val="center"/>
        <w:rPr>
          <w:rFonts w:ascii="Times New Roman" w:hAnsi="Times New Roman" w:cs="Times New Roman"/>
          <w:bCs/>
          <w:sz w:val="24"/>
          <w:szCs w:val="24"/>
        </w:rPr>
      </w:pPr>
      <w:r w:rsidRPr="0097693B">
        <w:rPr>
          <w:rFonts w:ascii="Times New Roman" w:hAnsi="Times New Roman" w:cs="Times New Roman"/>
          <w:bCs/>
          <w:sz w:val="24"/>
          <w:szCs w:val="24"/>
        </w:rPr>
        <w:t>Predmet úpravy</w:t>
      </w:r>
    </w:p>
    <w:p w:rsidR="0076264C" w:rsidRPr="0097693B" w:rsidP="0076264C">
      <w:pPr>
        <w:pStyle w:val="ListParagraph"/>
        <w:widowControl w:val="0"/>
        <w:autoSpaceDE w:val="0"/>
        <w:autoSpaceDN w:val="0"/>
        <w:bidi w:val="0"/>
        <w:adjustRightInd w:val="0"/>
        <w:spacing w:after="0" w:line="240" w:lineRule="auto"/>
        <w:ind w:left="360"/>
        <w:rPr>
          <w:rFonts w:ascii="Arial" w:hAnsi="Arial" w:cs="Arial"/>
          <w:b/>
          <w:bCs/>
          <w:sz w:val="20"/>
          <w:szCs w:val="16"/>
        </w:rPr>
      </w:pPr>
    </w:p>
    <w:p w:rsidR="0076264C" w:rsidRPr="0097693B" w:rsidP="0076264C">
      <w:pPr>
        <w:bidi w:val="0"/>
        <w:spacing w:after="0" w:line="240" w:lineRule="auto"/>
        <w:rPr>
          <w:rFonts w:ascii="Times New Roman" w:hAnsi="Times New Roman" w:cs="Times New Roman"/>
          <w:sz w:val="24"/>
          <w:szCs w:val="24"/>
        </w:rPr>
      </w:pPr>
      <w:r w:rsidRPr="0097693B">
        <w:rPr>
          <w:rFonts w:ascii="Times New Roman" w:hAnsi="Times New Roman" w:cs="Times New Roman"/>
          <w:sz w:val="24"/>
          <w:szCs w:val="24"/>
        </w:rPr>
        <w:t>Tento zákon ustanovuje</w:t>
      </w:r>
    </w:p>
    <w:p w:rsidR="0076264C" w:rsidRPr="0097693B" w:rsidP="0076264C">
      <w:pPr>
        <w:pStyle w:val="ListParagraph"/>
        <w:numPr>
          <w:numId w:val="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postup a podmienky, podľa ktorých príslušný orgán Slovenskej republiky v záujme zabezpečenia správneho vyrubenia daní a platenia daní poskytuje, požaduje alebo prijíma medzinárodnú pomoc a spoluprácu pri správe daní</w:t>
      </w:r>
      <w:r w:rsidRPr="0097693B" w:rsidR="00C34272">
        <w:rPr>
          <w:rFonts w:ascii="Times New Roman" w:hAnsi="Times New Roman" w:cs="Times New Roman"/>
          <w:sz w:val="24"/>
          <w:szCs w:val="24"/>
        </w:rPr>
        <w:t>,</w:t>
      </w:r>
      <w:r w:rsidRPr="0097693B">
        <w:rPr>
          <w:rFonts w:ascii="Times New Roman" w:hAnsi="Times New Roman" w:cs="Times New Roman"/>
          <w:sz w:val="24"/>
          <w:szCs w:val="24"/>
        </w:rPr>
        <w:t xml:space="preserve"> </w:t>
      </w:r>
      <w:r w:rsidRPr="0097693B">
        <w:rPr>
          <w:rFonts w:ascii="Times New Roman" w:hAnsi="Times New Roman" w:cs="Times New Roman"/>
          <w:sz w:val="24"/>
          <w:szCs w:val="24"/>
          <w:vertAlign w:val="superscript"/>
        </w:rPr>
        <w:t>1</w:t>
      </w:r>
      <w:r w:rsidRPr="0097693B" w:rsidR="00716C6A">
        <w:rPr>
          <w:rFonts w:ascii="Times New Roman" w:hAnsi="Times New Roman" w:cs="Times New Roman"/>
          <w:sz w:val="24"/>
          <w:szCs w:val="24"/>
        </w:rPr>
        <w:t>)</w:t>
      </w:r>
      <w:r w:rsidRPr="0097693B">
        <w:rPr>
          <w:rFonts w:ascii="Times New Roman" w:hAnsi="Times New Roman" w:cs="Times New Roman"/>
          <w:sz w:val="24"/>
          <w:szCs w:val="24"/>
        </w:rPr>
        <w:t xml:space="preserve"> </w:t>
      </w:r>
    </w:p>
    <w:p w:rsidR="00965A39" w:rsidRPr="0097693B" w:rsidP="0076264C">
      <w:pPr>
        <w:pStyle w:val="ListParagraph"/>
        <w:numPr>
          <w:numId w:val="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povinnosti daňových subjektov poskytovať príslušnému orgánu Slovenskej republiky informácie slúžiace na zabezpečenie medzinárodnej pomoci a spolupráce pri správe daní</w:t>
      </w:r>
      <w:r w:rsidRPr="0097693B" w:rsidR="00464CC4">
        <w:rPr>
          <w:rFonts w:ascii="Times New Roman" w:hAnsi="Times New Roman" w:cs="Times New Roman"/>
          <w:sz w:val="24"/>
          <w:szCs w:val="24"/>
        </w:rPr>
        <w:t>.</w:t>
      </w:r>
      <w:r w:rsidRPr="0097693B">
        <w:rPr>
          <w:rFonts w:ascii="Times New Roman" w:hAnsi="Times New Roman" w:cs="Times New Roman"/>
          <w:sz w:val="24"/>
          <w:szCs w:val="24"/>
        </w:rPr>
        <w:t>“.</w:t>
      </w:r>
    </w:p>
    <w:p w:rsidR="002E2FFB" w:rsidRPr="0097693B" w:rsidP="002E2FFB">
      <w:pPr>
        <w:pStyle w:val="ListParagraph"/>
        <w:widowControl w:val="0"/>
        <w:autoSpaceDE w:val="0"/>
        <w:autoSpaceDN w:val="0"/>
        <w:bidi w:val="0"/>
        <w:adjustRightInd w:val="0"/>
        <w:spacing w:after="0" w:line="240" w:lineRule="auto"/>
        <w:ind w:left="360"/>
        <w:jc w:val="both"/>
        <w:rPr>
          <w:rFonts w:ascii="Times New Roman" w:hAnsi="Times New Roman" w:cs="Times New Roman"/>
          <w:sz w:val="24"/>
          <w:szCs w:val="24"/>
        </w:rPr>
      </w:pPr>
    </w:p>
    <w:p w:rsidR="004E7C2B" w:rsidRPr="0097693B" w:rsidP="00965A39">
      <w:pPr>
        <w:pStyle w:val="BodyTextIndent"/>
        <w:numPr>
          <w:numId w:val="35"/>
        </w:numPr>
        <w:tabs>
          <w:tab w:val="left" w:pos="426"/>
        </w:tabs>
        <w:bidi w:val="0"/>
        <w:jc w:val="left"/>
        <w:rPr>
          <w:rFonts w:ascii="Times New Roman" w:hAnsi="Times New Roman"/>
        </w:rPr>
      </w:pPr>
      <w:r w:rsidRPr="0097693B">
        <w:rPr>
          <w:rFonts w:ascii="Times New Roman" w:hAnsi="Times New Roman"/>
        </w:rPr>
        <w:t>V § 4 ods. 2 sa slová „až 22“ nahrádzajú slovami „až 22g“.</w:t>
      </w:r>
    </w:p>
    <w:p w:rsidR="004E7C2B" w:rsidRPr="0097693B" w:rsidP="004E7C2B">
      <w:pPr>
        <w:pStyle w:val="BodyTextIndent"/>
        <w:tabs>
          <w:tab w:val="left" w:pos="426"/>
        </w:tabs>
        <w:bidi w:val="0"/>
        <w:ind w:left="360"/>
        <w:jc w:val="left"/>
        <w:rPr>
          <w:rFonts w:ascii="Times New Roman" w:hAnsi="Times New Roman"/>
        </w:rPr>
      </w:pPr>
    </w:p>
    <w:p w:rsidR="00965A39" w:rsidRPr="0097693B" w:rsidP="009803E3">
      <w:pPr>
        <w:pStyle w:val="BodyTextIndent"/>
        <w:numPr>
          <w:numId w:val="35"/>
        </w:numPr>
        <w:tabs>
          <w:tab w:val="left" w:pos="426"/>
        </w:tabs>
        <w:bidi w:val="0"/>
        <w:rPr>
          <w:rFonts w:ascii="Times New Roman" w:hAnsi="Times New Roman"/>
        </w:rPr>
      </w:pPr>
      <w:r w:rsidRPr="0097693B" w:rsidR="002E2FFB">
        <w:rPr>
          <w:rFonts w:ascii="Times New Roman" w:hAnsi="Times New Roman"/>
        </w:rPr>
        <w:t>Za § 22 sa vkladajú § 22a až  22g</w:t>
      </w:r>
      <w:r w:rsidRPr="0097693B" w:rsidR="00C34272">
        <w:rPr>
          <w:rFonts w:ascii="Times New Roman" w:hAnsi="Times New Roman"/>
        </w:rPr>
        <w:t>, ktoré</w:t>
      </w:r>
      <w:r w:rsidRPr="0097693B" w:rsidR="002E2FFB">
        <w:rPr>
          <w:rFonts w:ascii="Times New Roman" w:hAnsi="Times New Roman"/>
        </w:rPr>
        <w:t xml:space="preserve"> vrátane </w:t>
      </w:r>
      <w:r w:rsidRPr="0097693B" w:rsidR="00716C6A">
        <w:rPr>
          <w:rFonts w:ascii="Times New Roman" w:hAnsi="Times New Roman"/>
        </w:rPr>
        <w:t xml:space="preserve">nadpisu </w:t>
      </w:r>
      <w:r w:rsidRPr="0097693B" w:rsidR="00D72081">
        <w:rPr>
          <w:rFonts w:ascii="Times New Roman" w:hAnsi="Times New Roman"/>
        </w:rPr>
        <w:t>nad § 22</w:t>
      </w:r>
      <w:r w:rsidRPr="0097693B" w:rsidR="00716C6A">
        <w:rPr>
          <w:rFonts w:ascii="Times New Roman" w:hAnsi="Times New Roman"/>
        </w:rPr>
        <w:t>a</w:t>
      </w:r>
      <w:r w:rsidR="009803E3">
        <w:rPr>
          <w:rFonts w:ascii="Times New Roman" w:hAnsi="Times New Roman"/>
        </w:rPr>
        <w:t xml:space="preserve"> a nadpisov § 22a až 22g</w:t>
      </w:r>
      <w:r w:rsidRPr="0097693B" w:rsidR="002E2FFB">
        <w:rPr>
          <w:rFonts w:ascii="Times New Roman" w:hAnsi="Times New Roman"/>
        </w:rPr>
        <w:t xml:space="preserve"> znejú:</w:t>
      </w:r>
    </w:p>
    <w:p w:rsidR="002E2FFB" w:rsidRPr="0097693B" w:rsidP="002E2FFB">
      <w:pPr>
        <w:widowControl w:val="0"/>
        <w:autoSpaceDE w:val="0"/>
        <w:autoSpaceDN w:val="0"/>
        <w:bidi w:val="0"/>
        <w:adjustRightInd w:val="0"/>
        <w:spacing w:after="0" w:line="240" w:lineRule="auto"/>
        <w:jc w:val="center"/>
        <w:rPr>
          <w:rFonts w:ascii="Times New Roman" w:hAnsi="Times New Roman" w:cs="Times New Roman"/>
          <w:sz w:val="24"/>
          <w:szCs w:val="24"/>
        </w:rPr>
      </w:pPr>
    </w:p>
    <w:p w:rsidR="002E2FFB" w:rsidRPr="0097693B" w:rsidP="002E2FFB">
      <w:pPr>
        <w:widowControl w:val="0"/>
        <w:autoSpaceDE w:val="0"/>
        <w:autoSpaceDN w:val="0"/>
        <w:bidi w:val="0"/>
        <w:adjustRightInd w:val="0"/>
        <w:spacing w:after="0" w:line="240" w:lineRule="auto"/>
        <w:jc w:val="center"/>
        <w:rPr>
          <w:rFonts w:ascii="Times New Roman" w:hAnsi="Times New Roman" w:cs="Times New Roman"/>
          <w:sz w:val="24"/>
          <w:szCs w:val="24"/>
        </w:rPr>
      </w:pPr>
      <w:r w:rsidRPr="0097693B" w:rsidR="00EF7315">
        <w:rPr>
          <w:rFonts w:ascii="Times New Roman" w:hAnsi="Times New Roman" w:cs="Times New Roman"/>
          <w:sz w:val="24"/>
          <w:szCs w:val="24"/>
        </w:rPr>
        <w:t>„</w:t>
      </w:r>
      <w:r w:rsidRPr="0097693B">
        <w:rPr>
          <w:rFonts w:ascii="Times New Roman" w:hAnsi="Times New Roman" w:cs="Times New Roman"/>
          <w:sz w:val="24"/>
          <w:szCs w:val="24"/>
        </w:rPr>
        <w:t>Medzinárodná pomoc a spolupráca pri správe daní v oblasti automatickej výmeny správ podľa jednotlivých štátov</w:t>
      </w:r>
    </w:p>
    <w:p w:rsidR="002E2FFB" w:rsidRPr="0097693B" w:rsidP="002E2FFB">
      <w:pPr>
        <w:widowControl w:val="0"/>
        <w:autoSpaceDE w:val="0"/>
        <w:autoSpaceDN w:val="0"/>
        <w:bidi w:val="0"/>
        <w:adjustRightInd w:val="0"/>
        <w:spacing w:after="0" w:line="240" w:lineRule="auto"/>
        <w:rPr>
          <w:rFonts w:ascii="Times New Roman" w:hAnsi="Times New Roman" w:cs="Times New Roman"/>
          <w:bCs/>
          <w:sz w:val="24"/>
          <w:szCs w:val="24"/>
        </w:rPr>
      </w:pPr>
    </w:p>
    <w:p w:rsidR="002E2FF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 22a </w:t>
      </w:r>
    </w:p>
    <w:p w:rsidR="00062CE7"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spacing w:after="0" w:line="240" w:lineRule="auto"/>
        <w:jc w:val="center"/>
        <w:rPr>
          <w:rFonts w:ascii="Times New Roman" w:hAnsi="Times New Roman" w:cs="Times New Roman"/>
          <w:bCs/>
          <w:sz w:val="24"/>
          <w:szCs w:val="24"/>
        </w:rPr>
      </w:pPr>
      <w:r w:rsidR="009803E3">
        <w:rPr>
          <w:rFonts w:ascii="Times New Roman" w:hAnsi="Times New Roman" w:cs="Times New Roman"/>
          <w:bCs/>
          <w:sz w:val="24"/>
          <w:szCs w:val="24"/>
        </w:rPr>
        <w:t>Vymedzenie pojmov</w:t>
      </w:r>
    </w:p>
    <w:p w:rsidR="002E2FFB" w:rsidRPr="0097693B" w:rsidP="002E2FFB">
      <w:pPr>
        <w:bidi w:val="0"/>
        <w:spacing w:after="0" w:line="240" w:lineRule="auto"/>
        <w:jc w:val="center"/>
        <w:rPr>
          <w:rFonts w:ascii="Times New Roman" w:hAnsi="Times New Roman" w:cs="Times New Roman"/>
          <w:sz w:val="24"/>
          <w:szCs w:val="24"/>
        </w:rPr>
      </w:pPr>
    </w:p>
    <w:p w:rsidR="002E2FFB" w:rsidRPr="0097693B" w:rsidP="002E2FFB">
      <w:pPr>
        <w:bidi w:val="0"/>
        <w:spacing w:after="0" w:line="240" w:lineRule="auto"/>
        <w:rPr>
          <w:rFonts w:ascii="Times New Roman" w:hAnsi="Times New Roman" w:cs="Times New Roman"/>
          <w:sz w:val="24"/>
          <w:szCs w:val="24"/>
        </w:rPr>
      </w:pPr>
      <w:r w:rsidRPr="0097693B">
        <w:rPr>
          <w:rFonts w:ascii="Times New Roman" w:hAnsi="Times New Roman" w:cs="Times New Roman"/>
          <w:sz w:val="24"/>
          <w:szCs w:val="24"/>
        </w:rPr>
        <w:t>Na účely automatickej výmeny správ podľa jednotlivých štátov sa rozumie</w:t>
      </w:r>
    </w:p>
    <w:p w:rsidR="0076264C"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správou podľa jednotlivých štátov informácia o  nadnárodnej skupine podnikov podľa jednotlivých štátov daňovej rezidencie základných subjektov</w:t>
      </w:r>
      <w:r w:rsidRPr="0097693B" w:rsidR="004E10B3">
        <w:rPr>
          <w:rFonts w:ascii="Times New Roman" w:hAnsi="Times New Roman" w:cs="Times New Roman"/>
          <w:sz w:val="24"/>
          <w:szCs w:val="24"/>
        </w:rPr>
        <w:t>,</w:t>
      </w:r>
    </w:p>
    <w:p w:rsidR="004E10B3" w:rsidRPr="0097693B" w:rsidP="004E10B3">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medzinárodn</w:t>
      </w:r>
      <w:r w:rsidRPr="0097693B" w:rsidR="00340E06">
        <w:rPr>
          <w:rFonts w:ascii="Times New Roman" w:hAnsi="Times New Roman" w:cs="Times New Roman"/>
          <w:sz w:val="24"/>
          <w:szCs w:val="24"/>
        </w:rPr>
        <w:t>ým</w:t>
      </w:r>
      <w:r w:rsidRPr="0097693B">
        <w:rPr>
          <w:rFonts w:ascii="Times New Roman" w:hAnsi="Times New Roman" w:cs="Times New Roman"/>
          <w:sz w:val="24"/>
          <w:szCs w:val="24"/>
        </w:rPr>
        <w:t xml:space="preserve"> dohovor</w:t>
      </w:r>
      <w:r w:rsidRPr="0097693B" w:rsidR="00340E06">
        <w:rPr>
          <w:rFonts w:ascii="Times New Roman" w:hAnsi="Times New Roman" w:cs="Times New Roman"/>
          <w:sz w:val="24"/>
          <w:szCs w:val="24"/>
        </w:rPr>
        <w:t>om</w:t>
      </w:r>
      <w:r w:rsidRPr="0097693B">
        <w:rPr>
          <w:rFonts w:ascii="Times New Roman" w:hAnsi="Times New Roman" w:cs="Times New Roman"/>
          <w:sz w:val="24"/>
          <w:szCs w:val="24"/>
        </w:rPr>
        <w:t xml:space="preserve"> multilaterálny dohovor o vzájomnej administratívnej pomoci v daňových otázkach, dvojstranná alebo viacstranná medzinárodná zmluva, ktorej zmluvnou stranou je Slovenská republika a vytvára právny základ na výmenu daňových informácií medzi štátmi vrátane automatickej výmeny takýchto informácií,</w:t>
      </w:r>
    </w:p>
    <w:p w:rsidR="004E10B3" w:rsidRPr="0097693B" w:rsidP="004E10B3">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dohodou dohoda príslušných orgánov obsahujúca požiadavku automatickej výmeny správ podľa jednotlivých štátov, ktorú Slovenská republika uzatvorila so štátmi, ktoré nie sú členskými štátmi a ktoré sú zmluvnými stranami medzinárodného dohovoru,</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štátom </w:t>
      </w:r>
      <w:r w:rsidRPr="0097693B" w:rsidR="001744DB">
        <w:rPr>
          <w:rFonts w:ascii="Times New Roman" w:hAnsi="Times New Roman" w:cs="Times New Roman"/>
          <w:sz w:val="24"/>
          <w:szCs w:val="24"/>
        </w:rPr>
        <w:t xml:space="preserve">dohody </w:t>
      </w:r>
      <w:r w:rsidRPr="0097693B">
        <w:rPr>
          <w:rFonts w:ascii="Times New Roman" w:hAnsi="Times New Roman" w:cs="Times New Roman"/>
          <w:sz w:val="24"/>
          <w:szCs w:val="24"/>
        </w:rPr>
        <w:t xml:space="preserve">zmluvná strana medzinárodnej </w:t>
      </w:r>
      <w:r w:rsidRPr="0097693B" w:rsidR="0076264C">
        <w:rPr>
          <w:rFonts w:ascii="Times New Roman" w:hAnsi="Times New Roman" w:cs="Times New Roman"/>
          <w:sz w:val="24"/>
          <w:szCs w:val="24"/>
        </w:rPr>
        <w:t>dohody</w:t>
      </w:r>
      <w:r w:rsidRPr="0097693B">
        <w:rPr>
          <w:rFonts w:ascii="Times New Roman" w:hAnsi="Times New Roman" w:cs="Times New Roman"/>
          <w:sz w:val="24"/>
          <w:szCs w:val="24"/>
        </w:rPr>
        <w:t xml:space="preserve">, ktorou je Slovenská republika viazaná, s ktorou si príslušný orgán Slovenskej republiky automaticky vymieňa </w:t>
      </w:r>
      <w:r w:rsidRPr="0097693B" w:rsidR="00FA415D">
        <w:rPr>
          <w:rFonts w:ascii="Times New Roman" w:hAnsi="Times New Roman" w:cs="Times New Roman"/>
          <w:sz w:val="24"/>
          <w:szCs w:val="24"/>
        </w:rPr>
        <w:t xml:space="preserve">správy podľa jednotlivých štátov </w:t>
      </w:r>
      <w:r w:rsidRPr="0097693B">
        <w:rPr>
          <w:rFonts w:ascii="Times New Roman" w:hAnsi="Times New Roman" w:cs="Times New Roman"/>
          <w:sz w:val="24"/>
          <w:szCs w:val="24"/>
        </w:rPr>
        <w:t>v súlade s podmienkami upravenými dohodou,</w:t>
      </w:r>
    </w:p>
    <w:p w:rsidR="000A2CA2" w:rsidRPr="0097693B" w:rsidP="000A2CA2">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podnikom akákoľvek forma podnikania vykonávaná subjektom podľa § 2 písm. l),</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skupinou súbor podnikov prepojených prostredníctvom vlastníctva alebo kontroly tak, že má povinnosť </w:t>
      </w:r>
      <w:r w:rsidRPr="0097693B" w:rsidR="00714071">
        <w:rPr>
          <w:rFonts w:ascii="Times New Roman" w:hAnsi="Times New Roman" w:cs="Times New Roman"/>
          <w:sz w:val="24"/>
          <w:szCs w:val="24"/>
        </w:rPr>
        <w:t xml:space="preserve">zostaviť </w:t>
      </w:r>
      <w:r w:rsidRPr="0097693B">
        <w:rPr>
          <w:rFonts w:ascii="Times New Roman" w:hAnsi="Times New Roman" w:cs="Times New Roman"/>
          <w:sz w:val="24"/>
          <w:szCs w:val="24"/>
        </w:rPr>
        <w:t xml:space="preserve">konsolidovanú účtovnú závierku podľa </w:t>
      </w:r>
      <w:r w:rsidR="009803E3">
        <w:rPr>
          <w:rFonts w:ascii="Times New Roman" w:hAnsi="Times New Roman" w:cs="Times New Roman"/>
          <w:sz w:val="24"/>
          <w:szCs w:val="24"/>
        </w:rPr>
        <w:t>právnych</w:t>
      </w:r>
      <w:r w:rsidRPr="0097693B">
        <w:rPr>
          <w:rFonts w:ascii="Times New Roman" w:hAnsi="Times New Roman" w:cs="Times New Roman"/>
          <w:sz w:val="24"/>
          <w:szCs w:val="24"/>
        </w:rPr>
        <w:t xml:space="preserve"> predpisov</w:t>
      </w:r>
      <w:r w:rsidR="009803E3">
        <w:rPr>
          <w:rFonts w:ascii="Times New Roman" w:hAnsi="Times New Roman" w:cs="Times New Roman"/>
          <w:sz w:val="24"/>
          <w:szCs w:val="24"/>
        </w:rPr>
        <w:t xml:space="preserve"> v oblasti účtovníctva</w:t>
      </w:r>
      <w:r w:rsidRPr="0097693B">
        <w:rPr>
          <w:rFonts w:ascii="Times New Roman" w:hAnsi="Times New Roman" w:cs="Times New Roman"/>
          <w:sz w:val="24"/>
          <w:szCs w:val="24"/>
        </w:rPr>
        <w:t>, alebo by táto povinnosť vznikla, ak by sa s podielmi na vlastnom imaní ktoréhokoľvek z  podnikov obchodovalo na verejnej burze cenných papierov,</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nadnárodnou skupinou podnikov skupina, ktorá zahŕňa aspoň dva podniky, ktoré sú rezidentmi na daňové účely v rôznych štátoch, alebo ktorá zahŕňa podnik, ktorý je rezidentom na daňové účely v jednom štáte a v inom štáte podlieha dani v súvislosti s činnosťou tam vykonávanou prostredníctvom stálej prevádzkarne a ktorá nie je vylúčenou nadnárodnou skupinou podnikov,</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vylúčenou </w:t>
      </w:r>
      <w:r w:rsidRPr="0097693B" w:rsidR="00A071A8">
        <w:rPr>
          <w:rFonts w:ascii="Times New Roman" w:hAnsi="Times New Roman" w:cs="Times New Roman"/>
          <w:sz w:val="24"/>
          <w:szCs w:val="24"/>
        </w:rPr>
        <w:t>nadnárodnou</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skupinou </w:t>
      </w:r>
      <w:r w:rsidRPr="0097693B">
        <w:rPr>
          <w:rFonts w:ascii="Times New Roman" w:hAnsi="Times New Roman" w:cs="Times New Roman"/>
          <w:sz w:val="24"/>
          <w:szCs w:val="24"/>
        </w:rPr>
        <w:t xml:space="preserve">podnikov taká skupina, ktorá má počas finančného roka, ktorý bezprostredne predchádza oznamovanému finančnému roku, podľa konsolidovanej účtovnej závierky celkové konsolidované výnosy skupiny nižšie </w:t>
      </w:r>
      <w:r w:rsidRPr="0097693B" w:rsidR="00C15963">
        <w:rPr>
          <w:rFonts w:ascii="Times New Roman" w:hAnsi="Times New Roman" w:cs="Times New Roman"/>
          <w:sz w:val="24"/>
          <w:szCs w:val="24"/>
        </w:rPr>
        <w:t>ako</w:t>
      </w:r>
      <w:r w:rsidRPr="0097693B">
        <w:rPr>
          <w:rFonts w:ascii="Times New Roman" w:hAnsi="Times New Roman" w:cs="Times New Roman"/>
          <w:sz w:val="24"/>
          <w:szCs w:val="24"/>
        </w:rPr>
        <w:t xml:space="preserve"> 750 000 000 </w:t>
      </w:r>
      <w:r w:rsidRPr="0097693B" w:rsidR="00AC2643">
        <w:rPr>
          <w:rFonts w:ascii="Times New Roman" w:hAnsi="Times New Roman" w:cs="Times New Roman"/>
          <w:sz w:val="24"/>
          <w:szCs w:val="24"/>
        </w:rPr>
        <w:t>eur</w:t>
      </w:r>
      <w:r w:rsidRPr="0097693B">
        <w:rPr>
          <w:rFonts w:ascii="Times New Roman" w:hAnsi="Times New Roman" w:cs="Times New Roman"/>
          <w:sz w:val="24"/>
          <w:szCs w:val="24"/>
        </w:rPr>
        <w:t>,</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základným subjektom</w:t>
      </w:r>
    </w:p>
    <w:p w:rsidR="002E2FFB" w:rsidRPr="0097693B" w:rsidP="002E2FFB">
      <w:pPr>
        <w:pStyle w:val="ListParagraph"/>
        <w:numPr>
          <w:numId w:val="6"/>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samostatná právnická osoba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 xml:space="preserve">podnikov, ktorá je zahrnutá v konsolidovanej účtovnej závierke </w:t>
      </w:r>
      <w:r w:rsidRPr="0097693B" w:rsidR="00716C6A">
        <w:rPr>
          <w:rFonts w:ascii="Times New Roman" w:hAnsi="Times New Roman" w:cs="Times New Roman"/>
          <w:sz w:val="24"/>
          <w:szCs w:val="24"/>
        </w:rPr>
        <w:t xml:space="preserve">tejto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alebo ktorá by do nej bol</w:t>
      </w:r>
      <w:r w:rsidRPr="0097693B" w:rsidR="00155F45">
        <w:rPr>
          <w:rFonts w:ascii="Times New Roman" w:hAnsi="Times New Roman" w:cs="Times New Roman"/>
          <w:sz w:val="24"/>
          <w:szCs w:val="24"/>
        </w:rPr>
        <w:t>a</w:t>
      </w:r>
      <w:r w:rsidRPr="0097693B">
        <w:rPr>
          <w:rFonts w:ascii="Times New Roman" w:hAnsi="Times New Roman" w:cs="Times New Roman"/>
          <w:sz w:val="24"/>
          <w:szCs w:val="24"/>
        </w:rPr>
        <w:t xml:space="preserve"> zahrnutá, ak by sa s podielmi na </w:t>
      </w:r>
      <w:r w:rsidRPr="0097693B" w:rsidR="00155F45">
        <w:rPr>
          <w:rFonts w:ascii="Times New Roman" w:hAnsi="Times New Roman" w:cs="Times New Roman"/>
          <w:sz w:val="24"/>
          <w:szCs w:val="24"/>
        </w:rPr>
        <w:t>jej</w:t>
      </w:r>
      <w:r w:rsidRPr="0097693B" w:rsidR="00867A67">
        <w:rPr>
          <w:rFonts w:ascii="Times New Roman" w:hAnsi="Times New Roman" w:cs="Times New Roman"/>
          <w:sz w:val="24"/>
          <w:szCs w:val="24"/>
        </w:rPr>
        <w:t xml:space="preserve"> </w:t>
      </w:r>
      <w:r w:rsidRPr="0097693B">
        <w:rPr>
          <w:rFonts w:ascii="Times New Roman" w:hAnsi="Times New Roman" w:cs="Times New Roman"/>
          <w:sz w:val="24"/>
          <w:szCs w:val="24"/>
        </w:rPr>
        <w:t xml:space="preserve">vlastnom imaní obchodovalo na verejnej burze cenných papierov, </w:t>
      </w:r>
    </w:p>
    <w:p w:rsidR="002E2FFB" w:rsidRPr="0097693B" w:rsidP="002E2FFB">
      <w:pPr>
        <w:pStyle w:val="ListParagraph"/>
        <w:numPr>
          <w:numId w:val="6"/>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samostatná právnická osoba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ktor</w:t>
      </w:r>
      <w:r w:rsidRPr="0097693B" w:rsidR="00934D9A">
        <w:rPr>
          <w:rFonts w:ascii="Times New Roman" w:hAnsi="Times New Roman" w:cs="Times New Roman"/>
          <w:sz w:val="24"/>
          <w:szCs w:val="24"/>
        </w:rPr>
        <w:t>á</w:t>
      </w:r>
      <w:r w:rsidRPr="0097693B">
        <w:rPr>
          <w:rFonts w:ascii="Times New Roman" w:hAnsi="Times New Roman" w:cs="Times New Roman"/>
          <w:sz w:val="24"/>
          <w:szCs w:val="24"/>
        </w:rPr>
        <w:t xml:space="preserve"> nie je zahrnutá v konsolidovanej účtovnej závierke </w:t>
      </w:r>
      <w:r w:rsidRPr="0097693B" w:rsidR="00716C6A">
        <w:rPr>
          <w:rFonts w:ascii="Times New Roman" w:hAnsi="Times New Roman" w:cs="Times New Roman"/>
          <w:sz w:val="24"/>
          <w:szCs w:val="24"/>
        </w:rPr>
        <w:t>tejto</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z dôvodu veľkosti alebo významnosti, alebo</w:t>
      </w:r>
    </w:p>
    <w:p w:rsidR="002E2FFB" w:rsidRPr="0097693B" w:rsidP="002E2FFB">
      <w:pPr>
        <w:pStyle w:val="ListParagraph"/>
        <w:numPr>
          <w:numId w:val="6"/>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stála prevádzkareň alebo organizačná zložka samostatnej právnickej osoby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uvedených v </w:t>
      </w:r>
      <w:r w:rsidRPr="0097693B" w:rsidR="008C787E">
        <w:rPr>
          <w:rFonts w:ascii="Times New Roman" w:hAnsi="Times New Roman" w:cs="Times New Roman"/>
          <w:sz w:val="24"/>
          <w:szCs w:val="24"/>
        </w:rPr>
        <w:t xml:space="preserve"> prvom </w:t>
      </w:r>
      <w:r w:rsidR="001A3C8E">
        <w:rPr>
          <w:rFonts w:ascii="Times New Roman" w:hAnsi="Times New Roman" w:cs="Times New Roman"/>
          <w:sz w:val="24"/>
          <w:szCs w:val="24"/>
        </w:rPr>
        <w:t xml:space="preserve">bode </w:t>
      </w:r>
      <w:r w:rsidRPr="0097693B" w:rsidR="008C787E">
        <w:rPr>
          <w:rFonts w:ascii="Times New Roman" w:hAnsi="Times New Roman" w:cs="Times New Roman"/>
          <w:sz w:val="24"/>
          <w:szCs w:val="24"/>
        </w:rPr>
        <w:t>a</w:t>
      </w:r>
      <w:r w:rsidR="008A1321">
        <w:rPr>
          <w:rFonts w:ascii="Times New Roman" w:hAnsi="Times New Roman" w:cs="Times New Roman"/>
          <w:sz w:val="24"/>
          <w:szCs w:val="24"/>
        </w:rPr>
        <w:t>lebo</w:t>
      </w:r>
      <w:r w:rsidRPr="0097693B" w:rsidR="008C787E">
        <w:rPr>
          <w:rFonts w:ascii="Times New Roman" w:hAnsi="Times New Roman" w:cs="Times New Roman"/>
          <w:sz w:val="24"/>
          <w:szCs w:val="24"/>
        </w:rPr>
        <w:t> druhom bode</w:t>
      </w:r>
      <w:r w:rsidRPr="0097693B">
        <w:rPr>
          <w:rFonts w:ascii="Times New Roman" w:hAnsi="Times New Roman" w:cs="Times New Roman"/>
          <w:sz w:val="24"/>
          <w:szCs w:val="24"/>
        </w:rPr>
        <w:t xml:space="preserve">, ak zriaďovateľ </w:t>
      </w:r>
      <w:r w:rsidRPr="0097693B" w:rsidR="00714071">
        <w:rPr>
          <w:rFonts w:ascii="Times New Roman" w:hAnsi="Times New Roman" w:cs="Times New Roman"/>
          <w:sz w:val="24"/>
          <w:szCs w:val="24"/>
        </w:rPr>
        <w:t xml:space="preserve">zostavuje </w:t>
      </w:r>
      <w:r w:rsidRPr="0097693B">
        <w:rPr>
          <w:rFonts w:ascii="Times New Roman" w:hAnsi="Times New Roman" w:cs="Times New Roman"/>
          <w:sz w:val="24"/>
          <w:szCs w:val="24"/>
        </w:rPr>
        <w:t>pre takúto stálu prevádzkareň alebo organizačnú zložku individuálnu účtovnú závierku</w:t>
      </w:r>
      <w:r w:rsidRPr="0097693B" w:rsidR="00EA6084">
        <w:rPr>
          <w:rFonts w:ascii="Times New Roman" w:hAnsi="Times New Roman" w:cs="Times New Roman"/>
          <w:sz w:val="24"/>
          <w:szCs w:val="24"/>
        </w:rPr>
        <w:t xml:space="preserve"> alebo samostatný finančný výkaz </w:t>
      </w:r>
      <w:r w:rsidRPr="0097693B">
        <w:rPr>
          <w:rFonts w:ascii="Times New Roman" w:hAnsi="Times New Roman" w:cs="Times New Roman"/>
          <w:sz w:val="24"/>
          <w:szCs w:val="24"/>
        </w:rPr>
        <w:t xml:space="preserve"> na účely </w:t>
      </w:r>
      <w:r w:rsidRPr="0097693B" w:rsidR="00EA6084">
        <w:rPr>
          <w:rFonts w:ascii="Times New Roman" w:hAnsi="Times New Roman" w:cs="Times New Roman"/>
          <w:sz w:val="24"/>
          <w:szCs w:val="24"/>
        </w:rPr>
        <w:t xml:space="preserve">účtovníctva </w:t>
      </w:r>
      <w:r w:rsidRPr="0097693B">
        <w:rPr>
          <w:rFonts w:ascii="Times New Roman" w:hAnsi="Times New Roman" w:cs="Times New Roman"/>
          <w:sz w:val="24"/>
          <w:szCs w:val="24"/>
        </w:rPr>
        <w:t>alebo daňového výkazníctva, na regulačné účely alebo na účely vnútornej kontroly riadenia,</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hlavným materským subjektom je základný subjekt, ktorý spĺňa tieto kritériá:</w:t>
      </w:r>
    </w:p>
    <w:p w:rsidR="002E2FFB" w:rsidRPr="0097693B" w:rsidP="002E2FFB">
      <w:pPr>
        <w:pStyle w:val="ListParagraph"/>
        <w:numPr>
          <w:numId w:val="5"/>
        </w:numPr>
        <w:bidi w:val="0"/>
        <w:spacing w:after="0" w:line="240" w:lineRule="auto"/>
        <w:jc w:val="both"/>
        <w:rPr>
          <w:rFonts w:ascii="Times New Roman" w:hAnsi="Times New Roman" w:cs="Times New Roman"/>
          <w:sz w:val="24"/>
          <w:szCs w:val="24"/>
        </w:rPr>
      </w:pPr>
      <w:r w:rsidRPr="0097693B" w:rsidR="00AC2643">
        <w:rPr>
          <w:rFonts w:ascii="Times New Roman" w:hAnsi="Times New Roman" w:cs="Times New Roman"/>
          <w:sz w:val="24"/>
          <w:szCs w:val="24"/>
        </w:rPr>
        <w:t xml:space="preserve">vlastní </w:t>
      </w:r>
      <w:r w:rsidRPr="0097693B">
        <w:rPr>
          <w:rFonts w:ascii="Times New Roman" w:hAnsi="Times New Roman" w:cs="Times New Roman"/>
          <w:sz w:val="24"/>
          <w:szCs w:val="24"/>
        </w:rPr>
        <w:t>priamo alebo nepriamo taký podiel aspoň v jednom základ</w:t>
      </w:r>
      <w:r w:rsidRPr="0097693B" w:rsidR="00EA6084">
        <w:rPr>
          <w:rFonts w:ascii="Times New Roman" w:hAnsi="Times New Roman" w:cs="Times New Roman"/>
          <w:sz w:val="24"/>
          <w:szCs w:val="24"/>
        </w:rPr>
        <w:t>n</w:t>
      </w:r>
      <w:r w:rsidRPr="0097693B">
        <w:rPr>
          <w:rFonts w:ascii="Times New Roman" w:hAnsi="Times New Roman" w:cs="Times New Roman"/>
          <w:sz w:val="24"/>
          <w:szCs w:val="24"/>
        </w:rPr>
        <w:t xml:space="preserve">om subjekte, že podľa účtovných zásad všeobecne uplatňovaných v štáte jeho daňovej rezidencie má povinnosť </w:t>
      </w:r>
      <w:r w:rsidRPr="0097693B" w:rsidR="00714071">
        <w:rPr>
          <w:rFonts w:ascii="Times New Roman" w:hAnsi="Times New Roman" w:cs="Times New Roman"/>
          <w:sz w:val="24"/>
          <w:szCs w:val="24"/>
        </w:rPr>
        <w:t xml:space="preserve">zostaviť </w:t>
      </w:r>
      <w:r w:rsidRPr="0097693B">
        <w:rPr>
          <w:rFonts w:ascii="Times New Roman" w:hAnsi="Times New Roman" w:cs="Times New Roman"/>
          <w:sz w:val="24"/>
          <w:szCs w:val="24"/>
        </w:rPr>
        <w:t>konsolidovanú účtovnú závierku alebo by túto povinnosť mal, ak by sa s</w:t>
      </w:r>
      <w:r w:rsidRPr="0097693B" w:rsidR="00EA6084">
        <w:rPr>
          <w:rFonts w:ascii="Times New Roman" w:hAnsi="Times New Roman" w:cs="Times New Roman"/>
          <w:sz w:val="24"/>
          <w:szCs w:val="24"/>
        </w:rPr>
        <w:t> </w:t>
      </w:r>
      <w:r w:rsidRPr="0097693B" w:rsidR="00384778">
        <w:rPr>
          <w:rFonts w:ascii="Times New Roman" w:hAnsi="Times New Roman" w:cs="Times New Roman"/>
          <w:sz w:val="24"/>
          <w:szCs w:val="24"/>
        </w:rPr>
        <w:t>podielmi na jeho vlastnom imaní</w:t>
      </w:r>
      <w:r w:rsidRPr="0097693B" w:rsidR="00AC2643">
        <w:rPr>
          <w:rFonts w:ascii="Times New Roman" w:hAnsi="Times New Roman" w:cs="Times New Roman"/>
          <w:sz w:val="24"/>
          <w:szCs w:val="24"/>
        </w:rPr>
        <w:t xml:space="preserve"> </w:t>
      </w:r>
      <w:r w:rsidRPr="0097693B">
        <w:rPr>
          <w:rFonts w:ascii="Times New Roman" w:hAnsi="Times New Roman" w:cs="Times New Roman"/>
          <w:sz w:val="24"/>
          <w:szCs w:val="24"/>
        </w:rPr>
        <w:t>obchodovalo na verejnej burze cenných papierov v štáte jeho daňovej rezidencie,</w:t>
      </w:r>
    </w:p>
    <w:p w:rsidR="002E2FFB" w:rsidRPr="0097693B" w:rsidP="002E2FFB">
      <w:pPr>
        <w:pStyle w:val="ListParagraph"/>
        <w:numPr>
          <w:numId w:val="5"/>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neexistuje žiadny iný základný subjekt, ktorý priamo alebo nepriamo vlastní podiel v základnom subjekte spĺňajúci podmienky uvedené v </w:t>
      </w:r>
      <w:r w:rsidRPr="0097693B" w:rsidR="008C787E">
        <w:rPr>
          <w:rFonts w:ascii="Times New Roman" w:hAnsi="Times New Roman" w:cs="Times New Roman"/>
          <w:sz w:val="24"/>
          <w:szCs w:val="24"/>
        </w:rPr>
        <w:t>prvom bode,</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náhradným materským subjektom základný subjekt, </w:t>
      </w:r>
      <w:r w:rsidRPr="002E2FFB" w:rsidR="00122FE3">
        <w:rPr>
          <w:rFonts w:ascii="Times New Roman" w:hAnsi="Times New Roman" w:cs="Times New Roman"/>
          <w:sz w:val="24"/>
          <w:szCs w:val="24"/>
        </w:rPr>
        <w:t>ktorý bol skupinou určený</w:t>
      </w:r>
      <w:r w:rsidRPr="0097693B">
        <w:rPr>
          <w:rFonts w:ascii="Times New Roman" w:hAnsi="Times New Roman" w:cs="Times New Roman"/>
          <w:sz w:val="24"/>
          <w:szCs w:val="24"/>
        </w:rPr>
        <w:t xml:space="preserve">, aby ako jediný zástupca hlavného materského subjektu </w:t>
      </w:r>
      <w:r w:rsidRPr="0097693B" w:rsidR="00D12DD5">
        <w:rPr>
          <w:rFonts w:ascii="Times New Roman" w:hAnsi="Times New Roman" w:cs="Times New Roman"/>
          <w:sz w:val="24"/>
          <w:szCs w:val="24"/>
        </w:rPr>
        <w:t>podával</w:t>
      </w:r>
      <w:r w:rsidRPr="0097693B">
        <w:rPr>
          <w:rFonts w:ascii="Times New Roman" w:hAnsi="Times New Roman" w:cs="Times New Roman"/>
          <w:sz w:val="24"/>
          <w:szCs w:val="24"/>
        </w:rPr>
        <w:t xml:space="preserve"> v štáte svojej daňovej rezidencie správu podľa jednotlivých štátov v mene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ak je splnená aspoň jedna z podmienok ustanovených v § 22</w:t>
      </w:r>
      <w:r w:rsidRPr="0097693B" w:rsidR="00531F5A">
        <w:rPr>
          <w:rFonts w:ascii="Times New Roman" w:hAnsi="Times New Roman" w:cs="Times New Roman"/>
          <w:sz w:val="24"/>
          <w:szCs w:val="24"/>
        </w:rPr>
        <w:t>c ods.1 písm. b)</w:t>
      </w:r>
      <w:r w:rsidRPr="0097693B">
        <w:rPr>
          <w:rFonts w:ascii="Times New Roman" w:hAnsi="Times New Roman" w:cs="Times New Roman"/>
          <w:sz w:val="24"/>
          <w:szCs w:val="24"/>
        </w:rPr>
        <w:t xml:space="preserve">, </w:t>
      </w:r>
    </w:p>
    <w:p w:rsidR="000A2CA2" w:rsidRPr="0097693B" w:rsidP="000A2CA2">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oznamujúcim subjektom základný subjekt, ktorý je povinný podávať správu podľa jednotlivých štátov v mene nadnárodnej skupiny podnikov a ktorý je rezidentom Slovenskej republiky na daňové účely, pričom oznamujúcim subjektom môže byť hlavný materský subjekt, náhradný materský subjekt alebo základný subjekt podľa § 22c ods. 1,</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finančným rokom </w:t>
      </w:r>
      <w:r w:rsidRPr="0097693B" w:rsidR="000B1B0D">
        <w:rPr>
          <w:rFonts w:ascii="Times New Roman" w:hAnsi="Times New Roman" w:cs="Times New Roman"/>
          <w:sz w:val="24"/>
          <w:szCs w:val="24"/>
        </w:rPr>
        <w:t xml:space="preserve">ročné </w:t>
      </w:r>
      <w:r w:rsidRPr="0097693B">
        <w:rPr>
          <w:rFonts w:ascii="Times New Roman" w:hAnsi="Times New Roman" w:cs="Times New Roman"/>
          <w:sz w:val="24"/>
          <w:szCs w:val="24"/>
        </w:rPr>
        <w:t>účtovné obdobie, za ktoré hlavný materský subjekt zostavuje účtovnú závierku,</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oznamovaným finančným rokom finančný rok, za ktorý sa </w:t>
      </w:r>
      <w:r w:rsidRPr="0097693B" w:rsidR="00D12DD5">
        <w:rPr>
          <w:rFonts w:ascii="Times New Roman" w:hAnsi="Times New Roman" w:cs="Times New Roman"/>
          <w:sz w:val="24"/>
          <w:szCs w:val="24"/>
        </w:rPr>
        <w:t>podáva</w:t>
      </w:r>
      <w:r w:rsidRPr="0097693B" w:rsidR="00AC2643">
        <w:rPr>
          <w:rFonts w:ascii="Times New Roman" w:hAnsi="Times New Roman" w:cs="Times New Roman"/>
          <w:sz w:val="24"/>
          <w:szCs w:val="24"/>
        </w:rPr>
        <w:t> </w:t>
      </w:r>
      <w:r w:rsidRPr="0097693B">
        <w:rPr>
          <w:rFonts w:ascii="Times New Roman" w:hAnsi="Times New Roman" w:cs="Times New Roman"/>
          <w:sz w:val="24"/>
          <w:szCs w:val="24"/>
        </w:rPr>
        <w:t>správ</w:t>
      </w:r>
      <w:r w:rsidRPr="0097693B" w:rsidR="00AC2643">
        <w:rPr>
          <w:rFonts w:ascii="Times New Roman" w:hAnsi="Times New Roman" w:cs="Times New Roman"/>
          <w:sz w:val="24"/>
          <w:szCs w:val="24"/>
        </w:rPr>
        <w:t>a</w:t>
      </w:r>
      <w:r w:rsidRPr="0097693B">
        <w:rPr>
          <w:rFonts w:ascii="Times New Roman" w:hAnsi="Times New Roman" w:cs="Times New Roman"/>
          <w:sz w:val="24"/>
          <w:szCs w:val="24"/>
        </w:rPr>
        <w:t xml:space="preserve"> podľa jednotlivých štátov,</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konsolidovanou účtovnou závierkou účtovná závierka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 xml:space="preserve">podnikov, v ktorej sa </w:t>
      </w:r>
      <w:r w:rsidRPr="0097693B" w:rsidR="00EA6084">
        <w:rPr>
          <w:rFonts w:ascii="Times New Roman" w:hAnsi="Times New Roman" w:cs="Times New Roman"/>
          <w:sz w:val="24"/>
          <w:szCs w:val="24"/>
        </w:rPr>
        <w:t xml:space="preserve">vykazuje </w:t>
      </w:r>
      <w:r w:rsidRPr="0097693B">
        <w:rPr>
          <w:rFonts w:ascii="Times New Roman" w:hAnsi="Times New Roman" w:cs="Times New Roman"/>
          <w:sz w:val="24"/>
          <w:szCs w:val="24"/>
        </w:rPr>
        <w:t>majetok, záväzky, výnosy, náklady a peňažné toky hlavného materského subjektu a základných subjektov</w:t>
      </w:r>
      <w:r w:rsidRPr="0097693B" w:rsidR="00EA6084">
        <w:rPr>
          <w:rFonts w:ascii="Times New Roman" w:hAnsi="Times New Roman" w:cs="Times New Roman"/>
          <w:sz w:val="24"/>
          <w:szCs w:val="24"/>
        </w:rPr>
        <w:t>,</w:t>
      </w:r>
      <w:r w:rsidRPr="0097693B">
        <w:rPr>
          <w:rFonts w:ascii="Times New Roman" w:hAnsi="Times New Roman" w:cs="Times New Roman"/>
          <w:sz w:val="24"/>
          <w:szCs w:val="24"/>
        </w:rPr>
        <w:t xml:space="preserve"> </w:t>
      </w:r>
      <w:r w:rsidRPr="0097693B" w:rsidR="00EA6084">
        <w:rPr>
          <w:rFonts w:ascii="Times New Roman" w:hAnsi="Times New Roman" w:cs="Times New Roman"/>
          <w:sz w:val="24"/>
          <w:szCs w:val="24"/>
        </w:rPr>
        <w:t>tak ako keby zodpovedali jednému hospodárskemu celku</w:t>
      </w:r>
      <w:r w:rsidRPr="0097693B">
        <w:rPr>
          <w:rFonts w:ascii="Times New Roman" w:hAnsi="Times New Roman" w:cs="Times New Roman"/>
          <w:sz w:val="24"/>
          <w:szCs w:val="24"/>
        </w:rPr>
        <w:t>,</w:t>
      </w:r>
    </w:p>
    <w:p w:rsidR="002E2FFB" w:rsidRPr="0097693B" w:rsidP="0076264C">
      <w:pPr>
        <w:pStyle w:val="ListParagraph"/>
        <w:numPr>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systémovým zlyhaním</w:t>
      </w:r>
      <w:r w:rsidRPr="0097693B" w:rsidR="00AC2643">
        <w:rPr>
          <w:rFonts w:ascii="Times New Roman" w:hAnsi="Times New Roman" w:cs="Times New Roman"/>
          <w:sz w:val="24"/>
          <w:szCs w:val="24"/>
        </w:rPr>
        <w:t>,</w:t>
      </w:r>
      <w:r w:rsidRPr="0097693B">
        <w:rPr>
          <w:rFonts w:ascii="Times New Roman" w:hAnsi="Times New Roman" w:cs="Times New Roman"/>
          <w:sz w:val="24"/>
          <w:szCs w:val="24"/>
        </w:rPr>
        <w:t xml:space="preserve"> ak </w:t>
      </w:r>
      <w:r w:rsidRPr="0097693B" w:rsidR="00217464">
        <w:rPr>
          <w:rFonts w:ascii="Times New Roman" w:hAnsi="Times New Roman" w:cs="Times New Roman"/>
          <w:sz w:val="24"/>
          <w:szCs w:val="24"/>
        </w:rPr>
        <w:t>štát dohody</w:t>
      </w:r>
    </w:p>
    <w:p w:rsidR="002E2FFB" w:rsidRPr="0097693B" w:rsidP="00904BE6">
      <w:pPr>
        <w:pStyle w:val="ListParagraph"/>
        <w:numPr>
          <w:ilvl w:val="1"/>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pozastaví automatickú výmenu </w:t>
      </w:r>
      <w:r w:rsidRPr="0097693B" w:rsidR="008C787E">
        <w:rPr>
          <w:rFonts w:ascii="Times New Roman" w:hAnsi="Times New Roman" w:cs="Times New Roman"/>
          <w:sz w:val="24"/>
          <w:szCs w:val="24"/>
        </w:rPr>
        <w:t>správ podľa jednotlivých štátov</w:t>
      </w:r>
      <w:r w:rsidRPr="0097693B">
        <w:rPr>
          <w:rFonts w:ascii="Times New Roman" w:hAnsi="Times New Roman" w:cs="Times New Roman"/>
          <w:sz w:val="24"/>
          <w:szCs w:val="24"/>
        </w:rPr>
        <w:t xml:space="preserve"> z iných dôvodov, ako sú dôvody uvedené v dohode, alebo </w:t>
      </w:r>
    </w:p>
    <w:p w:rsidR="002E2FFB" w:rsidRPr="0097693B" w:rsidP="0076264C">
      <w:pPr>
        <w:pStyle w:val="ListParagraph"/>
        <w:numPr>
          <w:ilvl w:val="1"/>
          <w:numId w:val="39"/>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opakovane automaticky neposkytuje Slovenskej republike správy podľa jednotlivých štátov týkajúce sa nadnárodných </w:t>
      </w:r>
      <w:r w:rsidRPr="0097693B" w:rsidR="00763831">
        <w:rPr>
          <w:rFonts w:ascii="Times New Roman" w:hAnsi="Times New Roman" w:cs="Times New Roman"/>
          <w:sz w:val="24"/>
          <w:szCs w:val="24"/>
        </w:rPr>
        <w:t xml:space="preserve">skupín </w:t>
      </w:r>
      <w:r w:rsidRPr="0097693B">
        <w:rPr>
          <w:rFonts w:ascii="Times New Roman" w:hAnsi="Times New Roman" w:cs="Times New Roman"/>
          <w:sz w:val="24"/>
          <w:szCs w:val="24"/>
        </w:rPr>
        <w:t>podnikov so základnými subjektmi, z ktorých aspoň jeden je rezidentom na daňové účely v Slovenskej republike, pričom takéto správy podľa jednotlivých štátov má k</w:t>
      </w:r>
      <w:r w:rsidRPr="0097693B" w:rsidR="009E7F89">
        <w:rPr>
          <w:rFonts w:ascii="Times New Roman" w:hAnsi="Times New Roman" w:cs="Times New Roman"/>
          <w:sz w:val="24"/>
          <w:szCs w:val="24"/>
        </w:rPr>
        <w:t> </w:t>
      </w:r>
      <w:r w:rsidRPr="0097693B">
        <w:rPr>
          <w:rFonts w:ascii="Times New Roman" w:hAnsi="Times New Roman" w:cs="Times New Roman"/>
          <w:sz w:val="24"/>
          <w:szCs w:val="24"/>
        </w:rPr>
        <w:t>dispozícii</w:t>
      </w:r>
      <w:r w:rsidRPr="0097693B" w:rsidR="009E7F89">
        <w:rPr>
          <w:rFonts w:ascii="Times New Roman" w:hAnsi="Times New Roman" w:cs="Times New Roman"/>
          <w:sz w:val="24"/>
          <w:szCs w:val="24"/>
        </w:rPr>
        <w:t>.</w:t>
      </w:r>
    </w:p>
    <w:p w:rsidR="002E2FFB" w:rsidRPr="0097693B" w:rsidP="009E7F89">
      <w:pPr>
        <w:pStyle w:val="ListParagraph"/>
        <w:bidi w:val="0"/>
        <w:spacing w:after="0" w:line="240" w:lineRule="auto"/>
        <w:jc w:val="both"/>
        <w:rPr>
          <w:rFonts w:ascii="Times New Roman" w:hAnsi="Times New Roman" w:cs="Times New Roman"/>
          <w:bCs/>
          <w:sz w:val="24"/>
          <w:szCs w:val="24"/>
        </w:rPr>
      </w:pPr>
    </w:p>
    <w:p w:rsidR="002E2FFB" w:rsidP="002E2FFB">
      <w:pPr>
        <w:bidi w:val="0"/>
        <w:spacing w:after="0" w:line="240" w:lineRule="auto"/>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 22b </w:t>
      </w:r>
    </w:p>
    <w:p w:rsidR="00062CE7" w:rsidRPr="0097693B" w:rsidP="002E2FFB">
      <w:pPr>
        <w:bidi w:val="0"/>
        <w:spacing w:after="0" w:line="240" w:lineRule="auto"/>
        <w:jc w:val="center"/>
        <w:rPr>
          <w:rFonts w:ascii="Times New Roman" w:hAnsi="Times New Roman" w:cs="Times New Roman"/>
          <w:bCs/>
          <w:sz w:val="24"/>
          <w:szCs w:val="24"/>
        </w:rPr>
      </w:pPr>
    </w:p>
    <w:p w:rsidR="002E2FFB" w:rsidRPr="0097693B" w:rsidP="002E2FFB">
      <w:pPr>
        <w:bidi w:val="0"/>
        <w:spacing w:after="0" w:line="240" w:lineRule="auto"/>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Rozsah a podmienky automatickej výmeny </w:t>
      </w:r>
      <w:r w:rsidRPr="0097693B" w:rsidR="008C787E">
        <w:rPr>
          <w:rFonts w:ascii="Times New Roman" w:hAnsi="Times New Roman" w:cs="Times New Roman"/>
          <w:sz w:val="24"/>
          <w:szCs w:val="24"/>
        </w:rPr>
        <w:t>správ podľa jednotlivých štátov</w:t>
      </w:r>
      <w:r w:rsidRPr="0097693B">
        <w:rPr>
          <w:rFonts w:ascii="Times New Roman" w:hAnsi="Times New Roman" w:cs="Times New Roman"/>
          <w:bCs/>
          <w:sz w:val="24"/>
          <w:szCs w:val="24"/>
        </w:rPr>
        <w:t xml:space="preserve"> </w:t>
      </w:r>
    </w:p>
    <w:p w:rsidR="002E2FFB" w:rsidRPr="0097693B" w:rsidP="002E2FFB">
      <w:pPr>
        <w:bidi w:val="0"/>
        <w:spacing w:after="0" w:line="240" w:lineRule="auto"/>
        <w:ind w:left="357"/>
        <w:jc w:val="center"/>
        <w:rPr>
          <w:rFonts w:ascii="Times New Roman" w:hAnsi="Times New Roman" w:cs="Times New Roman"/>
          <w:bCs/>
          <w:sz w:val="24"/>
          <w:szCs w:val="24"/>
        </w:rPr>
      </w:pPr>
    </w:p>
    <w:p w:rsidR="009E7F89" w:rsidRPr="0097693B" w:rsidP="009E7F89">
      <w:pPr>
        <w:pStyle w:val="ListParagraph"/>
        <w:numPr>
          <w:numId w:val="1"/>
        </w:numPr>
        <w:bidi w:val="0"/>
        <w:spacing w:after="0" w:line="240" w:lineRule="auto"/>
        <w:ind w:left="714" w:hanging="357"/>
        <w:jc w:val="both"/>
        <w:rPr>
          <w:rFonts w:ascii="Times New Roman" w:hAnsi="Times New Roman" w:cs="Times New Roman"/>
          <w:sz w:val="24"/>
          <w:szCs w:val="24"/>
        </w:rPr>
      </w:pPr>
      <w:r w:rsidRPr="0097693B" w:rsidR="002E2FFB">
        <w:rPr>
          <w:rFonts w:ascii="Times New Roman" w:hAnsi="Times New Roman" w:cs="Times New Roman"/>
          <w:sz w:val="24"/>
          <w:szCs w:val="24"/>
        </w:rPr>
        <w:t xml:space="preserve">Hlavný materský subjekt, ktorý je rezidentom Slovenskej republiky na daňové účely, základný subjekt po splnení podmienok ustanovených v § 22c, alebo náhradný materský subjekt </w:t>
      </w:r>
      <w:r w:rsidRPr="0097693B">
        <w:rPr>
          <w:rFonts w:ascii="Times New Roman" w:hAnsi="Times New Roman" w:cs="Times New Roman"/>
          <w:sz w:val="24"/>
          <w:szCs w:val="24"/>
        </w:rPr>
        <w:t>po splnení</w:t>
      </w:r>
      <w:r w:rsidRPr="0097693B" w:rsidR="002E2FFB">
        <w:rPr>
          <w:rFonts w:ascii="Times New Roman" w:hAnsi="Times New Roman" w:cs="Times New Roman"/>
          <w:sz w:val="24"/>
          <w:szCs w:val="24"/>
        </w:rPr>
        <w:t xml:space="preserve"> podmienok ustanovených v § 22d </w:t>
      </w:r>
      <w:r w:rsidRPr="0097693B" w:rsidR="00D12DD5">
        <w:rPr>
          <w:rFonts w:ascii="Times New Roman" w:hAnsi="Times New Roman" w:cs="Times New Roman"/>
          <w:sz w:val="24"/>
          <w:szCs w:val="24"/>
        </w:rPr>
        <w:t>podáva</w:t>
      </w:r>
      <w:r w:rsidRPr="0097693B" w:rsidR="002E2FFB">
        <w:rPr>
          <w:rFonts w:ascii="Times New Roman" w:hAnsi="Times New Roman" w:cs="Times New Roman"/>
          <w:sz w:val="24"/>
          <w:szCs w:val="24"/>
        </w:rPr>
        <w:t xml:space="preserve"> príslušnému orgánu Slovenskej republiky správu podľa jednotlivých štátov</w:t>
      </w:r>
      <w:r w:rsidRPr="0097693B">
        <w:rPr>
          <w:rFonts w:ascii="Times New Roman" w:hAnsi="Times New Roman" w:cs="Times New Roman"/>
          <w:sz w:val="24"/>
          <w:szCs w:val="24"/>
        </w:rPr>
        <w:t>. Správa podľa jednotlivých štátov</w:t>
      </w:r>
      <w:r w:rsidRPr="0097693B" w:rsidR="002E2FFB">
        <w:rPr>
          <w:rFonts w:ascii="Times New Roman" w:hAnsi="Times New Roman" w:cs="Times New Roman"/>
          <w:sz w:val="24"/>
          <w:szCs w:val="24"/>
        </w:rPr>
        <w:t xml:space="preserve"> </w:t>
      </w:r>
      <w:r w:rsidRPr="0097693B">
        <w:rPr>
          <w:rFonts w:ascii="Times New Roman" w:hAnsi="Times New Roman" w:cs="Times New Roman"/>
          <w:sz w:val="24"/>
          <w:szCs w:val="24"/>
        </w:rPr>
        <w:t xml:space="preserve">sa </w:t>
      </w:r>
      <w:r w:rsidR="001500AD">
        <w:rPr>
          <w:rFonts w:ascii="Times New Roman" w:hAnsi="Times New Roman" w:cs="Times New Roman"/>
          <w:sz w:val="24"/>
          <w:szCs w:val="24"/>
        </w:rPr>
        <w:t>pod</w:t>
      </w:r>
      <w:r w:rsidR="00E42D2B">
        <w:rPr>
          <w:rFonts w:ascii="Times New Roman" w:hAnsi="Times New Roman" w:cs="Times New Roman"/>
          <w:sz w:val="24"/>
          <w:szCs w:val="24"/>
        </w:rPr>
        <w:t>áva</w:t>
      </w:r>
      <w:r w:rsidR="001500AD">
        <w:rPr>
          <w:rFonts w:ascii="Times New Roman" w:hAnsi="Times New Roman" w:cs="Times New Roman"/>
          <w:sz w:val="24"/>
          <w:szCs w:val="24"/>
        </w:rPr>
        <w:t xml:space="preserve"> </w:t>
      </w:r>
      <w:r w:rsidRPr="0097693B">
        <w:rPr>
          <w:rFonts w:ascii="Times New Roman" w:hAnsi="Times New Roman" w:cs="Times New Roman"/>
          <w:sz w:val="24"/>
          <w:szCs w:val="24"/>
        </w:rPr>
        <w:t xml:space="preserve">podľa vzoru uvedeného v prílohe č. </w:t>
      </w:r>
      <w:r w:rsidRPr="0097693B" w:rsidR="00C77769">
        <w:rPr>
          <w:rFonts w:ascii="Times New Roman" w:hAnsi="Times New Roman" w:cs="Times New Roman"/>
          <w:sz w:val="24"/>
          <w:szCs w:val="24"/>
        </w:rPr>
        <w:t>1</w:t>
      </w:r>
      <w:r w:rsidRPr="0097693B">
        <w:rPr>
          <w:rFonts w:ascii="Times New Roman" w:hAnsi="Times New Roman" w:cs="Times New Roman"/>
          <w:sz w:val="24"/>
          <w:szCs w:val="24"/>
        </w:rPr>
        <w:t xml:space="preserve"> v lehote 12 mesiacov od posledného dňa oznamovaného finančného roka nadnárodnej skupiny podnikov.</w:t>
      </w:r>
    </w:p>
    <w:p w:rsidR="002E2FFB" w:rsidRPr="0097693B" w:rsidP="009E7F89">
      <w:pPr>
        <w:pStyle w:val="ListParagraph"/>
        <w:bidi w:val="0"/>
        <w:spacing w:after="0" w:line="240" w:lineRule="auto"/>
        <w:ind w:left="714"/>
        <w:jc w:val="both"/>
        <w:rPr>
          <w:rFonts w:ascii="Times New Roman" w:hAnsi="Times New Roman" w:cs="Times New Roman"/>
          <w:sz w:val="24"/>
          <w:szCs w:val="24"/>
        </w:rPr>
      </w:pPr>
    </w:p>
    <w:p w:rsidR="002E2FFB" w:rsidRPr="0097693B" w:rsidP="002E2FFB">
      <w:pPr>
        <w:pStyle w:val="ListParagraph"/>
        <w:numPr>
          <w:numId w:val="1"/>
        </w:numPr>
        <w:bidi w:val="0"/>
        <w:spacing w:after="0" w:line="240" w:lineRule="auto"/>
        <w:ind w:left="714" w:hanging="357"/>
        <w:jc w:val="both"/>
        <w:rPr>
          <w:rFonts w:ascii="Times New Roman" w:hAnsi="Times New Roman" w:cs="Times New Roman"/>
          <w:sz w:val="24"/>
          <w:szCs w:val="24"/>
        </w:rPr>
      </w:pPr>
      <w:r w:rsidRPr="0097693B">
        <w:rPr>
          <w:rFonts w:ascii="Times New Roman" w:hAnsi="Times New Roman" w:cs="Times New Roman"/>
          <w:sz w:val="24"/>
          <w:szCs w:val="24"/>
        </w:rPr>
        <w:t xml:space="preserve">Príslušný orgán Slovenskej republiky </w:t>
      </w:r>
    </w:p>
    <w:p w:rsidR="001744DB" w:rsidRPr="0097693B" w:rsidP="001744DB">
      <w:pPr>
        <w:pStyle w:val="ListParagraph"/>
        <w:numPr>
          <w:numId w:val="32"/>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zasiela správy podľa jednotlivých štátov prijaté podľa odseku 1 prostredníctvom automatickej výmeny informácií príslušnému orgánu členského štátu alebo príslušnému orgánu štátu dohody, v ktorom je základný subjekt rezidentom na daňové účely alebo v ktorom základný subjekt podlieha dani z príjmov v súvislosti s činnosťou vykonávanou prostredníctvom stálej prevádzkarne, a to v lehote 15 mesiacov od posledného dňa príslušného finančného roka nadnárodnej skupiny podnikov, ktorého sa správa podľa jednotlivých štátov týka,</w:t>
      </w:r>
    </w:p>
    <w:p w:rsidR="002E2FFB" w:rsidRPr="0097693B" w:rsidP="00D924B7">
      <w:pPr>
        <w:pStyle w:val="ListParagraph"/>
        <w:numPr>
          <w:numId w:val="32"/>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prijíma </w:t>
      </w:r>
      <w:r w:rsidRPr="0097693B" w:rsidR="00A66D50">
        <w:rPr>
          <w:rFonts w:ascii="Times New Roman" w:hAnsi="Times New Roman" w:cs="Times New Roman"/>
          <w:sz w:val="24"/>
          <w:szCs w:val="24"/>
        </w:rPr>
        <w:t xml:space="preserve">správy podľa jednotlivých štátov </w:t>
      </w:r>
      <w:r w:rsidRPr="0097693B">
        <w:rPr>
          <w:rFonts w:ascii="Times New Roman" w:hAnsi="Times New Roman" w:cs="Times New Roman"/>
          <w:sz w:val="24"/>
          <w:szCs w:val="24"/>
        </w:rPr>
        <w:t xml:space="preserve">od príslušného orgánu členského štátu a príslušného orgánu </w:t>
      </w:r>
      <w:r w:rsidRPr="0097693B" w:rsidR="001744DB">
        <w:rPr>
          <w:rFonts w:ascii="Times New Roman" w:hAnsi="Times New Roman" w:cs="Times New Roman"/>
          <w:sz w:val="24"/>
          <w:szCs w:val="24"/>
        </w:rPr>
        <w:t>štátu dohody</w:t>
      </w:r>
      <w:r w:rsidRPr="0097693B">
        <w:rPr>
          <w:rFonts w:ascii="Times New Roman" w:hAnsi="Times New Roman" w:cs="Times New Roman"/>
          <w:sz w:val="24"/>
          <w:szCs w:val="24"/>
        </w:rPr>
        <w:t>.</w:t>
      </w:r>
    </w:p>
    <w:p w:rsidR="002E2FFB" w:rsidRPr="0097693B" w:rsidP="002E2FFB">
      <w:pPr>
        <w:pStyle w:val="ListParagraph"/>
        <w:bidi w:val="0"/>
        <w:ind w:left="1440"/>
        <w:jc w:val="both"/>
        <w:rPr>
          <w:rFonts w:ascii="Times New Roman" w:hAnsi="Times New Roman" w:cs="Times New Roman"/>
          <w:sz w:val="24"/>
          <w:szCs w:val="24"/>
        </w:rPr>
      </w:pPr>
    </w:p>
    <w:p w:rsidR="002E2FFB" w:rsidRPr="0097693B" w:rsidP="002E2FFB">
      <w:pPr>
        <w:pStyle w:val="ListParagraph"/>
        <w:numPr>
          <w:numId w:val="1"/>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Správa podľa jednotlivých štátov obsahuje tieto informácie o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skupine </w:t>
      </w:r>
      <w:r w:rsidRPr="0097693B">
        <w:rPr>
          <w:rFonts w:ascii="Times New Roman" w:hAnsi="Times New Roman" w:cs="Times New Roman"/>
          <w:sz w:val="24"/>
          <w:szCs w:val="24"/>
        </w:rPr>
        <w:t>podnikov:</w:t>
      </w:r>
    </w:p>
    <w:p w:rsidR="002E2FFB" w:rsidRPr="0097693B" w:rsidP="00B0440A">
      <w:pPr>
        <w:pStyle w:val="ListParagraph"/>
        <w:numPr>
          <w:numId w:val="44"/>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súhrnné informácie o výnosoch, zisku </w:t>
      </w:r>
      <w:r w:rsidRPr="0097693B" w:rsidR="00616F74">
        <w:rPr>
          <w:rFonts w:ascii="Times New Roman" w:hAnsi="Times New Roman" w:cs="Times New Roman"/>
          <w:sz w:val="24"/>
          <w:szCs w:val="24"/>
        </w:rPr>
        <w:t xml:space="preserve">alebo strate </w:t>
      </w:r>
      <w:r w:rsidRPr="0097693B">
        <w:rPr>
          <w:rFonts w:ascii="Times New Roman" w:hAnsi="Times New Roman" w:cs="Times New Roman"/>
          <w:sz w:val="24"/>
          <w:szCs w:val="24"/>
        </w:rPr>
        <w:t>pred zdanením, zaplatenej dani z príjmov, splatnej dani z príjmov, zapísanom základnom imaní, nerozdelenom zisku</w:t>
      </w:r>
      <w:r w:rsidRPr="0097693B" w:rsidR="00616F74">
        <w:rPr>
          <w:rFonts w:ascii="Times New Roman" w:hAnsi="Times New Roman" w:cs="Times New Roman"/>
          <w:sz w:val="24"/>
          <w:szCs w:val="24"/>
        </w:rPr>
        <w:t xml:space="preserve"> a neuhradenej strate</w:t>
      </w:r>
      <w:r w:rsidRPr="0097693B">
        <w:rPr>
          <w:rFonts w:ascii="Times New Roman" w:hAnsi="Times New Roman" w:cs="Times New Roman"/>
          <w:sz w:val="24"/>
          <w:szCs w:val="24"/>
        </w:rPr>
        <w:t xml:space="preserve">, počte zamestnancov, hmotnom majetku inom </w:t>
      </w:r>
      <w:r w:rsidRPr="0097693B" w:rsidR="00C15963">
        <w:rPr>
          <w:rFonts w:ascii="Times New Roman" w:hAnsi="Times New Roman" w:cs="Times New Roman"/>
          <w:sz w:val="24"/>
          <w:szCs w:val="24"/>
        </w:rPr>
        <w:t>ako</w:t>
      </w:r>
      <w:r w:rsidRPr="0097693B">
        <w:rPr>
          <w:rFonts w:ascii="Times New Roman" w:hAnsi="Times New Roman" w:cs="Times New Roman"/>
          <w:sz w:val="24"/>
          <w:szCs w:val="24"/>
        </w:rPr>
        <w:t xml:space="preserve"> peňažné prostriedky a peňažné ekvivalenty, a to za každý štát daňovej rezidencie, v ktorom </w:t>
      </w:r>
      <w:r w:rsidRPr="0097693B" w:rsidR="00A071A8">
        <w:rPr>
          <w:rFonts w:ascii="Times New Roman" w:hAnsi="Times New Roman" w:cs="Times New Roman"/>
          <w:sz w:val="24"/>
          <w:szCs w:val="24"/>
        </w:rPr>
        <w:t>nadnárodná</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skupina </w:t>
      </w:r>
      <w:r w:rsidRPr="0097693B">
        <w:rPr>
          <w:rFonts w:ascii="Times New Roman" w:hAnsi="Times New Roman" w:cs="Times New Roman"/>
          <w:sz w:val="24"/>
          <w:szCs w:val="24"/>
        </w:rPr>
        <w:t xml:space="preserve">podnikov pôsobí, pričom sa uvedie aj mena, v ktorej sú tieto sumy vyjadrené, </w:t>
      </w:r>
    </w:p>
    <w:p w:rsidR="002E2FFB" w:rsidRPr="0097693B" w:rsidP="00B0440A">
      <w:pPr>
        <w:pStyle w:val="ListParagraph"/>
        <w:numPr>
          <w:numId w:val="44"/>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zoznam jednotlivých základných subjektov podľa štátu, v ktorom sú rezidentmi na daňové účely, štát rezidencie na daňové účely základného subjektu, štát, v ktorom má základný subjekt sídlo, ak sa odlišuje od štátu rezidencie na daňové účely a charakter hlavnej ekonomickej činnosti základného subjektu.</w:t>
      </w:r>
    </w:p>
    <w:p w:rsidR="002E2FFB"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 22c </w:t>
      </w:r>
    </w:p>
    <w:p w:rsidR="00566C4F"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Povinnosť základného subjektu </w:t>
      </w:r>
      <w:r w:rsidRPr="0097693B" w:rsidR="00D12DD5">
        <w:rPr>
          <w:rFonts w:ascii="Times New Roman" w:hAnsi="Times New Roman" w:cs="Times New Roman"/>
          <w:bCs/>
          <w:sz w:val="24"/>
          <w:szCs w:val="24"/>
        </w:rPr>
        <w:t>podávať</w:t>
      </w:r>
      <w:r w:rsidRPr="0097693B">
        <w:rPr>
          <w:rFonts w:ascii="Times New Roman" w:hAnsi="Times New Roman" w:cs="Times New Roman"/>
          <w:bCs/>
          <w:sz w:val="24"/>
          <w:szCs w:val="24"/>
        </w:rPr>
        <w:t xml:space="preserve"> správu podľa jednotlivých štátov </w:t>
      </w:r>
    </w:p>
    <w:p w:rsidR="002E2FFB" w:rsidRPr="0097693B" w:rsidP="002E2FFB">
      <w:pPr>
        <w:pStyle w:val="ListParagraph"/>
        <w:numPr>
          <w:numId w:val="15"/>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Základný subjekt, ktorý nie je hlavným materským subjektom, </w:t>
      </w:r>
      <w:r w:rsidRPr="0097693B" w:rsidR="00D12DD5">
        <w:rPr>
          <w:rFonts w:ascii="Times New Roman" w:hAnsi="Times New Roman" w:cs="Times New Roman"/>
          <w:sz w:val="24"/>
          <w:szCs w:val="24"/>
        </w:rPr>
        <w:t>podáva</w:t>
      </w:r>
      <w:r w:rsidRPr="0097693B">
        <w:rPr>
          <w:rFonts w:ascii="Times New Roman" w:hAnsi="Times New Roman" w:cs="Times New Roman"/>
          <w:sz w:val="24"/>
          <w:szCs w:val="24"/>
        </w:rPr>
        <w:t xml:space="preserve"> správu podľa jednotlivých štátov za oznamovaný finančný rok </w:t>
      </w:r>
      <w:r w:rsidR="00B956B1">
        <w:rPr>
          <w:rFonts w:ascii="Times New Roman" w:hAnsi="Times New Roman" w:cs="Times New Roman"/>
          <w:sz w:val="24"/>
          <w:szCs w:val="24"/>
        </w:rPr>
        <w:t xml:space="preserve">nadnárodnej </w:t>
      </w:r>
      <w:r w:rsidRPr="0097693B">
        <w:rPr>
          <w:rFonts w:ascii="Times New Roman" w:hAnsi="Times New Roman" w:cs="Times New Roman"/>
          <w:sz w:val="24"/>
          <w:szCs w:val="24"/>
        </w:rPr>
        <w:t>skupiny podnikov, ktorej je súčasťou, ak je</w:t>
      </w:r>
    </w:p>
    <w:p w:rsidR="002E2FFB" w:rsidRPr="0097693B" w:rsidP="002E2FFB">
      <w:pPr>
        <w:pStyle w:val="ListParagraph"/>
        <w:numPr>
          <w:numId w:val="13"/>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rezidentom na daňové účely v Slovenskej republike</w:t>
      </w:r>
      <w:r w:rsidR="006C75F5">
        <w:rPr>
          <w:rFonts w:ascii="Times New Roman" w:hAnsi="Times New Roman" w:cs="Times New Roman"/>
          <w:sz w:val="24"/>
          <w:szCs w:val="24"/>
        </w:rPr>
        <w:t xml:space="preserve"> a</w:t>
      </w:r>
    </w:p>
    <w:p w:rsidR="002E2FFB" w:rsidRPr="0097693B" w:rsidP="002E2FFB">
      <w:pPr>
        <w:pStyle w:val="ListParagraph"/>
        <w:numPr>
          <w:numId w:val="13"/>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splnená aspoň jedna z týchto podmienok:</w:t>
      </w:r>
    </w:p>
    <w:p w:rsidR="002E2FFB" w:rsidRPr="0097693B" w:rsidP="00155F45">
      <w:pPr>
        <w:pStyle w:val="ListParagraph"/>
        <w:numPr>
          <w:numId w:val="14"/>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hlavný materský subjekt nie je povinný </w:t>
      </w:r>
      <w:r w:rsidRPr="0097693B" w:rsidR="00D12DD5">
        <w:rPr>
          <w:rFonts w:ascii="Times New Roman" w:hAnsi="Times New Roman" w:cs="Times New Roman"/>
          <w:sz w:val="24"/>
          <w:szCs w:val="24"/>
        </w:rPr>
        <w:t>podávať</w:t>
      </w:r>
      <w:r w:rsidRPr="0097693B">
        <w:rPr>
          <w:rFonts w:ascii="Times New Roman" w:hAnsi="Times New Roman" w:cs="Times New Roman"/>
          <w:sz w:val="24"/>
          <w:szCs w:val="24"/>
        </w:rPr>
        <w:t xml:space="preserve"> správu podľa jednotlivých štátov v štáte, v ktorom je rezidentom na daňové účely,</w:t>
      </w:r>
    </w:p>
    <w:p w:rsidR="002E2FFB" w:rsidRPr="0097693B" w:rsidP="002E2FFB">
      <w:pPr>
        <w:pStyle w:val="ListParagraph"/>
        <w:numPr>
          <w:numId w:val="14"/>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štát, ktorého je hlavný materský subjekt rezidentom na daňové účely, má so Slovenskou republ</w:t>
      </w:r>
      <w:r w:rsidRPr="0097693B" w:rsidR="00B417E9">
        <w:rPr>
          <w:rFonts w:ascii="Times New Roman" w:hAnsi="Times New Roman" w:cs="Times New Roman"/>
          <w:sz w:val="24"/>
          <w:szCs w:val="24"/>
        </w:rPr>
        <w:t>ikou platný</w:t>
      </w:r>
      <w:r w:rsidRPr="0097693B">
        <w:rPr>
          <w:rFonts w:ascii="Times New Roman" w:hAnsi="Times New Roman" w:cs="Times New Roman"/>
          <w:sz w:val="24"/>
          <w:szCs w:val="24"/>
        </w:rPr>
        <w:t xml:space="preserve"> medzinárodn</w:t>
      </w:r>
      <w:r w:rsidRPr="0097693B" w:rsidR="00B417E9">
        <w:rPr>
          <w:rFonts w:ascii="Times New Roman" w:hAnsi="Times New Roman" w:cs="Times New Roman"/>
          <w:sz w:val="24"/>
          <w:szCs w:val="24"/>
        </w:rPr>
        <w:t>ý dohovor</w:t>
      </w:r>
      <w:r w:rsidRPr="0097693B">
        <w:rPr>
          <w:rFonts w:ascii="Times New Roman" w:hAnsi="Times New Roman" w:cs="Times New Roman"/>
          <w:sz w:val="24"/>
          <w:szCs w:val="24"/>
        </w:rPr>
        <w:t xml:space="preserve">, ale v lehote ustanovenej v § 22b ods. 1 na </w:t>
      </w:r>
      <w:r w:rsidRPr="0097693B" w:rsidR="00D12DD5">
        <w:rPr>
          <w:rFonts w:ascii="Times New Roman" w:hAnsi="Times New Roman" w:cs="Times New Roman"/>
          <w:sz w:val="24"/>
          <w:szCs w:val="24"/>
        </w:rPr>
        <w:t>podanie</w:t>
      </w:r>
      <w:r w:rsidRPr="0097693B">
        <w:rPr>
          <w:rFonts w:ascii="Times New Roman" w:hAnsi="Times New Roman" w:cs="Times New Roman"/>
          <w:sz w:val="24"/>
          <w:szCs w:val="24"/>
        </w:rPr>
        <w:t xml:space="preserve"> správy podľa jednotlivých štátov za oznamovaný finančný rok nemá platnú dohodu, alebo</w:t>
      </w:r>
    </w:p>
    <w:p w:rsidR="002E2FFB" w:rsidRPr="0097693B" w:rsidP="002E2FFB">
      <w:pPr>
        <w:pStyle w:val="ListParagraph"/>
        <w:numPr>
          <w:numId w:val="14"/>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došlo k systémovému zlyhaniu štátu, v ktorom je </w:t>
      </w:r>
      <w:r w:rsidRPr="0097693B" w:rsidR="009E7F89">
        <w:rPr>
          <w:rFonts w:ascii="Times New Roman" w:hAnsi="Times New Roman" w:cs="Times New Roman"/>
          <w:sz w:val="24"/>
          <w:szCs w:val="24"/>
        </w:rPr>
        <w:t xml:space="preserve">hlavný </w:t>
      </w:r>
      <w:r w:rsidRPr="0097693B">
        <w:rPr>
          <w:rFonts w:ascii="Times New Roman" w:hAnsi="Times New Roman" w:cs="Times New Roman"/>
          <w:sz w:val="24"/>
          <w:szCs w:val="24"/>
        </w:rPr>
        <w:t>materský subjekt rezidentom na daňové účely a príslušný orgán Slovenskej republiky túto skutočnosť oznámil základnému subjektu.</w:t>
      </w:r>
    </w:p>
    <w:p w:rsidR="002E2FFB" w:rsidRPr="0097693B" w:rsidP="002E2FFB">
      <w:pPr>
        <w:pStyle w:val="ListParagraph"/>
        <w:bidi w:val="0"/>
        <w:ind w:left="1764"/>
        <w:jc w:val="both"/>
        <w:rPr>
          <w:rFonts w:ascii="Times New Roman" w:hAnsi="Times New Roman" w:cs="Times New Roman"/>
          <w:sz w:val="24"/>
          <w:szCs w:val="24"/>
        </w:rPr>
      </w:pPr>
    </w:p>
    <w:p w:rsidR="002E2FFB" w:rsidRPr="0097693B" w:rsidP="002E2FFB">
      <w:pPr>
        <w:pStyle w:val="ListParagraph"/>
        <w:numPr>
          <w:numId w:val="15"/>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Základný subjekt uvedený v odseku 1 požiada svoj hlavný materský subjekt, aby mu poskytol všetky informácie potrebné na to, aby mohol splniť povinnosť podať správu podľa jednotlivých štátov. Ak základný subjekt nezíska od hlavného materského subjektu všetky požadované informácie na podanie správy podľa jednotlivých štátov za </w:t>
      </w:r>
      <w:r w:rsidRPr="0097693B" w:rsidR="00763831">
        <w:rPr>
          <w:rFonts w:ascii="Times New Roman" w:hAnsi="Times New Roman" w:cs="Times New Roman"/>
          <w:sz w:val="24"/>
          <w:szCs w:val="24"/>
        </w:rPr>
        <w:t>nadnárodnú</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skupinu </w:t>
      </w:r>
      <w:r w:rsidRPr="0097693B">
        <w:rPr>
          <w:rFonts w:ascii="Times New Roman" w:hAnsi="Times New Roman" w:cs="Times New Roman"/>
          <w:sz w:val="24"/>
          <w:szCs w:val="24"/>
        </w:rPr>
        <w:t xml:space="preserve">podnikov, </w:t>
      </w:r>
      <w:r w:rsidRPr="0097693B" w:rsidR="00716C6A">
        <w:rPr>
          <w:rFonts w:ascii="Times New Roman" w:hAnsi="Times New Roman" w:cs="Times New Roman"/>
          <w:sz w:val="24"/>
          <w:szCs w:val="24"/>
        </w:rPr>
        <w:t xml:space="preserve">podá </w:t>
      </w:r>
      <w:r w:rsidRPr="0097693B">
        <w:rPr>
          <w:rFonts w:ascii="Times New Roman" w:hAnsi="Times New Roman" w:cs="Times New Roman"/>
          <w:sz w:val="24"/>
          <w:szCs w:val="24"/>
        </w:rPr>
        <w:t>správu podľa jednotlivých štátov obsahujúcu všetky informácie, ktoré má k dispozícii, a oznámi príslušnému orgánu Slovenskej republiky, že hlavný materský subjekt odmietol sprístupniť potrebné informácie; príslušný orgán Slovenskej republiky o tejto skutočnosti informuje príslušné orgány členských štátov a</w:t>
      </w:r>
      <w:r w:rsidRPr="0097693B" w:rsidR="001744DB">
        <w:rPr>
          <w:rFonts w:ascii="Times New Roman" w:hAnsi="Times New Roman" w:cs="Times New Roman"/>
          <w:sz w:val="24"/>
          <w:szCs w:val="24"/>
        </w:rPr>
        <w:t> </w:t>
      </w:r>
      <w:r w:rsidRPr="0097693B" w:rsidR="00716C6A">
        <w:rPr>
          <w:rFonts w:ascii="Times New Roman" w:hAnsi="Times New Roman" w:cs="Times New Roman"/>
          <w:sz w:val="24"/>
          <w:szCs w:val="24"/>
        </w:rPr>
        <w:t xml:space="preserve">príslušné orgány </w:t>
      </w:r>
      <w:r w:rsidRPr="0097693B">
        <w:rPr>
          <w:rFonts w:ascii="Times New Roman" w:hAnsi="Times New Roman" w:cs="Times New Roman"/>
          <w:sz w:val="24"/>
          <w:szCs w:val="24"/>
        </w:rPr>
        <w:t>štátov</w:t>
      </w:r>
      <w:r w:rsidRPr="0097693B" w:rsidR="001744DB">
        <w:rPr>
          <w:rFonts w:ascii="Times New Roman" w:hAnsi="Times New Roman" w:cs="Times New Roman"/>
          <w:sz w:val="24"/>
          <w:szCs w:val="24"/>
        </w:rPr>
        <w:t xml:space="preserve"> dohody</w:t>
      </w:r>
      <w:r w:rsidRPr="0097693B">
        <w:rPr>
          <w:rFonts w:ascii="Times New Roman" w:hAnsi="Times New Roman" w:cs="Times New Roman"/>
          <w:sz w:val="24"/>
          <w:szCs w:val="24"/>
        </w:rPr>
        <w:t>.</w:t>
      </w:r>
    </w:p>
    <w:p w:rsidR="002E2FFB" w:rsidRPr="0097693B" w:rsidP="002E2FFB">
      <w:pPr>
        <w:pStyle w:val="ListParagraph"/>
        <w:bidi w:val="0"/>
        <w:ind w:left="502"/>
        <w:jc w:val="both"/>
        <w:rPr>
          <w:rFonts w:ascii="Times New Roman" w:hAnsi="Times New Roman" w:cs="Times New Roman"/>
          <w:sz w:val="24"/>
          <w:szCs w:val="24"/>
        </w:rPr>
      </w:pPr>
    </w:p>
    <w:p w:rsidR="002E2FFB" w:rsidRPr="0097693B" w:rsidP="002E2FFB">
      <w:pPr>
        <w:pStyle w:val="ListParagraph"/>
        <w:numPr>
          <w:numId w:val="15"/>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Ak existuje viac základných subjektov tej istej </w:t>
      </w:r>
      <w:r w:rsidRPr="0097693B" w:rsidR="00763831">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763831">
        <w:rPr>
          <w:rFonts w:ascii="Times New Roman" w:hAnsi="Times New Roman" w:cs="Times New Roman"/>
          <w:sz w:val="24"/>
          <w:szCs w:val="24"/>
        </w:rPr>
        <w:t xml:space="preserve">skupiny </w:t>
      </w:r>
      <w:r w:rsidRPr="0097693B">
        <w:rPr>
          <w:rFonts w:ascii="Times New Roman" w:hAnsi="Times New Roman" w:cs="Times New Roman"/>
          <w:sz w:val="24"/>
          <w:szCs w:val="24"/>
        </w:rPr>
        <w:t>podnikov, z ktorých aspoň jeden je rezidentom na daňové účely</w:t>
      </w:r>
      <w:r w:rsidRPr="0097693B" w:rsidR="00A66D50">
        <w:rPr>
          <w:rFonts w:ascii="Times New Roman" w:hAnsi="Times New Roman" w:cs="Times New Roman"/>
          <w:sz w:val="24"/>
          <w:szCs w:val="24"/>
        </w:rPr>
        <w:t xml:space="preserve"> v</w:t>
      </w:r>
      <w:r w:rsidRPr="0097693B" w:rsidR="00B44D6D">
        <w:rPr>
          <w:rFonts w:ascii="Times New Roman" w:hAnsi="Times New Roman" w:cs="Times New Roman"/>
          <w:sz w:val="24"/>
          <w:szCs w:val="24"/>
        </w:rPr>
        <w:t> členskom štáte</w:t>
      </w:r>
      <w:r w:rsidRPr="0097693B">
        <w:rPr>
          <w:rFonts w:ascii="Times New Roman" w:hAnsi="Times New Roman" w:cs="Times New Roman"/>
          <w:sz w:val="24"/>
          <w:szCs w:val="24"/>
        </w:rPr>
        <w:t xml:space="preserve">, a ak je splnená aspoň jedna z podmienok ustanovených v odseku 1 písm. b), </w:t>
      </w:r>
      <w:r w:rsidRPr="0097693B" w:rsidR="00A071A8">
        <w:rPr>
          <w:rFonts w:ascii="Times New Roman" w:hAnsi="Times New Roman" w:cs="Times New Roman"/>
          <w:sz w:val="24"/>
          <w:szCs w:val="24"/>
        </w:rPr>
        <w:t>nadnárodná skupina</w:t>
      </w:r>
      <w:r w:rsidRPr="0097693B">
        <w:rPr>
          <w:rFonts w:ascii="Times New Roman" w:hAnsi="Times New Roman" w:cs="Times New Roman"/>
          <w:sz w:val="24"/>
          <w:szCs w:val="24"/>
        </w:rPr>
        <w:t xml:space="preserve"> podnikov môže poveriť tento základný subjekt, aby v lehote ustanovenej v § 22b ods. 1 podal správu podľa jednotlivých štátov a aby príslušnému orgánu Slovenskej republiky oznámil, že podaním správy podľa jednotlivých štátov je splnená požiadavka na </w:t>
      </w:r>
      <w:r w:rsidRPr="0097693B" w:rsidR="00D12DD5">
        <w:rPr>
          <w:rFonts w:ascii="Times New Roman" w:hAnsi="Times New Roman" w:cs="Times New Roman"/>
          <w:sz w:val="24"/>
          <w:szCs w:val="24"/>
        </w:rPr>
        <w:t>podávanie</w:t>
      </w:r>
      <w:r w:rsidRPr="0097693B">
        <w:rPr>
          <w:rFonts w:ascii="Times New Roman" w:hAnsi="Times New Roman" w:cs="Times New Roman"/>
          <w:sz w:val="24"/>
          <w:szCs w:val="24"/>
        </w:rPr>
        <w:t xml:space="preserve"> správy podľa jednotlivých štátov za základné subjekty, ktoré sú rezidentmi na daňové účely v členských štátoch alebo v</w:t>
      </w:r>
      <w:r w:rsidRPr="0097693B" w:rsidR="001744DB">
        <w:rPr>
          <w:rFonts w:ascii="Times New Roman" w:hAnsi="Times New Roman" w:cs="Times New Roman"/>
          <w:sz w:val="24"/>
          <w:szCs w:val="24"/>
        </w:rPr>
        <w:t> </w:t>
      </w:r>
      <w:r w:rsidRPr="0097693B">
        <w:rPr>
          <w:rFonts w:ascii="Times New Roman" w:hAnsi="Times New Roman" w:cs="Times New Roman"/>
          <w:sz w:val="24"/>
          <w:szCs w:val="24"/>
        </w:rPr>
        <w:t>štátoch</w:t>
      </w:r>
      <w:r w:rsidRPr="0097693B" w:rsidR="001744DB">
        <w:rPr>
          <w:rFonts w:ascii="Times New Roman" w:hAnsi="Times New Roman" w:cs="Times New Roman"/>
          <w:sz w:val="24"/>
          <w:szCs w:val="24"/>
        </w:rPr>
        <w:t xml:space="preserve"> dohody</w:t>
      </w:r>
      <w:r w:rsidRPr="0097693B">
        <w:rPr>
          <w:rFonts w:ascii="Times New Roman" w:hAnsi="Times New Roman" w:cs="Times New Roman"/>
          <w:sz w:val="24"/>
          <w:szCs w:val="24"/>
        </w:rPr>
        <w:t>; príslušný orgán  Slovenskej republiky zašle túto správu podľa jednotlivých štátov</w:t>
      </w:r>
      <w:r w:rsidRPr="0097693B" w:rsidR="00D90C87">
        <w:rPr>
          <w:rFonts w:ascii="Times New Roman" w:hAnsi="Times New Roman" w:cs="Times New Roman"/>
          <w:sz w:val="24"/>
          <w:szCs w:val="24"/>
        </w:rPr>
        <w:t xml:space="preserve"> príslušným orgánom tých členských štátov alebo </w:t>
      </w:r>
      <w:r w:rsidRPr="0097693B" w:rsidR="00716C6A">
        <w:rPr>
          <w:rFonts w:ascii="Times New Roman" w:hAnsi="Times New Roman" w:cs="Times New Roman"/>
          <w:sz w:val="24"/>
          <w:szCs w:val="24"/>
        </w:rPr>
        <w:t>príslušným orgánom</w:t>
      </w:r>
      <w:r w:rsidRPr="0097693B" w:rsidR="00C44462">
        <w:rPr>
          <w:rFonts w:ascii="Times New Roman" w:hAnsi="Times New Roman" w:cs="Times New Roman"/>
          <w:sz w:val="24"/>
          <w:szCs w:val="24"/>
        </w:rPr>
        <w:t xml:space="preserve"> tých</w:t>
      </w:r>
      <w:r w:rsidRPr="0097693B" w:rsidR="00716C6A">
        <w:rPr>
          <w:rFonts w:ascii="Times New Roman" w:hAnsi="Times New Roman" w:cs="Times New Roman"/>
          <w:sz w:val="24"/>
          <w:szCs w:val="24"/>
        </w:rPr>
        <w:t xml:space="preserve"> </w:t>
      </w:r>
      <w:r w:rsidRPr="0097693B" w:rsidR="00D90C87">
        <w:rPr>
          <w:rFonts w:ascii="Times New Roman" w:hAnsi="Times New Roman" w:cs="Times New Roman"/>
          <w:sz w:val="24"/>
          <w:szCs w:val="24"/>
        </w:rPr>
        <w:t>štátov</w:t>
      </w:r>
      <w:r w:rsidRPr="0097693B" w:rsidR="001744DB">
        <w:rPr>
          <w:rFonts w:ascii="Times New Roman" w:hAnsi="Times New Roman" w:cs="Times New Roman"/>
          <w:sz w:val="24"/>
          <w:szCs w:val="24"/>
        </w:rPr>
        <w:t xml:space="preserve"> dohody</w:t>
      </w:r>
      <w:r w:rsidRPr="0097693B" w:rsidR="00D90C87">
        <w:rPr>
          <w:rFonts w:ascii="Times New Roman" w:hAnsi="Times New Roman" w:cs="Times New Roman"/>
          <w:sz w:val="24"/>
          <w:szCs w:val="24"/>
        </w:rPr>
        <w:t xml:space="preserve">, o ktorých je podľa informácií </w:t>
      </w:r>
      <w:r w:rsidRPr="0097693B" w:rsidR="00442E1D">
        <w:rPr>
          <w:rFonts w:ascii="Times New Roman" w:hAnsi="Times New Roman" w:cs="Times New Roman"/>
          <w:sz w:val="24"/>
          <w:szCs w:val="24"/>
        </w:rPr>
        <w:t xml:space="preserve">v nej </w:t>
      </w:r>
      <w:r w:rsidRPr="0097693B" w:rsidR="00D90C87">
        <w:rPr>
          <w:rFonts w:ascii="Times New Roman" w:hAnsi="Times New Roman" w:cs="Times New Roman"/>
          <w:sz w:val="24"/>
          <w:szCs w:val="24"/>
        </w:rPr>
        <w:t>obsiahnutých zrejmé, že základný subjekt je rezidentom na daňové účely týchto štátov</w:t>
      </w:r>
      <w:r w:rsidRPr="0097693B">
        <w:rPr>
          <w:rFonts w:ascii="Times New Roman" w:hAnsi="Times New Roman" w:cs="Times New Roman"/>
          <w:sz w:val="24"/>
          <w:szCs w:val="24"/>
        </w:rPr>
        <w:t xml:space="preserve"> alebo v ktorých podlieha dani v súvislosti s činnosťou vykonávanou prostredníctvom stálej prevádzkarne.</w:t>
      </w:r>
    </w:p>
    <w:p w:rsidR="002E2FFB" w:rsidRPr="0097693B" w:rsidP="002E2FFB">
      <w:pPr>
        <w:bidi w:val="0"/>
        <w:spacing w:after="0" w:line="240" w:lineRule="auto"/>
        <w:jc w:val="both"/>
        <w:rPr>
          <w:rFonts w:ascii="Times New Roman" w:hAnsi="Times New Roman" w:cs="Times New Roman"/>
          <w:sz w:val="24"/>
          <w:szCs w:val="24"/>
        </w:rPr>
      </w:pPr>
    </w:p>
    <w:p w:rsidR="002E2FFB" w:rsidRPr="0097693B" w:rsidP="002E2FFB">
      <w:pPr>
        <w:pStyle w:val="ListParagraph"/>
        <w:numPr>
          <w:numId w:val="15"/>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Ak základný subjekt nezíska všetky informácie potrebné na podanie správy podľa jednotlivých štátov, takýto základný subjekt nie je považovaný za oznamujúci subjekt, pričom nie je dotknutá povinnosť základného subjektu informovať príslušný orgán Slovenskej republiky, že hlavný materský subjekt neposkytol potrebné informácie podľa odseku 2.</w:t>
      </w:r>
    </w:p>
    <w:p w:rsidR="002E2FFB" w:rsidRPr="0097693B" w:rsidP="002E2FFB">
      <w:pPr>
        <w:bidi w:val="0"/>
        <w:spacing w:after="0" w:line="240" w:lineRule="auto"/>
        <w:jc w:val="both"/>
        <w:rPr>
          <w:rFonts w:ascii="Times New Roman" w:hAnsi="Times New Roman" w:cs="Times New Roman"/>
          <w:sz w:val="24"/>
          <w:szCs w:val="24"/>
        </w:rPr>
      </w:pPr>
    </w:p>
    <w:p w:rsidR="00AD71F6" w:rsidRPr="0097693B" w:rsidP="002E2FFB">
      <w:pPr>
        <w:bidi w:val="0"/>
        <w:spacing w:after="0" w:line="240" w:lineRule="auto"/>
        <w:jc w:val="both"/>
        <w:rPr>
          <w:rFonts w:ascii="Times New Roman" w:hAnsi="Times New Roman" w:cs="Times New Roman"/>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22</w:t>
      </w:r>
      <w:r w:rsidRPr="0097693B" w:rsidR="00566C4F">
        <w:rPr>
          <w:rFonts w:ascii="Times New Roman" w:hAnsi="Times New Roman" w:cs="Times New Roman"/>
          <w:bCs/>
          <w:sz w:val="24"/>
          <w:szCs w:val="24"/>
        </w:rPr>
        <w:t>d</w:t>
      </w:r>
    </w:p>
    <w:p w:rsidR="002E2FFB"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Povinnosť náhradného materského subjektu </w:t>
      </w:r>
      <w:r w:rsidRPr="0097693B" w:rsidR="00EA6084">
        <w:rPr>
          <w:rFonts w:ascii="Times New Roman" w:hAnsi="Times New Roman" w:cs="Times New Roman"/>
          <w:bCs/>
          <w:sz w:val="24"/>
          <w:szCs w:val="24"/>
        </w:rPr>
        <w:t xml:space="preserve">podať </w:t>
      </w:r>
      <w:r w:rsidRPr="0097693B">
        <w:rPr>
          <w:rFonts w:ascii="Times New Roman" w:hAnsi="Times New Roman" w:cs="Times New Roman"/>
          <w:bCs/>
          <w:sz w:val="24"/>
          <w:szCs w:val="24"/>
        </w:rPr>
        <w:t>správu podľa jednotlivých štátov</w:t>
      </w:r>
    </w:p>
    <w:p w:rsidR="002E2FFB" w:rsidRPr="0097693B" w:rsidP="002E2FFB">
      <w:pPr>
        <w:pStyle w:val="ListParagraph"/>
        <w:numPr>
          <w:numId w:val="30"/>
        </w:numPr>
        <w:bidi w:val="0"/>
        <w:spacing w:after="0" w:line="240" w:lineRule="auto"/>
        <w:jc w:val="both"/>
        <w:rPr>
          <w:rFonts w:ascii="Times New Roman" w:hAnsi="Times New Roman" w:cs="Times New Roman"/>
          <w:sz w:val="24"/>
          <w:szCs w:val="24"/>
        </w:rPr>
      </w:pPr>
      <w:r w:rsidR="001500AD">
        <w:rPr>
          <w:rFonts w:ascii="Times New Roman" w:hAnsi="Times New Roman" w:cs="Times New Roman"/>
          <w:sz w:val="24"/>
          <w:szCs w:val="24"/>
        </w:rPr>
        <w:t>A</w:t>
      </w:r>
      <w:r w:rsidRPr="0097693B">
        <w:rPr>
          <w:rFonts w:ascii="Times New Roman" w:hAnsi="Times New Roman" w:cs="Times New Roman"/>
          <w:sz w:val="24"/>
          <w:szCs w:val="24"/>
        </w:rPr>
        <w:t xml:space="preserve">k </w:t>
      </w:r>
      <w:r w:rsidRPr="0097693B" w:rsidR="00A071A8">
        <w:rPr>
          <w:rFonts w:ascii="Times New Roman" w:hAnsi="Times New Roman" w:cs="Times New Roman"/>
          <w:sz w:val="24"/>
          <w:szCs w:val="24"/>
        </w:rPr>
        <w:t>nadnárodná</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skupina </w:t>
      </w:r>
      <w:r w:rsidRPr="0097693B">
        <w:rPr>
          <w:rFonts w:ascii="Times New Roman" w:hAnsi="Times New Roman" w:cs="Times New Roman"/>
          <w:sz w:val="24"/>
          <w:szCs w:val="24"/>
        </w:rPr>
        <w:t xml:space="preserve">podnikov, ktorej je základný subjekt súčasťou, v lehote ustanovenej v § 22b ods. 1 za príslušný finančný rok </w:t>
      </w:r>
      <w:r w:rsidRPr="0097693B" w:rsidR="00716C6A">
        <w:rPr>
          <w:rFonts w:ascii="Times New Roman" w:hAnsi="Times New Roman" w:cs="Times New Roman"/>
          <w:sz w:val="24"/>
          <w:szCs w:val="24"/>
        </w:rPr>
        <w:t>podá</w:t>
      </w:r>
      <w:r w:rsidRPr="0097693B">
        <w:rPr>
          <w:rFonts w:ascii="Times New Roman" w:hAnsi="Times New Roman" w:cs="Times New Roman"/>
          <w:sz w:val="24"/>
          <w:szCs w:val="24"/>
        </w:rPr>
        <w:t xml:space="preserve"> správu podľa jednotlivých štátov prostredníctvom náhradného materského</w:t>
      </w:r>
      <w:r w:rsidRPr="0097693B" w:rsidR="00D90C87">
        <w:rPr>
          <w:rFonts w:ascii="Times New Roman" w:hAnsi="Times New Roman" w:cs="Times New Roman"/>
          <w:sz w:val="24"/>
          <w:szCs w:val="24"/>
        </w:rPr>
        <w:t xml:space="preserve"> subjektu</w:t>
      </w:r>
      <w:r w:rsidR="001500AD">
        <w:rPr>
          <w:rFonts w:ascii="Times New Roman" w:hAnsi="Times New Roman" w:cs="Times New Roman"/>
          <w:sz w:val="24"/>
          <w:szCs w:val="24"/>
        </w:rPr>
        <w:t xml:space="preserve"> a</w:t>
      </w:r>
      <w:r w:rsidRPr="0097693B">
        <w:rPr>
          <w:rFonts w:ascii="Times New Roman" w:hAnsi="Times New Roman" w:cs="Times New Roman"/>
          <w:sz w:val="24"/>
          <w:szCs w:val="24"/>
        </w:rPr>
        <w:t xml:space="preserve"> </w:t>
      </w:r>
      <w:r w:rsidRPr="0097693B" w:rsidR="00531F5A">
        <w:rPr>
          <w:rFonts w:ascii="Times New Roman" w:hAnsi="Times New Roman" w:cs="Times New Roman"/>
          <w:sz w:val="24"/>
          <w:szCs w:val="24"/>
        </w:rPr>
        <w:t>ak je splnená aspoň jedna z podmienok ustanovených v  § 22c ods. 1 písm. b</w:t>
      </w:r>
      <w:r w:rsidRPr="0097693B" w:rsidR="00D90C87">
        <w:rPr>
          <w:rFonts w:ascii="Times New Roman" w:hAnsi="Times New Roman" w:cs="Times New Roman"/>
          <w:sz w:val="24"/>
          <w:szCs w:val="24"/>
        </w:rPr>
        <w:t>)</w:t>
      </w:r>
      <w:r w:rsidR="001500AD">
        <w:rPr>
          <w:rFonts w:ascii="Times New Roman" w:hAnsi="Times New Roman" w:cs="Times New Roman"/>
          <w:sz w:val="24"/>
          <w:szCs w:val="24"/>
        </w:rPr>
        <w:t>, z</w:t>
      </w:r>
      <w:r w:rsidRPr="0097693B" w:rsidR="001500AD">
        <w:rPr>
          <w:rFonts w:ascii="Times New Roman" w:hAnsi="Times New Roman" w:cs="Times New Roman"/>
          <w:sz w:val="24"/>
          <w:szCs w:val="24"/>
        </w:rPr>
        <w:t>ákladný subjekt nemá povinnosť podať správu podľa jednotlivých štátov podľa § 22c</w:t>
      </w:r>
      <w:r w:rsidR="001F58F0">
        <w:rPr>
          <w:rFonts w:ascii="Times New Roman" w:hAnsi="Times New Roman" w:cs="Times New Roman"/>
          <w:sz w:val="24"/>
          <w:szCs w:val="24"/>
        </w:rPr>
        <w:t>.</w:t>
      </w:r>
    </w:p>
    <w:p w:rsidR="002E2FFB" w:rsidRPr="0097693B" w:rsidP="002E2FFB">
      <w:pPr>
        <w:pStyle w:val="ListParagraph"/>
        <w:bidi w:val="0"/>
        <w:ind w:left="862"/>
        <w:jc w:val="both"/>
        <w:rPr>
          <w:rFonts w:ascii="Times New Roman" w:hAnsi="Times New Roman" w:cs="Times New Roman"/>
          <w:sz w:val="24"/>
          <w:szCs w:val="24"/>
        </w:rPr>
      </w:pPr>
    </w:p>
    <w:p w:rsidR="002E2FFB" w:rsidRPr="0097693B" w:rsidP="002E2FFB">
      <w:pPr>
        <w:pStyle w:val="ListParagraph"/>
        <w:numPr>
          <w:numId w:val="30"/>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Náhradný materský subjekt </w:t>
      </w:r>
      <w:r w:rsidRPr="0097693B" w:rsidR="00D12DD5">
        <w:rPr>
          <w:rFonts w:ascii="Times New Roman" w:hAnsi="Times New Roman" w:cs="Times New Roman"/>
          <w:sz w:val="24"/>
          <w:szCs w:val="24"/>
        </w:rPr>
        <w:t>podáva</w:t>
      </w:r>
      <w:r w:rsidRPr="0097693B">
        <w:rPr>
          <w:rFonts w:ascii="Times New Roman" w:hAnsi="Times New Roman" w:cs="Times New Roman"/>
          <w:sz w:val="24"/>
          <w:szCs w:val="24"/>
        </w:rPr>
        <w:t xml:space="preserve"> správu podľa jednotlivých štátov príslušnému orgánu toho štátu, v ktorom je rezidentom na daňové účely, pričom ak je náhradný materský subjekt rezidentom na daňové účely v inom ako členskom štáte</w:t>
      </w:r>
      <w:r w:rsidR="000742FB">
        <w:rPr>
          <w:rFonts w:ascii="Times New Roman" w:hAnsi="Times New Roman" w:cs="Times New Roman"/>
          <w:sz w:val="24"/>
          <w:szCs w:val="24"/>
        </w:rPr>
        <w:t>, a</w:t>
      </w:r>
    </w:p>
    <w:p w:rsidR="002E2FFB" w:rsidRPr="0097693B" w:rsidP="002E2FFB">
      <w:pPr>
        <w:pStyle w:val="ListParagraph"/>
        <w:numPr>
          <w:numId w:val="18"/>
        </w:numPr>
        <w:bidi w:val="0"/>
        <w:spacing w:after="0" w:line="240" w:lineRule="auto"/>
        <w:jc w:val="both"/>
        <w:rPr>
          <w:rFonts w:ascii="Times New Roman" w:hAnsi="Times New Roman" w:cs="Times New Roman"/>
          <w:sz w:val="24"/>
          <w:szCs w:val="24"/>
        </w:rPr>
      </w:pPr>
      <w:r w:rsidR="000742FB">
        <w:rPr>
          <w:rFonts w:ascii="Times New Roman" w:hAnsi="Times New Roman" w:cs="Times New Roman"/>
          <w:sz w:val="24"/>
          <w:szCs w:val="24"/>
        </w:rPr>
        <w:t xml:space="preserve">tento </w:t>
      </w:r>
      <w:r w:rsidRPr="0097693B">
        <w:rPr>
          <w:rFonts w:ascii="Times New Roman" w:hAnsi="Times New Roman" w:cs="Times New Roman"/>
          <w:sz w:val="24"/>
          <w:szCs w:val="24"/>
        </w:rPr>
        <w:t>štát, v ktorom je náhradný materský subjekt rezidentom na daňové účely</w:t>
      </w:r>
      <w:r w:rsidRPr="0097693B" w:rsidR="00C426BC">
        <w:rPr>
          <w:rFonts w:ascii="Times New Roman" w:hAnsi="Times New Roman" w:cs="Times New Roman"/>
          <w:sz w:val="24"/>
          <w:szCs w:val="24"/>
        </w:rPr>
        <w:t>,</w:t>
      </w:r>
      <w:r w:rsidRPr="0097693B">
        <w:rPr>
          <w:rFonts w:ascii="Times New Roman" w:hAnsi="Times New Roman" w:cs="Times New Roman"/>
          <w:sz w:val="24"/>
          <w:szCs w:val="24"/>
        </w:rPr>
        <w:t xml:space="preserve"> </w:t>
      </w:r>
    </w:p>
    <w:p w:rsidR="00C426BC" w:rsidRPr="0097693B" w:rsidP="00C426BC">
      <w:pPr>
        <w:pStyle w:val="ListParagraph"/>
        <w:numPr>
          <w:numId w:val="27"/>
        </w:numPr>
        <w:bidi w:val="0"/>
        <w:spacing w:after="0" w:line="240" w:lineRule="auto"/>
        <w:jc w:val="both"/>
        <w:rPr>
          <w:rFonts w:ascii="Times New Roman" w:hAnsi="Times New Roman" w:cs="Times New Roman"/>
          <w:sz w:val="24"/>
          <w:szCs w:val="24"/>
        </w:rPr>
      </w:pPr>
      <w:r w:rsidRPr="0097693B" w:rsidR="002E2FFB">
        <w:rPr>
          <w:rFonts w:ascii="Times New Roman" w:hAnsi="Times New Roman" w:cs="Times New Roman"/>
          <w:sz w:val="24"/>
          <w:szCs w:val="24"/>
        </w:rPr>
        <w:t xml:space="preserve">vyžaduje </w:t>
      </w:r>
      <w:r w:rsidRPr="0097693B" w:rsidR="00D12DD5">
        <w:rPr>
          <w:rFonts w:ascii="Times New Roman" w:hAnsi="Times New Roman" w:cs="Times New Roman"/>
          <w:sz w:val="24"/>
          <w:szCs w:val="24"/>
        </w:rPr>
        <w:t>podávanie</w:t>
      </w:r>
      <w:r w:rsidRPr="0097693B" w:rsidR="002E2FFB">
        <w:rPr>
          <w:rFonts w:ascii="Times New Roman" w:hAnsi="Times New Roman" w:cs="Times New Roman"/>
          <w:sz w:val="24"/>
          <w:szCs w:val="24"/>
        </w:rPr>
        <w:t xml:space="preserve"> správy podľa jednotlivých štátov</w:t>
      </w:r>
      <w:r w:rsidR="000742FB">
        <w:rPr>
          <w:rFonts w:ascii="Times New Roman" w:hAnsi="Times New Roman" w:cs="Times New Roman"/>
          <w:sz w:val="24"/>
          <w:szCs w:val="24"/>
        </w:rPr>
        <w:t>,</w:t>
      </w:r>
      <w:r w:rsidRPr="0097693B" w:rsidR="002E2FFB">
        <w:rPr>
          <w:rFonts w:ascii="Times New Roman" w:hAnsi="Times New Roman" w:cs="Times New Roman"/>
          <w:sz w:val="24"/>
          <w:szCs w:val="24"/>
        </w:rPr>
        <w:t xml:space="preserve"> </w:t>
      </w:r>
    </w:p>
    <w:p w:rsidR="002E2FFB" w:rsidRPr="0097693B" w:rsidP="00C426BC">
      <w:pPr>
        <w:pStyle w:val="ListParagraph"/>
        <w:numPr>
          <w:numId w:val="27"/>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má platnú dohodu, ktorej zmluvnou stranou je Slovenská republika, ktorá umožní dodržanie lehoty na </w:t>
      </w:r>
      <w:r w:rsidRPr="0097693B" w:rsidR="00D12DD5">
        <w:rPr>
          <w:rFonts w:ascii="Times New Roman" w:hAnsi="Times New Roman" w:cs="Times New Roman"/>
          <w:sz w:val="24"/>
          <w:szCs w:val="24"/>
        </w:rPr>
        <w:t>podanie</w:t>
      </w:r>
      <w:r w:rsidRPr="0097693B">
        <w:rPr>
          <w:rFonts w:ascii="Times New Roman" w:hAnsi="Times New Roman" w:cs="Times New Roman"/>
          <w:sz w:val="24"/>
          <w:szCs w:val="24"/>
        </w:rPr>
        <w:t xml:space="preserve"> </w:t>
      </w:r>
      <w:r w:rsidR="00DF5AA7">
        <w:rPr>
          <w:rFonts w:ascii="Times New Roman" w:hAnsi="Times New Roman" w:cs="Times New Roman"/>
          <w:sz w:val="24"/>
          <w:szCs w:val="24"/>
        </w:rPr>
        <w:t>správy</w:t>
      </w:r>
      <w:r w:rsidR="00BC6781">
        <w:rPr>
          <w:rFonts w:ascii="Times New Roman" w:hAnsi="Times New Roman" w:cs="Times New Roman"/>
          <w:sz w:val="24"/>
          <w:szCs w:val="24"/>
        </w:rPr>
        <w:t xml:space="preserve"> </w:t>
      </w:r>
      <w:r w:rsidRPr="0097693B" w:rsidR="00BC6781">
        <w:rPr>
          <w:rFonts w:ascii="Times New Roman" w:hAnsi="Times New Roman" w:cs="Times New Roman"/>
          <w:sz w:val="24"/>
          <w:szCs w:val="24"/>
        </w:rPr>
        <w:t>podľa jednotlivých štátov</w:t>
      </w:r>
      <w:r w:rsidRPr="0097693B" w:rsidR="00DF5AA7">
        <w:rPr>
          <w:rFonts w:ascii="Times New Roman" w:hAnsi="Times New Roman" w:cs="Times New Roman"/>
          <w:sz w:val="24"/>
          <w:szCs w:val="24"/>
        </w:rPr>
        <w:t xml:space="preserve"> </w:t>
      </w:r>
      <w:r w:rsidRPr="0097693B">
        <w:rPr>
          <w:rFonts w:ascii="Times New Roman" w:hAnsi="Times New Roman" w:cs="Times New Roman"/>
          <w:sz w:val="24"/>
          <w:szCs w:val="24"/>
        </w:rPr>
        <w:t>za príslušný oznamovaný finančný rok ustanovenej v § 22b ods. 1</w:t>
      </w:r>
      <w:r w:rsidR="000742FB">
        <w:rPr>
          <w:rFonts w:ascii="Times New Roman" w:hAnsi="Times New Roman" w:cs="Times New Roman"/>
          <w:sz w:val="24"/>
          <w:szCs w:val="24"/>
        </w:rPr>
        <w:t xml:space="preserve"> a</w:t>
      </w:r>
      <w:r w:rsidR="006C75F5">
        <w:rPr>
          <w:rFonts w:ascii="Times New Roman" w:hAnsi="Times New Roman" w:cs="Times New Roman"/>
          <w:sz w:val="24"/>
          <w:szCs w:val="24"/>
        </w:rPr>
        <w:t xml:space="preserve"> </w:t>
      </w:r>
    </w:p>
    <w:p w:rsidR="002E2FFB" w:rsidRPr="0097693B" w:rsidP="002E2FFB">
      <w:pPr>
        <w:pStyle w:val="ListParagraph"/>
        <w:numPr>
          <w:numId w:val="27"/>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neoznámil príslušnému orgánu Slovenskej republik</w:t>
      </w:r>
      <w:r w:rsidRPr="0097693B" w:rsidR="008D7235">
        <w:rPr>
          <w:rFonts w:ascii="Times New Roman" w:hAnsi="Times New Roman" w:cs="Times New Roman"/>
          <w:sz w:val="24"/>
          <w:szCs w:val="24"/>
        </w:rPr>
        <w:t>y</w:t>
      </w:r>
      <w:r w:rsidRPr="0097693B">
        <w:rPr>
          <w:rFonts w:ascii="Times New Roman" w:hAnsi="Times New Roman" w:cs="Times New Roman"/>
          <w:sz w:val="24"/>
          <w:szCs w:val="24"/>
        </w:rPr>
        <w:t xml:space="preserve"> systémové zlyhanie,</w:t>
      </w:r>
    </w:p>
    <w:p w:rsidR="002E2FFB" w:rsidRPr="0097693B" w:rsidP="002E2FFB">
      <w:pPr>
        <w:pStyle w:val="ListParagraph"/>
        <w:numPr>
          <w:numId w:val="18"/>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základný subjekt najneskôr v posledný deň lehoty na podanie</w:t>
      </w:r>
      <w:r w:rsidRPr="0097693B" w:rsidR="001228BA">
        <w:rPr>
          <w:rFonts w:ascii="Times New Roman" w:hAnsi="Times New Roman" w:cs="Times New Roman"/>
          <w:sz w:val="24"/>
          <w:szCs w:val="24"/>
        </w:rPr>
        <w:t xml:space="preserve"> daňového</w:t>
      </w:r>
      <w:r w:rsidRPr="0097693B">
        <w:rPr>
          <w:rFonts w:ascii="Times New Roman" w:hAnsi="Times New Roman" w:cs="Times New Roman"/>
          <w:sz w:val="24"/>
          <w:szCs w:val="24"/>
        </w:rPr>
        <w:t xml:space="preserve"> priznania za oznamovaný finančný rok oznámil štátu, v ktorom je rezidentom na daňové účely, že je náhradným materským subjektom</w:t>
      </w:r>
      <w:r w:rsidR="000742FB">
        <w:rPr>
          <w:rFonts w:ascii="Times New Roman" w:hAnsi="Times New Roman" w:cs="Times New Roman"/>
          <w:sz w:val="24"/>
          <w:szCs w:val="24"/>
        </w:rPr>
        <w:t xml:space="preserve"> a</w:t>
      </w:r>
    </w:p>
    <w:p w:rsidR="002E2FFB" w:rsidRPr="0097693B" w:rsidP="002E2FFB">
      <w:pPr>
        <w:pStyle w:val="ListParagraph"/>
        <w:numPr>
          <w:numId w:val="18"/>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 xml:space="preserve">príslušný orgán Slovenskej republiky </w:t>
      </w:r>
      <w:r w:rsidRPr="0097693B" w:rsidR="00C426BC">
        <w:rPr>
          <w:rFonts w:ascii="Times New Roman" w:hAnsi="Times New Roman" w:cs="Times New Roman"/>
          <w:sz w:val="24"/>
          <w:szCs w:val="24"/>
        </w:rPr>
        <w:t xml:space="preserve">prijal </w:t>
      </w:r>
      <w:r w:rsidRPr="0097693B">
        <w:rPr>
          <w:rFonts w:ascii="Times New Roman" w:hAnsi="Times New Roman" w:cs="Times New Roman"/>
          <w:sz w:val="24"/>
          <w:szCs w:val="24"/>
        </w:rPr>
        <w:t>oznámenie podľa  § 22e ods. 2.</w:t>
      </w:r>
    </w:p>
    <w:p w:rsidR="002E2FFB" w:rsidRPr="0097693B" w:rsidP="002E2FFB">
      <w:pPr>
        <w:bidi w:val="0"/>
        <w:spacing w:after="0" w:line="240" w:lineRule="auto"/>
        <w:jc w:val="both"/>
        <w:rPr>
          <w:rFonts w:ascii="Times New Roman" w:hAnsi="Times New Roman" w:cs="Times New Roman"/>
          <w:sz w:val="24"/>
          <w:szCs w:val="24"/>
        </w:rPr>
      </w:pPr>
    </w:p>
    <w:p w:rsidR="002E2FFB" w:rsidRPr="0097693B" w:rsidP="002E2FFB">
      <w:pPr>
        <w:bidi w:val="0"/>
        <w:spacing w:after="0" w:line="240" w:lineRule="auto"/>
        <w:jc w:val="both"/>
        <w:rPr>
          <w:rFonts w:ascii="Times New Roman" w:hAnsi="Times New Roman" w:cs="Times New Roman"/>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 22e </w:t>
      </w:r>
    </w:p>
    <w:p w:rsidR="00AD71F6"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spacing w:after="0" w:line="240" w:lineRule="auto"/>
        <w:jc w:val="center"/>
        <w:rPr>
          <w:rFonts w:ascii="Times New Roman" w:hAnsi="Times New Roman" w:cs="Times New Roman"/>
          <w:bCs/>
          <w:sz w:val="24"/>
          <w:szCs w:val="24"/>
        </w:rPr>
      </w:pPr>
      <w:r w:rsidRPr="0097693B">
        <w:rPr>
          <w:rFonts w:ascii="Times New Roman" w:hAnsi="Times New Roman" w:cs="Times New Roman"/>
          <w:bCs/>
          <w:sz w:val="24"/>
          <w:szCs w:val="24"/>
        </w:rPr>
        <w:t>Ostatné povinnosti základného subjektu</w:t>
      </w:r>
    </w:p>
    <w:p w:rsidR="002E2FFB" w:rsidRPr="0097693B" w:rsidP="002E2FFB">
      <w:pPr>
        <w:bidi w:val="0"/>
        <w:spacing w:after="0" w:line="240" w:lineRule="auto"/>
        <w:jc w:val="center"/>
        <w:rPr>
          <w:rFonts w:ascii="Times New Roman" w:hAnsi="Times New Roman" w:cs="Times New Roman"/>
          <w:bCs/>
          <w:sz w:val="24"/>
          <w:szCs w:val="24"/>
        </w:rPr>
      </w:pPr>
    </w:p>
    <w:p w:rsidR="002E2FFB" w:rsidRPr="0097693B" w:rsidP="002E2FFB">
      <w:pPr>
        <w:pStyle w:val="ListParagraph"/>
        <w:numPr>
          <w:numId w:val="21"/>
        </w:numPr>
        <w:bidi w:val="0"/>
        <w:spacing w:after="0" w:line="240" w:lineRule="auto"/>
        <w:jc w:val="both"/>
        <w:rPr>
          <w:rFonts w:ascii="Times New Roman" w:hAnsi="Times New Roman" w:cs="Times New Roman"/>
          <w:noProof/>
          <w:sz w:val="24"/>
          <w:szCs w:val="24"/>
        </w:rPr>
      </w:pPr>
      <w:r w:rsidRPr="0097693B" w:rsidR="005E473D">
        <w:rPr>
          <w:rFonts w:ascii="Times New Roman" w:hAnsi="Times New Roman" w:cs="Times New Roman"/>
          <w:sz w:val="24"/>
          <w:szCs w:val="24"/>
        </w:rPr>
        <w:t>Z</w:t>
      </w:r>
      <w:r w:rsidRPr="0097693B">
        <w:rPr>
          <w:rFonts w:ascii="Times New Roman" w:hAnsi="Times New Roman" w:cs="Times New Roman"/>
          <w:sz w:val="24"/>
          <w:szCs w:val="24"/>
        </w:rPr>
        <w:t xml:space="preserve">ákladný subjekt, ktorý je rezidentom na daňové účely v Slovenskej republike, oznámi príslušnému orgánu Slovenskej republiky, či je hlavným materským subjektom, náhradným materským subjektom alebo základným subjektom podľa § 22c, a to najneskôr v posledný deň lehoty na podanie </w:t>
      </w:r>
      <w:r w:rsidR="001F58F0">
        <w:rPr>
          <w:rFonts w:ascii="Times New Roman" w:hAnsi="Times New Roman" w:cs="Times New Roman"/>
          <w:sz w:val="24"/>
          <w:szCs w:val="24"/>
        </w:rPr>
        <w:t xml:space="preserve">jeho </w:t>
      </w:r>
      <w:r w:rsidRPr="0097693B">
        <w:rPr>
          <w:rFonts w:ascii="Times New Roman" w:hAnsi="Times New Roman" w:cs="Times New Roman"/>
          <w:sz w:val="24"/>
          <w:szCs w:val="24"/>
        </w:rPr>
        <w:t xml:space="preserve">daňového priznania </w:t>
      </w:r>
      <w:r w:rsidRPr="0097693B" w:rsidR="00332E8F">
        <w:rPr>
          <w:rFonts w:ascii="Times New Roman" w:hAnsi="Times New Roman" w:cs="Times New Roman"/>
          <w:sz w:val="24"/>
          <w:szCs w:val="24"/>
        </w:rPr>
        <w:t>k dani z</w:t>
      </w:r>
      <w:r w:rsidRPr="0097693B" w:rsidR="00061F49">
        <w:rPr>
          <w:rFonts w:ascii="Times New Roman" w:hAnsi="Times New Roman" w:cs="Times New Roman"/>
          <w:sz w:val="24"/>
          <w:szCs w:val="24"/>
        </w:rPr>
        <w:t> </w:t>
      </w:r>
      <w:r w:rsidRPr="0097693B" w:rsidR="00332E8F">
        <w:rPr>
          <w:rFonts w:ascii="Times New Roman" w:hAnsi="Times New Roman" w:cs="Times New Roman"/>
          <w:sz w:val="24"/>
          <w:szCs w:val="24"/>
        </w:rPr>
        <w:t>príjmov</w:t>
      </w:r>
      <w:r w:rsidRPr="0097693B" w:rsidR="00061F49">
        <w:rPr>
          <w:rFonts w:ascii="Times New Roman" w:hAnsi="Times New Roman" w:cs="Times New Roman"/>
          <w:sz w:val="24"/>
          <w:szCs w:val="24"/>
        </w:rPr>
        <w:t xml:space="preserve"> </w:t>
      </w:r>
      <w:r w:rsidRPr="0097693B">
        <w:rPr>
          <w:rFonts w:ascii="Times New Roman" w:hAnsi="Times New Roman" w:cs="Times New Roman"/>
          <w:sz w:val="24"/>
          <w:szCs w:val="24"/>
        </w:rPr>
        <w:t>za oznamovaný finančný rok.</w:t>
      </w:r>
    </w:p>
    <w:p w:rsidR="002E2FFB" w:rsidRPr="0097693B" w:rsidP="002E2FFB">
      <w:pPr>
        <w:pStyle w:val="ListParagraph"/>
        <w:bidi w:val="0"/>
        <w:ind w:left="502"/>
        <w:jc w:val="both"/>
        <w:rPr>
          <w:rFonts w:ascii="Times New Roman" w:hAnsi="Times New Roman" w:cs="Times New Roman"/>
          <w:noProof/>
          <w:sz w:val="24"/>
          <w:szCs w:val="24"/>
        </w:rPr>
      </w:pPr>
    </w:p>
    <w:p w:rsidR="002E2FFB" w:rsidRPr="0097693B" w:rsidP="002E2FFB">
      <w:pPr>
        <w:pStyle w:val="ListParagraph"/>
        <w:numPr>
          <w:numId w:val="21"/>
        </w:numPr>
        <w:bidi w:val="0"/>
        <w:spacing w:after="0" w:line="240" w:lineRule="auto"/>
        <w:jc w:val="both"/>
        <w:rPr>
          <w:rFonts w:ascii="Times New Roman" w:hAnsi="Times New Roman" w:cs="Times New Roman"/>
          <w:noProof/>
          <w:sz w:val="24"/>
          <w:szCs w:val="24"/>
        </w:rPr>
      </w:pPr>
      <w:r w:rsidRPr="0097693B">
        <w:rPr>
          <w:rFonts w:ascii="Times New Roman" w:hAnsi="Times New Roman" w:cs="Times New Roman"/>
          <w:sz w:val="24"/>
          <w:szCs w:val="24"/>
        </w:rPr>
        <w:t xml:space="preserve">Ak základný subjekt nie je hlavným materským subjektom, náhradným materským subjektom ani základným subjektom podľa § 22c, oznámi príslušnému orgánu Slovenskej republiky obchodné meno, sídlo, identifikačné číslo oznamujúceho subjektu, vrátane štátu, v ktorom je tento oznamujúci subjekt rezidentom na daňové účely, a to najneskôr v posledný deň lehoty na podanie </w:t>
      </w:r>
      <w:r w:rsidR="001F58F0">
        <w:rPr>
          <w:rFonts w:ascii="Times New Roman" w:hAnsi="Times New Roman" w:cs="Times New Roman"/>
          <w:sz w:val="24"/>
          <w:szCs w:val="24"/>
        </w:rPr>
        <w:t xml:space="preserve">jeho </w:t>
      </w:r>
      <w:r w:rsidRPr="0097693B" w:rsidR="001228BA">
        <w:rPr>
          <w:rFonts w:ascii="Times New Roman" w:hAnsi="Times New Roman" w:cs="Times New Roman"/>
          <w:sz w:val="24"/>
          <w:szCs w:val="24"/>
        </w:rPr>
        <w:t xml:space="preserve">daňového </w:t>
      </w:r>
      <w:r w:rsidRPr="0097693B">
        <w:rPr>
          <w:rFonts w:ascii="Times New Roman" w:hAnsi="Times New Roman" w:cs="Times New Roman"/>
          <w:sz w:val="24"/>
          <w:szCs w:val="24"/>
        </w:rPr>
        <w:t>priznania</w:t>
      </w:r>
      <w:r w:rsidRPr="0097693B" w:rsidR="005A5FF1">
        <w:rPr>
          <w:rFonts w:ascii="Times New Roman" w:hAnsi="Times New Roman" w:cs="Times New Roman"/>
          <w:sz w:val="24"/>
          <w:szCs w:val="24"/>
        </w:rPr>
        <w:t xml:space="preserve"> </w:t>
      </w:r>
      <w:r w:rsidRPr="0097693B" w:rsidR="00332E8F">
        <w:rPr>
          <w:rFonts w:ascii="Times New Roman" w:hAnsi="Times New Roman" w:cs="Times New Roman"/>
          <w:sz w:val="24"/>
          <w:szCs w:val="24"/>
        </w:rPr>
        <w:t>k dani z</w:t>
      </w:r>
      <w:r w:rsidRPr="0097693B" w:rsidR="00061F49">
        <w:rPr>
          <w:rFonts w:ascii="Times New Roman" w:hAnsi="Times New Roman" w:cs="Times New Roman"/>
          <w:sz w:val="24"/>
          <w:szCs w:val="24"/>
        </w:rPr>
        <w:t> </w:t>
      </w:r>
      <w:r w:rsidRPr="0097693B" w:rsidR="00332E8F">
        <w:rPr>
          <w:rFonts w:ascii="Times New Roman" w:hAnsi="Times New Roman" w:cs="Times New Roman"/>
          <w:sz w:val="24"/>
          <w:szCs w:val="24"/>
        </w:rPr>
        <w:t>príjmov</w:t>
      </w:r>
      <w:r w:rsidRPr="0097693B" w:rsidR="00061F49">
        <w:rPr>
          <w:rFonts w:ascii="Times New Roman" w:hAnsi="Times New Roman" w:cs="Times New Roman"/>
          <w:sz w:val="24"/>
          <w:szCs w:val="24"/>
        </w:rPr>
        <w:t xml:space="preserve"> </w:t>
      </w:r>
      <w:r w:rsidRPr="0097693B">
        <w:rPr>
          <w:rFonts w:ascii="Times New Roman" w:hAnsi="Times New Roman" w:cs="Times New Roman"/>
          <w:sz w:val="24"/>
          <w:szCs w:val="24"/>
        </w:rPr>
        <w:t>za oznamovaný finančný rok.</w:t>
      </w:r>
    </w:p>
    <w:p w:rsidR="004604E3" w:rsidRPr="0097693B" w:rsidP="004604E3">
      <w:pPr>
        <w:pStyle w:val="ListParagraph"/>
        <w:bidi w:val="0"/>
        <w:rPr>
          <w:rFonts w:ascii="Times New Roman" w:hAnsi="Times New Roman" w:cs="Times New Roman"/>
          <w:noProof/>
          <w:sz w:val="24"/>
          <w:szCs w:val="24"/>
        </w:rPr>
      </w:pPr>
    </w:p>
    <w:p w:rsidR="004604E3" w:rsidRPr="0097693B" w:rsidP="002E2FFB">
      <w:pPr>
        <w:pStyle w:val="ListParagraph"/>
        <w:numPr>
          <w:numId w:val="21"/>
        </w:numPr>
        <w:bidi w:val="0"/>
        <w:spacing w:after="0" w:line="240" w:lineRule="auto"/>
        <w:jc w:val="both"/>
        <w:rPr>
          <w:rFonts w:ascii="Times New Roman" w:hAnsi="Times New Roman" w:cs="Times New Roman"/>
          <w:noProof/>
          <w:sz w:val="24"/>
          <w:szCs w:val="24"/>
        </w:rPr>
      </w:pPr>
      <w:r w:rsidRPr="0097693B">
        <w:rPr>
          <w:rFonts w:ascii="Times New Roman" w:hAnsi="Times New Roman" w:cs="Times New Roman"/>
          <w:noProof/>
          <w:sz w:val="24"/>
          <w:szCs w:val="24"/>
        </w:rPr>
        <w:t>Oznámenie podľa ods</w:t>
      </w:r>
      <w:r w:rsidR="001F58F0">
        <w:rPr>
          <w:rFonts w:ascii="Times New Roman" w:hAnsi="Times New Roman" w:cs="Times New Roman"/>
          <w:noProof/>
          <w:sz w:val="24"/>
          <w:szCs w:val="24"/>
        </w:rPr>
        <w:t>eku</w:t>
      </w:r>
      <w:r w:rsidRPr="0097693B">
        <w:rPr>
          <w:rFonts w:ascii="Times New Roman" w:hAnsi="Times New Roman" w:cs="Times New Roman"/>
          <w:noProof/>
          <w:sz w:val="24"/>
          <w:szCs w:val="24"/>
        </w:rPr>
        <w:t xml:space="preserve"> 1 a</w:t>
      </w:r>
      <w:r w:rsidR="001F58F0">
        <w:rPr>
          <w:rFonts w:ascii="Times New Roman" w:hAnsi="Times New Roman" w:cs="Times New Roman"/>
          <w:noProof/>
          <w:sz w:val="24"/>
          <w:szCs w:val="24"/>
        </w:rPr>
        <w:t>lebo odseku</w:t>
      </w:r>
      <w:r w:rsidRPr="0097693B">
        <w:rPr>
          <w:rFonts w:ascii="Times New Roman" w:hAnsi="Times New Roman" w:cs="Times New Roman"/>
          <w:noProof/>
          <w:sz w:val="24"/>
          <w:szCs w:val="24"/>
        </w:rPr>
        <w:t> 2 sa nepodá, ak nedoš</w:t>
      </w:r>
      <w:r w:rsidR="004A1B8D">
        <w:rPr>
          <w:rFonts w:ascii="Times New Roman" w:hAnsi="Times New Roman" w:cs="Times New Roman"/>
          <w:noProof/>
          <w:sz w:val="24"/>
          <w:szCs w:val="24"/>
        </w:rPr>
        <w:t>l</w:t>
      </w:r>
      <w:r w:rsidRPr="0097693B">
        <w:rPr>
          <w:rFonts w:ascii="Times New Roman" w:hAnsi="Times New Roman" w:cs="Times New Roman"/>
          <w:noProof/>
          <w:sz w:val="24"/>
          <w:szCs w:val="24"/>
        </w:rPr>
        <w:t>o k zmene skutočností rozhodujúcich pre vznik povinnosti podať takéto oznámenie.</w:t>
      </w:r>
    </w:p>
    <w:p w:rsidR="002E2FFB" w:rsidRPr="0097693B" w:rsidP="002E2FFB">
      <w:pPr>
        <w:bidi w:val="0"/>
        <w:spacing w:after="0" w:line="240" w:lineRule="auto"/>
        <w:jc w:val="both"/>
        <w:rPr>
          <w:rFonts w:ascii="Times New Roman" w:hAnsi="Times New Roman" w:cs="Times New Roman"/>
          <w:noProof/>
          <w:sz w:val="24"/>
          <w:szCs w:val="24"/>
        </w:rPr>
      </w:pPr>
    </w:p>
    <w:p w:rsidR="002E2FFB" w:rsidRPr="0097693B" w:rsidP="002E2FFB">
      <w:pPr>
        <w:bidi w:val="0"/>
        <w:spacing w:after="0" w:line="240" w:lineRule="auto"/>
        <w:jc w:val="both"/>
        <w:rPr>
          <w:rFonts w:ascii="Times New Roman" w:hAnsi="Times New Roman" w:cs="Times New Roman"/>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22f</w:t>
      </w:r>
    </w:p>
    <w:p w:rsidR="002E2FFB" w:rsidRPr="0097693B" w:rsidP="002E2FFB">
      <w:pPr>
        <w:bidi w:val="0"/>
        <w:spacing w:after="0" w:line="240" w:lineRule="auto"/>
        <w:ind w:left="357"/>
        <w:jc w:val="center"/>
        <w:rPr>
          <w:rFonts w:ascii="Times New Roman" w:hAnsi="Times New Roman" w:cs="Times New Roman"/>
          <w:bCs/>
          <w:sz w:val="24"/>
          <w:szCs w:val="24"/>
        </w:rPr>
      </w:pPr>
    </w:p>
    <w:p w:rsidR="002E2FFB" w:rsidRPr="0097693B" w:rsidP="002E2FFB">
      <w:pPr>
        <w:bidi w:val="0"/>
        <w:spacing w:after="0" w:line="240" w:lineRule="auto"/>
        <w:ind w:left="357"/>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Ustanovenia na účinné uplatňovanie automatickej výmeny správ podľa jednotlivých štátov </w:t>
      </w:r>
    </w:p>
    <w:p w:rsidR="002E2FFB" w:rsidRPr="0097693B" w:rsidP="002E2FFB">
      <w:pPr>
        <w:pStyle w:val="ListParagraph"/>
        <w:bidi w:val="0"/>
        <w:ind w:left="714" w:hanging="357"/>
        <w:rPr>
          <w:rFonts w:ascii="Times New Roman" w:hAnsi="Times New Roman" w:cs="Times New Roman"/>
          <w:sz w:val="24"/>
          <w:szCs w:val="24"/>
        </w:rPr>
      </w:pPr>
    </w:p>
    <w:p w:rsidR="00442E1D" w:rsidRPr="0097693B" w:rsidP="00442E1D">
      <w:pPr>
        <w:pStyle w:val="ListParagraph"/>
        <w:numPr>
          <w:numId w:val="22"/>
        </w:numPr>
        <w:bidi w:val="0"/>
        <w:spacing w:after="0" w:line="240" w:lineRule="auto"/>
        <w:jc w:val="both"/>
        <w:rPr>
          <w:rFonts w:ascii="Times New Roman" w:hAnsi="Times New Roman" w:cs="Times New Roman"/>
          <w:sz w:val="24"/>
          <w:szCs w:val="24"/>
        </w:rPr>
      </w:pPr>
      <w:r w:rsidRPr="0097693B" w:rsidR="000B1B0D">
        <w:rPr>
          <w:rFonts w:ascii="Times New Roman" w:hAnsi="Times New Roman" w:cs="Times New Roman"/>
          <w:sz w:val="24"/>
          <w:szCs w:val="24"/>
        </w:rPr>
        <w:t>Oznamujúci subjekt je povinný doručiť s</w:t>
      </w:r>
      <w:r w:rsidRPr="0097693B" w:rsidR="002E2FFB">
        <w:rPr>
          <w:rFonts w:ascii="Times New Roman" w:hAnsi="Times New Roman" w:cs="Times New Roman"/>
          <w:sz w:val="24"/>
          <w:szCs w:val="24"/>
        </w:rPr>
        <w:t>práv</w:t>
      </w:r>
      <w:r w:rsidRPr="0097693B" w:rsidR="000B1B0D">
        <w:rPr>
          <w:rFonts w:ascii="Times New Roman" w:hAnsi="Times New Roman" w:cs="Times New Roman"/>
          <w:sz w:val="24"/>
          <w:szCs w:val="24"/>
        </w:rPr>
        <w:t>u</w:t>
      </w:r>
      <w:r w:rsidRPr="0097693B" w:rsidR="002E2FFB">
        <w:rPr>
          <w:rFonts w:ascii="Times New Roman" w:hAnsi="Times New Roman" w:cs="Times New Roman"/>
          <w:sz w:val="24"/>
          <w:szCs w:val="24"/>
        </w:rPr>
        <w:t xml:space="preserve"> podľa jednotlivých štátov</w:t>
      </w:r>
      <w:r w:rsidRPr="0097693B" w:rsidR="000B1B0D">
        <w:rPr>
          <w:rFonts w:ascii="Times New Roman" w:hAnsi="Times New Roman" w:cs="Times New Roman"/>
          <w:sz w:val="24"/>
          <w:szCs w:val="24"/>
        </w:rPr>
        <w:t xml:space="preserve"> </w:t>
      </w:r>
      <w:r w:rsidRPr="0097693B" w:rsidR="002E2FFB">
        <w:rPr>
          <w:rFonts w:ascii="Times New Roman" w:hAnsi="Times New Roman" w:cs="Times New Roman"/>
          <w:sz w:val="24"/>
          <w:szCs w:val="24"/>
        </w:rPr>
        <w:t>príslušnému orgánu Slovenskej republiky elektronickými prostriedkami v lehote ustanovenej v § 22b ods. 1</w:t>
      </w:r>
      <w:r w:rsidRPr="0097693B">
        <w:rPr>
          <w:rFonts w:ascii="Times New Roman" w:hAnsi="Times New Roman" w:cs="Times New Roman"/>
          <w:sz w:val="24"/>
          <w:szCs w:val="24"/>
        </w:rPr>
        <w:t xml:space="preserve"> vo formáte uverejnenom na webovom sídle Finančného riaditeľstva Slovenskej republiky</w:t>
      </w:r>
      <w:r w:rsidR="00BE34DD">
        <w:rPr>
          <w:rFonts w:ascii="Times New Roman" w:hAnsi="Times New Roman" w:cs="Times New Roman"/>
          <w:sz w:val="24"/>
          <w:szCs w:val="24"/>
        </w:rPr>
        <w:t>; to platí aj pre základný subjekt uvedený v § 22c ods. 2, ak podáva správu podľa jednotlivých štátov v rozsahu podľa § 22c ods. 2 druhej vety.</w:t>
      </w:r>
    </w:p>
    <w:p w:rsidR="002E2FFB" w:rsidRPr="00442E1D" w:rsidP="00442E1D">
      <w:pPr>
        <w:pStyle w:val="ListParagraph"/>
        <w:bidi w:val="0"/>
        <w:spacing w:after="0" w:line="240" w:lineRule="auto"/>
        <w:ind w:left="502"/>
        <w:jc w:val="both"/>
        <w:rPr>
          <w:rFonts w:ascii="Times New Roman" w:hAnsi="Times New Roman" w:cs="Times New Roman"/>
          <w:sz w:val="24"/>
          <w:szCs w:val="24"/>
        </w:rPr>
      </w:pPr>
      <w:r w:rsidR="00442E1D">
        <w:rPr>
          <w:rFonts w:ascii="Times New Roman" w:hAnsi="Times New Roman" w:cs="Times New Roman"/>
          <w:sz w:val="24"/>
          <w:szCs w:val="24"/>
        </w:rPr>
        <w:t xml:space="preserve"> </w:t>
      </w:r>
      <w:r w:rsidR="00442E1D">
        <w:rPr>
          <w:rFonts w:ascii="Times New Roman" w:hAnsi="Times New Roman" w:cs="Times New Roman"/>
          <w:sz w:val="24"/>
          <w:szCs w:val="24"/>
        </w:rPr>
        <w:t xml:space="preserve"> </w:t>
      </w:r>
    </w:p>
    <w:p w:rsidR="00C426BC" w:rsidP="00442E1D">
      <w:pPr>
        <w:pStyle w:val="ListParagraph"/>
        <w:numPr>
          <w:numId w:val="22"/>
        </w:numPr>
        <w:bidi w:val="0"/>
        <w:spacing w:after="0" w:line="240" w:lineRule="auto"/>
        <w:jc w:val="both"/>
        <w:rPr>
          <w:rFonts w:ascii="Times New Roman" w:hAnsi="Times New Roman" w:cs="Times New Roman"/>
          <w:sz w:val="24"/>
          <w:szCs w:val="24"/>
        </w:rPr>
      </w:pPr>
      <w:r w:rsidRPr="002E2FFB" w:rsidR="002E2FFB">
        <w:rPr>
          <w:rFonts w:ascii="Times New Roman" w:hAnsi="Times New Roman" w:cs="Times New Roman"/>
          <w:sz w:val="24"/>
          <w:szCs w:val="24"/>
        </w:rPr>
        <w:t xml:space="preserve">Príslušný orgán Slovenskej republiky </w:t>
      </w:r>
      <w:r w:rsidRPr="002E2FFB">
        <w:rPr>
          <w:rFonts w:ascii="Times New Roman" w:hAnsi="Times New Roman" w:cs="Times New Roman"/>
          <w:sz w:val="24"/>
          <w:szCs w:val="24"/>
        </w:rPr>
        <w:t>oznam</w:t>
      </w:r>
      <w:r>
        <w:rPr>
          <w:rFonts w:ascii="Times New Roman" w:hAnsi="Times New Roman" w:cs="Times New Roman"/>
          <w:sz w:val="24"/>
          <w:szCs w:val="24"/>
        </w:rPr>
        <w:t>uje</w:t>
      </w:r>
      <w:r w:rsidRPr="002E2FFB" w:rsidR="002E2FFB">
        <w:rPr>
          <w:rFonts w:ascii="Times New Roman" w:hAnsi="Times New Roman" w:cs="Times New Roman"/>
          <w:sz w:val="24"/>
          <w:szCs w:val="24"/>
        </w:rPr>
        <w:t xml:space="preserve"> </w:t>
      </w:r>
      <w:r w:rsidR="00687C6C">
        <w:rPr>
          <w:rFonts w:ascii="Times New Roman" w:hAnsi="Times New Roman" w:cs="Times New Roman"/>
          <w:sz w:val="24"/>
          <w:szCs w:val="24"/>
        </w:rPr>
        <w:t xml:space="preserve">každoročne </w:t>
      </w:r>
      <w:r w:rsidRPr="002E2FFB" w:rsidR="002E2FFB">
        <w:rPr>
          <w:rFonts w:ascii="Times New Roman" w:hAnsi="Times New Roman" w:cs="Times New Roman"/>
          <w:sz w:val="24"/>
          <w:szCs w:val="24"/>
        </w:rPr>
        <w:t>Európskej komisii ročné hodnotenie efektívnosti a dosiahnuté výsledky automatickej výmeny informácií</w:t>
      </w:r>
      <w:r>
        <w:rPr>
          <w:rFonts w:ascii="Times New Roman" w:hAnsi="Times New Roman" w:cs="Times New Roman"/>
          <w:sz w:val="24"/>
          <w:szCs w:val="24"/>
        </w:rPr>
        <w:t xml:space="preserve"> </w:t>
      </w:r>
      <w:r w:rsidRPr="00C34272">
        <w:rPr>
          <w:rFonts w:ascii="Times New Roman" w:hAnsi="Times New Roman" w:cs="Times New Roman"/>
          <w:sz w:val="24"/>
          <w:szCs w:val="24"/>
        </w:rPr>
        <w:t>podľa odseku 1 a § 22a až 22e.</w:t>
      </w:r>
    </w:p>
    <w:p w:rsidR="00442E1D" w:rsidRPr="00C34272" w:rsidP="00442E1D">
      <w:pPr>
        <w:pStyle w:val="ListParagraph"/>
        <w:bidi w:val="0"/>
        <w:spacing w:after="0" w:line="240" w:lineRule="auto"/>
        <w:ind w:left="502"/>
        <w:jc w:val="both"/>
        <w:rPr>
          <w:rFonts w:ascii="Times New Roman" w:hAnsi="Times New Roman" w:cs="Times New Roman"/>
          <w:sz w:val="24"/>
          <w:szCs w:val="24"/>
        </w:rPr>
      </w:pPr>
    </w:p>
    <w:p w:rsidR="002E2FFB" w:rsidRPr="002E2FFB" w:rsidP="00442E1D">
      <w:pPr>
        <w:pStyle w:val="ListParagraph"/>
        <w:numPr>
          <w:numId w:val="22"/>
        </w:numPr>
        <w:bidi w:val="0"/>
        <w:spacing w:after="0" w:line="240" w:lineRule="auto"/>
        <w:jc w:val="both"/>
        <w:rPr>
          <w:rFonts w:ascii="Times New Roman" w:hAnsi="Times New Roman" w:cs="Times New Roman"/>
          <w:sz w:val="24"/>
          <w:szCs w:val="24"/>
        </w:rPr>
      </w:pPr>
      <w:r w:rsidRPr="002E2FFB">
        <w:rPr>
          <w:rFonts w:ascii="Times New Roman" w:hAnsi="Times New Roman" w:cs="Times New Roman"/>
          <w:sz w:val="24"/>
          <w:szCs w:val="24"/>
        </w:rPr>
        <w:t>Správca dane nesmie vykonať úpravy základu dane podľa osobitného predpisu</w:t>
      </w:r>
      <w:r w:rsidR="00442E1D">
        <w:rPr>
          <w:rFonts w:ascii="Times New Roman" w:hAnsi="Times New Roman" w:cs="Times New Roman"/>
          <w:sz w:val="24"/>
          <w:szCs w:val="24"/>
        </w:rPr>
        <w:t xml:space="preserve"> </w:t>
      </w:r>
      <w:r w:rsidR="00687C6C">
        <w:rPr>
          <w:rStyle w:val="FootnoteReference"/>
          <w:rFonts w:ascii="Times New Roman" w:hAnsi="Times New Roman"/>
          <w:sz w:val="24"/>
          <w:szCs w:val="24"/>
        </w:rPr>
        <w:t>23</w:t>
      </w:r>
      <w:r w:rsidR="00442E1D">
        <w:rPr>
          <w:rFonts w:ascii="Times New Roman" w:hAnsi="Times New Roman"/>
          <w:sz w:val="24"/>
          <w:szCs w:val="24"/>
        </w:rPr>
        <w:t xml:space="preserve">) </w:t>
      </w:r>
      <w:r w:rsidRPr="002E2FFB">
        <w:rPr>
          <w:rFonts w:ascii="Times New Roman" w:hAnsi="Times New Roman" w:cs="Times New Roman"/>
          <w:sz w:val="24"/>
          <w:szCs w:val="24"/>
        </w:rPr>
        <w:t>iba na základe informácií zo správ podľa jednotlivých</w:t>
      </w:r>
      <w:r w:rsidR="00AD71F6">
        <w:rPr>
          <w:rFonts w:ascii="Times New Roman" w:hAnsi="Times New Roman" w:cs="Times New Roman"/>
          <w:sz w:val="24"/>
          <w:szCs w:val="24"/>
        </w:rPr>
        <w:t xml:space="preserve"> štátov</w:t>
      </w:r>
      <w:r w:rsidRPr="002E2FFB">
        <w:rPr>
          <w:rFonts w:ascii="Times New Roman" w:hAnsi="Times New Roman" w:cs="Times New Roman"/>
          <w:sz w:val="24"/>
          <w:szCs w:val="24"/>
        </w:rPr>
        <w:t>.</w:t>
      </w:r>
    </w:p>
    <w:p w:rsidR="002E2FFB" w:rsidRPr="002E2FFB" w:rsidP="002E2FFB">
      <w:pPr>
        <w:pStyle w:val="ListParagraph"/>
        <w:bidi w:val="0"/>
        <w:ind w:left="0"/>
        <w:jc w:val="both"/>
        <w:rPr>
          <w:rFonts w:ascii="Times New Roman" w:hAnsi="Times New Roman" w:cs="Times New Roman"/>
          <w:sz w:val="24"/>
          <w:szCs w:val="24"/>
        </w:rPr>
      </w:pPr>
    </w:p>
    <w:p w:rsidR="002E2FFB" w:rsidRPr="002E2FFB" w:rsidP="00442E1D">
      <w:pPr>
        <w:pStyle w:val="ListParagraph"/>
        <w:numPr>
          <w:numId w:val="22"/>
        </w:numPr>
        <w:bidi w:val="0"/>
        <w:spacing w:after="0" w:line="240" w:lineRule="auto"/>
        <w:jc w:val="both"/>
        <w:rPr>
          <w:rFonts w:ascii="Times New Roman" w:hAnsi="Times New Roman" w:cs="Times New Roman"/>
          <w:sz w:val="24"/>
          <w:szCs w:val="24"/>
        </w:rPr>
      </w:pPr>
      <w:r w:rsidRPr="002E2FFB">
        <w:rPr>
          <w:rFonts w:ascii="Times New Roman" w:hAnsi="Times New Roman" w:cs="Times New Roman"/>
          <w:sz w:val="24"/>
          <w:szCs w:val="24"/>
        </w:rPr>
        <w:t>Kontrolu dodržiavania povinností ustanovených týmto zákonom vykonáva Finančné riaditeľstvo Slovenskej republiky alebo daňový úrad, pričom postupuje podľa osobitného predpisu</w:t>
      </w:r>
      <w:r w:rsidRPr="00EC2BE8">
        <w:rPr>
          <w:rFonts w:ascii="Times New Roman" w:hAnsi="Times New Roman" w:cs="Times New Roman"/>
          <w:sz w:val="24"/>
          <w:szCs w:val="24"/>
        </w:rPr>
        <w:t xml:space="preserve">. </w:t>
      </w:r>
      <w:r>
        <w:rPr>
          <w:rFonts w:ascii="Times New Roman" w:hAnsi="Times New Roman" w:cs="Times New Roman"/>
          <w:sz w:val="24"/>
          <w:szCs w:val="24"/>
          <w:vertAlign w:val="superscript"/>
          <w:rtl w:val="0"/>
        </w:rPr>
        <w:footnoteReference w:customMarkFollows="1" w:id="3"/>
        <w:t xml:space="preserve">1</w:t>
      </w:r>
      <w:r w:rsidR="00442E1D">
        <w:rPr>
          <w:rFonts w:ascii="Times New Roman" w:hAnsi="Times New Roman" w:cs="Times New Roman"/>
          <w:sz w:val="24"/>
          <w:szCs w:val="24"/>
        </w:rPr>
        <w:t>)</w:t>
      </w:r>
    </w:p>
    <w:p w:rsidR="002E2FFB" w:rsidRPr="0097693B" w:rsidP="002E2FFB">
      <w:pPr>
        <w:pStyle w:val="ListParagraph"/>
        <w:bidi w:val="0"/>
        <w:ind w:left="714"/>
        <w:jc w:val="both"/>
        <w:rPr>
          <w:rFonts w:ascii="Times New Roman" w:hAnsi="Times New Roman" w:cs="Times New Roman"/>
          <w:sz w:val="24"/>
          <w:szCs w:val="24"/>
        </w:rPr>
      </w:pPr>
    </w:p>
    <w:p w:rsidR="002E2FFB" w:rsidP="002E2FFB">
      <w:pPr>
        <w:bidi w:val="0"/>
        <w:spacing w:after="0" w:line="240" w:lineRule="auto"/>
        <w:ind w:left="360"/>
        <w:jc w:val="center"/>
        <w:rPr>
          <w:rFonts w:ascii="Times New Roman" w:hAnsi="Times New Roman" w:cs="Times New Roman"/>
          <w:bCs/>
          <w:sz w:val="24"/>
          <w:szCs w:val="24"/>
        </w:rPr>
      </w:pPr>
      <w:r w:rsidRPr="0097693B">
        <w:rPr>
          <w:rFonts w:ascii="Times New Roman" w:hAnsi="Times New Roman" w:cs="Times New Roman"/>
          <w:bCs/>
          <w:sz w:val="24"/>
          <w:szCs w:val="24"/>
        </w:rPr>
        <w:t xml:space="preserve">§ 22g </w:t>
      </w:r>
    </w:p>
    <w:p w:rsidR="00062CE7" w:rsidRPr="0097693B" w:rsidP="002E2FFB">
      <w:pPr>
        <w:bidi w:val="0"/>
        <w:spacing w:after="0" w:line="240" w:lineRule="auto"/>
        <w:ind w:left="360"/>
        <w:jc w:val="center"/>
        <w:rPr>
          <w:rFonts w:ascii="Times New Roman" w:hAnsi="Times New Roman" w:cs="Times New Roman"/>
          <w:bCs/>
          <w:sz w:val="24"/>
          <w:szCs w:val="24"/>
        </w:rPr>
      </w:pPr>
    </w:p>
    <w:p w:rsidR="002E2FFB" w:rsidRPr="0055525F" w:rsidP="0055525F">
      <w:pPr>
        <w:pStyle w:val="ListParagraph"/>
        <w:bidi w:val="0"/>
        <w:spacing w:after="0" w:line="240" w:lineRule="auto"/>
        <w:ind w:left="502"/>
        <w:jc w:val="center"/>
        <w:rPr>
          <w:rFonts w:ascii="Times New Roman" w:hAnsi="Times New Roman" w:cs="Times New Roman"/>
          <w:sz w:val="24"/>
          <w:szCs w:val="24"/>
        </w:rPr>
      </w:pPr>
      <w:r w:rsidRPr="0055525F" w:rsidR="0055525F">
        <w:rPr>
          <w:rFonts w:ascii="Times New Roman" w:hAnsi="Times New Roman" w:cs="Times New Roman"/>
          <w:sz w:val="24"/>
          <w:szCs w:val="24"/>
        </w:rPr>
        <w:t>Správne delikty</w:t>
      </w:r>
    </w:p>
    <w:p w:rsidR="0055525F" w:rsidRPr="0097693B" w:rsidP="002E2FFB">
      <w:pPr>
        <w:bidi w:val="0"/>
        <w:spacing w:after="0" w:line="240" w:lineRule="auto"/>
        <w:ind w:left="360"/>
        <w:jc w:val="center"/>
        <w:rPr>
          <w:rFonts w:ascii="Times New Roman" w:hAnsi="Times New Roman" w:cs="Times New Roman"/>
          <w:bCs/>
          <w:sz w:val="24"/>
          <w:szCs w:val="24"/>
        </w:rPr>
      </w:pPr>
    </w:p>
    <w:p w:rsidR="0055525F" w:rsidRPr="0055525F" w:rsidP="0055525F">
      <w:pPr>
        <w:bidi w:val="0"/>
        <w:rPr>
          <w:rFonts w:cs="Times New Roman"/>
          <w:color w:val="1F497D"/>
          <w:szCs w:val="22"/>
        </w:rPr>
      </w:pPr>
    </w:p>
    <w:p w:rsidR="00483D4A" w:rsidRPr="00483D4A" w:rsidP="00483D4A">
      <w:pPr>
        <w:pStyle w:val="ListParagraph"/>
        <w:numPr>
          <w:numId w:val="43"/>
        </w:numPr>
        <w:bidi w:val="0"/>
        <w:spacing w:after="0" w:line="240" w:lineRule="auto"/>
        <w:jc w:val="both"/>
        <w:rPr>
          <w:rFonts w:ascii="Times New Roman" w:hAnsi="Times New Roman" w:cs="Times New Roman"/>
          <w:sz w:val="24"/>
          <w:szCs w:val="24"/>
        </w:rPr>
      </w:pPr>
      <w:r w:rsidRPr="00483D4A" w:rsidR="0055525F">
        <w:rPr>
          <w:rFonts w:ascii="Times New Roman" w:hAnsi="Times New Roman" w:cs="Times New Roman"/>
          <w:sz w:val="24"/>
          <w:szCs w:val="24"/>
        </w:rPr>
        <w:t xml:space="preserve">Správneho deliktu sa dopustí </w:t>
      </w:r>
    </w:p>
    <w:p w:rsidR="00483D4A" w:rsidP="004A6014">
      <w:pPr>
        <w:pStyle w:val="ListParagraph"/>
        <w:numPr>
          <w:numId w:val="45"/>
        </w:numPr>
        <w:bidi w:val="0"/>
        <w:spacing w:after="0" w:line="240" w:lineRule="auto"/>
        <w:contextualSpacing w:val="0"/>
        <w:jc w:val="both"/>
        <w:rPr>
          <w:rFonts w:ascii="Times New Roman" w:hAnsi="Times New Roman" w:cs="Times New Roman"/>
          <w:sz w:val="24"/>
          <w:szCs w:val="24"/>
        </w:rPr>
      </w:pPr>
      <w:r w:rsidRPr="00483D4A">
        <w:rPr>
          <w:rFonts w:ascii="Times New Roman" w:hAnsi="Times New Roman" w:cs="Times New Roman"/>
          <w:sz w:val="24"/>
          <w:szCs w:val="24"/>
        </w:rPr>
        <w:t xml:space="preserve">hlavný materský subjekt, náhradný materský subjekt alebo základný subjekt,  ak nepodá správu podľa jednotlivých štátov </w:t>
      </w:r>
      <w:r w:rsidRPr="00483D4A" w:rsidR="00054EC0">
        <w:rPr>
          <w:rFonts w:ascii="Times New Roman" w:hAnsi="Times New Roman" w:cs="Times New Roman"/>
          <w:sz w:val="24"/>
          <w:szCs w:val="24"/>
        </w:rPr>
        <w:t xml:space="preserve">podľa </w:t>
      </w:r>
      <w:r w:rsidRPr="00483D4A" w:rsidR="0055525F">
        <w:rPr>
          <w:rFonts w:ascii="Times New Roman" w:hAnsi="Times New Roman" w:cs="Times New Roman"/>
          <w:sz w:val="24"/>
          <w:szCs w:val="24"/>
        </w:rPr>
        <w:t xml:space="preserve"> § 22</w:t>
      </w:r>
      <w:r w:rsidRPr="00483D4A" w:rsidR="00054EC0">
        <w:rPr>
          <w:rFonts w:ascii="Times New Roman" w:hAnsi="Times New Roman" w:cs="Times New Roman"/>
          <w:sz w:val="24"/>
          <w:szCs w:val="24"/>
        </w:rPr>
        <w:t>b až 22d a § 22</w:t>
      </w:r>
      <w:r>
        <w:rPr>
          <w:rFonts w:ascii="Times New Roman" w:hAnsi="Times New Roman" w:cs="Times New Roman"/>
          <w:sz w:val="24"/>
          <w:szCs w:val="24"/>
        </w:rPr>
        <w:t>f,</w:t>
      </w:r>
    </w:p>
    <w:p w:rsidR="00483D4A" w:rsidP="004A6014">
      <w:pPr>
        <w:pStyle w:val="ListParagraph"/>
        <w:numPr>
          <w:numId w:val="45"/>
        </w:numPr>
        <w:bidi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základný subjekt uvedený v § 22c ods. 1, ak nepodá oznámenie podľa §22c ods. 2 a 3,</w:t>
      </w:r>
    </w:p>
    <w:p w:rsidR="00483D4A" w:rsidRPr="00483D4A" w:rsidP="004A6014">
      <w:pPr>
        <w:pStyle w:val="ListParagraph"/>
        <w:numPr>
          <w:numId w:val="45"/>
        </w:numPr>
        <w:bidi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základný subjekt, ak nepodá oznámenie podľa § 22e.</w:t>
      </w:r>
    </w:p>
    <w:p w:rsidR="00483D4A" w:rsidP="00483D4A">
      <w:pPr>
        <w:bidi w:val="0"/>
        <w:spacing w:after="0" w:line="240" w:lineRule="auto"/>
        <w:rPr>
          <w:rFonts w:ascii="Times New Roman" w:hAnsi="Times New Roman" w:cs="Times New Roman"/>
          <w:sz w:val="24"/>
          <w:szCs w:val="24"/>
        </w:rPr>
      </w:pPr>
    </w:p>
    <w:p w:rsidR="0055525F" w:rsidRPr="00062CE7" w:rsidP="00062CE7">
      <w:pPr>
        <w:pStyle w:val="ListParagraph"/>
        <w:numPr>
          <w:numId w:val="43"/>
        </w:numPr>
        <w:bidi w:val="0"/>
        <w:spacing w:after="0" w:line="240" w:lineRule="auto"/>
        <w:jc w:val="both"/>
        <w:rPr>
          <w:rFonts w:ascii="Times New Roman" w:hAnsi="Times New Roman" w:cs="Times New Roman"/>
          <w:sz w:val="24"/>
          <w:szCs w:val="24"/>
        </w:rPr>
      </w:pPr>
      <w:r w:rsidRPr="00062CE7">
        <w:rPr>
          <w:rFonts w:ascii="Times New Roman" w:hAnsi="Times New Roman" w:cs="Times New Roman"/>
          <w:sz w:val="24"/>
          <w:szCs w:val="24"/>
        </w:rPr>
        <w:t xml:space="preserve"> Daňový úrad uloží za správny delikt podľa odseku 1 </w:t>
      </w:r>
    </w:p>
    <w:p w:rsidR="0055525F" w:rsidRPr="00062CE7" w:rsidP="00062CE7">
      <w:pPr>
        <w:pStyle w:val="ListParagraph"/>
        <w:numPr>
          <w:numId w:val="48"/>
        </w:numPr>
        <w:bidi w:val="0"/>
        <w:spacing w:after="0" w:line="240" w:lineRule="auto"/>
        <w:contextualSpacing w:val="0"/>
        <w:jc w:val="both"/>
        <w:rPr>
          <w:rFonts w:ascii="Times New Roman" w:hAnsi="Times New Roman" w:cs="Times New Roman"/>
          <w:sz w:val="24"/>
          <w:szCs w:val="24"/>
        </w:rPr>
      </w:pPr>
      <w:r w:rsidRPr="00062CE7">
        <w:rPr>
          <w:rFonts w:ascii="Times New Roman" w:hAnsi="Times New Roman" w:cs="Times New Roman"/>
          <w:sz w:val="24"/>
          <w:szCs w:val="24"/>
        </w:rPr>
        <w:t>písm. a) pokutu do 10 000 eur, a to aj opakovane,  </w:t>
      </w:r>
    </w:p>
    <w:p w:rsidR="0055525F" w:rsidRPr="00062CE7" w:rsidP="00062CE7">
      <w:pPr>
        <w:pStyle w:val="ListParagraph"/>
        <w:numPr>
          <w:numId w:val="48"/>
        </w:numPr>
        <w:bidi w:val="0"/>
        <w:spacing w:after="0" w:line="240" w:lineRule="auto"/>
        <w:contextualSpacing w:val="0"/>
        <w:jc w:val="both"/>
        <w:rPr>
          <w:rFonts w:ascii="Times New Roman" w:hAnsi="Times New Roman" w:cs="Times New Roman"/>
          <w:sz w:val="24"/>
          <w:szCs w:val="24"/>
        </w:rPr>
      </w:pPr>
      <w:r w:rsidRPr="00062CE7">
        <w:rPr>
          <w:rFonts w:ascii="Times New Roman" w:hAnsi="Times New Roman" w:cs="Times New Roman"/>
          <w:sz w:val="24"/>
          <w:szCs w:val="24"/>
        </w:rPr>
        <w:t xml:space="preserve">písm. </w:t>
      </w:r>
      <w:r w:rsidR="00062CE7">
        <w:rPr>
          <w:rFonts w:ascii="Times New Roman" w:hAnsi="Times New Roman" w:cs="Times New Roman"/>
          <w:sz w:val="24"/>
          <w:szCs w:val="24"/>
        </w:rPr>
        <w:t>b) a c)</w:t>
      </w:r>
      <w:r w:rsidRPr="00062CE7">
        <w:rPr>
          <w:rFonts w:ascii="Times New Roman" w:hAnsi="Times New Roman" w:cs="Times New Roman"/>
          <w:sz w:val="24"/>
          <w:szCs w:val="24"/>
        </w:rPr>
        <w:t xml:space="preserve"> pokutu do 3 000 eur, a to aj opakovane. </w:t>
      </w:r>
    </w:p>
    <w:p w:rsidR="0055525F" w:rsidP="00CC2C2F">
      <w:pPr>
        <w:pStyle w:val="ListParagraph"/>
        <w:bidi w:val="0"/>
        <w:spacing w:after="0" w:line="240" w:lineRule="auto"/>
        <w:ind w:left="1068"/>
        <w:jc w:val="both"/>
        <w:rPr>
          <w:rFonts w:ascii="Times New Roman" w:hAnsi="Times New Roman" w:cs="Times New Roman"/>
          <w:sz w:val="24"/>
          <w:szCs w:val="24"/>
        </w:rPr>
      </w:pPr>
    </w:p>
    <w:p w:rsidR="00CC2C2F" w:rsidRPr="0097693B" w:rsidP="00CC2C2F">
      <w:pPr>
        <w:pStyle w:val="ListParagraph"/>
        <w:numPr>
          <w:numId w:val="43"/>
        </w:numPr>
        <w:bidi w:val="0"/>
        <w:spacing w:after="0" w:line="240" w:lineRule="auto"/>
        <w:jc w:val="both"/>
        <w:rPr>
          <w:rFonts w:ascii="Times New Roman" w:hAnsi="Times New Roman" w:cs="Times New Roman"/>
          <w:sz w:val="24"/>
          <w:szCs w:val="24"/>
        </w:rPr>
      </w:pPr>
      <w:r w:rsidR="00F4744E">
        <w:rPr>
          <w:rFonts w:ascii="Times New Roman" w:hAnsi="Times New Roman" w:cs="Times New Roman"/>
          <w:sz w:val="24"/>
          <w:szCs w:val="24"/>
        </w:rPr>
        <w:t>Na ukladanie pokút sa vzťahuje osobitný predpis.</w:t>
      </w:r>
      <w:r w:rsidRPr="00B03D43" w:rsidR="00F4744E">
        <w:rPr>
          <w:rFonts w:ascii="Times New Roman" w:hAnsi="Times New Roman" w:cs="Times New Roman"/>
          <w:sz w:val="24"/>
          <w:szCs w:val="24"/>
          <w:vertAlign w:val="superscript"/>
        </w:rPr>
        <w:t>1</w:t>
      </w:r>
      <w:r w:rsidR="00F4744E">
        <w:rPr>
          <w:rFonts w:ascii="Times New Roman" w:hAnsi="Times New Roman" w:cs="Times New Roman"/>
          <w:sz w:val="24"/>
          <w:szCs w:val="24"/>
        </w:rPr>
        <w:t>)</w:t>
      </w:r>
      <w:r w:rsidRPr="0097693B">
        <w:rPr>
          <w:rFonts w:ascii="Times New Roman" w:hAnsi="Times New Roman" w:cs="Times New Roman"/>
          <w:sz w:val="24"/>
          <w:szCs w:val="24"/>
        </w:rPr>
        <w:t>“.</w:t>
      </w:r>
    </w:p>
    <w:p w:rsidR="00EF7315" w:rsidRPr="0097693B" w:rsidP="00EF7315">
      <w:pPr>
        <w:pStyle w:val="ListParagraph"/>
        <w:bidi w:val="0"/>
        <w:spacing w:after="0" w:line="240" w:lineRule="auto"/>
        <w:ind w:left="1068"/>
        <w:jc w:val="both"/>
        <w:rPr>
          <w:rFonts w:ascii="Times New Roman" w:hAnsi="Times New Roman" w:cs="Times New Roman"/>
          <w:sz w:val="24"/>
          <w:szCs w:val="24"/>
        </w:rPr>
      </w:pPr>
    </w:p>
    <w:p w:rsidR="007744FC" w:rsidRPr="0097693B" w:rsidP="007744FC">
      <w:pPr>
        <w:bidi w:val="0"/>
        <w:spacing w:after="0" w:line="240" w:lineRule="auto"/>
        <w:ind w:left="360"/>
        <w:jc w:val="both"/>
        <w:rPr>
          <w:rFonts w:ascii="Times New Roman" w:hAnsi="Times New Roman" w:cs="Times New Roman"/>
          <w:sz w:val="24"/>
          <w:szCs w:val="24"/>
        </w:rPr>
      </w:pPr>
      <w:r w:rsidRPr="0097693B">
        <w:rPr>
          <w:rFonts w:ascii="Times New Roman" w:hAnsi="Times New Roman" w:cs="Times New Roman"/>
          <w:sz w:val="24"/>
          <w:szCs w:val="24"/>
        </w:rPr>
        <w:t>Poznámka pod čiarou k odkazu 23 znie:</w:t>
      </w:r>
    </w:p>
    <w:p w:rsidR="007744FC" w:rsidRPr="0097693B" w:rsidP="007744FC">
      <w:pPr>
        <w:bidi w:val="0"/>
        <w:rPr>
          <w:rFonts w:ascii="Times New Roman" w:hAnsi="Times New Roman" w:cs="Times New Roman"/>
        </w:rPr>
      </w:pPr>
      <w:r w:rsidRPr="0097693B">
        <w:rPr>
          <w:rFonts w:ascii="Times New Roman" w:hAnsi="Times New Roman" w:cs="Times New Roman"/>
        </w:rPr>
        <w:t xml:space="preserve">        „</w:t>
      </w:r>
      <w:r w:rsidRPr="0097693B">
        <w:rPr>
          <w:rStyle w:val="FootnoteReference"/>
          <w:rFonts w:ascii="Times New Roman" w:hAnsi="Times New Roman"/>
          <w:sz w:val="24"/>
          <w:szCs w:val="24"/>
        </w:rPr>
        <w:t>23</w:t>
      </w:r>
      <w:r w:rsidRPr="0097693B">
        <w:rPr>
          <w:rFonts w:ascii="Times New Roman" w:hAnsi="Times New Roman" w:cs="Times New Roman"/>
          <w:sz w:val="24"/>
          <w:szCs w:val="24"/>
        </w:rPr>
        <w:t>)</w:t>
      </w:r>
      <w:r w:rsidRPr="0097693B">
        <w:rPr>
          <w:rFonts w:ascii="Times New Roman" w:hAnsi="Times New Roman" w:cs="Times New Roman"/>
        </w:rPr>
        <w:t xml:space="preserve"> </w:t>
      </w:r>
      <w:r w:rsidRPr="0097693B">
        <w:rPr>
          <w:rFonts w:ascii="Times New Roman" w:hAnsi="Times New Roman" w:cs="Times New Roman"/>
          <w:sz w:val="24"/>
          <w:szCs w:val="24"/>
        </w:rPr>
        <w:t>§ 17 ods. 5 zákona č. 595/2003 Z. z. v znení neskorších predpisov.“.</w:t>
      </w:r>
      <w:r w:rsidRPr="0097693B">
        <w:rPr>
          <w:rFonts w:ascii="Times New Roman" w:hAnsi="Times New Roman" w:cs="Times New Roman"/>
        </w:rPr>
        <w:t xml:space="preserve">  </w:t>
      </w:r>
    </w:p>
    <w:p w:rsidR="002E2FFB" w:rsidRPr="0097693B" w:rsidP="002E2FFB">
      <w:pPr>
        <w:bidi w:val="0"/>
        <w:spacing w:after="0" w:line="240" w:lineRule="auto"/>
        <w:jc w:val="both"/>
        <w:rPr>
          <w:rFonts w:ascii="Times New Roman" w:hAnsi="Times New Roman" w:cs="Times New Roman"/>
          <w:sz w:val="24"/>
          <w:szCs w:val="24"/>
        </w:rPr>
      </w:pPr>
    </w:p>
    <w:p w:rsidR="002E2FFB" w:rsidRPr="0097693B" w:rsidP="002E2FFB">
      <w:pPr>
        <w:numPr>
          <w:numId w:val="35"/>
        </w:numPr>
        <w:bidi w:val="0"/>
        <w:spacing w:after="0" w:line="240" w:lineRule="auto"/>
        <w:ind w:left="426" w:hanging="426"/>
        <w:contextualSpacing/>
        <w:jc w:val="both"/>
        <w:rPr>
          <w:rFonts w:ascii="Times New Roman" w:hAnsi="Times New Roman" w:cs="Times New Roman"/>
          <w:sz w:val="24"/>
          <w:szCs w:val="24"/>
        </w:rPr>
      </w:pPr>
      <w:r w:rsidRPr="0097693B">
        <w:rPr>
          <w:rFonts w:ascii="Times New Roman" w:hAnsi="Times New Roman" w:cs="Times New Roman"/>
          <w:sz w:val="24"/>
          <w:szCs w:val="24"/>
        </w:rPr>
        <w:t>Za § 24</w:t>
      </w:r>
      <w:r w:rsidRPr="0097693B" w:rsidR="00EF7315">
        <w:rPr>
          <w:rFonts w:ascii="Times New Roman" w:hAnsi="Times New Roman" w:cs="Times New Roman"/>
          <w:sz w:val="24"/>
          <w:szCs w:val="24"/>
        </w:rPr>
        <w:t>a</w:t>
      </w:r>
      <w:r w:rsidRPr="0097693B">
        <w:rPr>
          <w:rFonts w:ascii="Times New Roman" w:hAnsi="Times New Roman" w:cs="Times New Roman"/>
          <w:sz w:val="24"/>
          <w:szCs w:val="24"/>
        </w:rPr>
        <w:t xml:space="preserve"> sa vkladá </w:t>
      </w:r>
      <w:r w:rsidRPr="0097693B" w:rsidR="00EF7315">
        <w:rPr>
          <w:rFonts w:ascii="Times New Roman" w:hAnsi="Times New Roman" w:cs="Times New Roman"/>
          <w:sz w:val="24"/>
          <w:szCs w:val="24"/>
        </w:rPr>
        <w:t>§ 24b</w:t>
      </w:r>
      <w:r w:rsidRPr="0097693B">
        <w:rPr>
          <w:rFonts w:ascii="Times New Roman" w:hAnsi="Times New Roman" w:cs="Times New Roman"/>
          <w:sz w:val="24"/>
          <w:szCs w:val="24"/>
        </w:rPr>
        <w:t>, ktorý vrátane nadpisu znie:</w:t>
      </w:r>
    </w:p>
    <w:p w:rsidR="00EF7315" w:rsidP="00EF7315">
      <w:pPr>
        <w:bidi w:val="0"/>
        <w:spacing w:after="0" w:line="240" w:lineRule="auto"/>
        <w:ind w:left="426"/>
        <w:contextualSpacing/>
        <w:jc w:val="both"/>
        <w:rPr>
          <w:rFonts w:ascii="Times New Roman" w:hAnsi="Times New Roman" w:cs="Times New Roman"/>
          <w:sz w:val="24"/>
          <w:szCs w:val="24"/>
        </w:rPr>
      </w:pPr>
    </w:p>
    <w:p w:rsidR="00062CE7" w:rsidRPr="0097693B" w:rsidP="00EF7315">
      <w:pPr>
        <w:bidi w:val="0"/>
        <w:spacing w:after="0" w:line="240" w:lineRule="auto"/>
        <w:ind w:left="426"/>
        <w:contextualSpacing/>
        <w:jc w:val="both"/>
        <w:rPr>
          <w:rFonts w:ascii="Times New Roman" w:hAnsi="Times New Roman" w:cs="Times New Roman"/>
          <w:sz w:val="24"/>
          <w:szCs w:val="24"/>
        </w:rPr>
      </w:pPr>
    </w:p>
    <w:p w:rsidR="00EF7315" w:rsidP="00EF7315">
      <w:pPr>
        <w:pStyle w:val="BodyTextIndent"/>
        <w:bidi w:val="0"/>
        <w:ind w:left="360"/>
        <w:jc w:val="center"/>
        <w:rPr>
          <w:rFonts w:ascii="Times New Roman" w:hAnsi="Times New Roman"/>
        </w:rPr>
      </w:pPr>
      <w:r w:rsidRPr="0097693B">
        <w:rPr>
          <w:rFonts w:ascii="Times New Roman" w:hAnsi="Times New Roman"/>
        </w:rPr>
        <w:t>„§ 24b</w:t>
      </w:r>
    </w:p>
    <w:p w:rsidR="00062CE7" w:rsidRPr="0097693B" w:rsidP="00EF7315">
      <w:pPr>
        <w:pStyle w:val="BodyTextIndent"/>
        <w:bidi w:val="0"/>
        <w:ind w:left="360"/>
        <w:jc w:val="center"/>
        <w:rPr>
          <w:rFonts w:ascii="Times New Roman" w:hAnsi="Times New Roman"/>
        </w:rPr>
      </w:pPr>
    </w:p>
    <w:p w:rsidR="00EF7315" w:rsidRPr="0097693B" w:rsidP="00EF7315">
      <w:pPr>
        <w:pStyle w:val="ListParagraph"/>
        <w:tabs>
          <w:tab w:val="left" w:pos="142"/>
        </w:tabs>
        <w:bidi w:val="0"/>
        <w:ind w:left="360"/>
        <w:jc w:val="center"/>
        <w:rPr>
          <w:rFonts w:ascii="Times New Roman" w:hAnsi="Times New Roman" w:cs="Times New Roman"/>
          <w:sz w:val="24"/>
          <w:szCs w:val="24"/>
        </w:rPr>
      </w:pPr>
      <w:r w:rsidRPr="0097693B">
        <w:rPr>
          <w:rFonts w:ascii="Times New Roman" w:hAnsi="Times New Roman" w:cs="Times New Roman"/>
          <w:sz w:val="24"/>
          <w:szCs w:val="24"/>
        </w:rPr>
        <w:t>Prechodné ustanovenia k úpravám účinným od 1. marca 2017</w:t>
      </w:r>
    </w:p>
    <w:p w:rsidR="00EF7315" w:rsidRPr="0097693B" w:rsidP="00EF7315">
      <w:pPr>
        <w:pStyle w:val="ListParagraph"/>
        <w:bidi w:val="0"/>
        <w:ind w:left="786"/>
        <w:jc w:val="both"/>
        <w:rPr>
          <w:rFonts w:ascii="Times New Roman" w:hAnsi="Times New Roman" w:cs="Times New Roman"/>
          <w:sz w:val="24"/>
          <w:szCs w:val="24"/>
        </w:rPr>
      </w:pPr>
    </w:p>
    <w:p w:rsidR="00EF7315" w:rsidRPr="0097693B" w:rsidP="00EF7315">
      <w:pPr>
        <w:pStyle w:val="ListParagraph"/>
        <w:numPr>
          <w:numId w:val="37"/>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Hlavný materský subjekt podľa § 22b ods. 1</w:t>
      </w:r>
      <w:r w:rsidRPr="0097693B" w:rsidR="006054AE">
        <w:rPr>
          <w:rFonts w:ascii="Times New Roman" w:hAnsi="Times New Roman" w:cs="Times New Roman"/>
          <w:sz w:val="24"/>
          <w:szCs w:val="24"/>
        </w:rPr>
        <w:t xml:space="preserve"> </w:t>
      </w:r>
      <w:r w:rsidRPr="0097693B">
        <w:rPr>
          <w:rFonts w:ascii="Times New Roman" w:hAnsi="Times New Roman" w:cs="Times New Roman"/>
          <w:sz w:val="24"/>
          <w:szCs w:val="24"/>
        </w:rPr>
        <w:t>a náhradný materský subjekt podľa § 22d ods. 1</w:t>
      </w:r>
      <w:r w:rsidRPr="0097693B" w:rsidR="006054AE">
        <w:rPr>
          <w:rFonts w:ascii="Times New Roman" w:hAnsi="Times New Roman" w:cs="Times New Roman"/>
          <w:sz w:val="24"/>
          <w:szCs w:val="24"/>
        </w:rPr>
        <w:t xml:space="preserve"> </w:t>
      </w:r>
      <w:r w:rsidRPr="0097693B" w:rsidR="00C426BC">
        <w:rPr>
          <w:rFonts w:ascii="Times New Roman" w:hAnsi="Times New Roman" w:cs="Times New Roman"/>
          <w:sz w:val="24"/>
          <w:szCs w:val="24"/>
        </w:rPr>
        <w:t xml:space="preserve">sú </w:t>
      </w:r>
      <w:r w:rsidRPr="0097693B">
        <w:rPr>
          <w:rFonts w:ascii="Times New Roman" w:hAnsi="Times New Roman" w:cs="Times New Roman"/>
          <w:sz w:val="24"/>
          <w:szCs w:val="24"/>
        </w:rPr>
        <w:t>povinn</w:t>
      </w:r>
      <w:r w:rsidRPr="0097693B" w:rsidR="00C426BC">
        <w:rPr>
          <w:rFonts w:ascii="Times New Roman" w:hAnsi="Times New Roman" w:cs="Times New Roman"/>
          <w:sz w:val="24"/>
          <w:szCs w:val="24"/>
        </w:rPr>
        <w:t>í</w:t>
      </w:r>
      <w:r w:rsidRPr="0097693B">
        <w:rPr>
          <w:rFonts w:ascii="Times New Roman" w:hAnsi="Times New Roman" w:cs="Times New Roman"/>
          <w:sz w:val="24"/>
          <w:szCs w:val="24"/>
        </w:rPr>
        <w:t xml:space="preserve"> </w:t>
      </w:r>
      <w:r w:rsidRPr="0097693B" w:rsidR="002B75B4">
        <w:rPr>
          <w:rFonts w:ascii="Times New Roman" w:hAnsi="Times New Roman" w:cs="Times New Roman"/>
          <w:sz w:val="24"/>
          <w:szCs w:val="24"/>
        </w:rPr>
        <w:t xml:space="preserve">prvýkrát </w:t>
      </w:r>
      <w:r w:rsidRPr="0097693B" w:rsidR="00716C6A">
        <w:rPr>
          <w:rFonts w:ascii="Times New Roman" w:hAnsi="Times New Roman" w:cs="Times New Roman"/>
          <w:sz w:val="24"/>
          <w:szCs w:val="24"/>
        </w:rPr>
        <w:t>podať</w:t>
      </w:r>
      <w:r w:rsidRPr="0097693B" w:rsidR="00D73E36">
        <w:rPr>
          <w:rFonts w:ascii="Times New Roman" w:hAnsi="Times New Roman" w:cs="Times New Roman"/>
          <w:sz w:val="24"/>
          <w:szCs w:val="24"/>
        </w:rPr>
        <w:t xml:space="preserve"> správu podľa jednotlivých štátov príslušnému orgánu Slovenskej republiky po 28. februári 2017</w:t>
      </w:r>
      <w:r w:rsidRPr="0097693B">
        <w:rPr>
          <w:rFonts w:ascii="Times New Roman" w:hAnsi="Times New Roman" w:cs="Times New Roman"/>
          <w:sz w:val="24"/>
          <w:szCs w:val="24"/>
        </w:rPr>
        <w:t xml:space="preserve"> za finančný rok </w:t>
      </w:r>
      <w:r w:rsidRPr="0097693B" w:rsidR="00A071A8">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skupiny </w:t>
      </w:r>
      <w:r w:rsidRPr="0097693B">
        <w:rPr>
          <w:rFonts w:ascii="Times New Roman" w:hAnsi="Times New Roman" w:cs="Times New Roman"/>
          <w:sz w:val="24"/>
          <w:szCs w:val="24"/>
        </w:rPr>
        <w:t xml:space="preserve">podnikov začínajúci </w:t>
      </w:r>
      <w:r w:rsidRPr="0097693B" w:rsidR="00357D9F">
        <w:rPr>
          <w:rFonts w:ascii="Times New Roman" w:hAnsi="Times New Roman" w:cs="Times New Roman"/>
          <w:sz w:val="24"/>
          <w:szCs w:val="24"/>
        </w:rPr>
        <w:t>počas</w:t>
      </w:r>
      <w:r w:rsidRPr="0097693B" w:rsidR="00543EA6">
        <w:rPr>
          <w:rFonts w:ascii="Times New Roman" w:hAnsi="Times New Roman" w:cs="Times New Roman"/>
          <w:sz w:val="24"/>
          <w:szCs w:val="24"/>
        </w:rPr>
        <w:t xml:space="preserve"> kalendárneho roka</w:t>
      </w:r>
      <w:r w:rsidRPr="0097693B">
        <w:rPr>
          <w:rFonts w:ascii="Times New Roman" w:hAnsi="Times New Roman" w:cs="Times New Roman"/>
          <w:sz w:val="24"/>
          <w:szCs w:val="24"/>
        </w:rPr>
        <w:t xml:space="preserve"> 2016.</w:t>
      </w:r>
    </w:p>
    <w:p w:rsidR="00EF7315" w:rsidRPr="0097693B" w:rsidP="00EF7315">
      <w:pPr>
        <w:pStyle w:val="ListParagraph"/>
        <w:tabs>
          <w:tab w:val="left" w:pos="1899"/>
        </w:tabs>
        <w:bidi w:val="0"/>
        <w:ind w:firstLine="1176"/>
        <w:rPr>
          <w:rFonts w:ascii="Times New Roman" w:hAnsi="Times New Roman" w:cs="Times New Roman"/>
          <w:sz w:val="24"/>
          <w:szCs w:val="24"/>
        </w:rPr>
      </w:pPr>
    </w:p>
    <w:p w:rsidR="00EF7315" w:rsidP="00EF7315">
      <w:pPr>
        <w:pStyle w:val="ListParagraph"/>
        <w:numPr>
          <w:numId w:val="37"/>
        </w:numPr>
        <w:bidi w:val="0"/>
        <w:spacing w:after="0" w:line="240" w:lineRule="auto"/>
        <w:jc w:val="both"/>
        <w:rPr>
          <w:rFonts w:ascii="Times New Roman" w:hAnsi="Times New Roman" w:cs="Times New Roman"/>
          <w:sz w:val="24"/>
          <w:szCs w:val="24"/>
        </w:rPr>
      </w:pPr>
      <w:r w:rsidRPr="0097693B">
        <w:rPr>
          <w:rFonts w:ascii="Times New Roman" w:hAnsi="Times New Roman" w:cs="Times New Roman"/>
          <w:sz w:val="24"/>
          <w:szCs w:val="24"/>
        </w:rPr>
        <w:t>Základný subjekt podľa § 22c ods. 1</w:t>
      </w:r>
      <w:r w:rsidRPr="0097693B" w:rsidR="006054AE">
        <w:rPr>
          <w:rFonts w:ascii="Times New Roman" w:hAnsi="Times New Roman" w:cs="Times New Roman"/>
          <w:sz w:val="24"/>
          <w:szCs w:val="24"/>
        </w:rPr>
        <w:t xml:space="preserve"> </w:t>
      </w:r>
      <w:r w:rsidRPr="0097693B">
        <w:rPr>
          <w:rFonts w:ascii="Times New Roman" w:hAnsi="Times New Roman" w:cs="Times New Roman"/>
          <w:sz w:val="24"/>
          <w:szCs w:val="24"/>
        </w:rPr>
        <w:t xml:space="preserve">je povinný </w:t>
      </w:r>
      <w:r w:rsidRPr="0097693B" w:rsidR="002B75B4">
        <w:rPr>
          <w:rFonts w:ascii="Times New Roman" w:hAnsi="Times New Roman" w:cs="Times New Roman"/>
          <w:sz w:val="24"/>
          <w:szCs w:val="24"/>
        </w:rPr>
        <w:t xml:space="preserve">prvýkrát </w:t>
      </w:r>
      <w:r w:rsidRPr="0097693B" w:rsidR="00716C6A">
        <w:rPr>
          <w:rFonts w:ascii="Times New Roman" w:hAnsi="Times New Roman" w:cs="Times New Roman"/>
          <w:sz w:val="24"/>
          <w:szCs w:val="24"/>
        </w:rPr>
        <w:t>podať</w:t>
      </w:r>
      <w:r w:rsidRPr="0097693B" w:rsidR="00D73E36">
        <w:rPr>
          <w:rFonts w:ascii="Times New Roman" w:hAnsi="Times New Roman" w:cs="Times New Roman"/>
          <w:sz w:val="24"/>
          <w:szCs w:val="24"/>
        </w:rPr>
        <w:t xml:space="preserve"> správu podľa jednotlivých štátov po 28. februári 2017 </w:t>
      </w:r>
      <w:r w:rsidRPr="0097693B">
        <w:rPr>
          <w:rFonts w:ascii="Times New Roman" w:hAnsi="Times New Roman" w:cs="Times New Roman"/>
          <w:sz w:val="24"/>
          <w:szCs w:val="24"/>
        </w:rPr>
        <w:t xml:space="preserve"> za finančný rok </w:t>
      </w:r>
      <w:r w:rsidRPr="0097693B" w:rsidR="00A071A8">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skupiny </w:t>
      </w:r>
      <w:r w:rsidRPr="0097693B">
        <w:rPr>
          <w:rFonts w:ascii="Times New Roman" w:hAnsi="Times New Roman" w:cs="Times New Roman"/>
          <w:sz w:val="24"/>
          <w:szCs w:val="24"/>
        </w:rPr>
        <w:t xml:space="preserve">podnikov začínajúci </w:t>
      </w:r>
      <w:r w:rsidRPr="0097693B" w:rsidR="00357D9F">
        <w:rPr>
          <w:rFonts w:ascii="Times New Roman" w:hAnsi="Times New Roman" w:cs="Times New Roman"/>
          <w:sz w:val="24"/>
          <w:szCs w:val="24"/>
        </w:rPr>
        <w:t>počas</w:t>
      </w:r>
      <w:r w:rsidRPr="0097693B" w:rsidR="00543EA6">
        <w:rPr>
          <w:rFonts w:ascii="Times New Roman" w:hAnsi="Times New Roman" w:cs="Times New Roman"/>
          <w:sz w:val="24"/>
          <w:szCs w:val="24"/>
        </w:rPr>
        <w:t xml:space="preserve"> kalendárneho roka </w:t>
      </w:r>
      <w:r w:rsidRPr="0097693B">
        <w:rPr>
          <w:rFonts w:ascii="Times New Roman" w:hAnsi="Times New Roman" w:cs="Times New Roman"/>
          <w:sz w:val="24"/>
          <w:szCs w:val="24"/>
        </w:rPr>
        <w:t>2017.</w:t>
      </w:r>
    </w:p>
    <w:p w:rsidR="00062CE7" w:rsidRPr="00062CE7" w:rsidP="00062CE7">
      <w:pPr>
        <w:pStyle w:val="ListParagraph"/>
        <w:bidi w:val="0"/>
        <w:rPr>
          <w:rFonts w:ascii="Times New Roman" w:hAnsi="Times New Roman" w:cs="Times New Roman"/>
          <w:sz w:val="24"/>
          <w:szCs w:val="24"/>
        </w:rPr>
      </w:pPr>
    </w:p>
    <w:p w:rsidR="00EF7315" w:rsidRPr="0097693B" w:rsidP="00EF7315">
      <w:pPr>
        <w:pStyle w:val="ListParagraph"/>
        <w:numPr>
          <w:numId w:val="37"/>
        </w:numPr>
        <w:bidi w:val="0"/>
        <w:spacing w:after="0" w:line="240" w:lineRule="auto"/>
        <w:jc w:val="both"/>
        <w:rPr>
          <w:rFonts w:ascii="Times New Roman" w:hAnsi="Times New Roman" w:cs="Times New Roman"/>
          <w:sz w:val="24"/>
          <w:szCs w:val="24"/>
        </w:rPr>
      </w:pPr>
      <w:r w:rsidRPr="0097693B" w:rsidR="00D73E36">
        <w:rPr>
          <w:rFonts w:ascii="Times New Roman" w:hAnsi="Times New Roman" w:cs="Times New Roman"/>
          <w:sz w:val="24"/>
          <w:szCs w:val="24"/>
        </w:rPr>
        <w:t xml:space="preserve">Príslušný orgán Slovenskej republiky zašle po 28. februári 2017 správu podľa jednotlivých štátov prvýkrát za finančný rok začínajúci </w:t>
      </w:r>
      <w:r w:rsidRPr="0097693B" w:rsidR="00357D9F">
        <w:rPr>
          <w:rFonts w:ascii="Times New Roman" w:hAnsi="Times New Roman" w:cs="Times New Roman"/>
          <w:sz w:val="24"/>
          <w:szCs w:val="24"/>
        </w:rPr>
        <w:t>počas</w:t>
      </w:r>
      <w:r w:rsidRPr="0097693B" w:rsidR="00543EA6">
        <w:rPr>
          <w:rFonts w:ascii="Times New Roman" w:hAnsi="Times New Roman" w:cs="Times New Roman"/>
          <w:sz w:val="24"/>
          <w:szCs w:val="24"/>
        </w:rPr>
        <w:t xml:space="preserve"> kalendárneho roka </w:t>
      </w:r>
      <w:r w:rsidRPr="0097693B" w:rsidR="00D73E36">
        <w:rPr>
          <w:rFonts w:ascii="Times New Roman" w:hAnsi="Times New Roman" w:cs="Times New Roman"/>
          <w:sz w:val="24"/>
          <w:szCs w:val="24"/>
        </w:rPr>
        <w:t xml:space="preserve">2016 v lehote </w:t>
      </w:r>
      <w:r w:rsidRPr="0097693B">
        <w:rPr>
          <w:rFonts w:ascii="Times New Roman" w:hAnsi="Times New Roman" w:cs="Times New Roman"/>
          <w:sz w:val="24"/>
          <w:szCs w:val="24"/>
        </w:rPr>
        <w:t xml:space="preserve">18 mesiacov od posledného dňa príslušného finančného roka </w:t>
      </w:r>
      <w:r w:rsidRPr="0097693B" w:rsidR="00A071A8">
        <w:rPr>
          <w:rFonts w:ascii="Times New Roman" w:hAnsi="Times New Roman" w:cs="Times New Roman"/>
          <w:sz w:val="24"/>
          <w:szCs w:val="24"/>
        </w:rPr>
        <w:t>nadnárodnej</w:t>
      </w:r>
      <w:r w:rsidRPr="0097693B">
        <w:rPr>
          <w:rFonts w:ascii="Times New Roman" w:hAnsi="Times New Roman" w:cs="Times New Roman"/>
          <w:sz w:val="24"/>
          <w:szCs w:val="24"/>
        </w:rPr>
        <w:t xml:space="preserve"> </w:t>
      </w:r>
      <w:r w:rsidRPr="0097693B" w:rsidR="00A071A8">
        <w:rPr>
          <w:rFonts w:ascii="Times New Roman" w:hAnsi="Times New Roman" w:cs="Times New Roman"/>
          <w:sz w:val="24"/>
          <w:szCs w:val="24"/>
        </w:rPr>
        <w:t xml:space="preserve">skupiny </w:t>
      </w:r>
      <w:r w:rsidRPr="0097693B">
        <w:rPr>
          <w:rFonts w:ascii="Times New Roman" w:hAnsi="Times New Roman" w:cs="Times New Roman"/>
          <w:sz w:val="24"/>
          <w:szCs w:val="24"/>
        </w:rPr>
        <w:t>podnikov.“</w:t>
      </w:r>
      <w:r w:rsidRPr="0097693B" w:rsidR="006054AE">
        <w:rPr>
          <w:rFonts w:ascii="Times New Roman" w:hAnsi="Times New Roman" w:cs="Times New Roman"/>
          <w:sz w:val="24"/>
          <w:szCs w:val="24"/>
        </w:rPr>
        <w:t>.</w:t>
      </w:r>
    </w:p>
    <w:p w:rsidR="002E2FFB" w:rsidRPr="0097693B" w:rsidP="002E2FFB">
      <w:pPr>
        <w:bidi w:val="0"/>
        <w:ind w:left="426"/>
        <w:contextualSpacing/>
        <w:jc w:val="both"/>
        <w:rPr>
          <w:rFonts w:ascii="Times New Roman" w:hAnsi="Times New Roman" w:cs="Times New Roman"/>
          <w:sz w:val="24"/>
          <w:szCs w:val="24"/>
        </w:rPr>
      </w:pPr>
    </w:p>
    <w:p w:rsidR="00E44860" w:rsidRPr="0097693B" w:rsidP="00E44860">
      <w:pPr>
        <w:pStyle w:val="BodyTextIndent"/>
        <w:numPr>
          <w:numId w:val="35"/>
        </w:numPr>
        <w:bidi w:val="0"/>
        <w:rPr>
          <w:rFonts w:ascii="Times New Roman" w:hAnsi="Times New Roman"/>
        </w:rPr>
      </w:pPr>
      <w:r w:rsidRPr="0097693B">
        <w:rPr>
          <w:rFonts w:ascii="Times New Roman" w:hAnsi="Times New Roman"/>
        </w:rPr>
        <w:t xml:space="preserve">V § 25 sa na konci pripájajú tieto slová: „č. </w:t>
      </w:r>
      <w:r w:rsidRPr="0097693B" w:rsidR="004E7C2B">
        <w:rPr>
          <w:rFonts w:ascii="Times New Roman" w:hAnsi="Times New Roman"/>
        </w:rPr>
        <w:t>2</w:t>
      </w:r>
      <w:r w:rsidRPr="0097693B">
        <w:rPr>
          <w:rFonts w:ascii="Times New Roman" w:hAnsi="Times New Roman"/>
        </w:rPr>
        <w:t>“.</w:t>
      </w:r>
    </w:p>
    <w:p w:rsidR="00E44860" w:rsidRPr="0097693B" w:rsidP="00911023">
      <w:pPr>
        <w:pStyle w:val="BodyTextIndent"/>
        <w:bidi w:val="0"/>
        <w:ind w:left="360"/>
        <w:rPr>
          <w:rFonts w:ascii="Times New Roman" w:hAnsi="Times New Roman"/>
        </w:rPr>
      </w:pPr>
    </w:p>
    <w:p w:rsidR="00C061EC" w:rsidRPr="009450CA" w:rsidP="009450CA">
      <w:pPr>
        <w:pStyle w:val="ListParagraph"/>
        <w:numPr>
          <w:numId w:val="35"/>
        </w:numPr>
        <w:bidi w:val="0"/>
        <w:spacing w:after="0" w:line="240" w:lineRule="auto"/>
        <w:jc w:val="both"/>
        <w:rPr>
          <w:rFonts w:ascii="Times New Roman" w:hAnsi="Times New Roman" w:cs="Times New Roman"/>
          <w:sz w:val="24"/>
          <w:szCs w:val="24"/>
        </w:rPr>
      </w:pPr>
      <w:r w:rsidRPr="00B03D43" w:rsidR="00FD7E09">
        <w:rPr>
          <w:rFonts w:ascii="Times New Roman" w:hAnsi="Times New Roman" w:cs="Times New Roman"/>
          <w:sz w:val="24"/>
          <w:szCs w:val="24"/>
        </w:rPr>
        <w:t xml:space="preserve">Za § 27 sa vkladá </w:t>
      </w:r>
      <w:r w:rsidRPr="00B03D43" w:rsidR="00911023">
        <w:rPr>
          <w:rFonts w:ascii="Times New Roman" w:hAnsi="Times New Roman" w:cs="Times New Roman"/>
          <w:sz w:val="24"/>
          <w:szCs w:val="24"/>
        </w:rPr>
        <w:t xml:space="preserve"> príloh</w:t>
      </w:r>
      <w:r w:rsidRPr="00B03D43" w:rsidR="00FD7E09">
        <w:rPr>
          <w:rFonts w:ascii="Times New Roman" w:hAnsi="Times New Roman" w:cs="Times New Roman"/>
          <w:sz w:val="24"/>
          <w:szCs w:val="24"/>
        </w:rPr>
        <w:t>a</w:t>
      </w:r>
      <w:r w:rsidRPr="00B03D43" w:rsidR="00911023">
        <w:rPr>
          <w:rFonts w:ascii="Times New Roman" w:hAnsi="Times New Roman" w:cs="Times New Roman"/>
          <w:sz w:val="24"/>
          <w:szCs w:val="24"/>
        </w:rPr>
        <w:t xml:space="preserve"> č. </w:t>
      </w:r>
      <w:r w:rsidRPr="00B03D43" w:rsidR="004E7C2B">
        <w:rPr>
          <w:rFonts w:ascii="Times New Roman" w:hAnsi="Times New Roman" w:cs="Times New Roman"/>
          <w:sz w:val="24"/>
          <w:szCs w:val="24"/>
        </w:rPr>
        <w:t>1</w:t>
      </w:r>
      <w:r w:rsidRPr="00B03D43" w:rsidR="00C77972">
        <w:rPr>
          <w:rFonts w:ascii="Times New Roman" w:hAnsi="Times New Roman" w:cs="Times New Roman"/>
          <w:sz w:val="24"/>
          <w:szCs w:val="24"/>
        </w:rPr>
        <w:t>, ktorá znie:</w:t>
      </w:r>
      <w:r w:rsidRPr="00B03D43" w:rsidR="00911023">
        <w:rPr>
          <w:rFonts w:ascii="Times New Roman" w:hAnsi="Times New Roman" w:cs="Times New Roman"/>
          <w:sz w:val="24"/>
          <w:szCs w:val="24"/>
        </w:rPr>
        <w:t xml:space="preserve"> </w:t>
      </w:r>
      <w:r w:rsidRPr="00B03D43">
        <w:rPr>
          <w:rFonts w:ascii="Times New Roman" w:hAnsi="Times New Roman" w:cs="Times New Roman"/>
          <w:sz w:val="24"/>
          <w:szCs w:val="24"/>
        </w:rPr>
        <w:t xml:space="preserve"> </w:t>
      </w:r>
    </w:p>
    <w:p w:rsidR="00C061EC" w:rsidRPr="0097693B" w:rsidP="00C061EC">
      <w:pPr>
        <w:bidi w:val="0"/>
        <w:ind w:left="425"/>
        <w:contextualSpacing/>
        <w:jc w:val="both"/>
        <w:rPr>
          <w:rFonts w:ascii="Times New Roman" w:hAnsi="Times New Roman" w:cs="Times New Roman"/>
          <w:sz w:val="24"/>
          <w:szCs w:val="24"/>
        </w:rPr>
      </w:pPr>
    </w:p>
    <w:p w:rsidR="00483E36" w:rsidRPr="0097693B">
      <w:pPr>
        <w:bidi w:val="0"/>
        <w:spacing w:after="0" w:line="240" w:lineRule="auto"/>
        <w:rPr>
          <w:rFonts w:ascii="Times New Roman" w:hAnsi="Times New Roman" w:cs="Times New Roman"/>
          <w:b/>
          <w:bCs/>
          <w:szCs w:val="22"/>
          <w:lang w:eastAsia="sk-SK"/>
        </w:rPr>
        <w:sectPr w:rsidSect="003722EF">
          <w:footerReference w:type="default" r:id="rId6"/>
          <w:footnotePr>
            <w:numRestart w:val="eachPage"/>
          </w:footnotePr>
          <w:pgSz w:w="11907" w:h="16839"/>
          <w:pgMar w:top="1134" w:right="1134" w:bottom="1134" w:left="1134" w:header="567" w:footer="567" w:gutter="0"/>
          <w:lnNumType w:distance="0"/>
          <w:cols w:space="708"/>
          <w:noEndnote w:val="0"/>
          <w:bidi w:val="0"/>
          <w:docGrid w:linePitch="326"/>
        </w:sectPr>
      </w:pPr>
    </w:p>
    <w:p w:rsidR="0097017C" w:rsidRPr="00253855" w:rsidP="00B03D43">
      <w:pPr>
        <w:bidi w:val="0"/>
        <w:spacing w:after="0" w:line="240" w:lineRule="auto"/>
        <w:jc w:val="right"/>
        <w:rPr>
          <w:rFonts w:ascii="Times New Roman" w:hAnsi="Times New Roman" w:cs="Times New Roman"/>
          <w:b/>
          <w:bCs/>
          <w:szCs w:val="22"/>
          <w:highlight w:val="yellow"/>
          <w:lang w:eastAsia="sk-SK"/>
        </w:rPr>
      </w:pPr>
      <w:r w:rsidR="00AF16A1">
        <w:rPr>
          <w:rFonts w:ascii="Times New Roman" w:hAnsi="Times New Roman" w:cs="Times New Roman"/>
          <w:b/>
          <w:bCs/>
        </w:rPr>
        <w:t>„</w:t>
      </w:r>
      <w:r w:rsidRPr="00253855" w:rsidR="005A5FF1">
        <w:rPr>
          <w:rFonts w:ascii="Times New Roman" w:hAnsi="Times New Roman" w:cs="Times New Roman"/>
          <w:b/>
          <w:bCs/>
        </w:rPr>
        <w:t>Príloha</w:t>
      </w:r>
      <w:r w:rsidRPr="00253855" w:rsidR="00A50A7A">
        <w:rPr>
          <w:rFonts w:ascii="Times New Roman" w:hAnsi="Times New Roman" w:cs="Times New Roman"/>
          <w:b/>
          <w:bCs/>
        </w:rPr>
        <w:t xml:space="preserve"> č. </w:t>
      </w:r>
      <w:r w:rsidR="001F58F0">
        <w:rPr>
          <w:rFonts w:ascii="Times New Roman" w:hAnsi="Times New Roman" w:cs="Times New Roman"/>
          <w:b/>
          <w:bCs/>
        </w:rPr>
        <w:t>1</w:t>
      </w:r>
      <w:r w:rsidRPr="00253855" w:rsidR="005A5FF1">
        <w:rPr>
          <w:rFonts w:ascii="Times New Roman" w:hAnsi="Times New Roman" w:cs="Times New Roman"/>
          <w:b/>
          <w:bCs/>
        </w:rPr>
        <w:t xml:space="preserve"> k zákonu č. 442/2012 Z. z. </w:t>
      </w:r>
    </w:p>
    <w:p w:rsidR="0097017C" w:rsidRPr="00253855">
      <w:pPr>
        <w:bidi w:val="0"/>
        <w:spacing w:after="0" w:line="240" w:lineRule="auto"/>
        <w:rPr>
          <w:rFonts w:ascii="Times New Roman" w:hAnsi="Times New Roman" w:cs="Times New Roman"/>
          <w:b/>
          <w:bCs/>
          <w:szCs w:val="22"/>
          <w:highlight w:val="yellow"/>
          <w:lang w:eastAsia="sk-SK"/>
        </w:rPr>
      </w:pPr>
    </w:p>
    <w:p w:rsidR="0097017C" w:rsidRPr="00253855">
      <w:pPr>
        <w:bidi w:val="0"/>
        <w:spacing w:after="0" w:line="240" w:lineRule="auto"/>
        <w:rPr>
          <w:rFonts w:ascii="Times New Roman" w:hAnsi="Times New Roman" w:cs="Times New Roman"/>
          <w:b/>
          <w:bCs/>
          <w:szCs w:val="22"/>
          <w:highlight w:val="yellow"/>
          <w:lang w:eastAsia="sk-SK"/>
        </w:rPr>
      </w:pPr>
    </w:p>
    <w:p w:rsidR="001F20B3" w:rsidRPr="00253855" w:rsidP="001F20B3">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4E7C2B" w:rsidP="001F20B3">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r w:rsidRPr="00253855" w:rsidR="00223931">
        <w:rPr>
          <w:rFonts w:ascii="Times New Roman" w:hAnsi="Times New Roman" w:cs="Times New Roman"/>
          <w:b/>
          <w:bCs/>
          <w:szCs w:val="22"/>
          <w:lang w:eastAsia="sk-SK"/>
        </w:rPr>
        <w:t>VZOR</w:t>
      </w:r>
      <w:r w:rsidRPr="00253855" w:rsidR="00681948">
        <w:rPr>
          <w:rFonts w:ascii="Times New Roman" w:hAnsi="Times New Roman" w:cs="Times New Roman"/>
          <w:b/>
          <w:bCs/>
          <w:szCs w:val="22"/>
          <w:lang w:eastAsia="sk-SK"/>
        </w:rPr>
        <w:t xml:space="preserve"> </w:t>
      </w:r>
    </w:p>
    <w:p w:rsidR="001F20B3" w:rsidRPr="00253855" w:rsidP="001F20B3">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r w:rsidR="004E7C2B">
        <w:rPr>
          <w:rFonts w:ascii="Times New Roman" w:hAnsi="Times New Roman" w:cs="Times New Roman"/>
          <w:b/>
          <w:bCs/>
          <w:szCs w:val="22"/>
          <w:lang w:eastAsia="sk-SK"/>
        </w:rPr>
        <w:t>SPRÁVA</w:t>
      </w:r>
      <w:r w:rsidRPr="00253855" w:rsidR="00223931">
        <w:rPr>
          <w:rFonts w:ascii="Times New Roman" w:hAnsi="Times New Roman" w:cs="Times New Roman"/>
          <w:b/>
          <w:bCs/>
          <w:szCs w:val="22"/>
          <w:lang w:eastAsia="sk-SK"/>
        </w:rPr>
        <w:t xml:space="preserve"> </w:t>
      </w:r>
      <w:r w:rsidRPr="00253855">
        <w:rPr>
          <w:rFonts w:ascii="Times New Roman" w:hAnsi="Times New Roman" w:cs="Times New Roman"/>
          <w:b/>
          <w:bCs/>
          <w:szCs w:val="22"/>
          <w:lang w:eastAsia="sk-SK"/>
        </w:rPr>
        <w:t>PODĽA JEDNOTLIVÝCH ŠTÁTOV</w:t>
      </w:r>
    </w:p>
    <w:p w:rsidR="00EC45B2" w:rsidRPr="00253855" w:rsidP="001F20B3">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EC45B2" w:rsidRPr="00253855" w:rsidP="00253855">
      <w:pPr>
        <w:widowControl w:val="0"/>
        <w:bidi w:val="0"/>
        <w:spacing w:line="197" w:lineRule="exact"/>
        <w:ind w:left="200"/>
        <w:rPr>
          <w:rFonts w:ascii="Times New Roman" w:hAnsi="Times New Roman" w:cs="Times New Roman"/>
          <w:bCs/>
          <w:noProof/>
          <w:sz w:val="18"/>
          <w:lang w:val="pl-PL"/>
        </w:rPr>
      </w:pPr>
      <w:r w:rsidRPr="00253855">
        <w:rPr>
          <w:rFonts w:ascii="Times New Roman" w:hAnsi="Times New Roman" w:cs="Times New Roman"/>
          <w:noProof/>
          <w:sz w:val="20"/>
          <w:szCs w:val="20"/>
          <w:shd w:val="clear" w:color="auto" w:fill="FFFFFF"/>
        </w:rPr>
        <w:t>Tabuľka 1.</w:t>
        <w:tab/>
        <w:t xml:space="preserve">Prehľad rozdelenia príjmov, daní a ekonomických </w:t>
      </w:r>
      <w:r w:rsidRPr="00253855" w:rsidR="00C36C47">
        <w:rPr>
          <w:rFonts w:ascii="Times New Roman" w:hAnsi="Times New Roman" w:cs="Times New Roman"/>
          <w:noProof/>
          <w:sz w:val="20"/>
          <w:szCs w:val="20"/>
          <w:shd w:val="clear" w:color="auto" w:fill="FFFFFF"/>
        </w:rPr>
        <w:t>č</w:t>
      </w:r>
      <w:r w:rsidRPr="00253855">
        <w:rPr>
          <w:rFonts w:ascii="Times New Roman" w:hAnsi="Times New Roman" w:cs="Times New Roman"/>
          <w:noProof/>
          <w:sz w:val="20"/>
          <w:szCs w:val="20"/>
          <w:shd w:val="clear" w:color="auto" w:fill="FFFFFF"/>
        </w:rPr>
        <w:t xml:space="preserve">inností </w:t>
      </w:r>
      <w:r w:rsidR="001F58F0">
        <w:rPr>
          <w:rFonts w:ascii="Times New Roman" w:hAnsi="Times New Roman" w:cs="Times New Roman"/>
          <w:noProof/>
          <w:sz w:val="20"/>
          <w:szCs w:val="20"/>
          <w:shd w:val="clear" w:color="auto" w:fill="FFFFFF"/>
        </w:rPr>
        <w:t xml:space="preserve">podľa </w:t>
      </w:r>
      <w:r w:rsidRPr="00253855" w:rsidR="00D75CB7">
        <w:rPr>
          <w:rFonts w:ascii="Times New Roman" w:hAnsi="Times New Roman" w:cs="Times New Roman"/>
          <w:noProof/>
          <w:sz w:val="20"/>
          <w:szCs w:val="20"/>
          <w:shd w:val="clear" w:color="auto" w:fill="FFFFFF"/>
        </w:rPr>
        <w:t>jednotlivých štátov</w:t>
      </w:r>
      <w:r w:rsidRPr="00253855">
        <w:rPr>
          <w:rFonts w:ascii="Times New Roman" w:hAnsi="Times New Roman" w:cs="Times New Roman"/>
          <w:bCs/>
          <w:noProof/>
          <w:sz w:val="18"/>
          <w:shd w:val="clear" w:color="auto" w:fill="FFFFFF"/>
          <w:lang w:val="pl-PL"/>
        </w:rPr>
        <w:br/>
      </w:r>
    </w:p>
    <w:tbl>
      <w:tblPr>
        <w:tblStyle w:val="TableNormal"/>
        <w:tblOverlap w:val="never"/>
        <w:tblW w:w="0" w:type="auto"/>
        <w:tblLayout w:type="fixed"/>
        <w:tblCellMar>
          <w:left w:w="10" w:type="dxa"/>
          <w:right w:w="10" w:type="dxa"/>
        </w:tblCellMar>
        <w:tblLook w:val="04A0"/>
      </w:tblPr>
      <w:tblGrid>
        <w:gridCol w:w="1171"/>
        <w:gridCol w:w="1162"/>
        <w:gridCol w:w="1166"/>
        <w:gridCol w:w="802"/>
        <w:gridCol w:w="1238"/>
        <w:gridCol w:w="1042"/>
        <w:gridCol w:w="1138"/>
        <w:gridCol w:w="1166"/>
        <w:gridCol w:w="1166"/>
        <w:gridCol w:w="1162"/>
        <w:gridCol w:w="1608"/>
      </w:tblGrid>
      <w:tr>
        <w:tblPrEx>
          <w:tblW w:w="0" w:type="auto"/>
          <w:tblLayout w:type="fixed"/>
          <w:tblCellMar>
            <w:left w:w="10" w:type="dxa"/>
            <w:right w:w="10" w:type="dxa"/>
          </w:tblCellMar>
          <w:tblLook w:val="04A0"/>
        </w:tblPrEx>
        <w:trPr>
          <w:trHeight w:val="682"/>
        </w:trPr>
        <w:tc>
          <w:tcPr>
            <w:tcW w:w="12821" w:type="dxa"/>
            <w:gridSpan w:val="11"/>
            <w:tcBorders>
              <w:top w:val="single" w:sz="4" w:space="0" w:color="auto"/>
              <w:left w:val="single" w:sz="4" w:space="0" w:color="auto"/>
              <w:bottom w:val="nil"/>
              <w:right w:val="single" w:sz="4" w:space="0" w:color="auto"/>
            </w:tcBorders>
            <w:shd w:val="clear" w:color="auto" w:fill="FFFFFF"/>
            <w:textDirection w:val="lrTb"/>
            <w:vAlign w:val="center"/>
            <w:hideMark/>
          </w:tcPr>
          <w:p w:rsidR="00EC45B2" w:rsidRPr="00253855" w:rsidP="00A071A8">
            <w:pPr>
              <w:widowControl w:val="0"/>
              <w:bidi w:val="0"/>
              <w:spacing w:line="197" w:lineRule="exact"/>
              <w:jc w:val="center"/>
              <w:rPr>
                <w:rFonts w:ascii="Times New Roman" w:hAnsi="Times New Roman" w:cs="Times New Roman"/>
                <w:noProof/>
                <w:sz w:val="20"/>
                <w:szCs w:val="20"/>
                <w:lang w:val="pl-PL"/>
              </w:rPr>
            </w:pPr>
            <w:r w:rsidRPr="00253855">
              <w:rPr>
                <w:rFonts w:ascii="Times New Roman" w:hAnsi="Times New Roman" w:cs="Times New Roman"/>
                <w:noProof/>
                <w:sz w:val="20"/>
                <w:szCs w:val="20"/>
                <w:shd w:val="clear" w:color="auto" w:fill="FFFFFF"/>
                <w:lang w:val="pl-PL"/>
              </w:rPr>
              <w:t>Názov nadnárodn</w:t>
            </w:r>
            <w:r w:rsidRPr="00253855" w:rsidR="00A071A8">
              <w:rPr>
                <w:rFonts w:ascii="Times New Roman" w:hAnsi="Times New Roman" w:cs="Times New Roman"/>
                <w:noProof/>
                <w:sz w:val="20"/>
                <w:szCs w:val="20"/>
                <w:shd w:val="clear" w:color="auto" w:fill="FFFFFF"/>
                <w:lang w:val="pl-PL"/>
              </w:rPr>
              <w:t>ej</w:t>
            </w:r>
            <w:r w:rsidRPr="00253855">
              <w:rPr>
                <w:rFonts w:ascii="Times New Roman" w:hAnsi="Times New Roman" w:cs="Times New Roman"/>
                <w:noProof/>
                <w:sz w:val="20"/>
                <w:szCs w:val="20"/>
                <w:shd w:val="clear" w:color="auto" w:fill="FFFFFF"/>
                <w:lang w:val="pl-PL"/>
              </w:rPr>
              <w:t xml:space="preserve"> </w:t>
            </w:r>
            <w:r w:rsidRPr="00253855" w:rsidR="00A071A8">
              <w:rPr>
                <w:rFonts w:ascii="Times New Roman" w:hAnsi="Times New Roman" w:cs="Times New Roman"/>
                <w:noProof/>
                <w:sz w:val="20"/>
                <w:szCs w:val="20"/>
                <w:shd w:val="clear" w:color="auto" w:fill="FFFFFF"/>
                <w:lang w:val="pl-PL"/>
              </w:rPr>
              <w:t xml:space="preserve">skupiny </w:t>
            </w:r>
            <w:r w:rsidRPr="00253855">
              <w:rPr>
                <w:rFonts w:ascii="Times New Roman" w:hAnsi="Times New Roman" w:cs="Times New Roman"/>
                <w:noProof/>
                <w:sz w:val="20"/>
                <w:szCs w:val="20"/>
                <w:shd w:val="clear" w:color="auto" w:fill="FFFFFF"/>
                <w:lang w:val="pl-PL"/>
              </w:rPr>
              <w:t xml:space="preserve">podnikov: </w:t>
              <w:br/>
              <w:t xml:space="preserve">Finančný rok: </w:t>
              <w:br/>
              <w:t>Použitá mena:</w:t>
            </w:r>
          </w:p>
        </w:tc>
      </w:tr>
      <w:tr>
        <w:tblPrEx>
          <w:tblW w:w="0" w:type="auto"/>
          <w:tblLayout w:type="fixed"/>
          <w:tblCellMar>
            <w:left w:w="10" w:type="dxa"/>
            <w:right w:w="10" w:type="dxa"/>
          </w:tblCellMar>
          <w:tblLook w:val="04A0"/>
        </w:tblPrEx>
        <w:trPr>
          <w:trHeight w:val="283"/>
        </w:trPr>
        <w:tc>
          <w:tcPr>
            <w:tcW w:w="1171" w:type="dxa"/>
            <w:vMerge w:val="restart"/>
            <w:tcBorders>
              <w:top w:val="single" w:sz="4" w:space="0" w:color="auto"/>
              <w:left w:val="single" w:sz="4" w:space="0" w:color="auto"/>
              <w:bottom w:val="nil"/>
              <w:right w:val="nil"/>
            </w:tcBorders>
            <w:shd w:val="clear" w:color="auto" w:fill="FFFFFF"/>
            <w:textDirection w:val="lrTb"/>
            <w:vAlign w:val="top"/>
            <w:hideMark/>
          </w:tcPr>
          <w:p w:rsidR="00C77972" w:rsidRPr="00253855" w:rsidP="00253855">
            <w:pPr>
              <w:widowControl w:val="0"/>
              <w:bidi w:val="0"/>
              <w:spacing w:line="130" w:lineRule="exact"/>
              <w:ind w:left="100"/>
              <w:jc w:val="center"/>
              <w:rPr>
                <w:rFonts w:ascii="Times New Roman" w:hAnsi="Times New Roman" w:cs="Times New Roman"/>
                <w:noProof/>
                <w:sz w:val="20"/>
                <w:szCs w:val="20"/>
                <w:shd w:val="clear" w:color="auto" w:fill="FFFFFF"/>
              </w:rPr>
            </w:pPr>
          </w:p>
          <w:p w:rsidR="00EC45B2" w:rsidRPr="00253855" w:rsidP="00253855">
            <w:pPr>
              <w:widowControl w:val="0"/>
              <w:bidi w:val="0"/>
              <w:spacing w:line="197" w:lineRule="exact"/>
              <w:ind w:left="200"/>
              <w:jc w:val="center"/>
              <w:rPr>
                <w:rFonts w:ascii="Times New Roman" w:hAnsi="Times New Roman" w:cs="Times New Roman"/>
                <w:noProof/>
                <w:sz w:val="20"/>
                <w:szCs w:val="20"/>
              </w:rPr>
            </w:pPr>
            <w:r w:rsidRPr="00253855" w:rsidR="00C77972">
              <w:rPr>
                <w:rFonts w:ascii="Times New Roman" w:hAnsi="Times New Roman" w:cs="Times New Roman"/>
                <w:noProof/>
                <w:sz w:val="20"/>
                <w:szCs w:val="20"/>
                <w:shd w:val="clear" w:color="auto" w:fill="FFFFFF"/>
              </w:rPr>
              <w:t>Štát</w:t>
            </w:r>
          </w:p>
        </w:tc>
        <w:tc>
          <w:tcPr>
            <w:tcW w:w="3130" w:type="dxa"/>
            <w:gridSpan w:val="3"/>
            <w:tcBorders>
              <w:top w:val="single" w:sz="4" w:space="0" w:color="auto"/>
              <w:left w:val="single" w:sz="4" w:space="0" w:color="auto"/>
              <w:bottom w:val="nil"/>
              <w:right w:val="nil"/>
            </w:tcBorders>
            <w:shd w:val="clear" w:color="auto" w:fill="FFFFFF"/>
            <w:textDirection w:val="lrTb"/>
            <w:vAlign w:val="center"/>
            <w:hideMark/>
          </w:tcPr>
          <w:p w:rsidR="00C77972" w:rsidRPr="00253855" w:rsidP="00253855">
            <w:pPr>
              <w:widowControl w:val="0"/>
              <w:bidi w:val="0"/>
              <w:spacing w:line="130" w:lineRule="exact"/>
              <w:jc w:val="center"/>
              <w:rPr>
                <w:rFonts w:ascii="Times New Roman" w:hAnsi="Times New Roman" w:cs="Times New Roman"/>
                <w:noProof/>
                <w:sz w:val="20"/>
                <w:szCs w:val="20"/>
                <w:shd w:val="clear" w:color="auto" w:fill="FFFFFF"/>
              </w:rPr>
            </w:pPr>
          </w:p>
          <w:p w:rsidR="00EC45B2" w:rsidRPr="00253855" w:rsidP="00253855">
            <w:pPr>
              <w:widowControl w:val="0"/>
              <w:bidi w:val="0"/>
              <w:spacing w:line="197" w:lineRule="exact"/>
              <w:ind w:left="200"/>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Výnosy</w:t>
            </w:r>
          </w:p>
        </w:tc>
        <w:tc>
          <w:tcPr>
            <w:tcW w:w="1238"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616F74">
            <w:pPr>
              <w:widowControl w:val="0"/>
              <w:bidi w:val="0"/>
              <w:spacing w:line="197" w:lineRule="exact"/>
              <w:ind w:left="200"/>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Zisk</w:t>
            </w:r>
            <w:r w:rsidR="00616F74">
              <w:rPr>
                <w:rFonts w:ascii="Times New Roman" w:hAnsi="Times New Roman" w:cs="Times New Roman"/>
                <w:noProof/>
                <w:sz w:val="20"/>
                <w:szCs w:val="20"/>
                <w:shd w:val="clear" w:color="auto" w:fill="FFFFFF"/>
              </w:rPr>
              <w:t xml:space="preserve"> </w:t>
            </w:r>
            <w:r w:rsidRPr="00253855" w:rsidR="00616F74">
              <w:rPr>
                <w:rFonts w:ascii="Times New Roman" w:hAnsi="Times New Roman" w:cs="Times New Roman"/>
                <w:noProof/>
                <w:sz w:val="20"/>
                <w:szCs w:val="20"/>
                <w:shd w:val="clear" w:color="auto" w:fill="FFFFFF"/>
              </w:rPr>
              <w:t>alebo strata</w:t>
            </w:r>
            <w:r w:rsidRPr="00253855">
              <w:rPr>
                <w:rFonts w:ascii="Times New Roman" w:hAnsi="Times New Roman" w:cs="Times New Roman"/>
                <w:noProof/>
                <w:sz w:val="20"/>
                <w:szCs w:val="20"/>
                <w:shd w:val="clear" w:color="auto" w:fill="FFFFFF"/>
              </w:rPr>
              <w:t xml:space="preserve"> pred zdanením</w:t>
            </w:r>
            <w:r w:rsidRPr="00253855" w:rsidR="00D75CB7">
              <w:rPr>
                <w:rFonts w:ascii="Times New Roman" w:hAnsi="Times New Roman" w:cs="Times New Roman"/>
                <w:noProof/>
                <w:sz w:val="20"/>
                <w:szCs w:val="20"/>
                <w:shd w:val="clear" w:color="auto" w:fill="FFFFFF"/>
              </w:rPr>
              <w:t xml:space="preserve"> </w:t>
            </w:r>
          </w:p>
        </w:tc>
        <w:tc>
          <w:tcPr>
            <w:tcW w:w="1042"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jc w:val="center"/>
              <w:rPr>
                <w:rFonts w:ascii="Times New Roman" w:hAnsi="Times New Roman" w:cs="Times New Roman"/>
                <w:noProof/>
                <w:sz w:val="20"/>
                <w:szCs w:val="20"/>
              </w:rPr>
            </w:pPr>
            <w:r w:rsidRPr="00253855" w:rsidR="00D75CB7">
              <w:rPr>
                <w:rFonts w:ascii="Times New Roman" w:hAnsi="Times New Roman" w:cs="Times New Roman"/>
                <w:noProof/>
                <w:sz w:val="20"/>
                <w:szCs w:val="20"/>
                <w:shd w:val="clear" w:color="auto" w:fill="FFFFFF"/>
              </w:rPr>
              <w:t>Zaplatená</w:t>
            </w:r>
            <w:r w:rsidRPr="00253855">
              <w:rPr>
                <w:rFonts w:ascii="Times New Roman" w:hAnsi="Times New Roman" w:cs="Times New Roman"/>
                <w:noProof/>
                <w:sz w:val="20"/>
                <w:szCs w:val="20"/>
                <w:shd w:val="clear" w:color="auto" w:fill="FFFFFF"/>
              </w:rPr>
              <w:t xml:space="preserve"> daň z príjmu</w:t>
            </w:r>
          </w:p>
        </w:tc>
        <w:tc>
          <w:tcPr>
            <w:tcW w:w="1138"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jc w:val="center"/>
              <w:rPr>
                <w:rFonts w:ascii="Times New Roman" w:hAnsi="Times New Roman" w:cs="Times New Roman"/>
                <w:noProof/>
                <w:sz w:val="20"/>
                <w:szCs w:val="20"/>
                <w:shd w:val="clear" w:color="auto" w:fill="FFFFFF"/>
                <w:lang w:val="pl-PL"/>
              </w:rPr>
            </w:pPr>
            <w:r w:rsidRPr="00253855">
              <w:rPr>
                <w:rFonts w:ascii="Times New Roman" w:hAnsi="Times New Roman" w:cs="Times New Roman"/>
                <w:noProof/>
                <w:sz w:val="20"/>
                <w:szCs w:val="20"/>
                <w:shd w:val="clear" w:color="auto" w:fill="FFFFFF"/>
                <w:lang w:val="pl-PL"/>
              </w:rPr>
              <w:t>Splatná daň z príjmu</w:t>
            </w:r>
          </w:p>
        </w:tc>
        <w:tc>
          <w:tcPr>
            <w:tcW w:w="1166"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lang w:val="pl-PL"/>
              </w:rPr>
              <w:t>Zapísané základné imanie</w:t>
            </w:r>
          </w:p>
        </w:tc>
        <w:tc>
          <w:tcPr>
            <w:tcW w:w="1166"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616F74">
            <w:pPr>
              <w:widowControl w:val="0"/>
              <w:bidi w:val="0"/>
              <w:spacing w:line="197" w:lineRule="exact"/>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Nerozdelený zisk</w:t>
            </w:r>
            <w:r w:rsidR="00616F74">
              <w:rPr>
                <w:rFonts w:ascii="Times New Roman" w:hAnsi="Times New Roman" w:cs="Times New Roman"/>
                <w:noProof/>
                <w:sz w:val="20"/>
                <w:szCs w:val="20"/>
                <w:shd w:val="clear" w:color="auto" w:fill="FFFFFF"/>
              </w:rPr>
              <w:t xml:space="preserve"> a</w:t>
            </w:r>
            <w:r w:rsidR="00B04952">
              <w:rPr>
                <w:rFonts w:ascii="Times New Roman" w:hAnsi="Times New Roman" w:cs="Times New Roman"/>
                <w:noProof/>
                <w:sz w:val="20"/>
                <w:szCs w:val="20"/>
                <w:shd w:val="clear" w:color="auto" w:fill="FFFFFF"/>
              </w:rPr>
              <w:t xml:space="preserve"> neuhradená strata</w:t>
            </w:r>
          </w:p>
        </w:tc>
        <w:tc>
          <w:tcPr>
            <w:tcW w:w="1162"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ind w:right="-6"/>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Počet zamestnancov</w:t>
            </w:r>
          </w:p>
        </w:tc>
        <w:tc>
          <w:tcPr>
            <w:tcW w:w="1608" w:type="dxa"/>
            <w:vMerge w:val="restart"/>
            <w:tcBorders>
              <w:top w:val="single" w:sz="4" w:space="0" w:color="auto"/>
              <w:left w:val="single" w:sz="4" w:space="0" w:color="auto"/>
              <w:bottom w:val="nil"/>
              <w:right w:val="single" w:sz="4" w:space="0" w:color="auto"/>
            </w:tcBorders>
            <w:shd w:val="clear" w:color="auto" w:fill="FFFFFF"/>
            <w:textDirection w:val="lrTb"/>
            <w:vAlign w:val="center"/>
            <w:hideMark/>
          </w:tcPr>
          <w:p w:rsidR="00EC45B2" w:rsidRPr="00253855" w:rsidP="00253855">
            <w:pPr>
              <w:widowControl w:val="0"/>
              <w:bidi w:val="0"/>
              <w:spacing w:line="197" w:lineRule="exact"/>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 xml:space="preserve">Hmotný majetok iný ako peňažné prostriedky </w:t>
              <w:br/>
              <w:t>a peňažné ekvivalenty</w:t>
            </w:r>
          </w:p>
        </w:tc>
      </w:tr>
      <w:tr>
        <w:tblPrEx>
          <w:tblW w:w="0" w:type="auto"/>
          <w:tblLayout w:type="fixed"/>
          <w:tblCellMar>
            <w:left w:w="10" w:type="dxa"/>
            <w:right w:w="10" w:type="dxa"/>
          </w:tblCellMar>
          <w:tblLook w:val="04A0"/>
        </w:tblPrEx>
        <w:trPr>
          <w:trHeight w:hRule="exact" w:val="1178"/>
        </w:trPr>
        <w:tc>
          <w:tcPr>
            <w:tcW w:w="1171"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162" w:type="dxa"/>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ind w:left="200"/>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Od nezávislej osoby</w:t>
            </w:r>
          </w:p>
        </w:tc>
        <w:tc>
          <w:tcPr>
            <w:tcW w:w="1166" w:type="dxa"/>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ind w:left="200"/>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Od závislej osoby</w:t>
            </w:r>
          </w:p>
        </w:tc>
        <w:tc>
          <w:tcPr>
            <w:tcW w:w="802" w:type="dxa"/>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ind w:left="200"/>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Spolu</w:t>
            </w:r>
          </w:p>
        </w:tc>
        <w:tc>
          <w:tcPr>
            <w:tcW w:w="1238"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042"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138"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166"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166"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162" w:type="dxa"/>
            <w:vMerge/>
            <w:tcBorders>
              <w:top w:val="single" w:sz="4" w:space="0" w:color="auto"/>
              <w:left w:val="single" w:sz="4" w:space="0" w:color="auto"/>
              <w:bottom w:val="nil"/>
              <w:right w:val="nil"/>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c>
          <w:tcPr>
            <w:tcW w:w="1608" w:type="dxa"/>
            <w:vMerge/>
            <w:tcBorders>
              <w:top w:val="single" w:sz="4" w:space="0" w:color="auto"/>
              <w:left w:val="single" w:sz="4" w:space="0" w:color="auto"/>
              <w:bottom w:val="nil"/>
              <w:right w:val="single" w:sz="4" w:space="0" w:color="auto"/>
            </w:tcBorders>
            <w:textDirection w:val="lrTb"/>
            <w:vAlign w:val="center"/>
            <w:hideMark/>
          </w:tcPr>
          <w:p w:rsidR="00EC45B2" w:rsidRPr="00253855" w:rsidP="00253855">
            <w:pPr>
              <w:bidi w:val="0"/>
              <w:spacing w:line="240" w:lineRule="auto"/>
              <w:jc w:val="center"/>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253855">
            <w:pPr>
              <w:widowControl w:val="0"/>
              <w:bidi w:val="0"/>
              <w:jc w:val="center"/>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8"/>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83"/>
        </w:trPr>
        <w:tc>
          <w:tcPr>
            <w:tcW w:w="117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r>
        <w:tblPrEx>
          <w:tblW w:w="0" w:type="auto"/>
          <w:tblLayout w:type="fixed"/>
          <w:tblCellMar>
            <w:left w:w="10" w:type="dxa"/>
            <w:right w:w="10" w:type="dxa"/>
          </w:tblCellMar>
          <w:tblLook w:val="04A0"/>
        </w:tblPrEx>
        <w:trPr>
          <w:trHeight w:hRule="exact" w:val="293"/>
        </w:trPr>
        <w:tc>
          <w:tcPr>
            <w:tcW w:w="1171"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80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2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04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6"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16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10"/>
                <w:szCs w:val="10"/>
              </w:rPr>
            </w:pPr>
          </w:p>
        </w:tc>
      </w:tr>
    </w:tbl>
    <w:p w:rsidR="00EC45B2" w:rsidRPr="00253855" w:rsidP="00C77972">
      <w:pPr>
        <w:widowControl w:val="0"/>
        <w:bidi w:val="0"/>
        <w:spacing w:line="197" w:lineRule="exact"/>
        <w:ind w:left="200"/>
        <w:rPr>
          <w:rFonts w:ascii="Times New Roman" w:hAnsi="Times New Roman" w:cs="Times New Roman"/>
          <w:bCs/>
          <w:noProof/>
          <w:sz w:val="20"/>
        </w:rPr>
      </w:pPr>
      <w:r w:rsidRPr="00253855">
        <w:rPr>
          <w:rFonts w:ascii="Times New Roman" w:hAnsi="Times New Roman" w:cs="Times New Roman"/>
        </w:rPr>
        <w:br w:type="page"/>
      </w:r>
      <w:r w:rsidRPr="00253855">
        <w:rPr>
          <w:rFonts w:ascii="Times New Roman" w:hAnsi="Times New Roman" w:cs="Times New Roman"/>
          <w:noProof/>
          <w:sz w:val="20"/>
          <w:szCs w:val="20"/>
          <w:shd w:val="clear" w:color="auto" w:fill="FFFFFF"/>
        </w:rPr>
        <w:t>Tabuľka</w:t>
      </w:r>
      <w:r w:rsidRPr="00253855">
        <w:rPr>
          <w:rFonts w:ascii="Times New Roman" w:hAnsi="Times New Roman" w:cs="Times New Roman"/>
          <w:bCs/>
          <w:noProof/>
          <w:sz w:val="20"/>
          <w:shd w:val="clear" w:color="auto" w:fill="FFFFFF"/>
        </w:rPr>
        <w:t xml:space="preserve"> 2</w:t>
      </w:r>
      <w:r w:rsidRPr="00253855" w:rsidR="00253855">
        <w:rPr>
          <w:rFonts w:ascii="Times New Roman" w:hAnsi="Times New Roman" w:cs="Times New Roman"/>
          <w:bCs/>
          <w:noProof/>
          <w:sz w:val="20"/>
          <w:shd w:val="clear" w:color="auto" w:fill="FFFFFF"/>
        </w:rPr>
        <w:t>:</w:t>
      </w:r>
      <w:r w:rsidRPr="00253855">
        <w:rPr>
          <w:rFonts w:ascii="Times New Roman" w:hAnsi="Times New Roman" w:cs="Times New Roman"/>
          <w:bCs/>
          <w:noProof/>
          <w:sz w:val="20"/>
          <w:shd w:val="clear" w:color="auto" w:fill="FFFFFF"/>
        </w:rPr>
        <w:tab/>
        <w:t>Zoznam všetkých základných subjektov podľa jednotlivých štátov</w:t>
        <w:br/>
      </w:r>
    </w:p>
    <w:tbl>
      <w:tblPr>
        <w:tblStyle w:val="TableNormal"/>
        <w:tblW w:w="0" w:type="auto"/>
        <w:tblLayout w:type="fixed"/>
        <w:tblCellMar>
          <w:left w:w="10" w:type="dxa"/>
          <w:right w:w="10" w:type="dxa"/>
        </w:tblCellMar>
        <w:tblLook w:val="04A0"/>
      </w:tblPr>
      <w:tblGrid>
        <w:gridCol w:w="1186"/>
        <w:gridCol w:w="1541"/>
        <w:gridCol w:w="1757"/>
        <w:gridCol w:w="643"/>
        <w:gridCol w:w="822"/>
        <w:gridCol w:w="567"/>
        <w:gridCol w:w="530"/>
        <w:gridCol w:w="638"/>
        <w:gridCol w:w="638"/>
        <w:gridCol w:w="643"/>
        <w:gridCol w:w="638"/>
        <w:gridCol w:w="638"/>
        <w:gridCol w:w="542"/>
        <w:gridCol w:w="851"/>
        <w:gridCol w:w="526"/>
        <w:gridCol w:w="653"/>
      </w:tblGrid>
      <w:tr>
        <w:tblPrEx>
          <w:tblW w:w="0" w:type="auto"/>
          <w:tblLayout w:type="fixed"/>
          <w:tblCellMar>
            <w:left w:w="10" w:type="dxa"/>
            <w:right w:w="10" w:type="dxa"/>
          </w:tblCellMar>
          <w:tblLook w:val="04A0"/>
        </w:tblPrEx>
        <w:trPr>
          <w:trHeight w:val="464"/>
        </w:trPr>
        <w:tc>
          <w:tcPr>
            <w:tcW w:w="12813" w:type="dxa"/>
            <w:gridSpan w:val="16"/>
            <w:tcBorders>
              <w:top w:val="single" w:sz="4" w:space="0" w:color="auto"/>
              <w:left w:val="single" w:sz="4" w:space="0" w:color="auto"/>
              <w:bottom w:val="nil"/>
              <w:right w:val="single" w:sz="4" w:space="0" w:color="auto"/>
            </w:tcBorders>
            <w:shd w:val="clear" w:color="auto" w:fill="FFFFFF"/>
            <w:textDirection w:val="lrTb"/>
            <w:vAlign w:val="center"/>
            <w:hideMark/>
          </w:tcPr>
          <w:p w:rsidR="00EC45B2" w:rsidRPr="00253855" w:rsidP="00A071A8">
            <w:pPr>
              <w:widowControl w:val="0"/>
              <w:bidi w:val="0"/>
              <w:spacing w:line="197" w:lineRule="exact"/>
              <w:jc w:val="center"/>
              <w:rPr>
                <w:rFonts w:ascii="Times New Roman" w:hAnsi="Times New Roman" w:cs="Times New Roman"/>
                <w:noProof/>
                <w:sz w:val="20"/>
                <w:szCs w:val="20"/>
              </w:rPr>
            </w:pPr>
            <w:r w:rsidRPr="00253855">
              <w:rPr>
                <w:rFonts w:ascii="Times New Roman" w:hAnsi="Times New Roman" w:cs="Times New Roman"/>
                <w:noProof/>
                <w:sz w:val="20"/>
                <w:szCs w:val="20"/>
              </w:rPr>
              <w:t xml:space="preserve">Názov </w:t>
            </w:r>
            <w:r w:rsidRPr="00253855" w:rsidR="00A071A8">
              <w:rPr>
                <w:rFonts w:ascii="Times New Roman" w:hAnsi="Times New Roman" w:cs="Times New Roman"/>
                <w:noProof/>
                <w:sz w:val="20"/>
                <w:szCs w:val="20"/>
              </w:rPr>
              <w:t>nadnárodnej</w:t>
            </w:r>
            <w:r w:rsidRPr="00253855">
              <w:rPr>
                <w:rFonts w:ascii="Times New Roman" w:hAnsi="Times New Roman" w:cs="Times New Roman"/>
                <w:noProof/>
                <w:sz w:val="20"/>
                <w:szCs w:val="20"/>
              </w:rPr>
              <w:t xml:space="preserve"> </w:t>
            </w:r>
            <w:r w:rsidRPr="00253855" w:rsidR="00A071A8">
              <w:rPr>
                <w:rFonts w:ascii="Times New Roman" w:hAnsi="Times New Roman" w:cs="Times New Roman"/>
                <w:noProof/>
                <w:sz w:val="20"/>
                <w:szCs w:val="20"/>
              </w:rPr>
              <w:t xml:space="preserve">skupiny </w:t>
            </w:r>
            <w:r w:rsidRPr="00253855">
              <w:rPr>
                <w:rFonts w:ascii="Times New Roman" w:hAnsi="Times New Roman" w:cs="Times New Roman"/>
                <w:noProof/>
                <w:sz w:val="20"/>
                <w:szCs w:val="20"/>
              </w:rPr>
              <w:t xml:space="preserve">podnikov: </w:t>
              <w:br/>
              <w:t>Finančný rok:</w:t>
            </w:r>
          </w:p>
        </w:tc>
      </w:tr>
      <w:tr>
        <w:tblPrEx>
          <w:tblW w:w="0" w:type="auto"/>
          <w:tblLayout w:type="fixed"/>
          <w:tblCellMar>
            <w:left w:w="10" w:type="dxa"/>
            <w:right w:w="10" w:type="dxa"/>
          </w:tblCellMar>
          <w:tblLook w:val="04A0"/>
        </w:tblPrEx>
        <w:trPr>
          <w:trHeight w:hRule="exact" w:val="283"/>
        </w:trPr>
        <w:tc>
          <w:tcPr>
            <w:tcW w:w="1186"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ind w:left="200"/>
              <w:rPr>
                <w:rFonts w:ascii="Times New Roman" w:hAnsi="Times New Roman" w:cs="Times New Roman"/>
                <w:noProof/>
                <w:sz w:val="20"/>
                <w:szCs w:val="20"/>
              </w:rPr>
            </w:pPr>
            <w:r w:rsidR="001F58F0">
              <w:rPr>
                <w:rFonts w:ascii="Times New Roman" w:hAnsi="Times New Roman" w:cs="Times New Roman"/>
                <w:noProof/>
                <w:sz w:val="20"/>
                <w:szCs w:val="20"/>
                <w:shd w:val="clear" w:color="auto" w:fill="FFFFFF"/>
              </w:rPr>
              <w:t>Š</w:t>
            </w:r>
            <w:r w:rsidRPr="00253855">
              <w:rPr>
                <w:rFonts w:ascii="Times New Roman" w:hAnsi="Times New Roman" w:cs="Times New Roman"/>
                <w:noProof/>
                <w:sz w:val="20"/>
                <w:szCs w:val="20"/>
                <w:shd w:val="clear" w:color="auto" w:fill="FFFFFF"/>
              </w:rPr>
              <w:t>tát</w:t>
            </w:r>
          </w:p>
        </w:tc>
        <w:tc>
          <w:tcPr>
            <w:tcW w:w="1541"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253855">
            <w:pPr>
              <w:widowControl w:val="0"/>
              <w:bidi w:val="0"/>
              <w:spacing w:line="197" w:lineRule="exact"/>
              <w:jc w:val="center"/>
              <w:rPr>
                <w:rFonts w:ascii="Times New Roman" w:hAnsi="Times New Roman" w:cs="Times New Roman"/>
                <w:noProof/>
                <w:sz w:val="20"/>
                <w:szCs w:val="20"/>
              </w:rPr>
            </w:pPr>
            <w:r w:rsidRPr="00253855">
              <w:rPr>
                <w:rFonts w:ascii="Times New Roman" w:hAnsi="Times New Roman" w:cs="Times New Roman"/>
                <w:noProof/>
                <w:sz w:val="20"/>
                <w:szCs w:val="20"/>
              </w:rPr>
              <w:t>Názov základného subjektu, ktorý je  daňovým rezidentom v príslušnom štáte</w:t>
            </w:r>
          </w:p>
        </w:tc>
        <w:tc>
          <w:tcPr>
            <w:tcW w:w="1757" w:type="dxa"/>
            <w:vMerge w:val="restart"/>
            <w:tcBorders>
              <w:top w:val="single" w:sz="4" w:space="0" w:color="auto"/>
              <w:left w:val="single" w:sz="4" w:space="0" w:color="auto"/>
              <w:bottom w:val="nil"/>
              <w:right w:val="nil"/>
            </w:tcBorders>
            <w:shd w:val="clear" w:color="auto" w:fill="FFFFFF"/>
            <w:textDirection w:val="lrTb"/>
            <w:vAlign w:val="center"/>
            <w:hideMark/>
          </w:tcPr>
          <w:p w:rsidR="00EC45B2" w:rsidRPr="00253855" w:rsidP="00C40D59">
            <w:pPr>
              <w:widowControl w:val="0"/>
              <w:bidi w:val="0"/>
              <w:spacing w:line="197" w:lineRule="exact"/>
              <w:jc w:val="center"/>
              <w:rPr>
                <w:rFonts w:ascii="Times New Roman" w:hAnsi="Times New Roman" w:cs="Times New Roman"/>
                <w:noProof/>
                <w:sz w:val="20"/>
                <w:szCs w:val="20"/>
                <w:shd w:val="clear" w:color="auto" w:fill="FFFFFF"/>
              </w:rPr>
            </w:pPr>
            <w:r w:rsidRPr="00253855">
              <w:rPr>
                <w:rFonts w:ascii="Times New Roman" w:hAnsi="Times New Roman" w:cs="Times New Roman"/>
                <w:noProof/>
                <w:sz w:val="20"/>
                <w:szCs w:val="20"/>
                <w:shd w:val="clear" w:color="auto" w:fill="FFFFFF"/>
              </w:rPr>
              <w:t xml:space="preserve">Štát, podľa </w:t>
            </w:r>
            <w:r w:rsidRPr="00253855" w:rsidR="00253855">
              <w:rPr>
                <w:rFonts w:ascii="Times New Roman" w:hAnsi="Times New Roman" w:cs="Times New Roman"/>
                <w:noProof/>
                <w:sz w:val="20"/>
                <w:szCs w:val="20"/>
                <w:shd w:val="clear" w:color="auto" w:fill="FFFFFF"/>
              </w:rPr>
              <w:t>právneho poriadku</w:t>
            </w:r>
            <w:r w:rsidRPr="00253855">
              <w:rPr>
                <w:rFonts w:ascii="Times New Roman" w:hAnsi="Times New Roman" w:cs="Times New Roman"/>
                <w:noProof/>
                <w:sz w:val="20"/>
                <w:szCs w:val="20"/>
                <w:shd w:val="clear" w:color="auto" w:fill="FFFFFF"/>
              </w:rPr>
              <w:t xml:space="preserve"> ktorého je základný subjekt zriadený alebo zaregistrovaný, ak sa </w:t>
            </w:r>
            <w:r w:rsidRPr="00253855" w:rsidR="00253855">
              <w:rPr>
                <w:rFonts w:ascii="Times New Roman" w:hAnsi="Times New Roman" w:cs="Times New Roman"/>
                <w:noProof/>
                <w:sz w:val="20"/>
                <w:szCs w:val="20"/>
                <w:shd w:val="clear" w:color="auto" w:fill="FFFFFF"/>
              </w:rPr>
              <w:t>odlišuje</w:t>
            </w:r>
            <w:r w:rsidRPr="00253855">
              <w:rPr>
                <w:rFonts w:ascii="Times New Roman" w:hAnsi="Times New Roman" w:cs="Times New Roman"/>
                <w:noProof/>
                <w:sz w:val="20"/>
                <w:szCs w:val="20"/>
                <w:shd w:val="clear" w:color="auto" w:fill="FFFFFF"/>
              </w:rPr>
              <w:t xml:space="preserve"> od štátu daňovej rezidencie</w:t>
            </w:r>
          </w:p>
        </w:tc>
        <w:tc>
          <w:tcPr>
            <w:tcW w:w="8329" w:type="dxa"/>
            <w:gridSpan w:val="13"/>
            <w:tcBorders>
              <w:top w:val="single" w:sz="4" w:space="0" w:color="auto"/>
              <w:left w:val="single" w:sz="4" w:space="0" w:color="auto"/>
              <w:bottom w:val="nil"/>
              <w:right w:val="single" w:sz="4" w:space="0" w:color="auto"/>
            </w:tcBorders>
            <w:shd w:val="clear" w:color="auto" w:fill="FFFFFF"/>
            <w:textDirection w:val="lrTb"/>
            <w:vAlign w:val="bottom"/>
            <w:hideMark/>
          </w:tcPr>
          <w:p w:rsidR="00EC45B2" w:rsidRPr="00253855" w:rsidP="00C77972">
            <w:pPr>
              <w:widowControl w:val="0"/>
              <w:bidi w:val="0"/>
              <w:spacing w:line="197" w:lineRule="exact"/>
              <w:ind w:left="200"/>
              <w:jc w:val="center"/>
              <w:rPr>
                <w:rFonts w:ascii="Times New Roman" w:hAnsi="Times New Roman" w:cs="Times New Roman"/>
                <w:noProof/>
                <w:sz w:val="20"/>
                <w:szCs w:val="20"/>
                <w:shd w:val="clear" w:color="auto" w:fill="FFFFFF"/>
              </w:rPr>
            </w:pPr>
            <w:r w:rsidRPr="00253855">
              <w:rPr>
                <w:rFonts w:ascii="Times New Roman" w:hAnsi="Times New Roman" w:cs="Times New Roman"/>
                <w:noProof/>
                <w:sz w:val="20"/>
                <w:szCs w:val="20"/>
                <w:shd w:val="clear" w:color="auto" w:fill="FFFFFF"/>
              </w:rPr>
              <w:t xml:space="preserve">Hlavná ekonomická činnosť </w:t>
            </w:r>
          </w:p>
        </w:tc>
      </w:tr>
      <w:tr>
        <w:tblPrEx>
          <w:tblW w:w="0" w:type="auto"/>
          <w:tblLayout w:type="fixed"/>
          <w:tblCellMar>
            <w:left w:w="10" w:type="dxa"/>
            <w:right w:w="10" w:type="dxa"/>
          </w:tblCellMar>
          <w:tblLook w:val="04A0"/>
        </w:tblPrEx>
        <w:trPr>
          <w:trHeight w:hRule="exact" w:val="1963"/>
        </w:trPr>
        <w:tc>
          <w:tcPr>
            <w:tcW w:w="1186" w:type="dxa"/>
            <w:vMerge/>
            <w:tcBorders>
              <w:top w:val="single" w:sz="4" w:space="0" w:color="auto"/>
              <w:left w:val="single" w:sz="4" w:space="0" w:color="auto"/>
              <w:bottom w:val="nil"/>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541" w:type="dxa"/>
            <w:vMerge/>
            <w:tcBorders>
              <w:top w:val="single" w:sz="4" w:space="0" w:color="auto"/>
              <w:left w:val="single" w:sz="4" w:space="0" w:color="auto"/>
              <w:bottom w:val="nil"/>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757" w:type="dxa"/>
            <w:vMerge/>
            <w:tcBorders>
              <w:top w:val="single" w:sz="4" w:space="0" w:color="auto"/>
              <w:left w:val="single" w:sz="4" w:space="0" w:color="auto"/>
              <w:bottom w:val="nil"/>
              <w:right w:val="nil"/>
            </w:tcBorders>
            <w:textDirection w:val="lrTb"/>
            <w:vAlign w:val="center"/>
            <w:hideMark/>
          </w:tcPr>
          <w:p w:rsidR="00EC45B2" w:rsidRPr="00253855" w:rsidP="00C77972">
            <w:pPr>
              <w:widowControl w:val="0"/>
              <w:bidi w:val="0"/>
              <w:spacing w:line="197" w:lineRule="exact"/>
              <w:ind w:left="200"/>
              <w:jc w:val="center"/>
              <w:rPr>
                <w:rFonts w:ascii="Times New Roman" w:hAnsi="Times New Roman" w:cs="Times New Roman"/>
                <w:noProof/>
                <w:sz w:val="20"/>
                <w:szCs w:val="20"/>
                <w:shd w:val="clear" w:color="auto" w:fill="FFFFFF"/>
              </w:rPr>
            </w:pPr>
          </w:p>
        </w:tc>
        <w:tc>
          <w:tcPr>
            <w:tcW w:w="643"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shd w:val="clear" w:color="auto" w:fill="FFFFFF"/>
              </w:rPr>
            </w:pPr>
            <w:r w:rsidRPr="00253855">
              <w:rPr>
                <w:rFonts w:ascii="Times New Roman" w:hAnsi="Times New Roman" w:cs="Times New Roman"/>
                <w:noProof/>
                <w:sz w:val="20"/>
                <w:szCs w:val="20"/>
                <w:shd w:val="clear" w:color="auto" w:fill="FFFFFF"/>
              </w:rPr>
              <w:t>Výskum a vývoj</w:t>
            </w:r>
          </w:p>
        </w:tc>
        <w:tc>
          <w:tcPr>
            <w:tcW w:w="822"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rPr>
            </w:pPr>
            <w:r w:rsidRPr="00253855">
              <w:rPr>
                <w:rFonts w:ascii="Times New Roman" w:hAnsi="Times New Roman" w:cs="Times New Roman"/>
                <w:noProof/>
                <w:sz w:val="20"/>
                <w:szCs w:val="20"/>
              </w:rPr>
              <w:t xml:space="preserve">Držba alebo správa majetku </w:t>
              <w:br/>
              <w:t>duševného vlastníctva</w:t>
            </w:r>
          </w:p>
        </w:tc>
        <w:tc>
          <w:tcPr>
            <w:tcW w:w="567"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Nákup</w:t>
            </w:r>
            <w:r w:rsidRPr="00253855">
              <w:rPr>
                <w:rFonts w:ascii="Times New Roman" w:hAnsi="Times New Roman" w:cs="Times New Roman"/>
                <w:noProof/>
                <w:sz w:val="20"/>
                <w:szCs w:val="20"/>
              </w:rPr>
              <w:t xml:space="preserve"> alebo obstarávanie</w:t>
            </w:r>
          </w:p>
        </w:tc>
        <w:tc>
          <w:tcPr>
            <w:tcW w:w="530"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Výroba</w:t>
            </w:r>
            <w:r w:rsidRPr="00253855">
              <w:rPr>
                <w:rFonts w:ascii="Times New Roman" w:hAnsi="Times New Roman" w:cs="Times New Roman"/>
                <w:noProof/>
                <w:sz w:val="20"/>
                <w:szCs w:val="20"/>
              </w:rPr>
              <w:t xml:space="preserve"> </w:t>
            </w:r>
          </w:p>
        </w:tc>
        <w:tc>
          <w:tcPr>
            <w:tcW w:w="638"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rPr>
            </w:pPr>
            <w:r w:rsidRPr="00253855">
              <w:rPr>
                <w:rFonts w:ascii="Times New Roman" w:hAnsi="Times New Roman" w:cs="Times New Roman"/>
                <w:noProof/>
                <w:sz w:val="20"/>
                <w:szCs w:val="20"/>
              </w:rPr>
              <w:t xml:space="preserve">Predaj, marketing </w:t>
              <w:br/>
              <w:t>alebo distribúcia</w:t>
            </w:r>
          </w:p>
        </w:tc>
        <w:tc>
          <w:tcPr>
            <w:tcW w:w="638"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lang w:val="pt-PT"/>
              </w:rPr>
            </w:pPr>
            <w:r w:rsidRPr="00253855">
              <w:rPr>
                <w:rFonts w:ascii="Times New Roman" w:hAnsi="Times New Roman" w:cs="Times New Roman"/>
                <w:noProof/>
                <w:sz w:val="20"/>
                <w:szCs w:val="20"/>
                <w:lang w:val="pt-PT"/>
              </w:rPr>
              <w:t xml:space="preserve">Správne, riadiace </w:t>
              <w:br/>
              <w:t>alebo podporné služby</w:t>
            </w:r>
          </w:p>
        </w:tc>
        <w:tc>
          <w:tcPr>
            <w:tcW w:w="643"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rPr>
            </w:pPr>
            <w:r w:rsidRPr="00253855">
              <w:rPr>
                <w:rFonts w:ascii="Times New Roman" w:hAnsi="Times New Roman" w:cs="Times New Roman"/>
                <w:noProof/>
                <w:sz w:val="20"/>
                <w:szCs w:val="20"/>
              </w:rPr>
              <w:t>Poskytovanie služieb nezávislým osobám</w:t>
            </w:r>
          </w:p>
        </w:tc>
        <w:tc>
          <w:tcPr>
            <w:tcW w:w="638"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Financovanie</w:t>
            </w:r>
            <w:r w:rsidRPr="00253855">
              <w:rPr>
                <w:rFonts w:ascii="Times New Roman" w:hAnsi="Times New Roman" w:cs="Times New Roman"/>
                <w:noProof/>
                <w:sz w:val="20"/>
                <w:szCs w:val="20"/>
              </w:rPr>
              <w:t xml:space="preserve"> v rámci skupiny</w:t>
            </w:r>
          </w:p>
        </w:tc>
        <w:tc>
          <w:tcPr>
            <w:tcW w:w="638"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rPr>
            </w:pPr>
            <w:r w:rsidRPr="00253855">
              <w:rPr>
                <w:rFonts w:ascii="Times New Roman" w:hAnsi="Times New Roman" w:cs="Times New Roman"/>
                <w:noProof/>
                <w:sz w:val="20"/>
                <w:szCs w:val="20"/>
              </w:rPr>
              <w:t>Regulované finančné služby</w:t>
            </w:r>
          </w:p>
        </w:tc>
        <w:tc>
          <w:tcPr>
            <w:tcW w:w="542"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Poistenie</w:t>
            </w:r>
          </w:p>
        </w:tc>
        <w:tc>
          <w:tcPr>
            <w:tcW w:w="851"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80"/>
              <w:rPr>
                <w:rFonts w:ascii="Times New Roman" w:hAnsi="Times New Roman" w:cs="Times New Roman"/>
                <w:noProof/>
                <w:sz w:val="20"/>
                <w:szCs w:val="20"/>
              </w:rPr>
            </w:pPr>
            <w:r w:rsidRPr="00253855">
              <w:rPr>
                <w:rFonts w:ascii="Times New Roman" w:hAnsi="Times New Roman" w:cs="Times New Roman"/>
                <w:noProof/>
                <w:sz w:val="20"/>
                <w:szCs w:val="20"/>
              </w:rPr>
              <w:t xml:space="preserve">Držba akcií alebo iných </w:t>
              <w:br/>
              <w:t>nástrojov vlastného imania</w:t>
            </w:r>
          </w:p>
        </w:tc>
        <w:tc>
          <w:tcPr>
            <w:tcW w:w="526" w:type="dxa"/>
            <w:tcBorders>
              <w:top w:val="single" w:sz="4" w:space="0" w:color="auto"/>
              <w:left w:val="single" w:sz="4" w:space="0" w:color="auto"/>
              <w:bottom w:val="nil"/>
              <w:right w:val="nil"/>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Nevyvíja</w:t>
            </w:r>
            <w:r w:rsidRPr="00253855">
              <w:rPr>
                <w:rFonts w:ascii="Times New Roman" w:hAnsi="Times New Roman" w:cs="Times New Roman"/>
                <w:noProof/>
                <w:sz w:val="20"/>
                <w:szCs w:val="20"/>
              </w:rPr>
              <w:t xml:space="preserve"> činnosť</w:t>
            </w:r>
          </w:p>
        </w:tc>
        <w:tc>
          <w:tcPr>
            <w:tcW w:w="653" w:type="dxa"/>
            <w:tcBorders>
              <w:top w:val="single" w:sz="4" w:space="0" w:color="auto"/>
              <w:left w:val="single" w:sz="4" w:space="0" w:color="auto"/>
              <w:bottom w:val="nil"/>
              <w:right w:val="single" w:sz="4" w:space="0" w:color="auto"/>
            </w:tcBorders>
            <w:shd w:val="clear" w:color="auto" w:fill="FFFFFF"/>
            <w:textDirection w:val="btLr"/>
            <w:vAlign w:val="top"/>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Iné</w:t>
            </w:r>
          </w:p>
        </w:tc>
      </w:tr>
      <w:tr>
        <w:tblPrEx>
          <w:tblW w:w="0" w:type="auto"/>
          <w:tblLayout w:type="fixed"/>
          <w:tblCellMar>
            <w:left w:w="10" w:type="dxa"/>
            <w:right w:w="10" w:type="dxa"/>
          </w:tblCellMar>
          <w:tblLook w:val="04A0"/>
        </w:tblPrEx>
        <w:trPr>
          <w:trHeight w:hRule="exact" w:val="283"/>
        </w:trPr>
        <w:tc>
          <w:tcPr>
            <w:tcW w:w="1186" w:type="dxa"/>
            <w:vMerge w:val="restart"/>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1541" w:type="dxa"/>
            <w:tcBorders>
              <w:top w:val="single" w:sz="4" w:space="0" w:color="auto"/>
              <w:left w:val="single" w:sz="4" w:space="0" w:color="auto"/>
              <w:bottom w:val="nil"/>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shd w:val="clear" w:color="auto" w:fill="FFFFFF"/>
              </w:rPr>
            </w:pPr>
            <w:r w:rsidRPr="00253855">
              <w:rPr>
                <w:rFonts w:ascii="Times New Roman" w:hAnsi="Times New Roman" w:cs="Times New Roman"/>
                <w:noProof/>
                <w:sz w:val="20"/>
                <w:szCs w:val="20"/>
                <w:shd w:val="clear" w:color="auto" w:fill="FFFFFF"/>
              </w:rPr>
              <w:t>1.</w:t>
            </w:r>
          </w:p>
        </w:tc>
        <w:tc>
          <w:tcPr>
            <w:tcW w:w="175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86" w:type="dxa"/>
            <w:vMerge/>
            <w:tcBorders>
              <w:top w:val="single" w:sz="4" w:space="0" w:color="auto"/>
              <w:left w:val="single" w:sz="4" w:space="0" w:color="auto"/>
              <w:bottom w:val="nil"/>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541" w:type="dxa"/>
            <w:tcBorders>
              <w:top w:val="single" w:sz="4" w:space="0" w:color="auto"/>
              <w:left w:val="single" w:sz="4" w:space="0" w:color="auto"/>
              <w:bottom w:val="nil"/>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rPr>
              <w:t>2.</w:t>
            </w:r>
          </w:p>
        </w:tc>
        <w:tc>
          <w:tcPr>
            <w:tcW w:w="175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86" w:type="dxa"/>
            <w:vMerge/>
            <w:tcBorders>
              <w:top w:val="single" w:sz="4" w:space="0" w:color="auto"/>
              <w:left w:val="single" w:sz="4" w:space="0" w:color="auto"/>
              <w:bottom w:val="nil"/>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541" w:type="dxa"/>
            <w:tcBorders>
              <w:top w:val="single" w:sz="4" w:space="0" w:color="auto"/>
              <w:left w:val="single" w:sz="4" w:space="0" w:color="auto"/>
              <w:bottom w:val="nil"/>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rPr>
              <w:t>3.</w:t>
            </w:r>
          </w:p>
        </w:tc>
        <w:tc>
          <w:tcPr>
            <w:tcW w:w="175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86" w:type="dxa"/>
            <w:vMerge w:val="restart"/>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1541" w:type="dxa"/>
            <w:tcBorders>
              <w:top w:val="single" w:sz="4" w:space="0" w:color="auto"/>
              <w:left w:val="single" w:sz="4" w:space="0" w:color="auto"/>
              <w:bottom w:val="nil"/>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rPr>
              <w:t>1.</w:t>
            </w:r>
          </w:p>
        </w:tc>
        <w:tc>
          <w:tcPr>
            <w:tcW w:w="175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83"/>
        </w:trPr>
        <w:tc>
          <w:tcPr>
            <w:tcW w:w="1186" w:type="dxa"/>
            <w:vMerge/>
            <w:tcBorders>
              <w:top w:val="single" w:sz="4" w:space="0" w:color="auto"/>
              <w:left w:val="single" w:sz="4" w:space="0" w:color="auto"/>
              <w:bottom w:val="single" w:sz="4" w:space="0" w:color="auto"/>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541" w:type="dxa"/>
            <w:tcBorders>
              <w:top w:val="single" w:sz="4" w:space="0" w:color="auto"/>
              <w:left w:val="single" w:sz="4" w:space="0" w:color="auto"/>
              <w:bottom w:val="nil"/>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rPr>
              <w:t>2.</w:t>
            </w:r>
          </w:p>
        </w:tc>
        <w:tc>
          <w:tcPr>
            <w:tcW w:w="175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nil"/>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nil"/>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r>
        <w:tblPrEx>
          <w:tblW w:w="0" w:type="auto"/>
          <w:tblLayout w:type="fixed"/>
          <w:tblCellMar>
            <w:left w:w="10" w:type="dxa"/>
            <w:right w:w="10" w:type="dxa"/>
          </w:tblCellMar>
          <w:tblLook w:val="04A0"/>
        </w:tblPrEx>
        <w:trPr>
          <w:trHeight w:hRule="exact" w:val="293"/>
        </w:trPr>
        <w:tc>
          <w:tcPr>
            <w:tcW w:w="1186" w:type="dxa"/>
            <w:vMerge/>
            <w:tcBorders>
              <w:top w:val="single" w:sz="4" w:space="0" w:color="auto"/>
              <w:left w:val="single" w:sz="4" w:space="0" w:color="auto"/>
              <w:bottom w:val="single" w:sz="4" w:space="0" w:color="auto"/>
              <w:right w:val="nil"/>
            </w:tcBorders>
            <w:textDirection w:val="lrTb"/>
            <w:vAlign w:val="center"/>
            <w:hideMark/>
          </w:tcPr>
          <w:p w:rsidR="00EC45B2" w:rsidRPr="00253855" w:rsidP="0018529F">
            <w:pPr>
              <w:bidi w:val="0"/>
              <w:spacing w:line="240" w:lineRule="auto"/>
              <w:rPr>
                <w:rFonts w:ascii="Times New Roman" w:hAnsi="Times New Roman" w:cs="Times New Roman"/>
                <w:noProof/>
                <w:sz w:val="20"/>
                <w:szCs w:val="20"/>
              </w:rPr>
            </w:pPr>
          </w:p>
        </w:tc>
        <w:tc>
          <w:tcPr>
            <w:tcW w:w="1541" w:type="dxa"/>
            <w:tcBorders>
              <w:top w:val="single" w:sz="4" w:space="0" w:color="auto"/>
              <w:left w:val="single" w:sz="4" w:space="0" w:color="auto"/>
              <w:bottom w:val="single" w:sz="4" w:space="0" w:color="auto"/>
              <w:right w:val="nil"/>
            </w:tcBorders>
            <w:shd w:val="clear" w:color="auto" w:fill="FFFFFF"/>
            <w:textDirection w:val="lrTb"/>
            <w:vAlign w:val="bottom"/>
            <w:hideMark/>
          </w:tcPr>
          <w:p w:rsidR="00EC45B2" w:rsidRPr="00253855" w:rsidP="00C77972">
            <w:pPr>
              <w:widowControl w:val="0"/>
              <w:bidi w:val="0"/>
              <w:spacing w:line="197" w:lineRule="exact"/>
              <w:ind w:left="200"/>
              <w:rPr>
                <w:rFonts w:ascii="Times New Roman" w:hAnsi="Times New Roman" w:cs="Times New Roman"/>
                <w:noProof/>
                <w:sz w:val="20"/>
                <w:szCs w:val="20"/>
              </w:rPr>
            </w:pPr>
            <w:r w:rsidRPr="00253855">
              <w:rPr>
                <w:rFonts w:ascii="Times New Roman" w:hAnsi="Times New Roman" w:cs="Times New Roman"/>
                <w:noProof/>
                <w:sz w:val="20"/>
                <w:szCs w:val="20"/>
              </w:rPr>
              <w:t>3.</w:t>
            </w:r>
          </w:p>
        </w:tc>
        <w:tc>
          <w:tcPr>
            <w:tcW w:w="1757"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2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67"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30"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43"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38"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42"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851"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526" w:type="dxa"/>
            <w:tcBorders>
              <w:top w:val="single" w:sz="4" w:space="0" w:color="auto"/>
              <w:left w:val="single" w:sz="4" w:space="0" w:color="auto"/>
              <w:bottom w:val="single" w:sz="4" w:space="0" w:color="auto"/>
              <w:right w:val="nil"/>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EC45B2" w:rsidRPr="00253855" w:rsidP="0018529F">
            <w:pPr>
              <w:widowControl w:val="0"/>
              <w:bidi w:val="0"/>
              <w:rPr>
                <w:rFonts w:ascii="Times New Roman" w:hAnsi="Times New Roman" w:cs="Times New Roman"/>
                <w:noProof/>
                <w:sz w:val="20"/>
                <w:szCs w:val="20"/>
              </w:rPr>
            </w:pPr>
          </w:p>
        </w:tc>
      </w:tr>
    </w:tbl>
    <w:p w:rsidR="00EC45B2" w:rsidRPr="00253855" w:rsidP="00EC45B2">
      <w:pPr>
        <w:bidi w:val="0"/>
        <w:rPr>
          <w:rFonts w:ascii="Times New Roman" w:hAnsi="Times New Roman" w:cs="Times New Roman"/>
          <w:noProof/>
          <w:sz w:val="16"/>
          <w:szCs w:val="16"/>
        </w:rPr>
      </w:pPr>
    </w:p>
    <w:p w:rsidR="00EC45B2" w:rsidRPr="00253855" w:rsidP="00253855">
      <w:pPr>
        <w:widowControl w:val="0"/>
        <w:bidi w:val="0"/>
        <w:spacing w:line="197" w:lineRule="exact"/>
        <w:ind w:left="200"/>
        <w:rPr>
          <w:rFonts w:ascii="Times New Roman" w:hAnsi="Times New Roman" w:cs="Times New Roman"/>
          <w:noProof/>
          <w:sz w:val="20"/>
          <w:szCs w:val="20"/>
          <w:shd w:val="clear" w:color="auto" w:fill="FFFFFF"/>
        </w:rPr>
      </w:pPr>
      <w:r w:rsidRPr="00253855">
        <w:rPr>
          <w:rFonts w:ascii="Times New Roman" w:hAnsi="Times New Roman" w:cs="Times New Roman"/>
          <w:noProof/>
        </w:rPr>
        <w:br w:type="page"/>
      </w:r>
      <w:r w:rsidRPr="00253855">
        <w:rPr>
          <w:rFonts w:ascii="Times New Roman" w:hAnsi="Times New Roman" w:cs="Times New Roman"/>
          <w:noProof/>
          <w:sz w:val="20"/>
          <w:szCs w:val="20"/>
          <w:shd w:val="clear" w:color="auto" w:fill="FFFFFF"/>
        </w:rPr>
        <w:t>Tabuľka</w:t>
      </w:r>
      <w:r w:rsidRPr="00253855">
        <w:rPr>
          <w:rFonts w:ascii="Times New Roman" w:hAnsi="Times New Roman" w:cs="Times New Roman"/>
          <w:noProof/>
        </w:rPr>
        <w:t xml:space="preserve"> </w:t>
      </w:r>
      <w:r w:rsidRPr="00253855">
        <w:rPr>
          <w:rFonts w:ascii="Times New Roman" w:hAnsi="Times New Roman" w:cs="Times New Roman"/>
          <w:noProof/>
          <w:sz w:val="20"/>
          <w:szCs w:val="20"/>
          <w:shd w:val="clear" w:color="auto" w:fill="FFFFFF"/>
        </w:rPr>
        <w:t>3:</w:t>
        <w:tab/>
        <w:t>Doplňujúce informácie</w:t>
      </w:r>
    </w:p>
    <w:tbl>
      <w:tblPr>
        <w:tblStyle w:val="TableNormal"/>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4"/>
      </w:tblGrid>
      <w:tr>
        <w:tblPrEx>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7"/>
        </w:trPr>
        <w:tc>
          <w:tcPr>
            <w:tcW w:w="5000" w:type="pct"/>
            <w:tcBorders>
              <w:top w:val="single" w:sz="4" w:space="0" w:color="auto"/>
              <w:left w:val="single" w:sz="4" w:space="0" w:color="auto"/>
              <w:bottom w:val="single" w:sz="4" w:space="0" w:color="auto"/>
              <w:right w:val="single" w:sz="4" w:space="0" w:color="auto"/>
            </w:tcBorders>
            <w:textDirection w:val="lrTb"/>
            <w:vAlign w:val="top"/>
            <w:hideMark/>
          </w:tcPr>
          <w:p w:rsidR="00EC45B2" w:rsidRPr="00253855" w:rsidP="0018529F">
            <w:pPr>
              <w:widowControl w:val="0"/>
              <w:bidi w:val="0"/>
              <w:spacing w:before="60" w:after="60" w:line="240" w:lineRule="auto"/>
              <w:ind w:left="159"/>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br/>
              <w:t xml:space="preserve">Názov </w:t>
            </w:r>
            <w:r w:rsidRPr="00253855" w:rsidR="00A071A8">
              <w:rPr>
                <w:rFonts w:ascii="Times New Roman" w:hAnsi="Times New Roman" w:cs="Times New Roman"/>
                <w:noProof/>
                <w:sz w:val="20"/>
                <w:szCs w:val="20"/>
                <w:shd w:val="clear" w:color="auto" w:fill="FFFFFF"/>
              </w:rPr>
              <w:t>nadnárodnej</w:t>
            </w:r>
            <w:r w:rsidRPr="00253855">
              <w:rPr>
                <w:rFonts w:ascii="Times New Roman" w:hAnsi="Times New Roman" w:cs="Times New Roman"/>
                <w:noProof/>
                <w:sz w:val="20"/>
                <w:szCs w:val="20"/>
                <w:shd w:val="clear" w:color="auto" w:fill="FFFFFF"/>
              </w:rPr>
              <w:t xml:space="preserve"> </w:t>
            </w:r>
            <w:r w:rsidRPr="00253855" w:rsidR="00A071A8">
              <w:rPr>
                <w:rFonts w:ascii="Times New Roman" w:hAnsi="Times New Roman" w:cs="Times New Roman"/>
                <w:noProof/>
                <w:sz w:val="20"/>
                <w:szCs w:val="20"/>
                <w:shd w:val="clear" w:color="auto" w:fill="FFFFFF"/>
              </w:rPr>
              <w:t xml:space="preserve">skupiny </w:t>
            </w:r>
            <w:r w:rsidRPr="00253855">
              <w:rPr>
                <w:rFonts w:ascii="Times New Roman" w:hAnsi="Times New Roman" w:cs="Times New Roman"/>
                <w:noProof/>
                <w:sz w:val="20"/>
                <w:szCs w:val="20"/>
                <w:shd w:val="clear" w:color="auto" w:fill="FFFFFF"/>
              </w:rPr>
              <w:t>podnikov:</w:t>
            </w:r>
          </w:p>
          <w:p w:rsidR="00EC45B2" w:rsidRPr="00253855" w:rsidP="0018529F">
            <w:pPr>
              <w:widowControl w:val="0"/>
              <w:bidi w:val="0"/>
              <w:spacing w:before="60" w:after="60" w:line="240" w:lineRule="auto"/>
              <w:ind w:left="159"/>
              <w:jc w:val="center"/>
              <w:rPr>
                <w:rFonts w:ascii="Times New Roman" w:hAnsi="Times New Roman" w:cs="Times New Roman"/>
                <w:noProof/>
                <w:sz w:val="20"/>
                <w:szCs w:val="20"/>
              </w:rPr>
            </w:pPr>
            <w:r w:rsidRPr="00253855">
              <w:rPr>
                <w:rFonts w:ascii="Times New Roman" w:hAnsi="Times New Roman" w:cs="Times New Roman"/>
                <w:noProof/>
                <w:sz w:val="20"/>
                <w:szCs w:val="20"/>
                <w:shd w:val="clear" w:color="auto" w:fill="FFFFFF"/>
              </w:rPr>
              <w:t>Finančný rok:</w:t>
            </w:r>
          </w:p>
        </w:tc>
      </w:tr>
      <w:tr>
        <w:tblPrEx>
          <w:tblW w:w="4874" w:type="pct"/>
          <w:tblInd w:w="108" w:type="dxa"/>
          <w:tblLook w:val="04A0"/>
        </w:tblPrEx>
        <w:trPr>
          <w:trHeight w:val="1699"/>
        </w:trPr>
        <w:tc>
          <w:tcPr>
            <w:tcW w:w="5000" w:type="pct"/>
            <w:tcBorders>
              <w:top w:val="single" w:sz="4" w:space="0" w:color="auto"/>
              <w:left w:val="single" w:sz="4" w:space="0" w:color="auto"/>
              <w:bottom w:val="single" w:sz="4" w:space="0" w:color="auto"/>
              <w:right w:val="single" w:sz="4" w:space="0" w:color="auto"/>
            </w:tcBorders>
            <w:textDirection w:val="lrTb"/>
            <w:vAlign w:val="top"/>
          </w:tcPr>
          <w:p w:rsidR="00253855" w:rsidRPr="00253855" w:rsidP="0018529F">
            <w:pPr>
              <w:bidi w:val="0"/>
              <w:rPr>
                <w:rFonts w:ascii="Times New Roman" w:hAnsi="Times New Roman" w:cs="Times New Roman"/>
                <w:i/>
                <w:noProof/>
                <w:sz w:val="20"/>
                <w:szCs w:val="20"/>
                <w:shd w:val="clear" w:color="auto" w:fill="FFFFFF"/>
              </w:rPr>
            </w:pPr>
            <w:r w:rsidRPr="00253855">
              <w:rPr>
                <w:rFonts w:ascii="Times New Roman" w:hAnsi="Times New Roman" w:cs="Times New Roman"/>
                <w:i/>
                <w:noProof/>
                <w:sz w:val="20"/>
                <w:szCs w:val="20"/>
                <w:shd w:val="clear" w:color="auto" w:fill="FFFFFF"/>
              </w:rPr>
              <w:t>Upresnite povahu činnosti základného subjektu, ak v tabuľke 2 je uvedená ako hlavná ekonomická činnosť možnosť „Iné“</w:t>
            </w:r>
          </w:p>
          <w:p w:rsidR="00EC45B2" w:rsidRPr="00253855" w:rsidP="0018529F">
            <w:pPr>
              <w:bidi w:val="0"/>
              <w:rPr>
                <w:rFonts w:ascii="Times New Roman" w:hAnsi="Times New Roman" w:cs="Times New Roman"/>
                <w:i/>
                <w:noProof/>
                <w:sz w:val="20"/>
                <w:szCs w:val="20"/>
              </w:rPr>
            </w:pPr>
            <w:r w:rsidRPr="00253855">
              <w:rPr>
                <w:rFonts w:ascii="Times New Roman" w:hAnsi="Times New Roman" w:cs="Times New Roman"/>
                <w:i/>
                <w:noProof/>
                <w:sz w:val="20"/>
                <w:szCs w:val="20"/>
                <w:shd w:val="clear" w:color="auto" w:fill="FFFFFF"/>
              </w:rPr>
              <w:t>Uveďte akékoľvek ďalšie stručné informácie, ktoré vysvetľujú povinné informácie uvedené v správe podľa jednotlivých krajín.</w:t>
            </w:r>
          </w:p>
          <w:p w:rsidR="00EC45B2" w:rsidRPr="00253855" w:rsidP="0018529F">
            <w:pPr>
              <w:bidi w:val="0"/>
              <w:rPr>
                <w:rFonts w:ascii="Times New Roman" w:hAnsi="Times New Roman" w:cs="Times New Roman"/>
                <w:noProof/>
                <w:sz w:val="20"/>
                <w:szCs w:val="20"/>
              </w:rPr>
            </w:pPr>
          </w:p>
        </w:tc>
      </w:tr>
    </w:tbl>
    <w:p w:rsidR="00EC45B2" w:rsidRPr="00253855" w:rsidP="00EC45B2">
      <w:pPr>
        <w:bidi w:val="0"/>
        <w:rPr>
          <w:rFonts w:ascii="Times New Roman" w:hAnsi="Times New Roman" w:cs="Times New Roman"/>
          <w:noProof/>
        </w:rPr>
      </w:pPr>
    </w:p>
    <w:p w:rsidR="00EC45B2" w:rsidRPr="00253855" w:rsidP="00EC45B2">
      <w:pPr>
        <w:bidi w:val="0"/>
        <w:rPr>
          <w:rFonts w:ascii="Times New Roman" w:hAnsi="Times New Roman" w:cs="Times New Roman"/>
          <w:noProof/>
        </w:rPr>
        <w:sectPr w:rsidSect="00483E36">
          <w:footnotePr>
            <w:numRestart w:val="eachPage"/>
          </w:footnotePr>
          <w:pgSz w:w="16839" w:h="11907" w:orient="landscape"/>
          <w:pgMar w:top="1134" w:right="1134" w:bottom="1134" w:left="1134" w:header="567" w:footer="567" w:gutter="0"/>
          <w:lnNumType w:distance="0"/>
          <w:cols w:space="708"/>
          <w:noEndnote w:val="0"/>
          <w:bidi w:val="0"/>
          <w:docGrid w:linePitch="326"/>
        </w:sectPr>
      </w:pPr>
    </w:p>
    <w:p w:rsidR="00EC45B2" w:rsidRPr="00151785" w:rsidP="00151785">
      <w:pPr>
        <w:pStyle w:val="Point0"/>
        <w:bidi w:val="0"/>
        <w:spacing w:line="240" w:lineRule="auto"/>
        <w:rPr>
          <w:rFonts w:ascii="Times New Roman" w:hAnsi="Times New Roman"/>
          <w:b/>
          <w:noProof/>
          <w:sz w:val="22"/>
          <w:szCs w:val="22"/>
        </w:rPr>
      </w:pPr>
      <w:r w:rsidRPr="00151785">
        <w:rPr>
          <w:rFonts w:ascii="Times New Roman" w:hAnsi="Times New Roman"/>
          <w:b/>
          <w:noProof/>
          <w:sz w:val="22"/>
          <w:szCs w:val="22"/>
        </w:rPr>
        <w:t xml:space="preserve">Všeobecné </w:t>
      </w:r>
      <w:r w:rsidR="00992792">
        <w:rPr>
          <w:rFonts w:ascii="Times New Roman" w:hAnsi="Times New Roman"/>
          <w:b/>
          <w:noProof/>
          <w:sz w:val="22"/>
          <w:szCs w:val="22"/>
        </w:rPr>
        <w:t>vysvetlivky</w:t>
      </w:r>
      <w:r w:rsidRPr="00151785">
        <w:rPr>
          <w:rFonts w:ascii="Times New Roman" w:hAnsi="Times New Roman"/>
          <w:b/>
          <w:noProof/>
          <w:sz w:val="22"/>
          <w:szCs w:val="22"/>
        </w:rPr>
        <w:t xml:space="preserve"> na vyplnenie správy podľa jednotlivých </w:t>
      </w:r>
      <w:r w:rsidRPr="00151785" w:rsidR="00D75CB7">
        <w:rPr>
          <w:rFonts w:ascii="Times New Roman" w:hAnsi="Times New Roman"/>
          <w:b/>
          <w:noProof/>
          <w:sz w:val="22"/>
          <w:szCs w:val="22"/>
        </w:rPr>
        <w:t>štátov</w:t>
      </w:r>
    </w:p>
    <w:p w:rsidR="00EC45B2" w:rsidRPr="00151785" w:rsidP="00151785">
      <w:pPr>
        <w:pStyle w:val="Text1"/>
        <w:bidi w:val="0"/>
        <w:spacing w:line="240" w:lineRule="auto"/>
        <w:ind w:left="0"/>
        <w:rPr>
          <w:rFonts w:ascii="Times New Roman" w:hAnsi="Times New Roman"/>
          <w:sz w:val="22"/>
          <w:szCs w:val="22"/>
        </w:rPr>
      </w:pPr>
      <w:r w:rsidR="00151785">
        <w:rPr>
          <w:rFonts w:ascii="Times New Roman" w:hAnsi="Times New Roman"/>
          <w:sz w:val="22"/>
          <w:szCs w:val="22"/>
        </w:rPr>
        <w:t>1.</w:t>
        <w:tab/>
      </w:r>
      <w:r w:rsidRPr="00151785">
        <w:rPr>
          <w:rFonts w:ascii="Times New Roman" w:hAnsi="Times New Roman"/>
          <w:sz w:val="22"/>
          <w:szCs w:val="22"/>
        </w:rPr>
        <w:t>Oznamujúc</w:t>
      </w:r>
      <w:r w:rsidRPr="00151785" w:rsidR="00D75CB7">
        <w:rPr>
          <w:rFonts w:ascii="Times New Roman" w:hAnsi="Times New Roman"/>
          <w:sz w:val="22"/>
          <w:szCs w:val="22"/>
        </w:rPr>
        <w:t>i subjekt</w:t>
      </w:r>
      <w:r w:rsidRPr="00151785">
        <w:rPr>
          <w:rFonts w:ascii="Times New Roman" w:hAnsi="Times New Roman"/>
          <w:sz w:val="22"/>
          <w:szCs w:val="22"/>
        </w:rPr>
        <w:t xml:space="preserve"> </w:t>
      </w:r>
      <w:r w:rsidR="00992792">
        <w:rPr>
          <w:rFonts w:ascii="Times New Roman" w:hAnsi="Times New Roman"/>
          <w:sz w:val="22"/>
          <w:szCs w:val="22"/>
        </w:rPr>
        <w:t>uvádza</w:t>
      </w:r>
      <w:r w:rsidRPr="00151785">
        <w:rPr>
          <w:rFonts w:ascii="Times New Roman" w:hAnsi="Times New Roman"/>
          <w:sz w:val="22"/>
          <w:szCs w:val="22"/>
        </w:rPr>
        <w:t xml:space="preserve"> údaje podľa § </w:t>
      </w:r>
      <w:r w:rsidR="00165908">
        <w:rPr>
          <w:rFonts w:ascii="Times New Roman" w:hAnsi="Times New Roman"/>
          <w:sz w:val="22"/>
          <w:szCs w:val="22"/>
        </w:rPr>
        <w:t>22b</w:t>
      </w:r>
      <w:r w:rsidRPr="00151785" w:rsidR="00D75CB7">
        <w:rPr>
          <w:rFonts w:ascii="Times New Roman" w:hAnsi="Times New Roman"/>
          <w:sz w:val="22"/>
          <w:szCs w:val="22"/>
        </w:rPr>
        <w:t xml:space="preserve"> ods. 3</w:t>
      </w:r>
      <w:r w:rsidRPr="00151785">
        <w:rPr>
          <w:rFonts w:ascii="Times New Roman" w:hAnsi="Times New Roman"/>
          <w:sz w:val="22"/>
          <w:szCs w:val="22"/>
        </w:rPr>
        <w:t xml:space="preserve"> v štruktúre a forme uvede</w:t>
      </w:r>
      <w:r w:rsidRPr="00151785" w:rsidR="00D75CB7">
        <w:rPr>
          <w:rFonts w:ascii="Times New Roman" w:hAnsi="Times New Roman"/>
          <w:sz w:val="22"/>
          <w:szCs w:val="22"/>
        </w:rPr>
        <w:t>nej</w:t>
      </w:r>
      <w:r w:rsidRPr="00151785">
        <w:rPr>
          <w:rFonts w:ascii="Times New Roman" w:hAnsi="Times New Roman"/>
          <w:sz w:val="22"/>
          <w:szCs w:val="22"/>
        </w:rPr>
        <w:t xml:space="preserve"> </w:t>
      </w:r>
      <w:r w:rsidR="00987988">
        <w:rPr>
          <w:rFonts w:ascii="Times New Roman" w:hAnsi="Times New Roman"/>
          <w:sz w:val="22"/>
          <w:szCs w:val="22"/>
        </w:rPr>
        <w:t>vo vzore správy podľa jednotlivých štátov</w:t>
      </w:r>
      <w:r w:rsidRPr="00151785">
        <w:rPr>
          <w:rFonts w:ascii="Times New Roman" w:hAnsi="Times New Roman"/>
          <w:sz w:val="22"/>
          <w:szCs w:val="22"/>
        </w:rPr>
        <w:t>.</w:t>
      </w:r>
    </w:p>
    <w:p w:rsidR="00EC45B2" w:rsidRPr="00151785" w:rsidP="00151785">
      <w:pPr>
        <w:pStyle w:val="Point0"/>
        <w:bidi w:val="0"/>
        <w:spacing w:line="240" w:lineRule="auto"/>
        <w:rPr>
          <w:rFonts w:ascii="Times New Roman" w:hAnsi="Times New Roman"/>
          <w:noProof/>
          <w:sz w:val="22"/>
          <w:szCs w:val="22"/>
        </w:rPr>
      </w:pPr>
      <w:r w:rsidRPr="00151785">
        <w:rPr>
          <w:rFonts w:ascii="Times New Roman" w:hAnsi="Times New Roman"/>
          <w:sz w:val="22"/>
          <w:szCs w:val="22"/>
        </w:rPr>
        <w:t>2.</w:t>
        <w:tab/>
        <w:t>Organizačná zložka a stála prevádzkareň</w:t>
      </w:r>
    </w:p>
    <w:p w:rsidR="00EC45B2" w:rsidRPr="00151785" w:rsidP="00151785">
      <w:pPr>
        <w:pStyle w:val="Text1"/>
        <w:bidi w:val="0"/>
        <w:spacing w:line="240" w:lineRule="auto"/>
        <w:rPr>
          <w:rFonts w:ascii="Times New Roman" w:hAnsi="Times New Roman"/>
          <w:sz w:val="22"/>
          <w:szCs w:val="22"/>
        </w:rPr>
      </w:pPr>
      <w:r w:rsidRPr="00151785">
        <w:rPr>
          <w:rFonts w:ascii="Times New Roman" w:hAnsi="Times New Roman"/>
          <w:sz w:val="22"/>
          <w:szCs w:val="22"/>
        </w:rPr>
        <w:t>Údaje týkajúce sa organizačnej zložky a stálej prevádzkarne sa vykazujú s odkazom na štát, v ktorom sa táto organizačná zložka a</w:t>
      </w:r>
      <w:r w:rsidRPr="00151785" w:rsidR="00342E2F">
        <w:rPr>
          <w:rFonts w:ascii="Times New Roman" w:hAnsi="Times New Roman"/>
          <w:sz w:val="22"/>
          <w:szCs w:val="22"/>
        </w:rPr>
        <w:t>lebo</w:t>
      </w:r>
      <w:r w:rsidRPr="00151785">
        <w:rPr>
          <w:rFonts w:ascii="Times New Roman" w:hAnsi="Times New Roman"/>
          <w:sz w:val="22"/>
          <w:szCs w:val="22"/>
        </w:rPr>
        <w:t xml:space="preserve"> stála prevádzkareň nachádza, a nie s odkazom na štát daňovej rezidencie zriaďovateľa organizačnej zložky alebo stálej prevádzkarne. Údaje, ktoré sa týkajú organizačnej zložky alebo stálej prevádzkarne, sa nezahrnú do údajov, ktoré sa týkajú zriaďovateľa organizačnej zložky alebo stálej prevádzkarne.</w:t>
      </w:r>
    </w:p>
    <w:p w:rsidR="00EC45B2" w:rsidRPr="00151785" w:rsidP="00151785">
      <w:pPr>
        <w:pStyle w:val="Point0"/>
        <w:bidi w:val="0"/>
        <w:spacing w:line="240" w:lineRule="auto"/>
        <w:rPr>
          <w:rFonts w:ascii="Times New Roman" w:hAnsi="Times New Roman"/>
          <w:noProof/>
          <w:sz w:val="22"/>
          <w:szCs w:val="22"/>
        </w:rPr>
      </w:pPr>
      <w:r w:rsidRPr="00151785">
        <w:rPr>
          <w:rFonts w:ascii="Times New Roman" w:hAnsi="Times New Roman"/>
          <w:sz w:val="22"/>
          <w:szCs w:val="22"/>
        </w:rPr>
        <w:t>3.</w:t>
        <w:tab/>
        <w:t>Obdobie</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 xml:space="preserve">Údaje sa </w:t>
      </w:r>
      <w:r w:rsidR="00992792">
        <w:rPr>
          <w:rFonts w:ascii="Times New Roman" w:hAnsi="Times New Roman"/>
          <w:sz w:val="22"/>
          <w:szCs w:val="22"/>
        </w:rPr>
        <w:t>uvádzajú</w:t>
      </w:r>
      <w:r w:rsidRPr="00151785">
        <w:rPr>
          <w:rFonts w:ascii="Times New Roman" w:hAnsi="Times New Roman"/>
          <w:sz w:val="22"/>
          <w:szCs w:val="22"/>
          <w:lang w:val="pl-PL"/>
        </w:rPr>
        <w:t xml:space="preserve"> za finančný rok nadnárodnej </w:t>
      </w:r>
      <w:r w:rsidR="00531F5A">
        <w:rPr>
          <w:rFonts w:ascii="Times New Roman" w:hAnsi="Times New Roman"/>
          <w:sz w:val="22"/>
          <w:szCs w:val="22"/>
          <w:lang w:val="pl-PL"/>
        </w:rPr>
        <w:t>skupiny podnikov</w:t>
      </w:r>
      <w:r w:rsidRPr="00151785">
        <w:rPr>
          <w:rFonts w:ascii="Times New Roman" w:hAnsi="Times New Roman"/>
          <w:sz w:val="22"/>
          <w:szCs w:val="22"/>
          <w:lang w:val="pl-PL"/>
        </w:rPr>
        <w:t xml:space="preserve">. </w:t>
      </w:r>
      <w:r w:rsidR="006054AE">
        <w:rPr>
          <w:rFonts w:ascii="Times New Roman" w:hAnsi="Times New Roman"/>
          <w:sz w:val="22"/>
          <w:szCs w:val="22"/>
          <w:lang w:val="pl-PL"/>
        </w:rPr>
        <w:t>Ak</w:t>
      </w:r>
      <w:r w:rsidRPr="00151785" w:rsidR="006054AE">
        <w:rPr>
          <w:rFonts w:ascii="Times New Roman" w:hAnsi="Times New Roman"/>
          <w:sz w:val="22"/>
          <w:szCs w:val="22"/>
          <w:lang w:val="pl-PL"/>
        </w:rPr>
        <w:t xml:space="preserve"> </w:t>
      </w:r>
      <w:r w:rsidRPr="00151785">
        <w:rPr>
          <w:rFonts w:ascii="Times New Roman" w:hAnsi="Times New Roman"/>
          <w:sz w:val="22"/>
          <w:szCs w:val="22"/>
          <w:lang w:val="pl-PL"/>
        </w:rPr>
        <w:t xml:space="preserve">ide o základné subjekty zahrnuté do správy podľa jednotlivých </w:t>
      </w:r>
      <w:r w:rsidR="004C52A5">
        <w:rPr>
          <w:rFonts w:ascii="Times New Roman" w:hAnsi="Times New Roman"/>
          <w:sz w:val="22"/>
          <w:szCs w:val="22"/>
          <w:lang w:val="pl-PL"/>
        </w:rPr>
        <w:t>štátov</w:t>
      </w:r>
      <w:r w:rsidRPr="00151785">
        <w:rPr>
          <w:rFonts w:ascii="Times New Roman" w:hAnsi="Times New Roman"/>
          <w:sz w:val="22"/>
          <w:szCs w:val="22"/>
          <w:lang w:val="pl-PL"/>
        </w:rPr>
        <w:t xml:space="preserve">, oznamujúci </w:t>
      </w:r>
      <w:r w:rsidR="00151785">
        <w:rPr>
          <w:rFonts w:ascii="Times New Roman" w:hAnsi="Times New Roman"/>
          <w:sz w:val="22"/>
          <w:szCs w:val="22"/>
          <w:lang w:val="pl-PL"/>
        </w:rPr>
        <w:t>subjekt</w:t>
      </w:r>
      <w:r w:rsidRPr="00151785">
        <w:rPr>
          <w:rFonts w:ascii="Times New Roman" w:hAnsi="Times New Roman"/>
          <w:sz w:val="22"/>
          <w:szCs w:val="22"/>
          <w:lang w:val="pl-PL"/>
        </w:rPr>
        <w:t xml:space="preserve"> pri vykazovaní informácií za tieto základné subjekty uvádza</w:t>
      </w:r>
    </w:p>
    <w:p w:rsidR="00EC45B2" w:rsidRPr="00151785" w:rsidP="00965A39">
      <w:pPr>
        <w:pStyle w:val="Poin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a)</w:t>
        <w:tab/>
        <w:t xml:space="preserve">informácie za finančný rok základných subjektov, ktorý sa končí v rovnaký deň ako finančný rok nadnárodnej </w:t>
      </w:r>
      <w:r w:rsidR="00531F5A">
        <w:rPr>
          <w:rFonts w:ascii="Times New Roman" w:hAnsi="Times New Roman"/>
          <w:sz w:val="22"/>
          <w:szCs w:val="22"/>
          <w:lang w:val="pl-PL"/>
        </w:rPr>
        <w:t>skupiny podnikov</w:t>
      </w:r>
      <w:r w:rsidRPr="00151785">
        <w:rPr>
          <w:rFonts w:ascii="Times New Roman" w:hAnsi="Times New Roman"/>
          <w:sz w:val="22"/>
          <w:szCs w:val="22"/>
          <w:lang w:val="pl-PL"/>
        </w:rPr>
        <w:t>, alebo za finančný rok, ktorý sa končí v období 12 mesiacov predchádzajúcich tomuto dňu, alebo</w:t>
      </w:r>
    </w:p>
    <w:p w:rsidR="00EC45B2" w:rsidRPr="00151785" w:rsidP="00965A39">
      <w:pPr>
        <w:pStyle w:val="Poin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b)</w:t>
        <w:tab/>
      </w:r>
      <w:r w:rsidRPr="00987988">
        <w:rPr>
          <w:rFonts w:ascii="Times New Roman" w:hAnsi="Times New Roman"/>
          <w:sz w:val="22"/>
          <w:szCs w:val="22"/>
          <w:lang w:val="pl-PL"/>
        </w:rPr>
        <w:t xml:space="preserve">informácie týkajúce sa všetkých príslušných základných subjektov oznamované za </w:t>
      </w:r>
      <w:r w:rsidRPr="00987988" w:rsidR="00987988">
        <w:rPr>
          <w:rFonts w:ascii="Times New Roman" w:hAnsi="Times New Roman"/>
          <w:sz w:val="22"/>
          <w:szCs w:val="22"/>
          <w:lang w:val="pl-PL"/>
        </w:rPr>
        <w:t>finančný</w:t>
      </w:r>
      <w:r w:rsidR="00452EB9">
        <w:rPr>
          <w:rFonts w:ascii="Times New Roman" w:hAnsi="Times New Roman"/>
          <w:sz w:val="22"/>
          <w:szCs w:val="22"/>
          <w:lang w:val="pl-PL"/>
        </w:rPr>
        <w:t xml:space="preserve"> rok nadnárodnej skupiny</w:t>
      </w:r>
      <w:r w:rsidRPr="00987988">
        <w:rPr>
          <w:rFonts w:ascii="Times New Roman" w:hAnsi="Times New Roman"/>
          <w:sz w:val="22"/>
          <w:szCs w:val="22"/>
          <w:lang w:val="pl-PL"/>
        </w:rPr>
        <w:t xml:space="preserve"> podniku.</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4.</w:t>
        <w:tab/>
        <w:t>Zdroj údajov</w:t>
      </w:r>
    </w:p>
    <w:p w:rsidR="00EC45B2" w:rsidRPr="00151785" w:rsidP="00965A39">
      <w:pPr>
        <w:pStyle w:val="Tex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Oznamujúc</w:t>
      </w:r>
      <w:r w:rsidR="00151785">
        <w:rPr>
          <w:rFonts w:ascii="Times New Roman" w:hAnsi="Times New Roman"/>
          <w:sz w:val="22"/>
          <w:szCs w:val="22"/>
          <w:lang w:val="pl-PL"/>
        </w:rPr>
        <w:t>i subjekt</w:t>
      </w:r>
      <w:r w:rsidRPr="00151785">
        <w:rPr>
          <w:rFonts w:ascii="Times New Roman" w:hAnsi="Times New Roman"/>
          <w:sz w:val="22"/>
          <w:szCs w:val="22"/>
          <w:lang w:val="pl-PL"/>
        </w:rPr>
        <w:t xml:space="preserve"> použije pri vykazovaní údajov každý rok ten istý zdroj údajov ako v predchádzajúcom roku. Oznamujúc</w:t>
      </w:r>
      <w:r w:rsidR="00151785">
        <w:rPr>
          <w:rFonts w:ascii="Times New Roman" w:hAnsi="Times New Roman"/>
          <w:sz w:val="22"/>
          <w:szCs w:val="22"/>
          <w:lang w:val="pl-PL"/>
        </w:rPr>
        <w:t xml:space="preserve">i subjekt </w:t>
      </w:r>
      <w:r w:rsidRPr="00151785">
        <w:rPr>
          <w:rFonts w:ascii="Times New Roman" w:hAnsi="Times New Roman"/>
          <w:sz w:val="22"/>
          <w:szCs w:val="22"/>
          <w:lang w:val="pl-PL"/>
        </w:rPr>
        <w:t>môže použiť údaje z konsolidovan</w:t>
      </w:r>
      <w:r w:rsidR="00D64ACC">
        <w:rPr>
          <w:rFonts w:ascii="Times New Roman" w:hAnsi="Times New Roman"/>
          <w:sz w:val="22"/>
          <w:szCs w:val="22"/>
          <w:lang w:val="pl-PL"/>
        </w:rPr>
        <w:t>ej ú</w:t>
      </w:r>
      <w:r w:rsidR="00987988">
        <w:rPr>
          <w:rFonts w:ascii="Times New Roman" w:hAnsi="Times New Roman"/>
          <w:sz w:val="22"/>
          <w:szCs w:val="22"/>
          <w:lang w:val="pl-PL"/>
        </w:rPr>
        <w:t>čtovnej závierky</w:t>
      </w:r>
      <w:r w:rsidRPr="00151785">
        <w:rPr>
          <w:rFonts w:ascii="Times New Roman" w:hAnsi="Times New Roman"/>
          <w:sz w:val="22"/>
          <w:szCs w:val="22"/>
          <w:lang w:val="pl-PL"/>
        </w:rPr>
        <w:t xml:space="preserve">, z individuálnej účtovnej závierky, z výkazov zostavených na regulačné účely alebo z interných manažérskych účtov. Nie je potrebné zosúladiť vykázané údaje </w:t>
      </w:r>
      <w:r w:rsidRPr="00151785" w:rsidR="004C52A5">
        <w:rPr>
          <w:rFonts w:ascii="Times New Roman" w:hAnsi="Times New Roman"/>
          <w:sz w:val="22"/>
          <w:szCs w:val="22"/>
          <w:lang w:val="pl-PL"/>
        </w:rPr>
        <w:t>týkajúc</w:t>
      </w:r>
      <w:r w:rsidR="004C52A5">
        <w:rPr>
          <w:rFonts w:ascii="Times New Roman" w:hAnsi="Times New Roman"/>
          <w:sz w:val="22"/>
          <w:szCs w:val="22"/>
          <w:lang w:val="pl-PL"/>
        </w:rPr>
        <w:t>e</w:t>
      </w:r>
      <w:r w:rsidRPr="00151785" w:rsidR="004C52A5">
        <w:rPr>
          <w:rFonts w:ascii="Times New Roman" w:hAnsi="Times New Roman"/>
          <w:sz w:val="22"/>
          <w:szCs w:val="22"/>
          <w:lang w:val="pl-PL"/>
        </w:rPr>
        <w:t xml:space="preserve"> </w:t>
      </w:r>
      <w:r w:rsidRPr="00151785">
        <w:rPr>
          <w:rFonts w:ascii="Times New Roman" w:hAnsi="Times New Roman"/>
          <w:sz w:val="22"/>
          <w:szCs w:val="22"/>
          <w:lang w:val="pl-PL"/>
        </w:rPr>
        <w:t xml:space="preserve">sa výnosov, zisku a daní s údajmi v konsolidovanej účtovnej závierke. Ak sa ako základ pre vykazovanie použije individuálna účtovná závierka, všetky sumy sa prevedú do funkčnej meny nadnárodnej </w:t>
      </w:r>
      <w:r w:rsidR="00531F5A">
        <w:rPr>
          <w:rFonts w:ascii="Times New Roman" w:hAnsi="Times New Roman"/>
          <w:sz w:val="22"/>
          <w:szCs w:val="22"/>
          <w:lang w:val="pl-PL"/>
        </w:rPr>
        <w:t>skupiny podnikov</w:t>
      </w:r>
      <w:r w:rsidRPr="00151785">
        <w:rPr>
          <w:rFonts w:ascii="Times New Roman" w:hAnsi="Times New Roman"/>
          <w:sz w:val="22"/>
          <w:szCs w:val="22"/>
          <w:lang w:val="pl-PL"/>
        </w:rPr>
        <w:t xml:space="preserve"> s použitím</w:t>
      </w:r>
      <w:r w:rsidR="00984E23">
        <w:rPr>
          <w:rFonts w:ascii="Times New Roman" w:hAnsi="Times New Roman"/>
          <w:sz w:val="22"/>
          <w:szCs w:val="22"/>
          <w:lang w:val="pl-PL"/>
        </w:rPr>
        <w:t xml:space="preserve"> priemerného výmenného kurzu za</w:t>
      </w:r>
      <w:r w:rsidRPr="00151785">
        <w:rPr>
          <w:rFonts w:ascii="Times New Roman" w:hAnsi="Times New Roman"/>
          <w:sz w:val="22"/>
          <w:szCs w:val="22"/>
          <w:lang w:val="pl-PL"/>
        </w:rPr>
        <w:t xml:space="preserve"> vykazovaný finančný rok, pričom tento kurz sa uvádza v časti „Doplňujúce informácie“. Nie je potrebné vykonať úpravy údajov z dôvodu rozdielnych účtovných postupov uplatňovan</w:t>
      </w:r>
      <w:r w:rsidR="00EA4CA2">
        <w:rPr>
          <w:rFonts w:ascii="Times New Roman" w:hAnsi="Times New Roman"/>
          <w:sz w:val="22"/>
          <w:szCs w:val="22"/>
          <w:lang w:val="pl-PL"/>
        </w:rPr>
        <w:t>ých</w:t>
      </w:r>
      <w:r w:rsidRPr="00151785">
        <w:rPr>
          <w:rFonts w:ascii="Times New Roman" w:hAnsi="Times New Roman"/>
          <w:sz w:val="22"/>
          <w:szCs w:val="22"/>
          <w:lang w:val="pl-PL"/>
        </w:rPr>
        <w:t xml:space="preserve"> v jednotlivých štátoch.</w:t>
      </w:r>
    </w:p>
    <w:p w:rsidR="00866F06" w:rsidP="00965A39">
      <w:pPr>
        <w:pStyle w:val="Text1"/>
        <w:bidi w:val="0"/>
        <w:spacing w:line="240" w:lineRule="auto"/>
        <w:jc w:val="both"/>
        <w:rPr>
          <w:rFonts w:ascii="Times New Roman" w:hAnsi="Times New Roman"/>
          <w:sz w:val="22"/>
          <w:szCs w:val="22"/>
          <w:lang w:val="pl-PL"/>
        </w:rPr>
      </w:pPr>
      <w:r w:rsidRPr="00151785" w:rsidR="00EC45B2">
        <w:rPr>
          <w:rFonts w:ascii="Times New Roman" w:hAnsi="Times New Roman"/>
          <w:sz w:val="22"/>
          <w:szCs w:val="22"/>
          <w:lang w:val="pl-PL"/>
        </w:rPr>
        <w:t>Oznamujúc</w:t>
      </w:r>
      <w:r w:rsidR="00151785">
        <w:rPr>
          <w:rFonts w:ascii="Times New Roman" w:hAnsi="Times New Roman"/>
          <w:sz w:val="22"/>
          <w:szCs w:val="22"/>
          <w:lang w:val="pl-PL"/>
        </w:rPr>
        <w:t>i subjekt</w:t>
      </w:r>
      <w:r w:rsidRPr="00151785" w:rsidR="00EC45B2">
        <w:rPr>
          <w:rFonts w:ascii="Times New Roman" w:hAnsi="Times New Roman"/>
          <w:sz w:val="22"/>
          <w:szCs w:val="22"/>
          <w:lang w:val="pl-PL"/>
        </w:rPr>
        <w:t xml:space="preserve"> </w:t>
      </w:r>
      <w:r w:rsidR="00C97674">
        <w:rPr>
          <w:rFonts w:ascii="Times New Roman" w:hAnsi="Times New Roman"/>
          <w:sz w:val="22"/>
          <w:szCs w:val="22"/>
          <w:lang w:val="pl-PL"/>
        </w:rPr>
        <w:t>uvádza</w:t>
      </w:r>
      <w:r w:rsidRPr="00151785" w:rsidR="00EC45B2">
        <w:rPr>
          <w:rFonts w:ascii="Times New Roman" w:hAnsi="Times New Roman"/>
          <w:sz w:val="22"/>
          <w:szCs w:val="22"/>
          <w:lang w:val="pl-PL"/>
        </w:rPr>
        <w:t xml:space="preserve"> v časti „Doplňujúce informácie“ stručný opis zdroja použitých údajov. Ak dôjde k zmene zdroja použitých údajov, oznamujúc</w:t>
      </w:r>
      <w:r w:rsidR="00531F5A">
        <w:rPr>
          <w:rFonts w:ascii="Times New Roman" w:hAnsi="Times New Roman"/>
          <w:sz w:val="22"/>
          <w:szCs w:val="22"/>
          <w:lang w:val="pl-PL"/>
        </w:rPr>
        <w:t>i</w:t>
      </w:r>
      <w:r w:rsidRPr="00151785" w:rsidR="00EC45B2">
        <w:rPr>
          <w:rFonts w:ascii="Times New Roman" w:hAnsi="Times New Roman"/>
          <w:sz w:val="22"/>
          <w:szCs w:val="22"/>
          <w:lang w:val="pl-PL"/>
        </w:rPr>
        <w:t xml:space="preserve"> </w:t>
      </w:r>
      <w:r w:rsidR="00531F5A">
        <w:rPr>
          <w:rFonts w:ascii="Times New Roman" w:hAnsi="Times New Roman"/>
          <w:sz w:val="22"/>
          <w:szCs w:val="22"/>
          <w:lang w:val="pl-PL"/>
        </w:rPr>
        <w:t>subjekt</w:t>
      </w:r>
      <w:r w:rsidRPr="00151785" w:rsidR="00531F5A">
        <w:rPr>
          <w:rFonts w:ascii="Times New Roman" w:hAnsi="Times New Roman"/>
          <w:sz w:val="22"/>
          <w:szCs w:val="22"/>
          <w:lang w:val="pl-PL"/>
        </w:rPr>
        <w:t xml:space="preserve"> </w:t>
      </w:r>
      <w:r w:rsidR="00C97674">
        <w:rPr>
          <w:rFonts w:ascii="Times New Roman" w:hAnsi="Times New Roman"/>
          <w:sz w:val="22"/>
          <w:szCs w:val="22"/>
          <w:lang w:val="pl-PL"/>
        </w:rPr>
        <w:t>uvádza</w:t>
      </w:r>
      <w:r w:rsidRPr="00151785" w:rsidR="00EC45B2">
        <w:rPr>
          <w:rFonts w:ascii="Times New Roman" w:hAnsi="Times New Roman"/>
          <w:sz w:val="22"/>
          <w:szCs w:val="22"/>
          <w:lang w:val="pl-PL"/>
        </w:rPr>
        <w:t xml:space="preserve"> v časti „Doplňujúce informácie“ dôvody tejto zmeny a jej dopady na vykazované údaje.</w:t>
      </w:r>
    </w:p>
    <w:p w:rsidR="00866F06" w:rsidP="00866F06">
      <w:pPr>
        <w:pStyle w:val="Text1"/>
        <w:bidi w:val="0"/>
        <w:spacing w:line="240" w:lineRule="auto"/>
        <w:rPr>
          <w:rFonts w:ascii="Times New Roman" w:hAnsi="Times New Roman"/>
          <w:sz w:val="22"/>
          <w:szCs w:val="22"/>
          <w:lang w:val="pl-PL"/>
        </w:rPr>
      </w:pPr>
    </w:p>
    <w:p w:rsidR="00EC45B2" w:rsidRPr="00151785" w:rsidP="00866F06">
      <w:pPr>
        <w:pStyle w:val="Text1"/>
        <w:bidi w:val="0"/>
        <w:spacing w:line="240" w:lineRule="auto"/>
        <w:rPr>
          <w:rFonts w:ascii="Times New Roman" w:hAnsi="Times New Roman"/>
          <w:b/>
          <w:noProof/>
          <w:sz w:val="22"/>
          <w:szCs w:val="22"/>
        </w:rPr>
      </w:pPr>
      <w:r w:rsidRPr="00151785">
        <w:rPr>
          <w:rFonts w:ascii="Times New Roman" w:hAnsi="Times New Roman"/>
          <w:b/>
          <w:noProof/>
          <w:sz w:val="22"/>
          <w:szCs w:val="22"/>
          <w:lang w:val="pl-PL"/>
        </w:rPr>
        <w:t xml:space="preserve">Osobitné </w:t>
      </w:r>
      <w:r w:rsidR="00452EB9">
        <w:rPr>
          <w:rFonts w:ascii="Times New Roman" w:hAnsi="Times New Roman"/>
          <w:b/>
          <w:noProof/>
          <w:sz w:val="22"/>
          <w:szCs w:val="22"/>
        </w:rPr>
        <w:t>vysvetlivky</w:t>
      </w:r>
      <w:r w:rsidRPr="00151785">
        <w:rPr>
          <w:rFonts w:ascii="Times New Roman" w:hAnsi="Times New Roman"/>
          <w:b/>
          <w:noProof/>
          <w:sz w:val="22"/>
          <w:szCs w:val="22"/>
        </w:rPr>
        <w:t xml:space="preserve"> na vyplnenie správy podľa jednotlivých </w:t>
      </w:r>
      <w:r w:rsidR="00151785">
        <w:rPr>
          <w:rFonts w:ascii="Times New Roman" w:hAnsi="Times New Roman"/>
          <w:b/>
          <w:noProof/>
          <w:sz w:val="22"/>
          <w:szCs w:val="22"/>
        </w:rPr>
        <w:t>štátov</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noProof/>
          <w:sz w:val="22"/>
          <w:szCs w:val="22"/>
          <w:lang w:val="pl-PL"/>
        </w:rPr>
        <w:t xml:space="preserve">Osobitné </w:t>
      </w:r>
      <w:r w:rsidR="00452EB9">
        <w:rPr>
          <w:rFonts w:ascii="Times New Roman" w:hAnsi="Times New Roman"/>
          <w:noProof/>
          <w:sz w:val="22"/>
          <w:szCs w:val="22"/>
          <w:lang w:val="pl-PL"/>
        </w:rPr>
        <w:t>vysvetlivky</w:t>
      </w:r>
      <w:r w:rsidRPr="00151785">
        <w:rPr>
          <w:rFonts w:ascii="Times New Roman" w:hAnsi="Times New Roman"/>
          <w:noProof/>
          <w:sz w:val="22"/>
          <w:szCs w:val="22"/>
          <w:lang w:val="pl-PL"/>
        </w:rPr>
        <w:t xml:space="preserve"> k Tabuľke 1</w:t>
      </w:r>
    </w:p>
    <w:p w:rsidR="00EC45B2" w:rsidRPr="00151785" w:rsidP="00151785">
      <w:pPr>
        <w:pStyle w:val="Point0"/>
        <w:numPr>
          <w:numId w:val="28"/>
        </w:numPr>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Štát</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V stĺpci</w:t>
      </w:r>
      <w:r w:rsidR="00151785">
        <w:rPr>
          <w:rFonts w:ascii="Times New Roman" w:hAnsi="Times New Roman"/>
          <w:sz w:val="22"/>
          <w:szCs w:val="22"/>
          <w:lang w:val="pl-PL"/>
        </w:rPr>
        <w:t xml:space="preserve"> označenom </w:t>
      </w:r>
      <w:r w:rsidR="00452EB9">
        <w:rPr>
          <w:rFonts w:ascii="Times New Roman" w:hAnsi="Times New Roman"/>
          <w:sz w:val="22"/>
          <w:szCs w:val="22"/>
          <w:lang w:val="pl-PL"/>
        </w:rPr>
        <w:t>„Š</w:t>
      </w:r>
      <w:r w:rsidRPr="00151785">
        <w:rPr>
          <w:rFonts w:ascii="Times New Roman" w:hAnsi="Times New Roman"/>
          <w:sz w:val="22"/>
          <w:szCs w:val="22"/>
          <w:lang w:val="pl-PL"/>
        </w:rPr>
        <w:t>tát</w:t>
      </w:r>
      <w:r w:rsidR="00452EB9">
        <w:rPr>
          <w:rFonts w:ascii="Times New Roman" w:hAnsi="Times New Roman"/>
          <w:sz w:val="22"/>
          <w:szCs w:val="22"/>
          <w:lang w:val="pl-PL"/>
        </w:rPr>
        <w:t>”</w:t>
      </w:r>
      <w:r w:rsidRPr="00151785">
        <w:rPr>
          <w:rFonts w:ascii="Times New Roman" w:hAnsi="Times New Roman"/>
          <w:sz w:val="22"/>
          <w:szCs w:val="22"/>
          <w:lang w:val="pl-PL"/>
        </w:rPr>
        <w:t xml:space="preserve"> oznamujúc</w:t>
      </w:r>
      <w:r w:rsidR="00151785">
        <w:rPr>
          <w:rFonts w:ascii="Times New Roman" w:hAnsi="Times New Roman"/>
          <w:sz w:val="22"/>
          <w:szCs w:val="22"/>
          <w:lang w:val="pl-PL"/>
        </w:rPr>
        <w:t>i subjekt</w:t>
      </w:r>
      <w:r w:rsidRPr="00151785">
        <w:rPr>
          <w:rFonts w:ascii="Times New Roman" w:hAnsi="Times New Roman"/>
          <w:sz w:val="22"/>
          <w:szCs w:val="22"/>
          <w:lang w:val="pl-PL"/>
        </w:rPr>
        <w:t xml:space="preserve"> uv</w:t>
      </w:r>
      <w:r w:rsidR="00452EB9">
        <w:rPr>
          <w:rFonts w:ascii="Times New Roman" w:hAnsi="Times New Roman"/>
          <w:sz w:val="22"/>
          <w:szCs w:val="22"/>
          <w:lang w:val="pl-PL"/>
        </w:rPr>
        <w:t>ádza</w:t>
      </w:r>
      <w:r w:rsidRPr="00151785">
        <w:rPr>
          <w:rFonts w:ascii="Times New Roman" w:hAnsi="Times New Roman"/>
          <w:sz w:val="22"/>
          <w:szCs w:val="22"/>
          <w:lang w:val="pl-PL"/>
        </w:rPr>
        <w:t xml:space="preserve"> všetky štáty,</w:t>
      </w:r>
      <w:r w:rsidR="00987988">
        <w:rPr>
          <w:rFonts w:ascii="Times New Roman" w:hAnsi="Times New Roman"/>
          <w:sz w:val="22"/>
          <w:szCs w:val="22"/>
          <w:lang w:val="pl-PL"/>
        </w:rPr>
        <w:t xml:space="preserve"> </w:t>
      </w:r>
      <w:r w:rsidR="004C52A5">
        <w:rPr>
          <w:rFonts w:ascii="Times New Roman" w:hAnsi="Times New Roman"/>
          <w:sz w:val="22"/>
          <w:szCs w:val="22"/>
          <w:lang w:val="pl-PL"/>
        </w:rPr>
        <w:t>v</w:t>
      </w:r>
      <w:r w:rsidRPr="00151785">
        <w:rPr>
          <w:rFonts w:ascii="Times New Roman" w:hAnsi="Times New Roman"/>
          <w:sz w:val="22"/>
          <w:szCs w:val="22"/>
          <w:lang w:val="pl-PL"/>
        </w:rPr>
        <w:t xml:space="preserve"> ktorých sú základné subjekty rezidentmi</w:t>
      </w:r>
      <w:r w:rsidR="00F16884">
        <w:rPr>
          <w:rFonts w:ascii="Times New Roman" w:hAnsi="Times New Roman"/>
          <w:sz w:val="22"/>
          <w:szCs w:val="22"/>
          <w:lang w:val="pl-PL"/>
        </w:rPr>
        <w:t xml:space="preserve"> na daňové účely</w:t>
      </w:r>
      <w:r w:rsidRPr="00151785">
        <w:rPr>
          <w:rFonts w:ascii="Times New Roman" w:hAnsi="Times New Roman"/>
          <w:sz w:val="22"/>
          <w:szCs w:val="22"/>
          <w:lang w:val="pl-PL"/>
        </w:rPr>
        <w:t>. Uvádzajú sa štáty a iné nesamostané územia, ktoré majú daňovú autonómiu. Základné subjekty, ktoré nie sú rezidentmi</w:t>
      </w:r>
      <w:r w:rsidR="00F16884">
        <w:rPr>
          <w:rFonts w:ascii="Times New Roman" w:hAnsi="Times New Roman"/>
          <w:sz w:val="22"/>
          <w:szCs w:val="22"/>
          <w:lang w:val="pl-PL"/>
        </w:rPr>
        <w:t xml:space="preserve"> na daňové účely</w:t>
      </w:r>
      <w:r w:rsidRPr="00151785">
        <w:rPr>
          <w:rFonts w:ascii="Times New Roman" w:hAnsi="Times New Roman"/>
          <w:sz w:val="22"/>
          <w:szCs w:val="22"/>
          <w:lang w:val="pl-PL"/>
        </w:rPr>
        <w:t xml:space="preserve"> v žiadnom štáte, sa </w:t>
      </w:r>
      <w:r w:rsidR="00452EB9">
        <w:rPr>
          <w:rFonts w:ascii="Times New Roman" w:hAnsi="Times New Roman"/>
          <w:sz w:val="22"/>
          <w:szCs w:val="22"/>
          <w:lang w:val="pl-PL"/>
        </w:rPr>
        <w:t>uvádzajú</w:t>
      </w:r>
      <w:r w:rsidRPr="00151785">
        <w:rPr>
          <w:rFonts w:ascii="Times New Roman" w:hAnsi="Times New Roman"/>
          <w:sz w:val="22"/>
          <w:szCs w:val="22"/>
          <w:lang w:val="pl-PL"/>
        </w:rPr>
        <w:t xml:space="preserve"> na samostatnom riadku. Ak je základný subjekt rezidentom vo viac </w:t>
      </w:r>
      <w:r w:rsidR="00C15963">
        <w:rPr>
          <w:rFonts w:ascii="Times New Roman" w:hAnsi="Times New Roman"/>
          <w:sz w:val="22"/>
          <w:szCs w:val="22"/>
          <w:lang w:val="pl-PL"/>
        </w:rPr>
        <w:t>ako</w:t>
      </w:r>
      <w:r w:rsidRPr="00151785">
        <w:rPr>
          <w:rFonts w:ascii="Times New Roman" w:hAnsi="Times New Roman"/>
          <w:sz w:val="22"/>
          <w:szCs w:val="22"/>
          <w:lang w:val="pl-PL"/>
        </w:rPr>
        <w:t xml:space="preserve"> jednom štáte, na </w:t>
      </w:r>
      <w:r w:rsidR="005E3567">
        <w:rPr>
          <w:rFonts w:ascii="Times New Roman" w:hAnsi="Times New Roman"/>
          <w:sz w:val="22"/>
          <w:szCs w:val="22"/>
          <w:lang w:val="pl-PL"/>
        </w:rPr>
        <w:t>určenie</w:t>
      </w:r>
      <w:r w:rsidRPr="00151785">
        <w:rPr>
          <w:rFonts w:ascii="Times New Roman" w:hAnsi="Times New Roman"/>
          <w:sz w:val="22"/>
          <w:szCs w:val="22"/>
          <w:lang w:val="pl-PL"/>
        </w:rPr>
        <w:t xml:space="preserve"> štátu rezidencie </w:t>
      </w:r>
      <w:r w:rsidR="00F16884">
        <w:rPr>
          <w:rFonts w:ascii="Times New Roman" w:hAnsi="Times New Roman"/>
          <w:sz w:val="22"/>
          <w:szCs w:val="22"/>
          <w:lang w:val="pl-PL"/>
        </w:rPr>
        <w:t xml:space="preserve">na daňové účely </w:t>
      </w:r>
      <w:r w:rsidRPr="00151785">
        <w:rPr>
          <w:rFonts w:ascii="Times New Roman" w:hAnsi="Times New Roman"/>
          <w:sz w:val="22"/>
          <w:szCs w:val="22"/>
          <w:lang w:val="pl-PL"/>
        </w:rPr>
        <w:t xml:space="preserve">sa </w:t>
      </w:r>
      <w:r w:rsidR="00452EB9">
        <w:rPr>
          <w:rFonts w:ascii="Times New Roman" w:hAnsi="Times New Roman"/>
          <w:sz w:val="22"/>
          <w:szCs w:val="22"/>
          <w:lang w:val="pl-PL"/>
        </w:rPr>
        <w:t>uplatňuje</w:t>
      </w:r>
      <w:r w:rsidRPr="00151785">
        <w:rPr>
          <w:rFonts w:ascii="Times New Roman" w:hAnsi="Times New Roman"/>
          <w:sz w:val="22"/>
          <w:szCs w:val="22"/>
          <w:lang w:val="pl-PL"/>
        </w:rPr>
        <w:t xml:space="preserve"> rozhraničovacie pravidlo </w:t>
      </w:r>
      <w:r w:rsidR="00984E23">
        <w:rPr>
          <w:rFonts w:ascii="Times New Roman" w:hAnsi="Times New Roman"/>
          <w:sz w:val="22"/>
          <w:szCs w:val="22"/>
          <w:lang w:val="pl-PL"/>
        </w:rPr>
        <w:t>podľa príslušnej zmluvy</w:t>
      </w:r>
      <w:r w:rsidRPr="00151785">
        <w:rPr>
          <w:rFonts w:ascii="Times New Roman" w:hAnsi="Times New Roman"/>
          <w:sz w:val="22"/>
          <w:szCs w:val="22"/>
          <w:lang w:val="pl-PL"/>
        </w:rPr>
        <w:t xml:space="preserve"> o zamedzení dvojitého zdanenia. Ak takáto zmluva neexistuje,  </w:t>
      </w:r>
      <w:r w:rsidR="00452EB9">
        <w:rPr>
          <w:rFonts w:ascii="Times New Roman" w:hAnsi="Times New Roman"/>
          <w:sz w:val="22"/>
          <w:szCs w:val="22"/>
          <w:lang w:val="pl-PL"/>
        </w:rPr>
        <w:t>uvádza</w:t>
      </w:r>
      <w:r w:rsidR="00F16884">
        <w:rPr>
          <w:rFonts w:ascii="Times New Roman" w:hAnsi="Times New Roman"/>
          <w:sz w:val="22"/>
          <w:szCs w:val="22"/>
          <w:lang w:val="pl-PL"/>
        </w:rPr>
        <w:t xml:space="preserve"> sa</w:t>
      </w:r>
      <w:r w:rsidRPr="00151785">
        <w:rPr>
          <w:rFonts w:ascii="Times New Roman" w:hAnsi="Times New Roman"/>
          <w:sz w:val="22"/>
          <w:szCs w:val="22"/>
          <w:lang w:val="pl-PL"/>
        </w:rPr>
        <w:t xml:space="preserve"> ten štát, v ktorom sa nachádza miesto skutočného vedenia základného subjektu. Miesto skutočného vedenia sa </w:t>
      </w:r>
      <w:r w:rsidR="00452EB9">
        <w:rPr>
          <w:rFonts w:ascii="Times New Roman" w:hAnsi="Times New Roman"/>
          <w:sz w:val="22"/>
          <w:szCs w:val="22"/>
          <w:lang w:val="pl-PL"/>
        </w:rPr>
        <w:t>určuje</w:t>
      </w:r>
      <w:r w:rsidRPr="00151785">
        <w:rPr>
          <w:rFonts w:ascii="Times New Roman" w:hAnsi="Times New Roman"/>
          <w:sz w:val="22"/>
          <w:szCs w:val="22"/>
          <w:lang w:val="pl-PL"/>
        </w:rPr>
        <w:t xml:space="preserve"> v súlade s medzinárodne uznávanými pravidlami.</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1.2.</w:t>
        <w:tab/>
        <w:t>Výnosy</w:t>
      </w:r>
    </w:p>
    <w:p w:rsidR="00EC45B2" w:rsidRPr="00151785" w:rsidP="00151785">
      <w:pPr>
        <w:pStyle w:val="Text1"/>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V troch stĺpcoch pod nadpisom „Výnosy“ oznamujúc</w:t>
      </w:r>
      <w:r w:rsidR="00F16884">
        <w:rPr>
          <w:rFonts w:ascii="Times New Roman" w:hAnsi="Times New Roman"/>
          <w:sz w:val="22"/>
          <w:szCs w:val="22"/>
          <w:lang w:val="pl-PL"/>
        </w:rPr>
        <w:t>i subjekt</w:t>
      </w:r>
      <w:r w:rsidRPr="00151785">
        <w:rPr>
          <w:rFonts w:ascii="Times New Roman" w:hAnsi="Times New Roman"/>
          <w:sz w:val="22"/>
          <w:szCs w:val="22"/>
          <w:lang w:val="pl-PL"/>
        </w:rPr>
        <w:t xml:space="preserve"> uv</w:t>
      </w:r>
      <w:r w:rsidR="00BC6781">
        <w:rPr>
          <w:rFonts w:ascii="Times New Roman" w:hAnsi="Times New Roman"/>
          <w:sz w:val="22"/>
          <w:szCs w:val="22"/>
          <w:lang w:val="pl-PL"/>
        </w:rPr>
        <w:t>á</w:t>
      </w:r>
      <w:r w:rsidRPr="00151785">
        <w:rPr>
          <w:rFonts w:ascii="Times New Roman" w:hAnsi="Times New Roman"/>
          <w:sz w:val="22"/>
          <w:szCs w:val="22"/>
          <w:lang w:val="pl-PL"/>
        </w:rPr>
        <w:t>d</w:t>
      </w:r>
      <w:r w:rsidR="00452EB9">
        <w:rPr>
          <w:rFonts w:ascii="Times New Roman" w:hAnsi="Times New Roman"/>
          <w:sz w:val="22"/>
          <w:szCs w:val="22"/>
          <w:lang w:val="pl-PL"/>
        </w:rPr>
        <w:t>za</w:t>
      </w:r>
      <w:r w:rsidRPr="00151785">
        <w:rPr>
          <w:rFonts w:ascii="Times New Roman" w:hAnsi="Times New Roman"/>
          <w:sz w:val="22"/>
          <w:szCs w:val="22"/>
          <w:lang w:val="pl-PL"/>
        </w:rPr>
        <w:t xml:space="preserve"> tieto informácie:</w:t>
      </w:r>
    </w:p>
    <w:p w:rsidR="00EC45B2" w:rsidRPr="00151785" w:rsidP="00151785">
      <w:pPr>
        <w:pStyle w:val="Point1"/>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a)</w:t>
        <w:tab/>
        <w:t>súčet výnosov všetkých základných subjektov v príslušnom štáte z transakcií so závislými osobami,</w:t>
      </w:r>
    </w:p>
    <w:p w:rsidR="00866F06" w:rsidP="00151785">
      <w:pPr>
        <w:pStyle w:val="Point1"/>
        <w:bidi w:val="0"/>
        <w:spacing w:line="240" w:lineRule="auto"/>
        <w:rPr>
          <w:rFonts w:ascii="Times New Roman" w:hAnsi="Times New Roman"/>
          <w:sz w:val="22"/>
          <w:szCs w:val="22"/>
          <w:lang w:val="pl-PL"/>
        </w:rPr>
      </w:pPr>
      <w:r w:rsidRPr="00151785" w:rsidR="00EC45B2">
        <w:rPr>
          <w:rFonts w:ascii="Times New Roman" w:hAnsi="Times New Roman"/>
          <w:sz w:val="22"/>
          <w:szCs w:val="22"/>
          <w:lang w:val="pl-PL"/>
        </w:rPr>
        <w:t>b)</w:t>
        <w:tab/>
        <w:t>súčet výnosov všetkých základných subjektov v príslušnom štáte z transakcií s nezávislými osobami,</w:t>
      </w:r>
    </w:p>
    <w:p w:rsidR="00EC45B2" w:rsidRPr="00151785" w:rsidP="00151785">
      <w:pPr>
        <w:pStyle w:val="Point1"/>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c)</w:t>
        <w:tab/>
        <w:t>súčet údajov uvedených v písmenách a) a b).</w:t>
      </w:r>
    </w:p>
    <w:p w:rsidR="00EC45B2" w:rsidRPr="00151785" w:rsidP="00965A39">
      <w:pPr>
        <w:pStyle w:val="Tex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 xml:space="preserve">Výnosy zahŕňajú výnosy pochádzajúce z predaja </w:t>
      </w:r>
      <w:r w:rsidR="00984E23">
        <w:rPr>
          <w:rFonts w:ascii="Times New Roman" w:hAnsi="Times New Roman"/>
          <w:sz w:val="22"/>
          <w:szCs w:val="22"/>
          <w:lang w:val="pl-PL"/>
        </w:rPr>
        <w:t>majetku</w:t>
      </w:r>
      <w:r w:rsidR="009E1BBD">
        <w:rPr>
          <w:rFonts w:ascii="Times New Roman" w:hAnsi="Times New Roman"/>
          <w:sz w:val="22"/>
          <w:szCs w:val="22"/>
          <w:lang w:val="pl-PL"/>
        </w:rPr>
        <w:t xml:space="preserve"> a zásob</w:t>
      </w:r>
      <w:r w:rsidR="00984E23">
        <w:rPr>
          <w:rFonts w:ascii="Times New Roman" w:hAnsi="Times New Roman"/>
          <w:sz w:val="22"/>
          <w:szCs w:val="22"/>
          <w:lang w:val="pl-PL"/>
        </w:rPr>
        <w:t>,</w:t>
      </w:r>
      <w:r w:rsidRPr="00151785">
        <w:rPr>
          <w:rFonts w:ascii="Times New Roman" w:hAnsi="Times New Roman"/>
          <w:sz w:val="22"/>
          <w:szCs w:val="22"/>
          <w:lang w:val="pl-PL"/>
        </w:rPr>
        <w:t xml:space="preserve"> zo služieb, licenčných poplatkov, úrokov, poistného, ako aj iné výnosy. Do výnosov sa nezahŕňajú platby prijaté od iných základných subjektov, ktoré sa v </w:t>
      </w:r>
      <w:r w:rsidR="00F16884">
        <w:rPr>
          <w:rFonts w:ascii="Times New Roman" w:hAnsi="Times New Roman"/>
          <w:sz w:val="22"/>
          <w:szCs w:val="22"/>
          <w:lang w:val="pl-PL"/>
        </w:rPr>
        <w:t xml:space="preserve">štáte </w:t>
      </w:r>
      <w:r w:rsidRPr="00151785">
        <w:rPr>
          <w:rFonts w:ascii="Times New Roman" w:hAnsi="Times New Roman"/>
          <w:sz w:val="22"/>
          <w:szCs w:val="22"/>
          <w:lang w:val="pl-PL"/>
        </w:rPr>
        <w:t>platiteľa považujú za dividendy.</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1.3.</w:t>
        <w:tab/>
        <w:t xml:space="preserve">Zisk </w:t>
      </w:r>
      <w:r w:rsidRPr="00253855" w:rsidR="00616F74">
        <w:rPr>
          <w:rFonts w:ascii="Times New Roman" w:hAnsi="Times New Roman"/>
          <w:noProof/>
          <w:sz w:val="20"/>
          <w:szCs w:val="20"/>
          <w:shd w:val="clear" w:color="auto" w:fill="FFFFFF"/>
        </w:rPr>
        <w:t>alebo strata</w:t>
      </w:r>
      <w:r w:rsidRPr="00151785" w:rsidR="00616F74">
        <w:rPr>
          <w:rFonts w:ascii="Times New Roman" w:hAnsi="Times New Roman"/>
          <w:sz w:val="22"/>
          <w:szCs w:val="22"/>
          <w:lang w:val="pl-PL"/>
        </w:rPr>
        <w:t xml:space="preserve"> </w:t>
      </w:r>
      <w:r w:rsidRPr="00151785">
        <w:rPr>
          <w:rFonts w:ascii="Times New Roman" w:hAnsi="Times New Roman"/>
          <w:sz w:val="22"/>
          <w:szCs w:val="22"/>
          <w:lang w:val="pl-PL"/>
        </w:rPr>
        <w:t xml:space="preserve">pred zdanením </w:t>
      </w:r>
    </w:p>
    <w:p w:rsidR="00EC45B2" w:rsidRPr="00151785" w:rsidP="00965A39">
      <w:pPr>
        <w:pStyle w:val="Tex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 xml:space="preserve">V piatom stĺpci </w:t>
      </w:r>
      <w:r w:rsidRPr="00151785" w:rsidR="00FD45DF">
        <w:rPr>
          <w:rFonts w:ascii="Times New Roman" w:hAnsi="Times New Roman"/>
          <w:sz w:val="22"/>
          <w:szCs w:val="22"/>
          <w:lang w:val="pl-PL"/>
        </w:rPr>
        <w:t>oznamujúc</w:t>
      </w:r>
      <w:r w:rsidR="00FD45DF">
        <w:rPr>
          <w:rFonts w:ascii="Times New Roman" w:hAnsi="Times New Roman"/>
          <w:sz w:val="22"/>
          <w:szCs w:val="22"/>
          <w:lang w:val="pl-PL"/>
        </w:rPr>
        <w:t>i subjekt</w:t>
      </w:r>
      <w:r w:rsidR="00FD45DF">
        <w:rPr>
          <w:rFonts w:ascii="Times New Roman" w:hAnsi="Times New Roman"/>
          <w:sz w:val="22"/>
          <w:szCs w:val="22"/>
        </w:rPr>
        <w:t xml:space="preserve"> </w:t>
      </w:r>
      <w:r w:rsidR="00992792">
        <w:rPr>
          <w:rFonts w:ascii="Times New Roman" w:hAnsi="Times New Roman"/>
          <w:sz w:val="22"/>
          <w:szCs w:val="22"/>
        </w:rPr>
        <w:t>uvádza</w:t>
      </w:r>
      <w:r w:rsidRPr="00151785">
        <w:rPr>
          <w:rFonts w:ascii="Times New Roman" w:hAnsi="Times New Roman"/>
          <w:sz w:val="22"/>
          <w:szCs w:val="22"/>
          <w:lang w:val="pl-PL"/>
        </w:rPr>
        <w:t xml:space="preserve"> súčet ziskov </w:t>
      </w:r>
      <w:r w:rsidRPr="00151785" w:rsidR="00616F74">
        <w:rPr>
          <w:rFonts w:ascii="Times New Roman" w:hAnsi="Times New Roman"/>
          <w:sz w:val="22"/>
          <w:szCs w:val="22"/>
          <w:lang w:val="pl-PL"/>
        </w:rPr>
        <w:t xml:space="preserve">alebo strát </w:t>
      </w:r>
      <w:r w:rsidRPr="00151785">
        <w:rPr>
          <w:rFonts w:ascii="Times New Roman" w:hAnsi="Times New Roman"/>
          <w:sz w:val="22"/>
          <w:szCs w:val="22"/>
          <w:lang w:val="pl-PL"/>
        </w:rPr>
        <w:t xml:space="preserve">pred zdanením všetkých základných subjektov, ktoré sú rezidentmi na daňové účely v príslušnom štáte. Zisk pred zdanením </w:t>
      </w:r>
      <w:r w:rsidRPr="00151785" w:rsidR="00151785">
        <w:rPr>
          <w:rFonts w:ascii="Times New Roman" w:hAnsi="Times New Roman"/>
          <w:sz w:val="22"/>
          <w:szCs w:val="22"/>
          <w:lang w:val="pl-PL"/>
        </w:rPr>
        <w:t xml:space="preserve">alebo strata </w:t>
      </w:r>
      <w:r w:rsidRPr="00151785">
        <w:rPr>
          <w:rFonts w:ascii="Times New Roman" w:hAnsi="Times New Roman"/>
          <w:sz w:val="22"/>
          <w:szCs w:val="22"/>
          <w:lang w:val="pl-PL"/>
        </w:rPr>
        <w:t>zahŕňa</w:t>
      </w:r>
      <w:r w:rsidR="00AF2AA1">
        <w:rPr>
          <w:rFonts w:ascii="Times New Roman" w:hAnsi="Times New Roman"/>
          <w:sz w:val="22"/>
          <w:szCs w:val="22"/>
          <w:lang w:val="pl-PL"/>
        </w:rPr>
        <w:t>jú</w:t>
      </w:r>
      <w:r w:rsidR="00C25F54">
        <w:rPr>
          <w:rFonts w:ascii="Times New Roman" w:hAnsi="Times New Roman"/>
          <w:sz w:val="22"/>
          <w:szCs w:val="22"/>
          <w:lang w:val="pl-PL"/>
        </w:rPr>
        <w:t xml:space="preserve"> aj</w:t>
      </w:r>
      <w:r w:rsidRPr="00151785">
        <w:rPr>
          <w:rFonts w:ascii="Times New Roman" w:hAnsi="Times New Roman"/>
          <w:sz w:val="22"/>
          <w:szCs w:val="22"/>
          <w:lang w:val="pl-PL"/>
        </w:rPr>
        <w:t xml:space="preserve"> mimoriadne výnosy a mimoriadne náklady.</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1.4.</w:t>
        <w:tab/>
      </w:r>
      <w:r w:rsidR="00151785">
        <w:rPr>
          <w:rFonts w:ascii="Times New Roman" w:hAnsi="Times New Roman"/>
          <w:sz w:val="22"/>
          <w:szCs w:val="22"/>
          <w:lang w:val="pl-PL"/>
        </w:rPr>
        <w:t>Zaplatená</w:t>
      </w:r>
      <w:r w:rsidRPr="00151785">
        <w:rPr>
          <w:rFonts w:ascii="Times New Roman" w:hAnsi="Times New Roman"/>
          <w:sz w:val="22"/>
          <w:szCs w:val="22"/>
          <w:lang w:val="pl-PL"/>
        </w:rPr>
        <w:t xml:space="preserve"> daň z príjmu na hotovostnom základe</w:t>
      </w:r>
    </w:p>
    <w:p w:rsidR="00866F06" w:rsidP="00965A39">
      <w:pPr>
        <w:pStyle w:val="Text1"/>
        <w:bidi w:val="0"/>
        <w:spacing w:line="240" w:lineRule="auto"/>
        <w:jc w:val="both"/>
        <w:rPr>
          <w:rFonts w:ascii="Times New Roman" w:hAnsi="Times New Roman"/>
          <w:sz w:val="22"/>
          <w:szCs w:val="22"/>
          <w:lang w:val="pl-PL"/>
        </w:rPr>
      </w:pPr>
      <w:r w:rsidRPr="00151785" w:rsidR="00EC45B2">
        <w:rPr>
          <w:rFonts w:ascii="Times New Roman" w:hAnsi="Times New Roman"/>
          <w:sz w:val="22"/>
          <w:szCs w:val="22"/>
          <w:lang w:val="pl-PL"/>
        </w:rPr>
        <w:t>V šiestom stĺpci oznamujúc</w:t>
      </w:r>
      <w:r w:rsidR="00151785">
        <w:rPr>
          <w:rFonts w:ascii="Times New Roman" w:hAnsi="Times New Roman"/>
          <w:sz w:val="22"/>
          <w:szCs w:val="22"/>
          <w:lang w:val="pl-PL"/>
        </w:rPr>
        <w:t>i subjekt</w:t>
      </w:r>
      <w:r w:rsidRPr="00151785" w:rsidR="00EC45B2">
        <w:rPr>
          <w:rFonts w:ascii="Times New Roman" w:hAnsi="Times New Roman"/>
          <w:sz w:val="22"/>
          <w:szCs w:val="22"/>
          <w:lang w:val="pl-PL"/>
        </w:rPr>
        <w:t xml:space="preserve"> uvádza celkovú sumu dane z príjmu, ktorú v príslušnom finančnom roku skutočne zaplatili všetky základné subjekty, ktoré sú rezidentmi</w:t>
      </w:r>
      <w:r w:rsidR="00AF2AA1">
        <w:rPr>
          <w:rFonts w:ascii="Times New Roman" w:hAnsi="Times New Roman"/>
          <w:sz w:val="22"/>
          <w:szCs w:val="22"/>
          <w:lang w:val="pl-PL"/>
        </w:rPr>
        <w:t xml:space="preserve"> na daňové účely</w:t>
      </w:r>
      <w:r w:rsidRPr="00151785" w:rsidR="00EC45B2">
        <w:rPr>
          <w:rFonts w:ascii="Times New Roman" w:hAnsi="Times New Roman"/>
          <w:sz w:val="22"/>
          <w:szCs w:val="22"/>
          <w:lang w:val="pl-PL"/>
        </w:rPr>
        <w:t xml:space="preserve"> v príslušnom štáte. </w:t>
      </w:r>
      <w:r w:rsidR="00151785">
        <w:rPr>
          <w:rFonts w:ascii="Times New Roman" w:hAnsi="Times New Roman"/>
          <w:sz w:val="22"/>
          <w:szCs w:val="22"/>
          <w:lang w:val="pl-PL"/>
        </w:rPr>
        <w:t xml:space="preserve">Zaplatená </w:t>
      </w:r>
      <w:r w:rsidRPr="00151785" w:rsidR="00EC45B2">
        <w:rPr>
          <w:rFonts w:ascii="Times New Roman" w:hAnsi="Times New Roman"/>
          <w:sz w:val="22"/>
          <w:szCs w:val="22"/>
          <w:lang w:val="pl-PL"/>
        </w:rPr>
        <w:t xml:space="preserve">daň z príjmu zahŕňa dane, ktoré základný subjekt vo forme platby odviedol v štáte </w:t>
      </w:r>
      <w:r w:rsidR="00AF2AA1">
        <w:rPr>
          <w:rFonts w:ascii="Times New Roman" w:hAnsi="Times New Roman"/>
          <w:sz w:val="22"/>
          <w:szCs w:val="22"/>
          <w:lang w:val="pl-PL"/>
        </w:rPr>
        <w:t xml:space="preserve">svojej </w:t>
      </w:r>
      <w:r w:rsidRPr="00151785" w:rsidR="00EC45B2">
        <w:rPr>
          <w:rFonts w:ascii="Times New Roman" w:hAnsi="Times New Roman"/>
          <w:sz w:val="22"/>
          <w:szCs w:val="22"/>
          <w:lang w:val="pl-PL"/>
        </w:rPr>
        <w:t xml:space="preserve">daňovej rezidencie a vo všetkých ostatných štátoch. </w:t>
      </w:r>
      <w:r w:rsidR="00151785">
        <w:rPr>
          <w:rFonts w:ascii="Times New Roman" w:hAnsi="Times New Roman"/>
          <w:sz w:val="22"/>
          <w:szCs w:val="22"/>
          <w:lang w:val="pl-PL"/>
        </w:rPr>
        <w:t>Zaplatená</w:t>
      </w:r>
      <w:r w:rsidRPr="00151785" w:rsidR="00EC45B2">
        <w:rPr>
          <w:rFonts w:ascii="Times New Roman" w:hAnsi="Times New Roman"/>
          <w:sz w:val="22"/>
          <w:szCs w:val="22"/>
          <w:lang w:val="pl-PL"/>
        </w:rPr>
        <w:t xml:space="preserve"> daň z príjmu zahŕňa aj zrážkovú daň, ktorú odviedli iné subjekty v súvislosti s platbami základnému subjektu. To znamená, že ak spoločnosť A, ktorá je rezidentom</w:t>
      </w:r>
      <w:r w:rsidR="00EB616C">
        <w:rPr>
          <w:rFonts w:ascii="Times New Roman" w:hAnsi="Times New Roman"/>
          <w:sz w:val="22"/>
          <w:szCs w:val="22"/>
          <w:lang w:val="pl-PL"/>
        </w:rPr>
        <w:t xml:space="preserve"> na daňové účely</w:t>
      </w:r>
      <w:r w:rsidRPr="00151785" w:rsidR="00EC45B2">
        <w:rPr>
          <w:rFonts w:ascii="Times New Roman" w:hAnsi="Times New Roman"/>
          <w:sz w:val="22"/>
          <w:szCs w:val="22"/>
          <w:lang w:val="pl-PL"/>
        </w:rPr>
        <w:t xml:space="preserve"> v štáte A, má príjmy</w:t>
      </w:r>
      <w:r w:rsidR="00452EB9">
        <w:rPr>
          <w:rFonts w:ascii="Times New Roman" w:hAnsi="Times New Roman"/>
          <w:sz w:val="22"/>
          <w:szCs w:val="22"/>
          <w:lang w:val="pl-PL"/>
        </w:rPr>
        <w:t>, ktorému plynú úroky</w:t>
      </w:r>
      <w:r w:rsidRPr="00151785" w:rsidR="00EC45B2">
        <w:rPr>
          <w:rFonts w:ascii="Times New Roman" w:hAnsi="Times New Roman"/>
          <w:sz w:val="22"/>
          <w:szCs w:val="22"/>
          <w:lang w:val="pl-PL"/>
        </w:rPr>
        <w:t xml:space="preserve"> zo štátu B, daň zrazenú v štáte B oznamuje spoločnosť A.</w:t>
      </w:r>
    </w:p>
    <w:p w:rsidR="00EC45B2" w:rsidRPr="00151785" w:rsidP="00866F06">
      <w:pPr>
        <w:pStyle w:val="Text1"/>
        <w:bidi w:val="0"/>
        <w:spacing w:line="240" w:lineRule="auto"/>
        <w:ind w:left="0"/>
        <w:rPr>
          <w:rFonts w:ascii="Times New Roman" w:hAnsi="Times New Roman"/>
          <w:noProof/>
          <w:sz w:val="22"/>
          <w:szCs w:val="22"/>
          <w:lang w:val="pl-PL"/>
        </w:rPr>
      </w:pPr>
      <w:r w:rsidRPr="00151785">
        <w:rPr>
          <w:rFonts w:ascii="Times New Roman" w:hAnsi="Times New Roman"/>
          <w:sz w:val="22"/>
          <w:szCs w:val="22"/>
          <w:lang w:val="pl-PL"/>
        </w:rPr>
        <w:t>1.5.</w:t>
        <w:tab/>
        <w:t xml:space="preserve">Splatná daň </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V siedmom stĺpci oznamujúc</w:t>
      </w:r>
      <w:r w:rsidR="00EB616C">
        <w:rPr>
          <w:rFonts w:ascii="Times New Roman" w:hAnsi="Times New Roman"/>
          <w:sz w:val="22"/>
          <w:szCs w:val="22"/>
          <w:lang w:val="pl-PL"/>
        </w:rPr>
        <w:t>i subjekt</w:t>
      </w:r>
      <w:r w:rsidRPr="00151785">
        <w:rPr>
          <w:rFonts w:ascii="Times New Roman" w:hAnsi="Times New Roman"/>
          <w:sz w:val="22"/>
          <w:szCs w:val="22"/>
          <w:lang w:val="pl-PL"/>
        </w:rPr>
        <w:t xml:space="preserve"> uvádza splatnú daň účtovanú ako náklad vzťahujúcu sa na zdaniteľné príjmy a daňové výdavky za všetky základné subjekty, ktoré sú rezidentmi </w:t>
      </w:r>
      <w:r w:rsidR="00EB616C">
        <w:rPr>
          <w:rFonts w:ascii="Times New Roman" w:hAnsi="Times New Roman"/>
          <w:sz w:val="22"/>
          <w:szCs w:val="22"/>
          <w:lang w:val="pl-PL"/>
        </w:rPr>
        <w:t xml:space="preserve">na daňové účely </w:t>
      </w:r>
      <w:r w:rsidRPr="00151785">
        <w:rPr>
          <w:rFonts w:ascii="Times New Roman" w:hAnsi="Times New Roman"/>
          <w:sz w:val="22"/>
          <w:szCs w:val="22"/>
          <w:lang w:val="pl-PL"/>
        </w:rPr>
        <w:t>v príslušnom štáte. Uvádza sa tu iba daň splatná za príslušný finančný rok, pričom sa neuvádza odložená daň a</w:t>
      </w:r>
      <w:r w:rsidR="00EB616C">
        <w:rPr>
          <w:rFonts w:ascii="Times New Roman" w:hAnsi="Times New Roman"/>
          <w:sz w:val="22"/>
          <w:szCs w:val="22"/>
          <w:lang w:val="pl-PL"/>
        </w:rPr>
        <w:t>ni</w:t>
      </w:r>
      <w:r w:rsidRPr="00151785">
        <w:rPr>
          <w:rFonts w:ascii="Times New Roman" w:hAnsi="Times New Roman"/>
          <w:sz w:val="22"/>
          <w:szCs w:val="22"/>
          <w:lang w:val="pl-PL"/>
        </w:rPr>
        <w:t xml:space="preserve"> rezerva na </w:t>
      </w:r>
      <w:r w:rsidR="005030B2">
        <w:rPr>
          <w:rFonts w:ascii="Times New Roman" w:hAnsi="Times New Roman"/>
          <w:sz w:val="22"/>
          <w:szCs w:val="22"/>
          <w:lang w:val="pl-PL"/>
        </w:rPr>
        <w:t>neisté daňové povinnosti</w:t>
      </w:r>
      <w:r w:rsidRPr="00151785">
        <w:rPr>
          <w:rFonts w:ascii="Times New Roman" w:hAnsi="Times New Roman"/>
          <w:sz w:val="22"/>
          <w:szCs w:val="22"/>
          <w:lang w:val="pl-PL"/>
        </w:rPr>
        <w:t>.</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1.6.</w:t>
        <w:tab/>
      </w:r>
      <w:r w:rsidR="00866F06">
        <w:rPr>
          <w:rFonts w:ascii="Times New Roman" w:hAnsi="Times New Roman"/>
          <w:sz w:val="22"/>
          <w:szCs w:val="22"/>
          <w:lang w:val="pl-PL"/>
        </w:rPr>
        <w:t>Zapísané</w:t>
      </w:r>
      <w:r w:rsidRPr="00151785">
        <w:rPr>
          <w:rFonts w:ascii="Times New Roman" w:hAnsi="Times New Roman"/>
          <w:sz w:val="22"/>
          <w:szCs w:val="22"/>
          <w:lang w:val="pl-PL"/>
        </w:rPr>
        <w:t xml:space="preserve"> základné imanie</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V ôsmom stĺpci oznamujúc</w:t>
      </w:r>
      <w:r w:rsidR="00866F06">
        <w:rPr>
          <w:rFonts w:ascii="Times New Roman" w:hAnsi="Times New Roman"/>
          <w:sz w:val="22"/>
          <w:szCs w:val="22"/>
          <w:lang w:val="pl-PL"/>
        </w:rPr>
        <w:t>i subjekt</w:t>
      </w:r>
      <w:r w:rsidRPr="00151785">
        <w:rPr>
          <w:rFonts w:ascii="Times New Roman" w:hAnsi="Times New Roman"/>
          <w:sz w:val="22"/>
          <w:szCs w:val="22"/>
          <w:lang w:val="pl-PL"/>
        </w:rPr>
        <w:t xml:space="preserve"> uvádza súčet </w:t>
      </w:r>
      <w:r w:rsidR="00866F06">
        <w:rPr>
          <w:rFonts w:ascii="Times New Roman" w:hAnsi="Times New Roman"/>
          <w:sz w:val="22"/>
          <w:szCs w:val="22"/>
          <w:lang w:val="pl-PL"/>
        </w:rPr>
        <w:t xml:space="preserve">zapísaného </w:t>
      </w:r>
      <w:r w:rsidRPr="00151785">
        <w:rPr>
          <w:rFonts w:ascii="Times New Roman" w:hAnsi="Times New Roman"/>
          <w:sz w:val="22"/>
          <w:szCs w:val="22"/>
          <w:lang w:val="pl-PL"/>
        </w:rPr>
        <w:t xml:space="preserve">základného imania všetkých základných subjektov, ktoré sú rezidentmi </w:t>
      </w:r>
      <w:r w:rsidR="00EB616C">
        <w:rPr>
          <w:rFonts w:ascii="Times New Roman" w:hAnsi="Times New Roman"/>
          <w:sz w:val="22"/>
          <w:szCs w:val="22"/>
          <w:lang w:val="pl-PL"/>
        </w:rPr>
        <w:t xml:space="preserve">na daňové účely </w:t>
      </w:r>
      <w:r w:rsidRPr="00151785">
        <w:rPr>
          <w:rFonts w:ascii="Times New Roman" w:hAnsi="Times New Roman"/>
          <w:sz w:val="22"/>
          <w:szCs w:val="22"/>
          <w:lang w:val="pl-PL"/>
        </w:rPr>
        <w:t xml:space="preserve">v príslušnom štáte. Vo vzťahu k stálym prevádzkarňam sa uvádza základné imanie zriaďovateľa, </w:t>
      </w:r>
      <w:r w:rsidR="00DC65CF">
        <w:rPr>
          <w:rFonts w:ascii="Times New Roman" w:hAnsi="Times New Roman"/>
          <w:sz w:val="22"/>
          <w:szCs w:val="22"/>
          <w:lang w:val="pl-PL"/>
        </w:rPr>
        <w:t>ak</w:t>
      </w:r>
      <w:r w:rsidRPr="00151785" w:rsidR="00DC65CF">
        <w:rPr>
          <w:rFonts w:ascii="Times New Roman" w:hAnsi="Times New Roman"/>
          <w:sz w:val="22"/>
          <w:szCs w:val="22"/>
          <w:lang w:val="pl-PL"/>
        </w:rPr>
        <w:t xml:space="preserve"> </w:t>
      </w:r>
      <w:r w:rsidRPr="00151785">
        <w:rPr>
          <w:rFonts w:ascii="Times New Roman" w:hAnsi="Times New Roman"/>
          <w:sz w:val="22"/>
          <w:szCs w:val="22"/>
          <w:lang w:val="pl-PL"/>
        </w:rPr>
        <w:t>nie je v štáte, v ktorom sa stála prevádzkareň nachádza, na regulačné účely ustanovená požiadavka základného imania stálej prevádzkarne.</w:t>
      </w:r>
    </w:p>
    <w:p w:rsidR="00EC45B2" w:rsidRPr="00151785" w:rsidP="00151785">
      <w:pPr>
        <w:pStyle w:val="Point0"/>
        <w:bidi w:val="0"/>
        <w:spacing w:line="240" w:lineRule="auto"/>
        <w:rPr>
          <w:rFonts w:ascii="Times New Roman" w:hAnsi="Times New Roman"/>
          <w:noProof/>
          <w:sz w:val="22"/>
          <w:szCs w:val="22"/>
          <w:lang w:val="pl-PL"/>
        </w:rPr>
      </w:pPr>
      <w:r w:rsidR="00B04952">
        <w:rPr>
          <w:rFonts w:ascii="Times New Roman" w:hAnsi="Times New Roman"/>
          <w:sz w:val="22"/>
          <w:szCs w:val="22"/>
          <w:lang w:val="pl-PL"/>
        </w:rPr>
        <w:t>1.7.</w:t>
        <w:tab/>
        <w:t>Nerozdelený zisk</w:t>
      </w:r>
      <w:r w:rsidR="00616F74">
        <w:rPr>
          <w:rFonts w:ascii="Times New Roman" w:hAnsi="Times New Roman"/>
          <w:sz w:val="22"/>
          <w:szCs w:val="22"/>
          <w:lang w:val="pl-PL"/>
        </w:rPr>
        <w:t xml:space="preserve"> a </w:t>
      </w:r>
      <w:r w:rsidR="00B04952">
        <w:rPr>
          <w:rFonts w:ascii="Times New Roman" w:hAnsi="Times New Roman"/>
          <w:sz w:val="22"/>
          <w:szCs w:val="22"/>
          <w:lang w:val="pl-PL"/>
        </w:rPr>
        <w:t>neuhradená strata</w:t>
      </w:r>
    </w:p>
    <w:p w:rsidR="00866F06" w:rsidP="00965A39">
      <w:pPr>
        <w:pStyle w:val="Text1"/>
        <w:bidi w:val="0"/>
        <w:spacing w:line="240" w:lineRule="auto"/>
        <w:jc w:val="both"/>
        <w:rPr>
          <w:rFonts w:ascii="Times New Roman" w:hAnsi="Times New Roman"/>
          <w:sz w:val="22"/>
          <w:szCs w:val="22"/>
          <w:lang w:val="pl-PL"/>
        </w:rPr>
      </w:pPr>
      <w:r w:rsidRPr="00151785" w:rsidR="00EC45B2">
        <w:rPr>
          <w:rFonts w:ascii="Times New Roman" w:hAnsi="Times New Roman"/>
          <w:sz w:val="22"/>
          <w:szCs w:val="22"/>
          <w:lang w:val="pl-PL"/>
        </w:rPr>
        <w:t>V deviatom stĺpci oznamujúc</w:t>
      </w:r>
      <w:r>
        <w:rPr>
          <w:rFonts w:ascii="Times New Roman" w:hAnsi="Times New Roman"/>
          <w:sz w:val="22"/>
          <w:szCs w:val="22"/>
          <w:lang w:val="pl-PL"/>
        </w:rPr>
        <w:t>i subjekt</w:t>
      </w:r>
      <w:r w:rsidRPr="00151785" w:rsidR="00EC45B2">
        <w:rPr>
          <w:rFonts w:ascii="Times New Roman" w:hAnsi="Times New Roman"/>
          <w:sz w:val="22"/>
          <w:szCs w:val="22"/>
          <w:lang w:val="pl-PL"/>
        </w:rPr>
        <w:t xml:space="preserve"> uvádza sumu</w:t>
      </w:r>
      <w:r w:rsidR="00165908">
        <w:rPr>
          <w:rFonts w:ascii="Times New Roman" w:hAnsi="Times New Roman"/>
          <w:sz w:val="22"/>
          <w:szCs w:val="22"/>
          <w:lang w:val="pl-PL"/>
        </w:rPr>
        <w:t xml:space="preserve"> </w:t>
      </w:r>
      <w:r w:rsidRPr="008778A3" w:rsidR="005030B2">
        <w:rPr>
          <w:rFonts w:ascii="Times New Roman" w:hAnsi="Times New Roman"/>
          <w:sz w:val="22"/>
          <w:szCs w:val="22"/>
          <w:lang w:val="pl-PL"/>
        </w:rPr>
        <w:t>nerozdeleného zisku</w:t>
      </w:r>
      <w:r w:rsidR="00B04952">
        <w:rPr>
          <w:rFonts w:ascii="Times New Roman" w:hAnsi="Times New Roman"/>
          <w:sz w:val="22"/>
          <w:szCs w:val="22"/>
          <w:lang w:val="pl-PL"/>
        </w:rPr>
        <w:t xml:space="preserve"> a neuhradenej straty</w:t>
      </w:r>
      <w:r w:rsidRPr="00C34272" w:rsidR="005030B2">
        <w:rPr>
          <w:rStyle w:val="Nadpis2Char"/>
          <w:lang w:eastAsia="en-US"/>
        </w:rPr>
        <w:t xml:space="preserve"> </w:t>
      </w:r>
      <w:r w:rsidR="00165908">
        <w:rPr>
          <w:rFonts w:ascii="Times New Roman" w:hAnsi="Times New Roman"/>
          <w:sz w:val="22"/>
          <w:szCs w:val="22"/>
          <w:lang w:val="pl-PL"/>
        </w:rPr>
        <w:t>za bežné obdobie</w:t>
      </w:r>
      <w:r w:rsidRPr="00151785" w:rsidR="00EC45B2">
        <w:rPr>
          <w:rFonts w:ascii="Times New Roman" w:hAnsi="Times New Roman"/>
          <w:sz w:val="22"/>
          <w:szCs w:val="22"/>
          <w:lang w:val="pl-PL"/>
        </w:rPr>
        <w:t xml:space="preserve"> za všetk</w:t>
      </w:r>
      <w:r w:rsidR="00452EB9">
        <w:rPr>
          <w:rFonts w:ascii="Times New Roman" w:hAnsi="Times New Roman"/>
          <w:sz w:val="22"/>
          <w:szCs w:val="22"/>
          <w:lang w:val="pl-PL"/>
        </w:rPr>
        <w:t>y</w:t>
      </w:r>
      <w:r w:rsidRPr="00151785" w:rsidR="00EC45B2">
        <w:rPr>
          <w:rFonts w:ascii="Times New Roman" w:hAnsi="Times New Roman"/>
          <w:sz w:val="22"/>
          <w:szCs w:val="22"/>
          <w:lang w:val="pl-PL"/>
        </w:rPr>
        <w:t xml:space="preserve"> základné subjekty, ktoré sú rezidentmi </w:t>
      </w:r>
      <w:r w:rsidR="00EB616C">
        <w:rPr>
          <w:rFonts w:ascii="Times New Roman" w:hAnsi="Times New Roman"/>
          <w:sz w:val="22"/>
          <w:szCs w:val="22"/>
          <w:lang w:val="pl-PL"/>
        </w:rPr>
        <w:t xml:space="preserve">na daňové účely </w:t>
      </w:r>
      <w:r w:rsidRPr="00151785" w:rsidR="00EC45B2">
        <w:rPr>
          <w:rFonts w:ascii="Times New Roman" w:hAnsi="Times New Roman"/>
          <w:sz w:val="22"/>
          <w:szCs w:val="22"/>
          <w:lang w:val="pl-PL"/>
        </w:rPr>
        <w:t xml:space="preserve">v príslušnom štáte ku koncu </w:t>
      </w:r>
      <w:r w:rsidR="00710665">
        <w:rPr>
          <w:rFonts w:ascii="Times New Roman" w:hAnsi="Times New Roman"/>
          <w:sz w:val="22"/>
          <w:szCs w:val="22"/>
          <w:lang w:val="pl-PL"/>
        </w:rPr>
        <w:t>príslušného</w:t>
      </w:r>
      <w:r w:rsidRPr="00151785" w:rsidR="00EC45B2">
        <w:rPr>
          <w:rFonts w:ascii="Times New Roman" w:hAnsi="Times New Roman"/>
          <w:sz w:val="22"/>
          <w:szCs w:val="22"/>
          <w:lang w:val="pl-PL"/>
        </w:rPr>
        <w:t xml:space="preserve"> roka. </w:t>
      </w:r>
      <w:r w:rsidR="00DC65CF">
        <w:rPr>
          <w:rFonts w:ascii="Times New Roman" w:hAnsi="Times New Roman"/>
          <w:sz w:val="22"/>
          <w:szCs w:val="22"/>
          <w:lang w:val="pl-PL"/>
        </w:rPr>
        <w:t>Ak</w:t>
      </w:r>
      <w:r w:rsidRPr="00151785" w:rsidR="00DC65CF">
        <w:rPr>
          <w:rFonts w:ascii="Times New Roman" w:hAnsi="Times New Roman"/>
          <w:sz w:val="22"/>
          <w:szCs w:val="22"/>
          <w:lang w:val="pl-PL"/>
        </w:rPr>
        <w:t xml:space="preserve"> </w:t>
      </w:r>
      <w:r w:rsidRPr="00151785" w:rsidR="00EC45B2">
        <w:rPr>
          <w:rFonts w:ascii="Times New Roman" w:hAnsi="Times New Roman"/>
          <w:sz w:val="22"/>
          <w:szCs w:val="22"/>
          <w:lang w:val="pl-PL"/>
        </w:rPr>
        <w:t xml:space="preserve">ide o stále prevádzkarne, </w:t>
      </w:r>
      <w:r w:rsidR="00165908">
        <w:rPr>
          <w:rFonts w:ascii="Times New Roman" w:hAnsi="Times New Roman"/>
          <w:sz w:val="22"/>
          <w:szCs w:val="22"/>
          <w:lang w:val="pl-PL"/>
        </w:rPr>
        <w:t>tieto informácie</w:t>
      </w:r>
      <w:r w:rsidRPr="00151785" w:rsidR="00EC45B2">
        <w:rPr>
          <w:rFonts w:ascii="Times New Roman" w:hAnsi="Times New Roman"/>
          <w:sz w:val="22"/>
          <w:szCs w:val="22"/>
          <w:lang w:val="pl-PL"/>
        </w:rPr>
        <w:t xml:space="preserve"> </w:t>
      </w:r>
      <w:r w:rsidR="00FD45DF">
        <w:rPr>
          <w:rFonts w:ascii="Times New Roman" w:hAnsi="Times New Roman"/>
          <w:sz w:val="22"/>
          <w:szCs w:val="22"/>
        </w:rPr>
        <w:t>uvádza</w:t>
      </w:r>
      <w:r w:rsidRPr="00151785" w:rsidR="00EC45B2">
        <w:rPr>
          <w:rFonts w:ascii="Times New Roman" w:hAnsi="Times New Roman"/>
          <w:sz w:val="22"/>
          <w:szCs w:val="22"/>
          <w:lang w:val="pl-PL"/>
        </w:rPr>
        <w:t xml:space="preserve"> zriaďovateľ stálej prevádzkarne.</w:t>
      </w:r>
    </w:p>
    <w:p w:rsidR="00EC45B2" w:rsidRPr="00151785" w:rsidP="008778A3">
      <w:pPr>
        <w:pStyle w:val="Text1"/>
        <w:bidi w:val="0"/>
        <w:spacing w:line="240" w:lineRule="auto"/>
        <w:ind w:left="0"/>
        <w:rPr>
          <w:rFonts w:ascii="Times New Roman" w:hAnsi="Times New Roman"/>
          <w:noProof/>
          <w:sz w:val="22"/>
          <w:szCs w:val="22"/>
          <w:lang w:val="pl-PL"/>
        </w:rPr>
      </w:pPr>
      <w:r w:rsidRPr="00151785">
        <w:rPr>
          <w:rFonts w:ascii="Times New Roman" w:hAnsi="Times New Roman"/>
          <w:sz w:val="22"/>
          <w:szCs w:val="22"/>
          <w:lang w:val="pl-PL"/>
        </w:rPr>
        <w:t>1.8.</w:t>
        <w:tab/>
        <w:t>Počet zamestnancov</w:t>
      </w:r>
    </w:p>
    <w:p w:rsidR="00EC45B2" w:rsidRPr="00151785" w:rsidP="00965A39">
      <w:pPr>
        <w:pStyle w:val="Tex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V desiatom stĺpci oznamujúc</w:t>
      </w:r>
      <w:r w:rsidR="00866F06">
        <w:rPr>
          <w:rFonts w:ascii="Times New Roman" w:hAnsi="Times New Roman"/>
          <w:sz w:val="22"/>
          <w:szCs w:val="22"/>
          <w:lang w:val="pl-PL"/>
        </w:rPr>
        <w:t>i subjekt</w:t>
      </w:r>
      <w:r w:rsidRPr="00151785">
        <w:rPr>
          <w:rFonts w:ascii="Times New Roman" w:hAnsi="Times New Roman"/>
          <w:sz w:val="22"/>
          <w:szCs w:val="22"/>
          <w:lang w:val="pl-PL"/>
        </w:rPr>
        <w:t xml:space="preserve"> </w:t>
      </w:r>
      <w:r w:rsidR="00EB616C">
        <w:rPr>
          <w:rFonts w:ascii="Times New Roman" w:hAnsi="Times New Roman"/>
          <w:sz w:val="22"/>
          <w:szCs w:val="22"/>
          <w:lang w:val="pl-PL"/>
        </w:rPr>
        <w:t>uvádza</w:t>
      </w:r>
      <w:r w:rsidRPr="00151785">
        <w:rPr>
          <w:rFonts w:ascii="Times New Roman" w:hAnsi="Times New Roman"/>
          <w:sz w:val="22"/>
          <w:szCs w:val="22"/>
          <w:lang w:val="pl-PL"/>
        </w:rPr>
        <w:t xml:space="preserve"> celkový počet zamestnancov prepočítaných na báze ekvivalentu plného pracovného </w:t>
      </w:r>
      <w:r w:rsidR="00BC6781">
        <w:rPr>
          <w:rFonts w:ascii="Times New Roman" w:hAnsi="Times New Roman"/>
          <w:sz w:val="22"/>
          <w:szCs w:val="22"/>
          <w:lang w:val="pl-PL"/>
        </w:rPr>
        <w:t>úväzku</w:t>
      </w:r>
      <w:r w:rsidRPr="00151785">
        <w:rPr>
          <w:rFonts w:ascii="Times New Roman" w:hAnsi="Times New Roman"/>
          <w:sz w:val="22"/>
          <w:szCs w:val="22"/>
          <w:lang w:val="pl-PL"/>
        </w:rPr>
        <w:t xml:space="preserve"> za všetky základné subjekty, ktoré sú rezidentmi</w:t>
      </w:r>
      <w:r w:rsidR="00EB616C">
        <w:rPr>
          <w:rFonts w:ascii="Times New Roman" w:hAnsi="Times New Roman"/>
          <w:sz w:val="22"/>
          <w:szCs w:val="22"/>
          <w:lang w:val="pl-PL"/>
        </w:rPr>
        <w:t xml:space="preserve"> na daňové účely</w:t>
      </w:r>
      <w:r w:rsidRPr="00151785">
        <w:rPr>
          <w:rFonts w:ascii="Times New Roman" w:hAnsi="Times New Roman"/>
          <w:sz w:val="22"/>
          <w:szCs w:val="22"/>
          <w:lang w:val="pl-PL"/>
        </w:rPr>
        <w:t xml:space="preserve"> v príslušnom štáte. Počet zamestnancov sa môže uviesť ako stav ku koncu roka, na báze priemernej </w:t>
      </w:r>
      <w:r w:rsidR="00866F06">
        <w:rPr>
          <w:rFonts w:ascii="Times New Roman" w:hAnsi="Times New Roman"/>
          <w:sz w:val="22"/>
          <w:szCs w:val="22"/>
          <w:lang w:val="pl-PL"/>
        </w:rPr>
        <w:t>zamestnanosti za daný rok</w:t>
      </w:r>
      <w:r w:rsidRPr="00151785">
        <w:rPr>
          <w:rFonts w:ascii="Times New Roman" w:hAnsi="Times New Roman"/>
          <w:sz w:val="22"/>
          <w:szCs w:val="22"/>
          <w:lang w:val="pl-PL"/>
        </w:rPr>
        <w:t xml:space="preserve"> alebo na inej báze. Na tento účel možno </w:t>
      </w:r>
      <w:r w:rsidRPr="00151785" w:rsidR="00EB616C">
        <w:rPr>
          <w:rFonts w:ascii="Times New Roman" w:hAnsi="Times New Roman"/>
          <w:sz w:val="22"/>
          <w:szCs w:val="22"/>
          <w:lang w:val="pl-PL"/>
        </w:rPr>
        <w:t>vykazovať ako zamestnancov</w:t>
      </w:r>
      <w:r w:rsidR="00EB616C">
        <w:rPr>
          <w:rFonts w:ascii="Times New Roman" w:hAnsi="Times New Roman"/>
          <w:sz w:val="22"/>
          <w:szCs w:val="22"/>
          <w:lang w:val="pl-PL"/>
        </w:rPr>
        <w:t xml:space="preserve"> aj</w:t>
      </w:r>
      <w:r w:rsidRPr="00151785" w:rsidR="00EB616C">
        <w:rPr>
          <w:rFonts w:ascii="Times New Roman" w:hAnsi="Times New Roman"/>
          <w:sz w:val="22"/>
          <w:szCs w:val="22"/>
          <w:lang w:val="pl-PL"/>
        </w:rPr>
        <w:t xml:space="preserve"> </w:t>
      </w:r>
      <w:r w:rsidRPr="00151785">
        <w:rPr>
          <w:rFonts w:ascii="Times New Roman" w:hAnsi="Times New Roman"/>
          <w:sz w:val="22"/>
          <w:szCs w:val="22"/>
          <w:lang w:val="pl-PL"/>
        </w:rPr>
        <w:t>pracovníkov</w:t>
      </w:r>
      <w:r w:rsidR="0010550C">
        <w:rPr>
          <w:rFonts w:ascii="Times New Roman" w:hAnsi="Times New Roman"/>
          <w:sz w:val="22"/>
          <w:szCs w:val="22"/>
          <w:lang w:val="pl-PL"/>
        </w:rPr>
        <w:t xml:space="preserve"> vykonávajúcich činnosti na základe inej ako pracovnej zmluvy</w:t>
      </w:r>
      <w:r w:rsidRPr="00151785">
        <w:rPr>
          <w:rFonts w:ascii="Times New Roman" w:hAnsi="Times New Roman"/>
          <w:sz w:val="22"/>
          <w:szCs w:val="22"/>
          <w:lang w:val="pl-PL"/>
        </w:rPr>
        <w:t xml:space="preserve">, </w:t>
      </w:r>
      <w:r w:rsidR="00EB616C">
        <w:rPr>
          <w:rFonts w:ascii="Times New Roman" w:hAnsi="Times New Roman"/>
          <w:sz w:val="22"/>
          <w:szCs w:val="22"/>
          <w:lang w:val="pl-PL"/>
        </w:rPr>
        <w:t xml:space="preserve">ak </w:t>
      </w:r>
      <w:r w:rsidRPr="00151785">
        <w:rPr>
          <w:rFonts w:ascii="Times New Roman" w:hAnsi="Times New Roman"/>
          <w:sz w:val="22"/>
          <w:szCs w:val="22"/>
          <w:lang w:val="pl-PL"/>
        </w:rPr>
        <w:t xml:space="preserve">sa podieľajú na bežných prevádzkových činnostiach </w:t>
      </w:r>
      <w:r w:rsidR="00EB616C">
        <w:rPr>
          <w:rFonts w:ascii="Times New Roman" w:hAnsi="Times New Roman"/>
          <w:sz w:val="22"/>
          <w:szCs w:val="22"/>
          <w:lang w:val="pl-PL"/>
        </w:rPr>
        <w:t>základného subjektu</w:t>
      </w:r>
      <w:r w:rsidRPr="00151785">
        <w:rPr>
          <w:rFonts w:ascii="Times New Roman" w:hAnsi="Times New Roman"/>
          <w:sz w:val="22"/>
          <w:szCs w:val="22"/>
          <w:lang w:val="pl-PL"/>
        </w:rPr>
        <w:t>. Pripúšťa sa primerané zaokrúhľovanie alebo primeraný odhad počtu zamestnancov za predpokladu, že takéto zaokrúhľovanie alebo odhad podstatným spôsobom nenarúša</w:t>
      </w:r>
      <w:r w:rsidR="0010550C">
        <w:rPr>
          <w:rFonts w:ascii="Times New Roman" w:hAnsi="Times New Roman"/>
          <w:sz w:val="22"/>
          <w:szCs w:val="22"/>
          <w:lang w:val="pl-PL"/>
        </w:rPr>
        <w:t>jú</w:t>
      </w:r>
      <w:r w:rsidRPr="00151785">
        <w:rPr>
          <w:rFonts w:ascii="Times New Roman" w:hAnsi="Times New Roman"/>
          <w:sz w:val="22"/>
          <w:szCs w:val="22"/>
          <w:lang w:val="pl-PL"/>
        </w:rPr>
        <w:t xml:space="preserve"> pomerné zastúpenie zamestnancov v rôznych daňových jurisdikciách. Informácie sa vykazujú konzistentným spôsobom, a to v porovnaní s predchádzajúcim rokom, ako aj</w:t>
      </w:r>
      <w:r w:rsidR="00EB616C">
        <w:rPr>
          <w:rFonts w:ascii="Times New Roman" w:hAnsi="Times New Roman"/>
          <w:sz w:val="22"/>
          <w:szCs w:val="22"/>
          <w:lang w:val="pl-PL"/>
        </w:rPr>
        <w:t xml:space="preserve"> vo vzťahoch</w:t>
      </w:r>
      <w:r w:rsidRPr="00151785">
        <w:rPr>
          <w:rFonts w:ascii="Times New Roman" w:hAnsi="Times New Roman"/>
          <w:sz w:val="22"/>
          <w:szCs w:val="22"/>
          <w:lang w:val="pl-PL"/>
        </w:rPr>
        <w:t xml:space="preserve"> medzi</w:t>
      </w:r>
      <w:r w:rsidR="00EB616C">
        <w:rPr>
          <w:rFonts w:ascii="Times New Roman" w:hAnsi="Times New Roman"/>
          <w:sz w:val="22"/>
          <w:szCs w:val="22"/>
          <w:lang w:val="pl-PL"/>
        </w:rPr>
        <w:t xml:space="preserve"> jednotlivými základnými</w:t>
      </w:r>
      <w:r w:rsidRPr="00151785">
        <w:rPr>
          <w:rFonts w:ascii="Times New Roman" w:hAnsi="Times New Roman"/>
          <w:sz w:val="22"/>
          <w:szCs w:val="22"/>
          <w:lang w:val="pl-PL"/>
        </w:rPr>
        <w:t xml:space="preserve"> subjekt</w:t>
      </w:r>
      <w:r w:rsidR="00EB616C">
        <w:rPr>
          <w:rFonts w:ascii="Times New Roman" w:hAnsi="Times New Roman"/>
          <w:sz w:val="22"/>
          <w:szCs w:val="22"/>
          <w:lang w:val="pl-PL"/>
        </w:rPr>
        <w:t>a</w:t>
      </w:r>
      <w:r w:rsidRPr="00151785">
        <w:rPr>
          <w:rFonts w:ascii="Times New Roman" w:hAnsi="Times New Roman"/>
          <w:sz w:val="22"/>
          <w:szCs w:val="22"/>
          <w:lang w:val="pl-PL"/>
        </w:rPr>
        <w:t>mi.</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1.9.</w:t>
        <w:tab/>
        <w:t>Hmotný majetok iný ako peňažné prostriedky a peňažné ekvivalenty</w:t>
      </w:r>
    </w:p>
    <w:p w:rsidR="00EC45B2" w:rsidRPr="00151785" w:rsidP="00965A39">
      <w:pPr>
        <w:pStyle w:val="Text1"/>
        <w:bidi w:val="0"/>
        <w:spacing w:line="240" w:lineRule="auto"/>
        <w:jc w:val="both"/>
        <w:rPr>
          <w:rFonts w:ascii="Times New Roman" w:hAnsi="Times New Roman"/>
          <w:noProof/>
          <w:sz w:val="22"/>
          <w:szCs w:val="22"/>
          <w:lang w:val="pl-PL"/>
        </w:rPr>
      </w:pPr>
      <w:r w:rsidRPr="00151785">
        <w:rPr>
          <w:rFonts w:ascii="Times New Roman" w:hAnsi="Times New Roman"/>
          <w:sz w:val="22"/>
          <w:szCs w:val="22"/>
          <w:lang w:val="pl-PL"/>
        </w:rPr>
        <w:t xml:space="preserve">V jedenástom stĺpci </w:t>
      </w:r>
      <w:r w:rsidR="00866F06">
        <w:rPr>
          <w:rFonts w:ascii="Times New Roman" w:hAnsi="Times New Roman"/>
          <w:sz w:val="22"/>
          <w:szCs w:val="22"/>
          <w:lang w:val="pl-PL"/>
        </w:rPr>
        <w:t>oznamujúci subjekt</w:t>
      </w:r>
      <w:r w:rsidRPr="00151785">
        <w:rPr>
          <w:rFonts w:ascii="Times New Roman" w:hAnsi="Times New Roman"/>
          <w:sz w:val="22"/>
          <w:szCs w:val="22"/>
          <w:lang w:val="pl-PL"/>
        </w:rPr>
        <w:t xml:space="preserve"> uvádza súčet čistých účtovných hodnôt (netto hodnôt) hmotného majetku všetkých základných subjektov, ktoré sú rezidentmi </w:t>
      </w:r>
      <w:r w:rsidR="00EB616C">
        <w:rPr>
          <w:rFonts w:ascii="Times New Roman" w:hAnsi="Times New Roman"/>
          <w:sz w:val="22"/>
          <w:szCs w:val="22"/>
          <w:lang w:val="pl-PL"/>
        </w:rPr>
        <w:t xml:space="preserve">na daňové účely </w:t>
      </w:r>
      <w:r w:rsidRPr="00151785">
        <w:rPr>
          <w:rFonts w:ascii="Times New Roman" w:hAnsi="Times New Roman"/>
          <w:sz w:val="22"/>
          <w:szCs w:val="22"/>
          <w:lang w:val="pl-PL"/>
        </w:rPr>
        <w:t xml:space="preserve">v príslušnom štáte. Majetok </w:t>
      </w:r>
      <w:r w:rsidR="00710665">
        <w:rPr>
          <w:rFonts w:ascii="Times New Roman" w:hAnsi="Times New Roman"/>
          <w:sz w:val="22"/>
          <w:szCs w:val="22"/>
          <w:lang w:val="pl-PL"/>
        </w:rPr>
        <w:t>patriaci</w:t>
      </w:r>
      <w:r w:rsidRPr="00151785" w:rsidR="00545225">
        <w:rPr>
          <w:rFonts w:ascii="Times New Roman" w:hAnsi="Times New Roman"/>
          <w:sz w:val="22"/>
          <w:szCs w:val="22"/>
          <w:lang w:val="pl-PL"/>
        </w:rPr>
        <w:t xml:space="preserve"> </w:t>
      </w:r>
      <w:r w:rsidRPr="00151785">
        <w:rPr>
          <w:rFonts w:ascii="Times New Roman" w:hAnsi="Times New Roman"/>
          <w:sz w:val="22"/>
          <w:szCs w:val="22"/>
          <w:lang w:val="pl-PL"/>
        </w:rPr>
        <w:t>stálym prevádzkarňam sa vykazuje v štáte, v ktorom sa stála prevádzkareň nachádza. Hmotný majetok na tento účel nezahŕňa peňažné prostriedky</w:t>
      </w:r>
      <w:r w:rsidR="000122D8">
        <w:rPr>
          <w:rFonts w:ascii="Times New Roman" w:hAnsi="Times New Roman"/>
          <w:sz w:val="22"/>
          <w:szCs w:val="22"/>
          <w:lang w:val="pl-PL"/>
        </w:rPr>
        <w:t>,</w:t>
      </w:r>
      <w:r w:rsidRPr="00151785">
        <w:rPr>
          <w:rFonts w:ascii="Times New Roman" w:hAnsi="Times New Roman"/>
          <w:sz w:val="22"/>
          <w:szCs w:val="22"/>
          <w:lang w:val="pl-PL"/>
        </w:rPr>
        <w:t xml:space="preserve"> peňažné ekvivalenty, nehmotný majetok ani finančn</w:t>
      </w:r>
      <w:r w:rsidR="005030B2">
        <w:rPr>
          <w:rFonts w:ascii="Times New Roman" w:hAnsi="Times New Roman"/>
          <w:sz w:val="22"/>
          <w:szCs w:val="22"/>
          <w:lang w:val="pl-PL"/>
        </w:rPr>
        <w:t>ý</w:t>
      </w:r>
      <w:r w:rsidRPr="00151785">
        <w:rPr>
          <w:rFonts w:ascii="Times New Roman" w:hAnsi="Times New Roman"/>
          <w:sz w:val="22"/>
          <w:szCs w:val="22"/>
          <w:lang w:val="pl-PL"/>
        </w:rPr>
        <w:t xml:space="preserve"> </w:t>
      </w:r>
      <w:r w:rsidR="005030B2">
        <w:rPr>
          <w:rFonts w:ascii="Times New Roman" w:hAnsi="Times New Roman"/>
          <w:sz w:val="22"/>
          <w:szCs w:val="22"/>
          <w:lang w:val="pl-PL"/>
        </w:rPr>
        <w:t>majetok</w:t>
      </w:r>
      <w:r w:rsidRPr="00151785">
        <w:rPr>
          <w:rFonts w:ascii="Times New Roman" w:hAnsi="Times New Roman"/>
          <w:sz w:val="22"/>
          <w:szCs w:val="22"/>
          <w:lang w:val="pl-PL"/>
        </w:rPr>
        <w:t>.</w:t>
      </w:r>
    </w:p>
    <w:p w:rsidR="00866F06" w:rsidP="00151785">
      <w:pPr>
        <w:pStyle w:val="Point0"/>
        <w:bidi w:val="0"/>
        <w:spacing w:line="240" w:lineRule="auto"/>
        <w:rPr>
          <w:rFonts w:ascii="Times New Roman" w:hAnsi="Times New Roman"/>
          <w:bCs/>
          <w:noProof/>
          <w:sz w:val="22"/>
          <w:szCs w:val="22"/>
          <w:lang w:val="pl-PL"/>
        </w:rPr>
      </w:pPr>
      <w:r w:rsidRPr="00151785" w:rsidR="00EC45B2">
        <w:rPr>
          <w:rFonts w:ascii="Times New Roman" w:hAnsi="Times New Roman"/>
          <w:bCs/>
          <w:noProof/>
          <w:sz w:val="22"/>
          <w:szCs w:val="22"/>
          <w:lang w:val="pl-PL"/>
        </w:rPr>
        <w:t>2.</w:t>
      </w:r>
      <w:r w:rsidRPr="00151785" w:rsidR="00EC45B2">
        <w:rPr>
          <w:rFonts w:ascii="Times New Roman" w:hAnsi="Times New Roman"/>
          <w:bCs/>
          <w:sz w:val="22"/>
          <w:szCs w:val="22"/>
          <w:lang w:val="pl-PL"/>
        </w:rPr>
        <w:tab/>
      </w:r>
      <w:r w:rsidR="000122D8">
        <w:rPr>
          <w:rFonts w:ascii="Times New Roman" w:hAnsi="Times New Roman"/>
          <w:bCs/>
          <w:noProof/>
          <w:sz w:val="22"/>
          <w:szCs w:val="22"/>
          <w:lang w:val="pl-PL"/>
        </w:rPr>
        <w:t>Osobitné pokyny k Tabuľke 2</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2.1.</w:t>
        <w:tab/>
        <w:t>Základné subjekty, ktoré sú daňovými rezidentmi v príslušnom štáte</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Oznamujúc</w:t>
      </w:r>
      <w:r w:rsidR="00866F06">
        <w:rPr>
          <w:rFonts w:ascii="Times New Roman" w:hAnsi="Times New Roman"/>
          <w:sz w:val="22"/>
          <w:szCs w:val="22"/>
          <w:lang w:val="pl-PL"/>
        </w:rPr>
        <w:t>i subjekt</w:t>
      </w:r>
      <w:r w:rsidRPr="00151785">
        <w:rPr>
          <w:rFonts w:ascii="Times New Roman" w:hAnsi="Times New Roman"/>
          <w:sz w:val="22"/>
          <w:szCs w:val="22"/>
          <w:lang w:val="pl-PL"/>
        </w:rPr>
        <w:t xml:space="preserve"> uv</w:t>
      </w:r>
      <w:r w:rsidR="00452EB9">
        <w:rPr>
          <w:rFonts w:ascii="Times New Roman" w:hAnsi="Times New Roman"/>
          <w:sz w:val="22"/>
          <w:szCs w:val="22"/>
          <w:lang w:val="pl-PL"/>
        </w:rPr>
        <w:t>ádza</w:t>
      </w:r>
      <w:r w:rsidRPr="00151785">
        <w:rPr>
          <w:rFonts w:ascii="Times New Roman" w:hAnsi="Times New Roman"/>
          <w:sz w:val="22"/>
          <w:szCs w:val="22"/>
          <w:lang w:val="pl-PL"/>
        </w:rPr>
        <w:t xml:space="preserve">, podľa štátu rezidencie </w:t>
      </w:r>
      <w:r w:rsidR="00EB616C">
        <w:rPr>
          <w:rFonts w:ascii="Times New Roman" w:hAnsi="Times New Roman"/>
          <w:sz w:val="22"/>
          <w:szCs w:val="22"/>
          <w:lang w:val="pl-PL"/>
        </w:rPr>
        <w:t xml:space="preserve">na daňové účely </w:t>
      </w:r>
      <w:r w:rsidRPr="00151785">
        <w:rPr>
          <w:rFonts w:ascii="Times New Roman" w:hAnsi="Times New Roman"/>
          <w:sz w:val="22"/>
          <w:szCs w:val="22"/>
          <w:lang w:val="pl-PL"/>
        </w:rPr>
        <w:t xml:space="preserve">a podľa názvu právneho subjektu, všetky  základné subjekty, ktoré sú rezidentmi </w:t>
      </w:r>
      <w:r w:rsidR="00EB616C">
        <w:rPr>
          <w:rFonts w:ascii="Times New Roman" w:hAnsi="Times New Roman"/>
          <w:sz w:val="22"/>
          <w:szCs w:val="22"/>
          <w:lang w:val="pl-PL"/>
        </w:rPr>
        <w:t xml:space="preserve">na daňové účely </w:t>
      </w:r>
      <w:r w:rsidRPr="00151785">
        <w:rPr>
          <w:rFonts w:ascii="Times New Roman" w:hAnsi="Times New Roman"/>
          <w:sz w:val="22"/>
          <w:szCs w:val="22"/>
          <w:lang w:val="pl-PL"/>
        </w:rPr>
        <w:t xml:space="preserve">v príslušnom štáte. </w:t>
      </w:r>
      <w:r w:rsidRPr="00FD45DF" w:rsidR="00545225">
        <w:rPr>
          <w:rFonts w:ascii="Times New Roman" w:hAnsi="Times New Roman"/>
          <w:sz w:val="22"/>
          <w:szCs w:val="22"/>
          <w:lang w:val="pl-PL"/>
        </w:rPr>
        <w:t xml:space="preserve">Pri stálej prevádzkarni sa </w:t>
      </w:r>
      <w:r w:rsidR="00452EB9">
        <w:rPr>
          <w:rFonts w:ascii="Times New Roman" w:hAnsi="Times New Roman"/>
          <w:sz w:val="22"/>
          <w:szCs w:val="22"/>
          <w:lang w:val="pl-PL"/>
        </w:rPr>
        <w:t>uvádza</w:t>
      </w:r>
      <w:r w:rsidRPr="00FD45DF" w:rsidR="00545225">
        <w:rPr>
          <w:rFonts w:ascii="Times New Roman" w:hAnsi="Times New Roman"/>
          <w:sz w:val="22"/>
          <w:szCs w:val="22"/>
          <w:lang w:val="pl-PL"/>
        </w:rPr>
        <w:t xml:space="preserve"> štát, v ktorom sa</w:t>
      </w:r>
      <w:r w:rsidRPr="00FD45DF" w:rsidR="00904BE6">
        <w:rPr>
          <w:rFonts w:ascii="Times New Roman" w:hAnsi="Times New Roman"/>
          <w:sz w:val="22"/>
          <w:szCs w:val="22"/>
          <w:lang w:val="pl-PL"/>
        </w:rPr>
        <w:t xml:space="preserve"> táto stála prevádzkareň</w:t>
      </w:r>
      <w:r w:rsidRPr="00FD45DF" w:rsidR="00545225">
        <w:rPr>
          <w:rFonts w:ascii="Times New Roman" w:hAnsi="Times New Roman"/>
          <w:sz w:val="22"/>
          <w:szCs w:val="22"/>
          <w:lang w:val="pl-PL"/>
        </w:rPr>
        <w:t xml:space="preserve"> nachádza. </w:t>
      </w:r>
      <w:r w:rsidR="00C97674">
        <w:rPr>
          <w:rFonts w:ascii="Times New Roman" w:hAnsi="Times New Roman"/>
          <w:sz w:val="22"/>
          <w:szCs w:val="22"/>
          <w:lang w:val="pl-PL"/>
        </w:rPr>
        <w:t>Uvádza</w:t>
      </w:r>
      <w:r w:rsidRPr="00FD45DF" w:rsidR="00545225">
        <w:rPr>
          <w:rFonts w:ascii="Times New Roman" w:hAnsi="Times New Roman"/>
          <w:sz w:val="22"/>
          <w:szCs w:val="22"/>
          <w:lang w:val="pl-PL"/>
        </w:rPr>
        <w:t xml:space="preserve"> sa aj zriaďovateľ stálej prevádzkarne.</w:t>
      </w:r>
    </w:p>
    <w:p w:rsidR="00EC45B2" w:rsidRPr="00151785" w:rsidP="00965A39">
      <w:pPr>
        <w:pStyle w:val="Point0"/>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2.2.</w:t>
        <w:tab/>
      </w:r>
      <w:r w:rsidR="00C97674">
        <w:rPr>
          <w:rFonts w:ascii="Times New Roman" w:hAnsi="Times New Roman"/>
          <w:sz w:val="22"/>
          <w:szCs w:val="22"/>
          <w:lang w:val="pl-PL"/>
        </w:rPr>
        <w:t>Š</w:t>
      </w:r>
      <w:r w:rsidRPr="00151785">
        <w:rPr>
          <w:rFonts w:ascii="Times New Roman" w:hAnsi="Times New Roman"/>
          <w:sz w:val="22"/>
          <w:szCs w:val="22"/>
          <w:lang w:val="pl-PL"/>
        </w:rPr>
        <w:t xml:space="preserve">tát, podľa </w:t>
      </w:r>
      <w:r w:rsidR="00545225">
        <w:rPr>
          <w:rFonts w:ascii="Times New Roman" w:hAnsi="Times New Roman"/>
          <w:sz w:val="22"/>
          <w:szCs w:val="22"/>
          <w:lang w:val="pl-PL"/>
        </w:rPr>
        <w:t>právneho poriadku</w:t>
      </w:r>
      <w:r w:rsidRPr="00151785">
        <w:rPr>
          <w:rFonts w:ascii="Times New Roman" w:hAnsi="Times New Roman"/>
          <w:sz w:val="22"/>
          <w:szCs w:val="22"/>
          <w:lang w:val="pl-PL"/>
        </w:rPr>
        <w:t xml:space="preserve"> ktorého je základný subjekt zriadený alebo zaregistrovaný, ak sa líši od štátu daňovej rezidencie</w:t>
      </w:r>
      <w:r w:rsidR="00866F06">
        <w:rPr>
          <w:rFonts w:ascii="Times New Roman" w:hAnsi="Times New Roman"/>
          <w:sz w:val="22"/>
          <w:szCs w:val="22"/>
          <w:lang w:val="pl-PL"/>
        </w:rPr>
        <w:t>.</w:t>
      </w:r>
      <w:r w:rsidRPr="00151785">
        <w:rPr>
          <w:rFonts w:ascii="Times New Roman" w:hAnsi="Times New Roman"/>
          <w:sz w:val="22"/>
          <w:szCs w:val="22"/>
          <w:lang w:val="pl-PL"/>
        </w:rPr>
        <w:t xml:space="preserve"> </w:t>
      </w:r>
    </w:p>
    <w:p w:rsidR="00EC45B2" w:rsidRPr="00151785" w:rsidP="0010550C">
      <w:pPr>
        <w:pStyle w:val="Point0"/>
        <w:bidi w:val="0"/>
        <w:spacing w:line="240" w:lineRule="auto"/>
        <w:ind w:firstLine="0"/>
        <w:jc w:val="both"/>
        <w:rPr>
          <w:rFonts w:ascii="Times New Roman" w:hAnsi="Times New Roman"/>
          <w:noProof/>
          <w:sz w:val="22"/>
          <w:szCs w:val="22"/>
          <w:lang w:val="pl-PL"/>
        </w:rPr>
      </w:pPr>
      <w:r w:rsidRPr="00151785">
        <w:rPr>
          <w:rFonts w:ascii="Times New Roman" w:hAnsi="Times New Roman"/>
          <w:sz w:val="22"/>
          <w:szCs w:val="22"/>
          <w:lang w:val="pl-PL"/>
        </w:rPr>
        <w:t>Oznamujúc</w:t>
      </w:r>
      <w:r w:rsidR="00866F06">
        <w:rPr>
          <w:rFonts w:ascii="Times New Roman" w:hAnsi="Times New Roman"/>
          <w:sz w:val="22"/>
          <w:szCs w:val="22"/>
          <w:lang w:val="pl-PL"/>
        </w:rPr>
        <w:t>i subjekt</w:t>
      </w:r>
      <w:r w:rsidRPr="00151785">
        <w:rPr>
          <w:rFonts w:ascii="Times New Roman" w:hAnsi="Times New Roman"/>
          <w:sz w:val="22"/>
          <w:szCs w:val="22"/>
          <w:lang w:val="pl-PL"/>
        </w:rPr>
        <w:t xml:space="preserve"> </w:t>
      </w:r>
      <w:r w:rsidR="00452EB9">
        <w:rPr>
          <w:rFonts w:ascii="Times New Roman" w:hAnsi="Times New Roman"/>
          <w:sz w:val="22"/>
          <w:szCs w:val="22"/>
          <w:lang w:val="pl-PL"/>
        </w:rPr>
        <w:t>uvádza</w:t>
      </w:r>
      <w:r w:rsidRPr="00151785">
        <w:rPr>
          <w:rFonts w:ascii="Times New Roman" w:hAnsi="Times New Roman"/>
          <w:sz w:val="22"/>
          <w:szCs w:val="22"/>
          <w:lang w:val="pl-PL"/>
        </w:rPr>
        <w:t xml:space="preserve"> názov štátu, podľa </w:t>
      </w:r>
      <w:r w:rsidR="000122D8">
        <w:rPr>
          <w:rFonts w:ascii="Times New Roman" w:hAnsi="Times New Roman"/>
          <w:sz w:val="22"/>
          <w:szCs w:val="22"/>
          <w:lang w:val="pl-PL"/>
        </w:rPr>
        <w:t>právneho poriadku</w:t>
      </w:r>
      <w:r w:rsidRPr="00151785" w:rsidR="000122D8">
        <w:rPr>
          <w:rFonts w:ascii="Times New Roman" w:hAnsi="Times New Roman"/>
          <w:sz w:val="22"/>
          <w:szCs w:val="22"/>
          <w:lang w:val="pl-PL"/>
        </w:rPr>
        <w:t xml:space="preserve"> </w:t>
      </w:r>
      <w:r w:rsidRPr="00151785">
        <w:rPr>
          <w:rFonts w:ascii="Times New Roman" w:hAnsi="Times New Roman"/>
          <w:sz w:val="22"/>
          <w:szCs w:val="22"/>
          <w:lang w:val="pl-PL"/>
        </w:rPr>
        <w:t xml:space="preserve">ktorého je základný subjekt zriadený alebo zaregistrovaný, ak sa </w:t>
      </w:r>
      <w:r w:rsidR="000122D8">
        <w:rPr>
          <w:rFonts w:ascii="Times New Roman" w:hAnsi="Times New Roman"/>
          <w:sz w:val="22"/>
          <w:szCs w:val="22"/>
          <w:lang w:val="pl-PL"/>
        </w:rPr>
        <w:t>odlišuje</w:t>
      </w:r>
      <w:r w:rsidRPr="00151785" w:rsidR="000122D8">
        <w:rPr>
          <w:rFonts w:ascii="Times New Roman" w:hAnsi="Times New Roman"/>
          <w:sz w:val="22"/>
          <w:szCs w:val="22"/>
          <w:lang w:val="pl-PL"/>
        </w:rPr>
        <w:t xml:space="preserve"> </w:t>
      </w:r>
      <w:r w:rsidRPr="00151785">
        <w:rPr>
          <w:rFonts w:ascii="Times New Roman" w:hAnsi="Times New Roman"/>
          <w:sz w:val="22"/>
          <w:szCs w:val="22"/>
          <w:lang w:val="pl-PL"/>
        </w:rPr>
        <w:t>od štátu daňovej rezidencie.</w:t>
      </w:r>
    </w:p>
    <w:p w:rsidR="00EC45B2" w:rsidRPr="00151785" w:rsidP="00151785">
      <w:pPr>
        <w:pStyle w:val="Point0"/>
        <w:bidi w:val="0"/>
        <w:spacing w:line="240" w:lineRule="auto"/>
        <w:rPr>
          <w:rFonts w:ascii="Times New Roman" w:hAnsi="Times New Roman"/>
          <w:noProof/>
          <w:sz w:val="22"/>
          <w:szCs w:val="22"/>
          <w:lang w:val="pl-PL"/>
        </w:rPr>
      </w:pPr>
      <w:r w:rsidRPr="00151785">
        <w:rPr>
          <w:rFonts w:ascii="Times New Roman" w:hAnsi="Times New Roman"/>
          <w:sz w:val="22"/>
          <w:szCs w:val="22"/>
          <w:lang w:val="pl-PL"/>
        </w:rPr>
        <w:t>2.3.</w:t>
        <w:tab/>
        <w:t xml:space="preserve">Hlavná ekonomická činnosť </w:t>
      </w:r>
    </w:p>
    <w:p w:rsidR="00EC45B2" w:rsidRPr="00151785" w:rsidP="00965A39">
      <w:pPr>
        <w:pStyle w:val="Text1"/>
        <w:bidi w:val="0"/>
        <w:spacing w:line="240" w:lineRule="auto"/>
        <w:jc w:val="both"/>
        <w:rPr>
          <w:rFonts w:ascii="Times New Roman" w:hAnsi="Times New Roman"/>
          <w:sz w:val="22"/>
          <w:szCs w:val="22"/>
          <w:lang w:val="pl-PL"/>
        </w:rPr>
      </w:pPr>
      <w:r w:rsidRPr="00151785">
        <w:rPr>
          <w:rFonts w:ascii="Times New Roman" w:hAnsi="Times New Roman"/>
          <w:sz w:val="22"/>
          <w:szCs w:val="22"/>
          <w:lang w:val="pl-PL"/>
        </w:rPr>
        <w:t xml:space="preserve">Oznamujúci </w:t>
      </w:r>
      <w:r w:rsidR="00866F06">
        <w:rPr>
          <w:rFonts w:ascii="Times New Roman" w:hAnsi="Times New Roman"/>
          <w:sz w:val="22"/>
          <w:szCs w:val="22"/>
          <w:lang w:val="pl-PL"/>
        </w:rPr>
        <w:t>subjekt</w:t>
      </w:r>
      <w:r w:rsidRPr="00151785">
        <w:rPr>
          <w:rFonts w:ascii="Times New Roman" w:hAnsi="Times New Roman"/>
          <w:sz w:val="22"/>
          <w:szCs w:val="22"/>
          <w:lang w:val="pl-PL"/>
        </w:rPr>
        <w:t xml:space="preserve"> </w:t>
      </w:r>
      <w:r w:rsidR="00452EB9">
        <w:rPr>
          <w:rFonts w:ascii="Times New Roman" w:hAnsi="Times New Roman"/>
          <w:sz w:val="22"/>
          <w:szCs w:val="22"/>
          <w:lang w:val="pl-PL"/>
        </w:rPr>
        <w:t>určuje</w:t>
      </w:r>
      <w:r w:rsidRPr="00151785">
        <w:rPr>
          <w:rFonts w:ascii="Times New Roman" w:hAnsi="Times New Roman"/>
          <w:sz w:val="22"/>
          <w:szCs w:val="22"/>
          <w:lang w:val="pl-PL"/>
        </w:rPr>
        <w:t xml:space="preserve"> charakter hlavnej ekonomickej činnosti, ktorú vykonáva základný subjekt v príslušn</w:t>
      </w:r>
      <w:r w:rsidR="00D64ACC">
        <w:rPr>
          <w:rFonts w:ascii="Times New Roman" w:hAnsi="Times New Roman"/>
          <w:sz w:val="22"/>
          <w:szCs w:val="22"/>
          <w:lang w:val="pl-PL"/>
        </w:rPr>
        <w:t>om štáte</w:t>
      </w:r>
      <w:r w:rsidRPr="00151785">
        <w:rPr>
          <w:rFonts w:ascii="Times New Roman" w:hAnsi="Times New Roman"/>
          <w:sz w:val="22"/>
          <w:szCs w:val="22"/>
          <w:lang w:val="pl-PL"/>
        </w:rPr>
        <w:t>, a to zaškrtnutím jedného alebo viacerých príslušných políčok.</w:t>
      </w:r>
      <w:r w:rsidR="00DC65CF">
        <w:rPr>
          <w:rFonts w:ascii="Times New Roman" w:hAnsi="Times New Roman"/>
          <w:sz w:val="22"/>
          <w:szCs w:val="22"/>
          <w:lang w:val="pl-PL"/>
        </w:rPr>
        <w:t>”.</w:t>
      </w:r>
    </w:p>
    <w:p w:rsidR="00EC45B2" w:rsidP="00B03D43">
      <w:pPr>
        <w:widowControl w:val="0"/>
        <w:autoSpaceDE w:val="0"/>
        <w:autoSpaceDN w:val="0"/>
        <w:bidi w:val="0"/>
        <w:adjustRightInd w:val="0"/>
        <w:spacing w:after="0" w:line="240" w:lineRule="auto"/>
        <w:rPr>
          <w:rFonts w:ascii="Times New Roman" w:hAnsi="Times New Roman" w:cs="Times New Roman"/>
          <w:b/>
          <w:bCs/>
          <w:szCs w:val="22"/>
          <w:lang w:eastAsia="sk-SK"/>
        </w:rPr>
      </w:pPr>
      <w:r w:rsidR="009450CA">
        <w:rPr>
          <w:rFonts w:ascii="Times New Roman" w:hAnsi="Times New Roman" w:cs="Times New Roman"/>
          <w:b/>
          <w:bCs/>
          <w:szCs w:val="22"/>
          <w:lang w:eastAsia="sk-SK"/>
        </w:rPr>
        <w:t>Doterajšia príloha sa označuje ako príloha č. 2.</w:t>
      </w:r>
    </w:p>
    <w:p w:rsidR="009450CA"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FD7E09" w:rsidRPr="0097693B" w:rsidP="00FD7E09">
      <w:pPr>
        <w:pStyle w:val="BodyTextIndent"/>
        <w:numPr>
          <w:numId w:val="35"/>
        </w:numPr>
        <w:bidi w:val="0"/>
        <w:rPr>
          <w:rFonts w:ascii="Times New Roman" w:hAnsi="Times New Roman"/>
        </w:rPr>
      </w:pPr>
      <w:r>
        <w:rPr>
          <w:rFonts w:ascii="Times New Roman" w:hAnsi="Times New Roman"/>
        </w:rPr>
        <w:t>P</w:t>
      </w:r>
      <w:r w:rsidRPr="0097693B">
        <w:rPr>
          <w:rFonts w:ascii="Times New Roman" w:hAnsi="Times New Roman"/>
        </w:rPr>
        <w:t xml:space="preserve">ríloha č. 2 </w:t>
      </w:r>
      <w:r w:rsidR="009450CA">
        <w:rPr>
          <w:rFonts w:ascii="Times New Roman" w:hAnsi="Times New Roman"/>
        </w:rPr>
        <w:t>s</w:t>
      </w:r>
      <w:r w:rsidRPr="0097693B">
        <w:rPr>
          <w:rFonts w:ascii="Times New Roman" w:hAnsi="Times New Roman"/>
        </w:rPr>
        <w:t>a dopĺňa šiestym bodom, ktorý znie:</w:t>
      </w:r>
    </w:p>
    <w:p w:rsidR="00FD7E09" w:rsidRPr="0097693B" w:rsidP="00FD7E09">
      <w:pPr>
        <w:pStyle w:val="BodyTextIndent"/>
        <w:bidi w:val="0"/>
        <w:ind w:left="360"/>
        <w:rPr>
          <w:rFonts w:ascii="Times New Roman" w:hAnsi="Times New Roman"/>
        </w:rPr>
      </w:pPr>
      <w:r w:rsidRPr="0097693B">
        <w:rPr>
          <w:rFonts w:ascii="Times New Roman" w:hAnsi="Times New Roman"/>
        </w:rPr>
        <w:t>„6. Smernica Rady (EÚ) 2016/881 z 25. mája 2016, ktorou sa mení smernica 2011/16/EÚ, pokiaľ ide o povinnú automatickú výmenu informácií v oblasti daní (Ú. v. EÚ L 146, 3. 6. 2016) .“.</w:t>
      </w: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543EA6" w:rsidRPr="00C061EC" w:rsidP="00543EA6">
      <w:pPr>
        <w:bidi w:val="0"/>
        <w:ind w:left="425"/>
        <w:contextualSpacing/>
        <w:jc w:val="center"/>
        <w:rPr>
          <w:rFonts w:ascii="Times New Roman" w:hAnsi="Times New Roman" w:cs="Times New Roman"/>
          <w:sz w:val="24"/>
          <w:szCs w:val="24"/>
        </w:rPr>
      </w:pPr>
      <w:r w:rsidRPr="00C061EC">
        <w:rPr>
          <w:rFonts w:ascii="Times New Roman" w:hAnsi="Times New Roman" w:cs="Times New Roman"/>
          <w:sz w:val="24"/>
          <w:szCs w:val="24"/>
        </w:rPr>
        <w:t>Čl. II</w:t>
      </w:r>
    </w:p>
    <w:p w:rsidR="00543EA6" w:rsidRPr="00C061EC" w:rsidP="00543EA6">
      <w:pPr>
        <w:bidi w:val="0"/>
        <w:ind w:left="425"/>
        <w:contextualSpacing/>
        <w:jc w:val="both"/>
        <w:rPr>
          <w:rFonts w:ascii="Times New Roman" w:hAnsi="Times New Roman" w:cs="Times New Roman"/>
          <w:sz w:val="24"/>
          <w:szCs w:val="24"/>
        </w:rPr>
      </w:pPr>
    </w:p>
    <w:p w:rsidR="00543EA6" w:rsidRPr="00C061EC" w:rsidP="00543EA6">
      <w:pPr>
        <w:bidi w:val="0"/>
        <w:ind w:left="425"/>
        <w:contextualSpacing/>
        <w:jc w:val="both"/>
        <w:rPr>
          <w:rFonts w:ascii="Times New Roman" w:hAnsi="Times New Roman" w:cs="Times New Roman"/>
          <w:sz w:val="24"/>
          <w:szCs w:val="24"/>
        </w:rPr>
      </w:pPr>
      <w:r w:rsidRPr="00C061EC">
        <w:rPr>
          <w:rFonts w:ascii="Times New Roman" w:hAnsi="Times New Roman" w:cs="Times New Roman"/>
          <w:sz w:val="24"/>
          <w:szCs w:val="24"/>
        </w:rPr>
        <w:t xml:space="preserve">Tento zákon nadobúda účinnosť 1. </w:t>
      </w:r>
      <w:r>
        <w:rPr>
          <w:rFonts w:ascii="Times New Roman" w:hAnsi="Times New Roman" w:cs="Times New Roman"/>
          <w:sz w:val="24"/>
          <w:szCs w:val="24"/>
        </w:rPr>
        <w:t>marca</w:t>
      </w:r>
      <w:r w:rsidRPr="00C061EC">
        <w:rPr>
          <w:rFonts w:ascii="Times New Roman" w:hAnsi="Times New Roman" w:cs="Times New Roman"/>
          <w:sz w:val="24"/>
          <w:szCs w:val="24"/>
        </w:rPr>
        <w:t xml:space="preserve"> 2017.</w:t>
      </w:r>
    </w:p>
    <w:p w:rsidR="00543EA6" w:rsidRPr="006A5812" w:rsidP="00543EA6">
      <w:pPr>
        <w:bidi w:val="0"/>
        <w:spacing w:after="0" w:line="240" w:lineRule="auto"/>
        <w:jc w:val="both"/>
        <w:rPr>
          <w:rFonts w:ascii="Times New Roman" w:hAnsi="Times New Roman" w:cs="Times New Roman"/>
          <w:szCs w:val="22"/>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DC65CF">
      <w:pPr>
        <w:widowControl w:val="0"/>
        <w:autoSpaceDE w:val="0"/>
        <w:autoSpaceDN w:val="0"/>
        <w:bidi w:val="0"/>
        <w:adjustRightInd w:val="0"/>
        <w:spacing w:after="0" w:line="240" w:lineRule="auto"/>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F20B3" w:rsidRPr="00151785" w:rsidP="0015178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8D3C30" w:rsidRPr="00151785" w:rsidP="001517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p>
    <w:sectPr w:rsidSect="00D3362A">
      <w:footerReference w:type="default" r:id="rId7"/>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0000000000000000000"/>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DokChampa">
    <w:altName w:val="Arial"/>
    <w:panose1 w:val="00000000000000000000"/>
    <w:charset w:val="DE"/>
    <w:family w:val="swiss"/>
    <w:pitch w:val="variable"/>
    <w:sig w:usb0="00000000" w:usb1="00000000" w:usb2="00000000" w:usb3="00000000" w:csb0="00010001" w:csb1="00000000"/>
  </w:font>
  <w:font w:name="Tahoma">
    <w:altName w:val="Tahoma"/>
    <w:panose1 w:val="00000000000000000000"/>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81">
    <w:pPr>
      <w:pStyle w:val="Footer"/>
      <w:bidi w:val="0"/>
      <w:jc w:val="center"/>
    </w:pPr>
    <w:r>
      <w:fldChar w:fldCharType="begin"/>
    </w:r>
    <w:r>
      <w:instrText>PAGE   \* MERGEFORMAT</w:instrText>
    </w:r>
    <w:r>
      <w:fldChar w:fldCharType="separate"/>
    </w:r>
    <w:r w:rsidR="003B5E9B">
      <w:rPr>
        <w:noProof/>
      </w:rPr>
      <w:t>2</w:t>
    </w:r>
    <w:r>
      <w:fldChar w:fldCharType="end"/>
    </w:r>
  </w:p>
  <w:p w:rsidR="00D72081">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66">
    <w:pPr>
      <w:pStyle w:val="Footer"/>
      <w:bidi w:val="0"/>
      <w:jc w:val="center"/>
    </w:pPr>
    <w:r>
      <w:fldChar w:fldCharType="begin"/>
    </w:r>
    <w:r>
      <w:instrText>PAGE   \* MERGEFORMAT</w:instrText>
    </w:r>
    <w:r>
      <w:fldChar w:fldCharType="separate"/>
    </w:r>
    <w:r w:rsidR="003B5E9B">
      <w:rPr>
        <w:noProof/>
      </w:rPr>
      <w:t>13</w:t>
    </w:r>
    <w:r>
      <w:fldChar w:fldCharType="end"/>
    </w:r>
  </w:p>
  <w:p w:rsidR="00E00766">
    <w:pPr>
      <w:pStyle w:val="Footer"/>
      <w:bidi w:val="0"/>
    </w:pPr>
  </w:p>
  <w:p w:rsidR="00856213">
    <w:pP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AA" w:rsidP="00E07888">
      <w:pPr>
        <w:bidi w:val="0"/>
        <w:spacing w:after="0" w:line="240" w:lineRule="auto"/>
      </w:pPr>
      <w:r>
        <w:separator/>
      </w:r>
    </w:p>
    <w:p w:rsidR="00F341AA">
      <w:pPr>
        <w:bidi w:val="0"/>
      </w:pPr>
    </w:p>
  </w:footnote>
  <w:footnote w:type="continuationSeparator" w:id="1">
    <w:p w:rsidR="00F341AA" w:rsidP="00E07888">
      <w:pPr>
        <w:bidi w:val="0"/>
        <w:spacing w:after="0" w:line="240" w:lineRule="auto"/>
      </w:pPr>
      <w:r>
        <w:continuationSeparator/>
      </w:r>
    </w:p>
    <w:p w:rsidR="00F341AA">
      <w:pPr>
        <w:bidi w:val="0"/>
      </w:pPr>
    </w:p>
  </w:footnote>
  <w:footnote w:type="continuationNotice" w:id="2">
    <w:p w:rsidR="00F341AA">
      <w:pPr>
        <w:bidi w:val="0"/>
        <w:spacing w:after="0" w:line="240" w:lineRule="auto"/>
      </w:pPr>
    </w:p>
    <w:p w:rsidR="00F341AA">
      <w:pPr>
        <w:bidi w:val="0"/>
      </w:pPr>
    </w:p>
  </w:footnote>
  <w:footnote w:id="3">
    <w:p w:rsidP="00442E1D">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7FCC"/>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2534A5B"/>
    <w:multiLevelType w:val="hybridMultilevel"/>
    <w:tmpl w:val="3BB4B77A"/>
    <w:lvl w:ilvl="0">
      <w:start w:val="1"/>
      <w:numFmt w:val="decimal"/>
      <w:lvlText w:val="%1."/>
      <w:lvlJc w:val="left"/>
      <w:pPr>
        <w:ind w:left="1515" w:hanging="360"/>
      </w:pPr>
      <w:rPr>
        <w:rFonts w:cs="Times New Roman" w:hint="default"/>
        <w:rtl w:val="0"/>
        <w:cs w:val="0"/>
      </w:rPr>
    </w:lvl>
    <w:lvl w:ilvl="1">
      <w:start w:val="1"/>
      <w:numFmt w:val="lowerLetter"/>
      <w:lvlText w:val="%2."/>
      <w:lvlJc w:val="left"/>
      <w:pPr>
        <w:ind w:left="2235" w:hanging="360"/>
      </w:pPr>
      <w:rPr>
        <w:rFonts w:cs="Times New Roman"/>
        <w:rtl w:val="0"/>
        <w:cs w:val="0"/>
      </w:rPr>
    </w:lvl>
    <w:lvl w:ilvl="2">
      <w:start w:val="1"/>
      <w:numFmt w:val="lowerRoman"/>
      <w:lvlText w:val="%3."/>
      <w:lvlJc w:val="right"/>
      <w:pPr>
        <w:ind w:left="2955" w:hanging="180"/>
      </w:pPr>
      <w:rPr>
        <w:rFonts w:cs="Times New Roman"/>
        <w:rtl w:val="0"/>
        <w:cs w:val="0"/>
      </w:rPr>
    </w:lvl>
    <w:lvl w:ilvl="3">
      <w:start w:val="1"/>
      <w:numFmt w:val="decimal"/>
      <w:lvlText w:val="%4."/>
      <w:lvlJc w:val="left"/>
      <w:pPr>
        <w:ind w:left="3675" w:hanging="360"/>
      </w:pPr>
      <w:rPr>
        <w:rFonts w:cs="Times New Roman"/>
        <w:rtl w:val="0"/>
        <w:cs w:val="0"/>
      </w:rPr>
    </w:lvl>
    <w:lvl w:ilvl="4">
      <w:start w:val="1"/>
      <w:numFmt w:val="lowerLetter"/>
      <w:lvlText w:val="%5."/>
      <w:lvlJc w:val="left"/>
      <w:pPr>
        <w:ind w:left="4395" w:hanging="360"/>
      </w:pPr>
      <w:rPr>
        <w:rFonts w:cs="Times New Roman"/>
        <w:rtl w:val="0"/>
        <w:cs w:val="0"/>
      </w:rPr>
    </w:lvl>
    <w:lvl w:ilvl="5">
      <w:start w:val="1"/>
      <w:numFmt w:val="lowerRoman"/>
      <w:lvlText w:val="%6."/>
      <w:lvlJc w:val="right"/>
      <w:pPr>
        <w:ind w:left="5115" w:hanging="180"/>
      </w:pPr>
      <w:rPr>
        <w:rFonts w:cs="Times New Roman"/>
        <w:rtl w:val="0"/>
        <w:cs w:val="0"/>
      </w:rPr>
    </w:lvl>
    <w:lvl w:ilvl="6">
      <w:start w:val="1"/>
      <w:numFmt w:val="decimal"/>
      <w:lvlText w:val="%7."/>
      <w:lvlJc w:val="left"/>
      <w:pPr>
        <w:ind w:left="5835" w:hanging="360"/>
      </w:pPr>
      <w:rPr>
        <w:rFonts w:cs="Times New Roman"/>
        <w:rtl w:val="0"/>
        <w:cs w:val="0"/>
      </w:rPr>
    </w:lvl>
    <w:lvl w:ilvl="7">
      <w:start w:val="1"/>
      <w:numFmt w:val="lowerLetter"/>
      <w:lvlText w:val="%8."/>
      <w:lvlJc w:val="left"/>
      <w:pPr>
        <w:ind w:left="6555" w:hanging="360"/>
      </w:pPr>
      <w:rPr>
        <w:rFonts w:cs="Times New Roman"/>
        <w:rtl w:val="0"/>
        <w:cs w:val="0"/>
      </w:rPr>
    </w:lvl>
    <w:lvl w:ilvl="8">
      <w:start w:val="1"/>
      <w:numFmt w:val="lowerRoman"/>
      <w:lvlText w:val="%9."/>
      <w:lvlJc w:val="right"/>
      <w:pPr>
        <w:ind w:left="7275" w:hanging="180"/>
      </w:pPr>
      <w:rPr>
        <w:rFonts w:cs="Times New Roman"/>
        <w:rtl w:val="0"/>
        <w:cs w:val="0"/>
      </w:rPr>
    </w:lvl>
  </w:abstractNum>
  <w:abstractNum w:abstractNumId="2">
    <w:nsid w:val="07573696"/>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BA019BD"/>
    <w:multiLevelType w:val="hybridMultilevel"/>
    <w:tmpl w:val="997EF17A"/>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EEA6825"/>
    <w:multiLevelType w:val="singleLevel"/>
    <w:tmpl w:val="F14A3676"/>
    <w:name w:val="Tiret 0"/>
    <w:lvl w:ilvl="0">
      <w:start w:val="1"/>
      <w:numFmt w:val="bullet"/>
      <w:pStyle w:val="Tiret0"/>
      <w:lvlText w:val="–"/>
      <w:lvlJc w:val="left"/>
      <w:pPr>
        <w:tabs>
          <w:tab w:val="num" w:pos="850"/>
        </w:tabs>
        <w:ind w:left="850" w:hanging="850"/>
      </w:pPr>
    </w:lvl>
  </w:abstractNum>
  <w:abstractNum w:abstractNumId="5">
    <w:nsid w:val="0F4A3798"/>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tl w:val="0"/>
        <w:cs w:val="0"/>
      </w:rPr>
    </w:lvl>
    <w:lvl w:ilvl="1">
      <w:start w:val="1"/>
      <w:numFmt w:val="lowerLetter"/>
      <w:lvlText w:val="(%2)"/>
      <w:lvlJc w:val="left"/>
      <w:pPr>
        <w:tabs>
          <w:tab w:val="num" w:pos="850"/>
        </w:tabs>
        <w:ind w:left="850" w:hanging="850"/>
      </w:pPr>
      <w:rPr>
        <w:rFonts w:cs="Times New Roman"/>
        <w:rtl w:val="0"/>
        <w:cs w:val="0"/>
      </w:rPr>
    </w:lvl>
    <w:lvl w:ilvl="2">
      <w:start w:val="1"/>
      <w:numFmt w:val="decimal"/>
      <w:pStyle w:val="Point1number"/>
      <w:lvlText w:val="(%3)"/>
      <w:lvlJc w:val="left"/>
      <w:pPr>
        <w:tabs>
          <w:tab w:val="num" w:pos="1417"/>
        </w:tabs>
        <w:ind w:left="1417" w:hanging="567"/>
      </w:pPr>
      <w:rPr>
        <w:rFonts w:cs="Times New Roman"/>
        <w:rtl w:val="0"/>
        <w:cs w:val="0"/>
      </w:rPr>
    </w:lvl>
    <w:lvl w:ilvl="3">
      <w:start w:val="1"/>
      <w:numFmt w:val="lowerLetter"/>
      <w:pStyle w:val="Point1letter"/>
      <w:lvlText w:val="(%4)"/>
      <w:lvlJc w:val="left"/>
      <w:pPr>
        <w:tabs>
          <w:tab w:val="num" w:pos="1417"/>
        </w:tabs>
        <w:ind w:left="1417" w:hanging="567"/>
      </w:pPr>
      <w:rPr>
        <w:rFonts w:cs="Times New Roman"/>
        <w:rtl w:val="0"/>
        <w:cs w:val="0"/>
      </w:rPr>
    </w:lvl>
    <w:lvl w:ilvl="4">
      <w:start w:val="1"/>
      <w:numFmt w:val="decimal"/>
      <w:pStyle w:val="Point2number"/>
      <w:lvlText w:val="(%5)"/>
      <w:lvlJc w:val="left"/>
      <w:pPr>
        <w:tabs>
          <w:tab w:val="num" w:pos="1984"/>
        </w:tabs>
        <w:ind w:left="1984" w:hanging="567"/>
      </w:pPr>
      <w:rPr>
        <w:rFonts w:cs="Times New Roman"/>
        <w:rtl w:val="0"/>
        <w:cs w:val="0"/>
      </w:rPr>
    </w:lvl>
    <w:lvl w:ilvl="5">
      <w:start w:val="1"/>
      <w:numFmt w:val="lowerLetter"/>
      <w:pStyle w:val="Point2letter"/>
      <w:lvlText w:val="(%6)"/>
      <w:lvlJc w:val="left"/>
      <w:pPr>
        <w:tabs>
          <w:tab w:val="num" w:pos="1984"/>
        </w:tabs>
        <w:ind w:left="1984" w:hanging="567"/>
      </w:pPr>
      <w:rPr>
        <w:rFonts w:cs="Times New Roman"/>
        <w:rtl w:val="0"/>
        <w:cs w:val="0"/>
      </w:rPr>
    </w:lvl>
    <w:lvl w:ilvl="6">
      <w:start w:val="1"/>
      <w:numFmt w:val="decimal"/>
      <w:pStyle w:val="Point3number"/>
      <w:lvlText w:val="(%7)"/>
      <w:lvlJc w:val="left"/>
      <w:pPr>
        <w:tabs>
          <w:tab w:val="num" w:pos="2551"/>
        </w:tabs>
        <w:ind w:left="2551" w:hanging="567"/>
      </w:pPr>
      <w:rPr>
        <w:rFonts w:cs="Times New Roman"/>
        <w:rtl w:val="0"/>
        <w:cs w:val="0"/>
      </w:rPr>
    </w:lvl>
    <w:lvl w:ilvl="7">
      <w:start w:val="1"/>
      <w:numFmt w:val="lowerLetter"/>
      <w:pStyle w:val="Point3letter"/>
      <w:lvlText w:val="(%8)"/>
      <w:lvlJc w:val="left"/>
      <w:pPr>
        <w:tabs>
          <w:tab w:val="num" w:pos="2551"/>
        </w:tabs>
        <w:ind w:left="2551" w:hanging="567"/>
      </w:pPr>
      <w:rPr>
        <w:rFonts w:cs="Times New Roman"/>
        <w:rtl w:val="0"/>
        <w:cs w:val="0"/>
      </w:rPr>
    </w:lvl>
    <w:lvl w:ilvl="8">
      <w:start w:val="1"/>
      <w:numFmt w:val="lowerLetter"/>
      <w:pStyle w:val="Point4letter"/>
      <w:lvlText w:val="(%9)"/>
      <w:lvlJc w:val="left"/>
      <w:pPr>
        <w:tabs>
          <w:tab w:val="num" w:pos="3118"/>
        </w:tabs>
        <w:ind w:left="3118" w:hanging="567"/>
      </w:pPr>
      <w:rPr>
        <w:rFonts w:cs="Times New Roman"/>
        <w:rtl w:val="0"/>
        <w:cs w:val="0"/>
      </w:rPr>
    </w:lvl>
  </w:abstractNum>
  <w:abstractNum w:abstractNumId="7">
    <w:nsid w:val="1C047F80"/>
    <w:multiLevelType w:val="hybridMultilevel"/>
    <w:tmpl w:val="3272B2A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F3B4795"/>
    <w:multiLevelType w:val="hybridMultilevel"/>
    <w:tmpl w:val="68AE51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1FD17EE"/>
    <w:multiLevelType w:val="hybridMultilevel"/>
    <w:tmpl w:val="7ECA9B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76B703A"/>
    <w:multiLevelType w:val="hybridMultilevel"/>
    <w:tmpl w:val="09EACDE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A2D34BC"/>
    <w:multiLevelType w:val="hybridMultilevel"/>
    <w:tmpl w:val="18F256F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BE24522"/>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3">
    <w:nsid w:val="2C207618"/>
    <w:multiLevelType w:val="hybridMultilevel"/>
    <w:tmpl w:val="8A64AAD6"/>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4">
    <w:nsid w:val="2C434A75"/>
    <w:multiLevelType w:val="hybridMultilevel"/>
    <w:tmpl w:val="1F2E81C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D071C3C"/>
    <w:multiLevelType w:val="hybridMultilevel"/>
    <w:tmpl w:val="32680EB0"/>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E674E75"/>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14C7E84"/>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31B3FB1"/>
    <w:multiLevelType w:val="hybridMultilevel"/>
    <w:tmpl w:val="5D027926"/>
    <w:lvl w:ilvl="0">
      <w:start w:val="1"/>
      <w:numFmt w:val="decimal"/>
      <w:lvlText w:val="%1."/>
      <w:lvlJc w:val="left"/>
      <w:pPr>
        <w:ind w:left="2154" w:hanging="360"/>
      </w:pPr>
      <w:rPr>
        <w:rFonts w:cs="Times New Roman" w:hint="default"/>
        <w:rtl w:val="0"/>
        <w:cs w:val="0"/>
      </w:rPr>
    </w:lvl>
    <w:lvl w:ilvl="1">
      <w:start w:val="1"/>
      <w:numFmt w:val="lowerLetter"/>
      <w:lvlText w:val="%2."/>
      <w:lvlJc w:val="left"/>
      <w:pPr>
        <w:ind w:left="2874" w:hanging="360"/>
      </w:pPr>
      <w:rPr>
        <w:rFonts w:cs="Times New Roman"/>
        <w:rtl w:val="0"/>
        <w:cs w:val="0"/>
      </w:rPr>
    </w:lvl>
    <w:lvl w:ilvl="2">
      <w:start w:val="1"/>
      <w:numFmt w:val="lowerRoman"/>
      <w:lvlText w:val="%3."/>
      <w:lvlJc w:val="right"/>
      <w:pPr>
        <w:ind w:left="3594" w:hanging="180"/>
      </w:pPr>
      <w:rPr>
        <w:rFonts w:cs="Times New Roman"/>
        <w:rtl w:val="0"/>
        <w:cs w:val="0"/>
      </w:rPr>
    </w:lvl>
    <w:lvl w:ilvl="3">
      <w:start w:val="1"/>
      <w:numFmt w:val="decimal"/>
      <w:lvlText w:val="%4."/>
      <w:lvlJc w:val="left"/>
      <w:pPr>
        <w:ind w:left="4314" w:hanging="360"/>
      </w:pPr>
      <w:rPr>
        <w:rFonts w:cs="Times New Roman"/>
        <w:rtl w:val="0"/>
        <w:cs w:val="0"/>
      </w:rPr>
    </w:lvl>
    <w:lvl w:ilvl="4">
      <w:start w:val="1"/>
      <w:numFmt w:val="lowerLetter"/>
      <w:lvlText w:val="%5."/>
      <w:lvlJc w:val="left"/>
      <w:pPr>
        <w:ind w:left="5034" w:hanging="360"/>
      </w:pPr>
      <w:rPr>
        <w:rFonts w:cs="Times New Roman"/>
        <w:rtl w:val="0"/>
        <w:cs w:val="0"/>
      </w:rPr>
    </w:lvl>
    <w:lvl w:ilvl="5">
      <w:start w:val="1"/>
      <w:numFmt w:val="lowerRoman"/>
      <w:lvlText w:val="%6."/>
      <w:lvlJc w:val="right"/>
      <w:pPr>
        <w:ind w:left="5754" w:hanging="180"/>
      </w:pPr>
      <w:rPr>
        <w:rFonts w:cs="Times New Roman"/>
        <w:rtl w:val="0"/>
        <w:cs w:val="0"/>
      </w:rPr>
    </w:lvl>
    <w:lvl w:ilvl="6">
      <w:start w:val="1"/>
      <w:numFmt w:val="decimal"/>
      <w:lvlText w:val="%7."/>
      <w:lvlJc w:val="left"/>
      <w:pPr>
        <w:ind w:left="6474" w:hanging="360"/>
      </w:pPr>
      <w:rPr>
        <w:rFonts w:cs="Times New Roman"/>
        <w:rtl w:val="0"/>
        <w:cs w:val="0"/>
      </w:rPr>
    </w:lvl>
    <w:lvl w:ilvl="7">
      <w:start w:val="1"/>
      <w:numFmt w:val="lowerLetter"/>
      <w:lvlText w:val="%8."/>
      <w:lvlJc w:val="left"/>
      <w:pPr>
        <w:ind w:left="7194" w:hanging="360"/>
      </w:pPr>
      <w:rPr>
        <w:rFonts w:cs="Times New Roman"/>
        <w:rtl w:val="0"/>
        <w:cs w:val="0"/>
      </w:rPr>
    </w:lvl>
    <w:lvl w:ilvl="8">
      <w:start w:val="1"/>
      <w:numFmt w:val="lowerRoman"/>
      <w:lvlText w:val="%9."/>
      <w:lvlJc w:val="right"/>
      <w:pPr>
        <w:ind w:left="7914" w:hanging="180"/>
      </w:pPr>
      <w:rPr>
        <w:rFonts w:cs="Times New Roman"/>
        <w:rtl w:val="0"/>
        <w:cs w:val="0"/>
      </w:rPr>
    </w:lvl>
  </w:abstractNum>
  <w:abstractNum w:abstractNumId="19">
    <w:nsid w:val="35E958AC"/>
    <w:multiLevelType w:val="hybridMultilevel"/>
    <w:tmpl w:val="FB244D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8F424D0"/>
    <w:multiLevelType w:val="multilevel"/>
    <w:tmpl w:val="48741C5E"/>
    <w:name w:val="Points"/>
    <w:lvl w:ilvl="0">
      <w:start w:val="1"/>
      <w:numFmt w:val="decimal"/>
      <w:pStyle w:val="Point123"/>
      <w:lvlText w:val="%1."/>
      <w:lvlJc w:val="left"/>
      <w:pPr>
        <w:tabs>
          <w:tab w:val="num" w:pos="567"/>
        </w:tabs>
        <w:ind w:left="567" w:hanging="567"/>
      </w:pPr>
      <w:rPr>
        <w:rFonts w:cs="Times New Roman"/>
        <w:rtl w:val="0"/>
        <w:cs w:val="0"/>
      </w:rPr>
    </w:lvl>
    <w:lvl w:ilvl="1">
      <w:start w:val="1"/>
      <w:numFmt w:val="lowerLetter"/>
      <w:pStyle w:val="Pointabc"/>
      <w:lvlText w:val="%2)"/>
      <w:lvlJc w:val="left"/>
      <w:pPr>
        <w:tabs>
          <w:tab w:val="num" w:pos="567"/>
        </w:tabs>
        <w:ind w:left="567" w:hanging="567"/>
      </w:pPr>
      <w:rPr>
        <w:rFonts w:cs="Times New Roman"/>
        <w:rtl w:val="0"/>
        <w:cs w:val="0"/>
      </w:rPr>
    </w:lvl>
    <w:lvl w:ilvl="2">
      <w:start w:val="1"/>
      <w:numFmt w:val="decimal"/>
      <w:pStyle w:val="Point1231"/>
      <w:lvlText w:val="%3."/>
      <w:lvlJc w:val="left"/>
      <w:pPr>
        <w:tabs>
          <w:tab w:val="num" w:pos="1134"/>
        </w:tabs>
        <w:ind w:left="1134" w:hanging="567"/>
      </w:pPr>
      <w:rPr>
        <w:rFonts w:cs="Times New Roman"/>
        <w:rtl w:val="0"/>
        <w:cs w:val="0"/>
      </w:rPr>
    </w:lvl>
    <w:lvl w:ilvl="3">
      <w:start w:val="1"/>
      <w:numFmt w:val="lowerLetter"/>
      <w:pStyle w:val="Pointabc1"/>
      <w:lvlText w:val="%4)"/>
      <w:lvlJc w:val="left"/>
      <w:pPr>
        <w:tabs>
          <w:tab w:val="num" w:pos="1134"/>
        </w:tabs>
        <w:ind w:left="1134" w:hanging="567"/>
      </w:pPr>
      <w:rPr>
        <w:rFonts w:cs="Times New Roman"/>
        <w:rtl w:val="0"/>
        <w:cs w:val="0"/>
      </w:rPr>
    </w:lvl>
    <w:lvl w:ilvl="4">
      <w:start w:val="1"/>
      <w:numFmt w:val="decimal"/>
      <w:pStyle w:val="Point1232"/>
      <w:lvlText w:val="%5."/>
      <w:lvlJc w:val="left"/>
      <w:pPr>
        <w:tabs>
          <w:tab w:val="num" w:pos="1701"/>
        </w:tabs>
        <w:ind w:left="1701" w:hanging="567"/>
      </w:pPr>
      <w:rPr>
        <w:rFonts w:cs="Times New Roman"/>
        <w:rtl w:val="0"/>
        <w:cs w:val="0"/>
      </w:rPr>
    </w:lvl>
    <w:lvl w:ilvl="5">
      <w:start w:val="1"/>
      <w:numFmt w:val="lowerLetter"/>
      <w:pStyle w:val="Pointabc2"/>
      <w:lvlText w:val="%6)"/>
      <w:lvlJc w:val="left"/>
      <w:pPr>
        <w:tabs>
          <w:tab w:val="num" w:pos="1701"/>
        </w:tabs>
        <w:ind w:left="1701" w:hanging="567"/>
      </w:pPr>
      <w:rPr>
        <w:rFonts w:cs="Times New Roman"/>
        <w:rtl w:val="0"/>
        <w:cs w:val="0"/>
      </w:rPr>
    </w:lvl>
    <w:lvl w:ilvl="6">
      <w:start w:val="1"/>
      <w:numFmt w:val="decimal"/>
      <w:pStyle w:val="Point1233"/>
      <w:lvlText w:val="%7."/>
      <w:lvlJc w:val="left"/>
      <w:pPr>
        <w:tabs>
          <w:tab w:val="num" w:pos="2268"/>
        </w:tabs>
        <w:ind w:left="2268" w:hanging="567"/>
      </w:pPr>
      <w:rPr>
        <w:rFonts w:cs="Times New Roman"/>
        <w:rtl w:val="0"/>
        <w:cs w:val="0"/>
      </w:rPr>
    </w:lvl>
    <w:lvl w:ilvl="7">
      <w:start w:val="1"/>
      <w:numFmt w:val="lowerLetter"/>
      <w:pStyle w:val="Pointabc3"/>
      <w:lvlText w:val="%8)"/>
      <w:lvlJc w:val="left"/>
      <w:pPr>
        <w:tabs>
          <w:tab w:val="num" w:pos="2268"/>
        </w:tabs>
        <w:ind w:left="2268" w:hanging="567"/>
      </w:pPr>
      <w:rPr>
        <w:rFonts w:cs="Times New Roman"/>
        <w:rtl w:val="0"/>
        <w:cs w:val="0"/>
      </w:rPr>
    </w:lvl>
    <w:lvl w:ilvl="8">
      <w:start w:val="1"/>
      <w:numFmt w:val="lowerLetter"/>
      <w:pStyle w:val="Pointabc4"/>
      <w:lvlText w:val="%9)"/>
      <w:lvlJc w:val="left"/>
      <w:pPr>
        <w:tabs>
          <w:tab w:val="num" w:pos="2835"/>
        </w:tabs>
        <w:ind w:left="2835" w:hanging="567"/>
      </w:pPr>
      <w:rPr>
        <w:rFonts w:cs="Times New Roman"/>
        <w:rtl w:val="0"/>
        <w:cs w:val="0"/>
      </w:rPr>
    </w:lvl>
  </w:abstractNum>
  <w:abstractNum w:abstractNumId="21">
    <w:nsid w:val="3A1F0A10"/>
    <w:multiLevelType w:val="hybridMultilevel"/>
    <w:tmpl w:val="BDBEB7C6"/>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3A853027"/>
    <w:multiLevelType w:val="hybridMultilevel"/>
    <w:tmpl w:val="D7103A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3B6A1083"/>
    <w:multiLevelType w:val="hybridMultilevel"/>
    <w:tmpl w:val="37AAF1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CF826CE"/>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25">
    <w:nsid w:val="3E9D5659"/>
    <w:multiLevelType w:val="hybridMultilevel"/>
    <w:tmpl w:val="34C83FC2"/>
    <w:lvl w:ilvl="0">
      <w:start w:val="1"/>
      <w:numFmt w:val="decimal"/>
      <w:lvlText w:val="%1."/>
      <w:lvlJc w:val="left"/>
      <w:pPr>
        <w:ind w:left="1434" w:hanging="360"/>
      </w:pPr>
      <w:rPr>
        <w:rFonts w:ascii="Times New Roman" w:eastAsia="Times New Roman" w:hAnsi="Times New Roman" w:cs="Times New Roman"/>
        <w:rtl w:val="0"/>
        <w:cs w:val="0"/>
      </w:rPr>
    </w:lvl>
    <w:lvl w:ilvl="1">
      <w:start w:val="1"/>
      <w:numFmt w:val="lowerLetter"/>
      <w:lvlText w:val="%2."/>
      <w:lvlJc w:val="left"/>
      <w:pPr>
        <w:ind w:left="3558" w:hanging="360"/>
      </w:pPr>
      <w:rPr>
        <w:rFonts w:cs="Times New Roman"/>
        <w:rtl w:val="0"/>
        <w:cs w:val="0"/>
      </w:rPr>
    </w:lvl>
    <w:lvl w:ilvl="2">
      <w:start w:val="1"/>
      <w:numFmt w:val="lowerRoman"/>
      <w:lvlText w:val="%3."/>
      <w:lvlJc w:val="right"/>
      <w:pPr>
        <w:ind w:left="4278" w:hanging="180"/>
      </w:pPr>
      <w:rPr>
        <w:rFonts w:cs="Times New Roman"/>
        <w:rtl w:val="0"/>
        <w:cs w:val="0"/>
      </w:rPr>
    </w:lvl>
    <w:lvl w:ilvl="3">
      <w:start w:val="1"/>
      <w:numFmt w:val="decimal"/>
      <w:lvlText w:val="%4."/>
      <w:lvlJc w:val="left"/>
      <w:pPr>
        <w:ind w:left="4998" w:hanging="360"/>
      </w:pPr>
      <w:rPr>
        <w:rFonts w:cs="Times New Roman"/>
        <w:rtl w:val="0"/>
        <w:cs w:val="0"/>
      </w:rPr>
    </w:lvl>
    <w:lvl w:ilvl="4">
      <w:start w:val="1"/>
      <w:numFmt w:val="lowerLetter"/>
      <w:lvlText w:val="%5."/>
      <w:lvlJc w:val="left"/>
      <w:pPr>
        <w:ind w:left="5718" w:hanging="360"/>
      </w:pPr>
      <w:rPr>
        <w:rFonts w:cs="Times New Roman"/>
        <w:rtl w:val="0"/>
        <w:cs w:val="0"/>
      </w:rPr>
    </w:lvl>
    <w:lvl w:ilvl="5">
      <w:start w:val="1"/>
      <w:numFmt w:val="lowerRoman"/>
      <w:lvlText w:val="%6."/>
      <w:lvlJc w:val="right"/>
      <w:pPr>
        <w:ind w:left="6438" w:hanging="180"/>
      </w:pPr>
      <w:rPr>
        <w:rFonts w:cs="Times New Roman"/>
        <w:rtl w:val="0"/>
        <w:cs w:val="0"/>
      </w:rPr>
    </w:lvl>
    <w:lvl w:ilvl="6">
      <w:start w:val="1"/>
      <w:numFmt w:val="decimal"/>
      <w:lvlText w:val="%7."/>
      <w:lvlJc w:val="left"/>
      <w:pPr>
        <w:ind w:left="7158" w:hanging="360"/>
      </w:pPr>
      <w:rPr>
        <w:rFonts w:cs="Times New Roman"/>
        <w:rtl w:val="0"/>
        <w:cs w:val="0"/>
      </w:rPr>
    </w:lvl>
    <w:lvl w:ilvl="7">
      <w:start w:val="1"/>
      <w:numFmt w:val="lowerLetter"/>
      <w:lvlText w:val="%8."/>
      <w:lvlJc w:val="left"/>
      <w:pPr>
        <w:ind w:left="7878" w:hanging="360"/>
      </w:pPr>
      <w:rPr>
        <w:rFonts w:cs="Times New Roman"/>
        <w:rtl w:val="0"/>
        <w:cs w:val="0"/>
      </w:rPr>
    </w:lvl>
    <w:lvl w:ilvl="8">
      <w:start w:val="1"/>
      <w:numFmt w:val="lowerRoman"/>
      <w:lvlText w:val="%9."/>
      <w:lvlJc w:val="right"/>
      <w:pPr>
        <w:ind w:left="8598" w:hanging="180"/>
      </w:pPr>
      <w:rPr>
        <w:rFonts w:cs="Times New Roman"/>
        <w:rtl w:val="0"/>
        <w:cs w:val="0"/>
      </w:rPr>
    </w:lvl>
  </w:abstractNum>
  <w:abstractNum w:abstractNumId="26">
    <w:nsid w:val="41A75690"/>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43ED13F3"/>
    <w:multiLevelType w:val="hybridMultilevel"/>
    <w:tmpl w:val="5420BD5A"/>
    <w:lvl w:ilvl="0">
      <w:start w:val="1"/>
      <w:numFmt w:val="decimal"/>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4BE60B2B"/>
    <w:multiLevelType w:val="hybridMultilevel"/>
    <w:tmpl w:val="997EF17A"/>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9">
    <w:nsid w:val="54A159B4"/>
    <w:multiLevelType w:val="hybridMultilevel"/>
    <w:tmpl w:val="1F2E81C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4DB2C94"/>
    <w:multiLevelType w:val="hybridMultilevel"/>
    <w:tmpl w:val="AD16B7E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BC97B2A"/>
    <w:multiLevelType w:val="hybridMultilevel"/>
    <w:tmpl w:val="18F256F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2">
    <w:nsid w:val="5CCB1154"/>
    <w:multiLevelType w:val="hybridMultilevel"/>
    <w:tmpl w:val="B52ABB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FF6097"/>
    <w:multiLevelType w:val="hybridMultilevel"/>
    <w:tmpl w:val="E8E2B5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DF95C6D"/>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5EB92170"/>
    <w:multiLevelType w:val="hybridMultilevel"/>
    <w:tmpl w:val="0F06B046"/>
    <w:lvl w:ilvl="0">
      <w:start w:val="1"/>
      <w:numFmt w:val="lowerLetter"/>
      <w:lvlText w:val="%1)"/>
      <w:lvlJc w:val="left"/>
      <w:pPr>
        <w:ind w:left="1065" w:hanging="360"/>
      </w:pPr>
      <w:rPr>
        <w:rFonts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6">
    <w:nsid w:val="605C777D"/>
    <w:multiLevelType w:val="hybridMultilevel"/>
    <w:tmpl w:val="609250E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54050A"/>
    <w:multiLevelType w:val="hybridMultilevel"/>
    <w:tmpl w:val="1DAEED5E"/>
    <w:lvl w:ilvl="0">
      <w:start w:val="1"/>
      <w:numFmt w:val="decimal"/>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7737D78"/>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6A0B75C5"/>
    <w:multiLevelType w:val="hybridMultilevel"/>
    <w:tmpl w:val="7C60D962"/>
    <w:lvl w:ilvl="0">
      <w:start w:val="1"/>
      <w:numFmt w:val="decimal"/>
      <w:lvlText w:val="(%1)"/>
      <w:lvlJc w:val="left"/>
      <w:pPr>
        <w:ind w:left="862" w:hanging="360"/>
      </w:pPr>
      <w:rPr>
        <w:rFonts w:cs="Times New Roman" w:hint="default"/>
        <w:rtl w:val="0"/>
        <w:cs w:val="0"/>
      </w:rPr>
    </w:lvl>
    <w:lvl w:ilvl="1">
      <w:start w:val="1"/>
      <w:numFmt w:val="decimal"/>
      <w:lvlText w:val="%2."/>
      <w:lvlJc w:val="left"/>
      <w:pPr>
        <w:ind w:left="1942" w:hanging="720"/>
      </w:pPr>
      <w:rPr>
        <w:rFonts w:cs="Times New Roman" w:hint="default"/>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0">
    <w:nsid w:val="6FB37F2F"/>
    <w:multiLevelType w:val="hybridMultilevel"/>
    <w:tmpl w:val="188E6512"/>
    <w:lvl w:ilvl="0">
      <w:start w:val="1"/>
      <w:numFmt w:val="decimal"/>
      <w:lvlText w:val="%1."/>
      <w:lvlJc w:val="left"/>
      <w:pPr>
        <w:ind w:left="1930" w:hanging="360"/>
      </w:pPr>
      <w:rPr>
        <w:rFonts w:cs="Times New Roman"/>
        <w:rtl w:val="0"/>
        <w:cs w:val="0"/>
      </w:rPr>
    </w:lvl>
    <w:lvl w:ilvl="1">
      <w:start w:val="1"/>
      <w:numFmt w:val="lowerLetter"/>
      <w:lvlText w:val="%2."/>
      <w:lvlJc w:val="left"/>
      <w:pPr>
        <w:ind w:left="2650" w:hanging="360"/>
      </w:pPr>
      <w:rPr>
        <w:rFonts w:cs="Times New Roman"/>
        <w:rtl w:val="0"/>
        <w:cs w:val="0"/>
      </w:rPr>
    </w:lvl>
    <w:lvl w:ilvl="2">
      <w:start w:val="1"/>
      <w:numFmt w:val="lowerRoman"/>
      <w:lvlText w:val="%3."/>
      <w:lvlJc w:val="right"/>
      <w:pPr>
        <w:ind w:left="3370" w:hanging="180"/>
      </w:pPr>
      <w:rPr>
        <w:rFonts w:cs="Times New Roman"/>
        <w:rtl w:val="0"/>
        <w:cs w:val="0"/>
      </w:rPr>
    </w:lvl>
    <w:lvl w:ilvl="3">
      <w:start w:val="1"/>
      <w:numFmt w:val="decimal"/>
      <w:lvlText w:val="%4."/>
      <w:lvlJc w:val="left"/>
      <w:pPr>
        <w:ind w:left="4090" w:hanging="360"/>
      </w:pPr>
      <w:rPr>
        <w:rFonts w:cs="Times New Roman"/>
        <w:rtl w:val="0"/>
        <w:cs w:val="0"/>
      </w:rPr>
    </w:lvl>
    <w:lvl w:ilvl="4">
      <w:start w:val="1"/>
      <w:numFmt w:val="lowerLetter"/>
      <w:lvlText w:val="%5."/>
      <w:lvlJc w:val="left"/>
      <w:pPr>
        <w:ind w:left="4810" w:hanging="360"/>
      </w:pPr>
      <w:rPr>
        <w:rFonts w:cs="Times New Roman"/>
        <w:rtl w:val="0"/>
        <w:cs w:val="0"/>
      </w:rPr>
    </w:lvl>
    <w:lvl w:ilvl="5">
      <w:start w:val="1"/>
      <w:numFmt w:val="lowerRoman"/>
      <w:lvlText w:val="%6."/>
      <w:lvlJc w:val="right"/>
      <w:pPr>
        <w:ind w:left="5530" w:hanging="180"/>
      </w:pPr>
      <w:rPr>
        <w:rFonts w:cs="Times New Roman"/>
        <w:rtl w:val="0"/>
        <w:cs w:val="0"/>
      </w:rPr>
    </w:lvl>
    <w:lvl w:ilvl="6">
      <w:start w:val="1"/>
      <w:numFmt w:val="decimal"/>
      <w:lvlText w:val="%7."/>
      <w:lvlJc w:val="left"/>
      <w:pPr>
        <w:ind w:left="6250" w:hanging="360"/>
      </w:pPr>
      <w:rPr>
        <w:rFonts w:cs="Times New Roman"/>
        <w:rtl w:val="0"/>
        <w:cs w:val="0"/>
      </w:rPr>
    </w:lvl>
    <w:lvl w:ilvl="7">
      <w:start w:val="1"/>
      <w:numFmt w:val="lowerLetter"/>
      <w:lvlText w:val="%8."/>
      <w:lvlJc w:val="left"/>
      <w:pPr>
        <w:ind w:left="6970" w:hanging="360"/>
      </w:pPr>
      <w:rPr>
        <w:rFonts w:cs="Times New Roman"/>
        <w:rtl w:val="0"/>
        <w:cs w:val="0"/>
      </w:rPr>
    </w:lvl>
    <w:lvl w:ilvl="8">
      <w:start w:val="1"/>
      <w:numFmt w:val="lowerRoman"/>
      <w:lvlText w:val="%9."/>
      <w:lvlJc w:val="right"/>
      <w:pPr>
        <w:ind w:left="7690" w:hanging="180"/>
      </w:pPr>
      <w:rPr>
        <w:rFonts w:cs="Times New Roman"/>
        <w:rtl w:val="0"/>
        <w:cs w:val="0"/>
      </w:rPr>
    </w:lvl>
  </w:abstractNum>
  <w:abstractNum w:abstractNumId="41">
    <w:nsid w:val="753A7D24"/>
    <w:multiLevelType w:val="hybridMultilevel"/>
    <w:tmpl w:val="12CA424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5580FB2"/>
    <w:multiLevelType w:val="hybridMultilevel"/>
    <w:tmpl w:val="3272B2A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7AF27596"/>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7B8B46AF"/>
    <w:multiLevelType w:val="hybridMultilevel"/>
    <w:tmpl w:val="B456C6B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EF55859"/>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1"/>
  </w:num>
  <w:num w:numId="2">
    <w:abstractNumId w:val="32"/>
  </w:num>
  <w:num w:numId="3">
    <w:abstractNumId w:val="23"/>
  </w:num>
  <w:num w:numId="4">
    <w:abstractNumId w:val="9"/>
  </w:num>
  <w:num w:numId="5">
    <w:abstractNumId w:val="1"/>
  </w:num>
  <w:num w:numId="6">
    <w:abstractNumId w:val="22"/>
  </w:num>
  <w:num w:numId="7">
    <w:abstractNumId w:val="36"/>
  </w:num>
  <w:num w:numId="8">
    <w:abstractNumId w:val="15"/>
  </w:num>
  <w:num w:numId="9">
    <w:abstractNumId w:val="2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24"/>
  </w:num>
  <w:num w:numId="14">
    <w:abstractNumId w:val="25"/>
  </w:num>
  <w:num w:numId="15">
    <w:abstractNumId w:val="16"/>
  </w:num>
  <w:num w:numId="16">
    <w:abstractNumId w:val="20"/>
  </w:num>
  <w:num w:numId="17">
    <w:abstractNumId w:val="17"/>
  </w:num>
  <w:num w:numId="18">
    <w:abstractNumId w:val="12"/>
  </w:num>
  <w:num w:numId="19">
    <w:abstractNumId w:val="26"/>
  </w:num>
  <w:num w:numId="20">
    <w:abstractNumId w:val="4"/>
  </w:num>
  <w:num w:numId="21">
    <w:abstractNumId w:val="34"/>
  </w:num>
  <w:num w:numId="22">
    <w:abstractNumId w:val="42"/>
  </w:num>
  <w:num w:numId="23">
    <w:abstractNumId w:val="43"/>
  </w:num>
  <w:num w:numId="24">
    <w:abstractNumId w:val="2"/>
  </w:num>
  <w:num w:numId="25">
    <w:abstractNumId w:val="0"/>
  </w:num>
  <w:num w:numId="26">
    <w:abstractNumId w:val="38"/>
  </w:num>
  <w:num w:numId="27">
    <w:abstractNumId w:val="18"/>
  </w:num>
  <w:num w:numId="28">
    <w:abstractNumId w:val="37"/>
  </w:num>
  <w:num w:numId="29">
    <w:abstractNumId w:val="13"/>
  </w:num>
  <w:num w:numId="30">
    <w:abstractNumId w:val="39"/>
  </w:num>
  <w:num w:numId="31">
    <w:abstractNumId w:val="8"/>
  </w:num>
  <w:num w:numId="32">
    <w:abstractNumId w:val="31"/>
  </w:num>
  <w:num w:numId="33">
    <w:abstractNumId w:val="41"/>
  </w:num>
  <w:num w:numId="34">
    <w:abstractNumId w:val="19"/>
  </w:num>
  <w:num w:numId="35">
    <w:abstractNumId w:val="27"/>
  </w:num>
  <w:num w:numId="36">
    <w:abstractNumId w:val="33"/>
  </w:num>
  <w:num w:numId="37">
    <w:abstractNumId w:val="30"/>
  </w:num>
  <w:num w:numId="38">
    <w:abstractNumId w:val="44"/>
  </w:num>
  <w:num w:numId="39">
    <w:abstractNumId w:val="14"/>
  </w:num>
  <w:num w:numId="40">
    <w:abstractNumId w:val="45"/>
  </w:num>
  <w:num w:numId="41">
    <w:abstractNumId w:val="40"/>
  </w:num>
  <w:num w:numId="42">
    <w:abstractNumId w:val="10"/>
  </w:num>
  <w:num w:numId="43">
    <w:abstractNumId w:val="7"/>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numRestart w:val="eachPage"/>
    <w:footnote w:id="0"/>
    <w:footnote w:id="1"/>
    <w:footnote w:id="2"/>
  </w:footnotePr>
  <w:compat/>
  <w:rsids>
    <w:rsidRoot w:val="007C2DA6"/>
    <w:rsid w:val="00002173"/>
    <w:rsid w:val="0000474A"/>
    <w:rsid w:val="00005BEE"/>
    <w:rsid w:val="000067A0"/>
    <w:rsid w:val="0000683C"/>
    <w:rsid w:val="000111D1"/>
    <w:rsid w:val="0001184A"/>
    <w:rsid w:val="00011EA4"/>
    <w:rsid w:val="000122D8"/>
    <w:rsid w:val="000146B3"/>
    <w:rsid w:val="00017F3A"/>
    <w:rsid w:val="0002107F"/>
    <w:rsid w:val="00021EF4"/>
    <w:rsid w:val="000220D4"/>
    <w:rsid w:val="0002298C"/>
    <w:rsid w:val="00024B71"/>
    <w:rsid w:val="00025829"/>
    <w:rsid w:val="00030B8E"/>
    <w:rsid w:val="00032BFD"/>
    <w:rsid w:val="000342CA"/>
    <w:rsid w:val="000345F1"/>
    <w:rsid w:val="00034FAF"/>
    <w:rsid w:val="0003689F"/>
    <w:rsid w:val="00037AB3"/>
    <w:rsid w:val="00041215"/>
    <w:rsid w:val="00041A1E"/>
    <w:rsid w:val="00042E11"/>
    <w:rsid w:val="000431BE"/>
    <w:rsid w:val="00044288"/>
    <w:rsid w:val="00045AA7"/>
    <w:rsid w:val="00045D6A"/>
    <w:rsid w:val="00046460"/>
    <w:rsid w:val="0004734D"/>
    <w:rsid w:val="00047F49"/>
    <w:rsid w:val="00052036"/>
    <w:rsid w:val="000522D5"/>
    <w:rsid w:val="00052A26"/>
    <w:rsid w:val="00053B74"/>
    <w:rsid w:val="00054EC0"/>
    <w:rsid w:val="00055D0E"/>
    <w:rsid w:val="00056D44"/>
    <w:rsid w:val="000577CB"/>
    <w:rsid w:val="00060088"/>
    <w:rsid w:val="00061F49"/>
    <w:rsid w:val="00062BA3"/>
    <w:rsid w:val="00062CE7"/>
    <w:rsid w:val="00063EC7"/>
    <w:rsid w:val="000658FD"/>
    <w:rsid w:val="00065A89"/>
    <w:rsid w:val="00072198"/>
    <w:rsid w:val="00072E73"/>
    <w:rsid w:val="00073B5B"/>
    <w:rsid w:val="00073D69"/>
    <w:rsid w:val="000742FB"/>
    <w:rsid w:val="000747FC"/>
    <w:rsid w:val="000750B5"/>
    <w:rsid w:val="0007548A"/>
    <w:rsid w:val="00080934"/>
    <w:rsid w:val="00080E67"/>
    <w:rsid w:val="000816F4"/>
    <w:rsid w:val="00081B19"/>
    <w:rsid w:val="00082523"/>
    <w:rsid w:val="000852AA"/>
    <w:rsid w:val="00085D79"/>
    <w:rsid w:val="00085FCB"/>
    <w:rsid w:val="000879D0"/>
    <w:rsid w:val="00090EFF"/>
    <w:rsid w:val="00092236"/>
    <w:rsid w:val="00092BB3"/>
    <w:rsid w:val="000940CD"/>
    <w:rsid w:val="000946B9"/>
    <w:rsid w:val="00096E7A"/>
    <w:rsid w:val="00097DD6"/>
    <w:rsid w:val="000A150C"/>
    <w:rsid w:val="000A16C0"/>
    <w:rsid w:val="000A2712"/>
    <w:rsid w:val="000A2CA2"/>
    <w:rsid w:val="000A5C75"/>
    <w:rsid w:val="000A764A"/>
    <w:rsid w:val="000A7CBB"/>
    <w:rsid w:val="000B075C"/>
    <w:rsid w:val="000B1B0D"/>
    <w:rsid w:val="000B1BA8"/>
    <w:rsid w:val="000B1DF2"/>
    <w:rsid w:val="000B2BC4"/>
    <w:rsid w:val="000B2C3E"/>
    <w:rsid w:val="000B34D4"/>
    <w:rsid w:val="000B3DE6"/>
    <w:rsid w:val="000B3E4B"/>
    <w:rsid w:val="000B6261"/>
    <w:rsid w:val="000B72C4"/>
    <w:rsid w:val="000B7992"/>
    <w:rsid w:val="000C15B5"/>
    <w:rsid w:val="000C1C7B"/>
    <w:rsid w:val="000C3A5A"/>
    <w:rsid w:val="000C4204"/>
    <w:rsid w:val="000C61B9"/>
    <w:rsid w:val="000C7B2F"/>
    <w:rsid w:val="000D1C00"/>
    <w:rsid w:val="000D3285"/>
    <w:rsid w:val="000D4783"/>
    <w:rsid w:val="000D528C"/>
    <w:rsid w:val="000D6111"/>
    <w:rsid w:val="000D6578"/>
    <w:rsid w:val="000D78AE"/>
    <w:rsid w:val="000E0F89"/>
    <w:rsid w:val="000E101A"/>
    <w:rsid w:val="000E14D3"/>
    <w:rsid w:val="000E1853"/>
    <w:rsid w:val="000E4E8A"/>
    <w:rsid w:val="000E59EE"/>
    <w:rsid w:val="000E7C4C"/>
    <w:rsid w:val="000F08FF"/>
    <w:rsid w:val="000F3DC6"/>
    <w:rsid w:val="000F41F0"/>
    <w:rsid w:val="000F5486"/>
    <w:rsid w:val="00100D60"/>
    <w:rsid w:val="00100EF4"/>
    <w:rsid w:val="00101922"/>
    <w:rsid w:val="00101F97"/>
    <w:rsid w:val="00103ADE"/>
    <w:rsid w:val="001050EF"/>
    <w:rsid w:val="0010550C"/>
    <w:rsid w:val="001071C8"/>
    <w:rsid w:val="00111657"/>
    <w:rsid w:val="001126FB"/>
    <w:rsid w:val="00113F45"/>
    <w:rsid w:val="00115002"/>
    <w:rsid w:val="00116B92"/>
    <w:rsid w:val="00116D6B"/>
    <w:rsid w:val="001228BA"/>
    <w:rsid w:val="00122FE3"/>
    <w:rsid w:val="00123F5F"/>
    <w:rsid w:val="00124DEB"/>
    <w:rsid w:val="001251C5"/>
    <w:rsid w:val="001257E3"/>
    <w:rsid w:val="001308B6"/>
    <w:rsid w:val="001312BD"/>
    <w:rsid w:val="001319F6"/>
    <w:rsid w:val="00132C5C"/>
    <w:rsid w:val="00132C60"/>
    <w:rsid w:val="00133120"/>
    <w:rsid w:val="0013328B"/>
    <w:rsid w:val="00133669"/>
    <w:rsid w:val="00133EE0"/>
    <w:rsid w:val="0013488A"/>
    <w:rsid w:val="001400E3"/>
    <w:rsid w:val="00140C8B"/>
    <w:rsid w:val="00141C7E"/>
    <w:rsid w:val="00146D87"/>
    <w:rsid w:val="001472F5"/>
    <w:rsid w:val="001500AD"/>
    <w:rsid w:val="00150731"/>
    <w:rsid w:val="001514F4"/>
    <w:rsid w:val="00151785"/>
    <w:rsid w:val="001520DA"/>
    <w:rsid w:val="00154566"/>
    <w:rsid w:val="00154B83"/>
    <w:rsid w:val="00155950"/>
    <w:rsid w:val="00155E0C"/>
    <w:rsid w:val="00155E12"/>
    <w:rsid w:val="00155F45"/>
    <w:rsid w:val="00157F7B"/>
    <w:rsid w:val="001607CD"/>
    <w:rsid w:val="00162195"/>
    <w:rsid w:val="00162448"/>
    <w:rsid w:val="00165864"/>
    <w:rsid w:val="00165908"/>
    <w:rsid w:val="00166246"/>
    <w:rsid w:val="00166BDA"/>
    <w:rsid w:val="00170B2F"/>
    <w:rsid w:val="00172A41"/>
    <w:rsid w:val="001744DB"/>
    <w:rsid w:val="00174C6C"/>
    <w:rsid w:val="00175247"/>
    <w:rsid w:val="00175B17"/>
    <w:rsid w:val="0017718F"/>
    <w:rsid w:val="0018529F"/>
    <w:rsid w:val="00185467"/>
    <w:rsid w:val="00186F5C"/>
    <w:rsid w:val="0019005F"/>
    <w:rsid w:val="001928BF"/>
    <w:rsid w:val="00193C88"/>
    <w:rsid w:val="00194E07"/>
    <w:rsid w:val="00195195"/>
    <w:rsid w:val="00195E1E"/>
    <w:rsid w:val="001A1182"/>
    <w:rsid w:val="001A2718"/>
    <w:rsid w:val="001A2998"/>
    <w:rsid w:val="001A3C8E"/>
    <w:rsid w:val="001A40D3"/>
    <w:rsid w:val="001A4F37"/>
    <w:rsid w:val="001A54D4"/>
    <w:rsid w:val="001A740C"/>
    <w:rsid w:val="001A793C"/>
    <w:rsid w:val="001B14F8"/>
    <w:rsid w:val="001B1983"/>
    <w:rsid w:val="001B60F6"/>
    <w:rsid w:val="001C00F7"/>
    <w:rsid w:val="001C2CCD"/>
    <w:rsid w:val="001C308C"/>
    <w:rsid w:val="001C375A"/>
    <w:rsid w:val="001C3E62"/>
    <w:rsid w:val="001C4D04"/>
    <w:rsid w:val="001C5EB4"/>
    <w:rsid w:val="001C6137"/>
    <w:rsid w:val="001C69BF"/>
    <w:rsid w:val="001D2723"/>
    <w:rsid w:val="001D29B7"/>
    <w:rsid w:val="001D4010"/>
    <w:rsid w:val="001D446A"/>
    <w:rsid w:val="001D4FA1"/>
    <w:rsid w:val="001D7716"/>
    <w:rsid w:val="001E1DC1"/>
    <w:rsid w:val="001E1F7D"/>
    <w:rsid w:val="001E2EDE"/>
    <w:rsid w:val="001E7D61"/>
    <w:rsid w:val="001F20B3"/>
    <w:rsid w:val="001F3E09"/>
    <w:rsid w:val="001F5159"/>
    <w:rsid w:val="001F58F0"/>
    <w:rsid w:val="00200591"/>
    <w:rsid w:val="00200722"/>
    <w:rsid w:val="0020095D"/>
    <w:rsid w:val="00200F68"/>
    <w:rsid w:val="00202CBB"/>
    <w:rsid w:val="0020345D"/>
    <w:rsid w:val="00204C2A"/>
    <w:rsid w:val="002061B9"/>
    <w:rsid w:val="0020724F"/>
    <w:rsid w:val="00207ACC"/>
    <w:rsid w:val="00207C97"/>
    <w:rsid w:val="00210574"/>
    <w:rsid w:val="00210946"/>
    <w:rsid w:val="00210F97"/>
    <w:rsid w:val="002119C3"/>
    <w:rsid w:val="00213B92"/>
    <w:rsid w:val="002152F0"/>
    <w:rsid w:val="00217464"/>
    <w:rsid w:val="002201C9"/>
    <w:rsid w:val="002207CB"/>
    <w:rsid w:val="00221BBE"/>
    <w:rsid w:val="0022246B"/>
    <w:rsid w:val="00223931"/>
    <w:rsid w:val="00226DA0"/>
    <w:rsid w:val="00227700"/>
    <w:rsid w:val="00227B64"/>
    <w:rsid w:val="00232373"/>
    <w:rsid w:val="00233A01"/>
    <w:rsid w:val="00233B51"/>
    <w:rsid w:val="002364F6"/>
    <w:rsid w:val="002365F5"/>
    <w:rsid w:val="0024291E"/>
    <w:rsid w:val="00243DA7"/>
    <w:rsid w:val="00244997"/>
    <w:rsid w:val="00245123"/>
    <w:rsid w:val="002476CB"/>
    <w:rsid w:val="00247732"/>
    <w:rsid w:val="002511D8"/>
    <w:rsid w:val="00251F10"/>
    <w:rsid w:val="002524D2"/>
    <w:rsid w:val="00253855"/>
    <w:rsid w:val="00253F71"/>
    <w:rsid w:val="002548CE"/>
    <w:rsid w:val="002548EF"/>
    <w:rsid w:val="002573D8"/>
    <w:rsid w:val="00260195"/>
    <w:rsid w:val="002626F2"/>
    <w:rsid w:val="00263864"/>
    <w:rsid w:val="00263C17"/>
    <w:rsid w:val="00263D66"/>
    <w:rsid w:val="00264C08"/>
    <w:rsid w:val="00265DD0"/>
    <w:rsid w:val="002668C7"/>
    <w:rsid w:val="002678D0"/>
    <w:rsid w:val="00267B83"/>
    <w:rsid w:val="00271110"/>
    <w:rsid w:val="00271CF4"/>
    <w:rsid w:val="00273F95"/>
    <w:rsid w:val="002750FC"/>
    <w:rsid w:val="00275149"/>
    <w:rsid w:val="00282F20"/>
    <w:rsid w:val="002838C4"/>
    <w:rsid w:val="00283ABC"/>
    <w:rsid w:val="002859D9"/>
    <w:rsid w:val="00286760"/>
    <w:rsid w:val="002867D6"/>
    <w:rsid w:val="002915C6"/>
    <w:rsid w:val="00293144"/>
    <w:rsid w:val="00294389"/>
    <w:rsid w:val="00295B33"/>
    <w:rsid w:val="00295D59"/>
    <w:rsid w:val="002978FA"/>
    <w:rsid w:val="002A0B37"/>
    <w:rsid w:val="002A1ABF"/>
    <w:rsid w:val="002A1C96"/>
    <w:rsid w:val="002A23EB"/>
    <w:rsid w:val="002A5863"/>
    <w:rsid w:val="002A63CE"/>
    <w:rsid w:val="002A6882"/>
    <w:rsid w:val="002A7543"/>
    <w:rsid w:val="002B0260"/>
    <w:rsid w:val="002B2944"/>
    <w:rsid w:val="002B5D0E"/>
    <w:rsid w:val="002B689F"/>
    <w:rsid w:val="002B75B4"/>
    <w:rsid w:val="002C0147"/>
    <w:rsid w:val="002C2BEE"/>
    <w:rsid w:val="002C454F"/>
    <w:rsid w:val="002C61AA"/>
    <w:rsid w:val="002C62EF"/>
    <w:rsid w:val="002C65E2"/>
    <w:rsid w:val="002C69FB"/>
    <w:rsid w:val="002C6F52"/>
    <w:rsid w:val="002D0002"/>
    <w:rsid w:val="002D0054"/>
    <w:rsid w:val="002D2CD8"/>
    <w:rsid w:val="002D6383"/>
    <w:rsid w:val="002E10C8"/>
    <w:rsid w:val="002E2A3C"/>
    <w:rsid w:val="002E2FFB"/>
    <w:rsid w:val="002E33AC"/>
    <w:rsid w:val="002E36A4"/>
    <w:rsid w:val="002E3B8E"/>
    <w:rsid w:val="002E46CE"/>
    <w:rsid w:val="002E4ED4"/>
    <w:rsid w:val="002E5313"/>
    <w:rsid w:val="002E5EE6"/>
    <w:rsid w:val="002E7801"/>
    <w:rsid w:val="002E78A0"/>
    <w:rsid w:val="002E7E51"/>
    <w:rsid w:val="002F02A3"/>
    <w:rsid w:val="002F2991"/>
    <w:rsid w:val="002F29E0"/>
    <w:rsid w:val="002F3122"/>
    <w:rsid w:val="002F48BE"/>
    <w:rsid w:val="002F48D4"/>
    <w:rsid w:val="002F4BA7"/>
    <w:rsid w:val="002F4E58"/>
    <w:rsid w:val="002F6493"/>
    <w:rsid w:val="002F676C"/>
    <w:rsid w:val="002F7736"/>
    <w:rsid w:val="00300056"/>
    <w:rsid w:val="003000A5"/>
    <w:rsid w:val="003002AA"/>
    <w:rsid w:val="0030462A"/>
    <w:rsid w:val="003047B9"/>
    <w:rsid w:val="00305B1A"/>
    <w:rsid w:val="00305BCD"/>
    <w:rsid w:val="00306474"/>
    <w:rsid w:val="00307743"/>
    <w:rsid w:val="003078B1"/>
    <w:rsid w:val="00311C8A"/>
    <w:rsid w:val="00312CFC"/>
    <w:rsid w:val="003156B3"/>
    <w:rsid w:val="003158B1"/>
    <w:rsid w:val="00316659"/>
    <w:rsid w:val="00321879"/>
    <w:rsid w:val="00321C5C"/>
    <w:rsid w:val="0032327D"/>
    <w:rsid w:val="00323F1C"/>
    <w:rsid w:val="00325AB0"/>
    <w:rsid w:val="003267B6"/>
    <w:rsid w:val="00332E8F"/>
    <w:rsid w:val="00335266"/>
    <w:rsid w:val="00340E06"/>
    <w:rsid w:val="00341D04"/>
    <w:rsid w:val="00341D2F"/>
    <w:rsid w:val="00342E2F"/>
    <w:rsid w:val="00343EF0"/>
    <w:rsid w:val="0034404A"/>
    <w:rsid w:val="00345C3A"/>
    <w:rsid w:val="00345D8F"/>
    <w:rsid w:val="00345E6F"/>
    <w:rsid w:val="003466A2"/>
    <w:rsid w:val="0034686C"/>
    <w:rsid w:val="003509E5"/>
    <w:rsid w:val="003535AB"/>
    <w:rsid w:val="00354562"/>
    <w:rsid w:val="0035548B"/>
    <w:rsid w:val="003573F3"/>
    <w:rsid w:val="003574EE"/>
    <w:rsid w:val="00357D9F"/>
    <w:rsid w:val="0036048A"/>
    <w:rsid w:val="00360D89"/>
    <w:rsid w:val="00361051"/>
    <w:rsid w:val="00361E63"/>
    <w:rsid w:val="00363090"/>
    <w:rsid w:val="0036354B"/>
    <w:rsid w:val="003649B2"/>
    <w:rsid w:val="00365A63"/>
    <w:rsid w:val="003662C3"/>
    <w:rsid w:val="0036636D"/>
    <w:rsid w:val="003669F4"/>
    <w:rsid w:val="00366FE6"/>
    <w:rsid w:val="0036785B"/>
    <w:rsid w:val="003722EF"/>
    <w:rsid w:val="00373896"/>
    <w:rsid w:val="003749DC"/>
    <w:rsid w:val="0037566A"/>
    <w:rsid w:val="00375773"/>
    <w:rsid w:val="003776D5"/>
    <w:rsid w:val="0038004B"/>
    <w:rsid w:val="003811D0"/>
    <w:rsid w:val="00382228"/>
    <w:rsid w:val="00382DB3"/>
    <w:rsid w:val="00384778"/>
    <w:rsid w:val="003901A1"/>
    <w:rsid w:val="00390617"/>
    <w:rsid w:val="003909BD"/>
    <w:rsid w:val="0039100B"/>
    <w:rsid w:val="00391443"/>
    <w:rsid w:val="0039178A"/>
    <w:rsid w:val="00391B55"/>
    <w:rsid w:val="003946A8"/>
    <w:rsid w:val="003A03DE"/>
    <w:rsid w:val="003A154F"/>
    <w:rsid w:val="003A2BF0"/>
    <w:rsid w:val="003A32D0"/>
    <w:rsid w:val="003A6FCE"/>
    <w:rsid w:val="003B06D9"/>
    <w:rsid w:val="003B088B"/>
    <w:rsid w:val="003B0B36"/>
    <w:rsid w:val="003B203C"/>
    <w:rsid w:val="003B27F2"/>
    <w:rsid w:val="003B411A"/>
    <w:rsid w:val="003B5158"/>
    <w:rsid w:val="003B5E9B"/>
    <w:rsid w:val="003C1AD0"/>
    <w:rsid w:val="003C2B2B"/>
    <w:rsid w:val="003C37A6"/>
    <w:rsid w:val="003C6C92"/>
    <w:rsid w:val="003C7A10"/>
    <w:rsid w:val="003D18EE"/>
    <w:rsid w:val="003D5E6F"/>
    <w:rsid w:val="003D69AF"/>
    <w:rsid w:val="003D744F"/>
    <w:rsid w:val="003E1A8D"/>
    <w:rsid w:val="003E66F8"/>
    <w:rsid w:val="003E7CE5"/>
    <w:rsid w:val="003F1098"/>
    <w:rsid w:val="003F1FD7"/>
    <w:rsid w:val="003F2711"/>
    <w:rsid w:val="003F375D"/>
    <w:rsid w:val="003F7218"/>
    <w:rsid w:val="003F7EF8"/>
    <w:rsid w:val="00403AFD"/>
    <w:rsid w:val="00406422"/>
    <w:rsid w:val="00407709"/>
    <w:rsid w:val="00410B1E"/>
    <w:rsid w:val="00411139"/>
    <w:rsid w:val="0041184B"/>
    <w:rsid w:val="00411C7E"/>
    <w:rsid w:val="0041203C"/>
    <w:rsid w:val="00412E1F"/>
    <w:rsid w:val="00412F0D"/>
    <w:rsid w:val="004153FC"/>
    <w:rsid w:val="00416A25"/>
    <w:rsid w:val="00417F02"/>
    <w:rsid w:val="00421DB4"/>
    <w:rsid w:val="00422066"/>
    <w:rsid w:val="004260A5"/>
    <w:rsid w:val="00427292"/>
    <w:rsid w:val="00430698"/>
    <w:rsid w:val="004310BE"/>
    <w:rsid w:val="0043223E"/>
    <w:rsid w:val="00432726"/>
    <w:rsid w:val="00435DB6"/>
    <w:rsid w:val="00436908"/>
    <w:rsid w:val="00440053"/>
    <w:rsid w:val="00442E1D"/>
    <w:rsid w:val="00443AF3"/>
    <w:rsid w:val="00443FFC"/>
    <w:rsid w:val="00446D45"/>
    <w:rsid w:val="00447BED"/>
    <w:rsid w:val="00451AF4"/>
    <w:rsid w:val="00452299"/>
    <w:rsid w:val="00452EB9"/>
    <w:rsid w:val="00453C23"/>
    <w:rsid w:val="00454D20"/>
    <w:rsid w:val="00456217"/>
    <w:rsid w:val="0045664E"/>
    <w:rsid w:val="004604E3"/>
    <w:rsid w:val="004634CD"/>
    <w:rsid w:val="00464816"/>
    <w:rsid w:val="00464CC4"/>
    <w:rsid w:val="00465080"/>
    <w:rsid w:val="00465CDA"/>
    <w:rsid w:val="00467121"/>
    <w:rsid w:val="0047176A"/>
    <w:rsid w:val="00471C49"/>
    <w:rsid w:val="0047364F"/>
    <w:rsid w:val="00474053"/>
    <w:rsid w:val="00476D03"/>
    <w:rsid w:val="00477EA7"/>
    <w:rsid w:val="00477F61"/>
    <w:rsid w:val="00481299"/>
    <w:rsid w:val="00481BB8"/>
    <w:rsid w:val="00483235"/>
    <w:rsid w:val="004837FD"/>
    <w:rsid w:val="00483D4A"/>
    <w:rsid w:val="00483E36"/>
    <w:rsid w:val="00484E4D"/>
    <w:rsid w:val="00485AD5"/>
    <w:rsid w:val="004904AF"/>
    <w:rsid w:val="004922CF"/>
    <w:rsid w:val="00492B86"/>
    <w:rsid w:val="004971BA"/>
    <w:rsid w:val="0049764B"/>
    <w:rsid w:val="004A000D"/>
    <w:rsid w:val="004A19C4"/>
    <w:rsid w:val="004A1B8D"/>
    <w:rsid w:val="004A6014"/>
    <w:rsid w:val="004A6054"/>
    <w:rsid w:val="004B39C1"/>
    <w:rsid w:val="004B443C"/>
    <w:rsid w:val="004B57CD"/>
    <w:rsid w:val="004C1B85"/>
    <w:rsid w:val="004C32D9"/>
    <w:rsid w:val="004C3E23"/>
    <w:rsid w:val="004C52A5"/>
    <w:rsid w:val="004C6ED1"/>
    <w:rsid w:val="004C7565"/>
    <w:rsid w:val="004C77FB"/>
    <w:rsid w:val="004C79FE"/>
    <w:rsid w:val="004C7BDC"/>
    <w:rsid w:val="004D3384"/>
    <w:rsid w:val="004D4231"/>
    <w:rsid w:val="004D50D8"/>
    <w:rsid w:val="004E10B3"/>
    <w:rsid w:val="004E1F4C"/>
    <w:rsid w:val="004E2177"/>
    <w:rsid w:val="004E259C"/>
    <w:rsid w:val="004E3CB2"/>
    <w:rsid w:val="004E5136"/>
    <w:rsid w:val="004E7C2B"/>
    <w:rsid w:val="004E7F3D"/>
    <w:rsid w:val="004F0063"/>
    <w:rsid w:val="004F0392"/>
    <w:rsid w:val="004F0405"/>
    <w:rsid w:val="004F1881"/>
    <w:rsid w:val="004F54B2"/>
    <w:rsid w:val="005030B2"/>
    <w:rsid w:val="005040B5"/>
    <w:rsid w:val="00507286"/>
    <w:rsid w:val="00507AE6"/>
    <w:rsid w:val="00507B50"/>
    <w:rsid w:val="005100F9"/>
    <w:rsid w:val="0051182A"/>
    <w:rsid w:val="00511D74"/>
    <w:rsid w:val="00516C9D"/>
    <w:rsid w:val="00520060"/>
    <w:rsid w:val="00520608"/>
    <w:rsid w:val="00521460"/>
    <w:rsid w:val="00522DAF"/>
    <w:rsid w:val="005233C1"/>
    <w:rsid w:val="00523655"/>
    <w:rsid w:val="005248F4"/>
    <w:rsid w:val="00524AEF"/>
    <w:rsid w:val="005268AE"/>
    <w:rsid w:val="005272C2"/>
    <w:rsid w:val="00527FE6"/>
    <w:rsid w:val="0053055D"/>
    <w:rsid w:val="005307BC"/>
    <w:rsid w:val="00530B45"/>
    <w:rsid w:val="00530FF0"/>
    <w:rsid w:val="0053173D"/>
    <w:rsid w:val="00531F5A"/>
    <w:rsid w:val="00532758"/>
    <w:rsid w:val="00533BCD"/>
    <w:rsid w:val="00533C58"/>
    <w:rsid w:val="00534765"/>
    <w:rsid w:val="00534DC0"/>
    <w:rsid w:val="0053546D"/>
    <w:rsid w:val="00535CDF"/>
    <w:rsid w:val="005402B9"/>
    <w:rsid w:val="00541BD7"/>
    <w:rsid w:val="00542151"/>
    <w:rsid w:val="005429A0"/>
    <w:rsid w:val="00543EA6"/>
    <w:rsid w:val="00545225"/>
    <w:rsid w:val="00546627"/>
    <w:rsid w:val="005474AC"/>
    <w:rsid w:val="005476E9"/>
    <w:rsid w:val="00551818"/>
    <w:rsid w:val="0055210B"/>
    <w:rsid w:val="00553D19"/>
    <w:rsid w:val="00554C88"/>
    <w:rsid w:val="0055525F"/>
    <w:rsid w:val="00555E5C"/>
    <w:rsid w:val="00560029"/>
    <w:rsid w:val="0056074C"/>
    <w:rsid w:val="00562605"/>
    <w:rsid w:val="005627C3"/>
    <w:rsid w:val="005629D7"/>
    <w:rsid w:val="0056382D"/>
    <w:rsid w:val="005639FA"/>
    <w:rsid w:val="00566514"/>
    <w:rsid w:val="00566814"/>
    <w:rsid w:val="00566C4F"/>
    <w:rsid w:val="00570FAF"/>
    <w:rsid w:val="005710D0"/>
    <w:rsid w:val="005723FB"/>
    <w:rsid w:val="005759D9"/>
    <w:rsid w:val="00575C3F"/>
    <w:rsid w:val="00575F7A"/>
    <w:rsid w:val="00577D35"/>
    <w:rsid w:val="00577D37"/>
    <w:rsid w:val="00580790"/>
    <w:rsid w:val="00580E59"/>
    <w:rsid w:val="00580FD6"/>
    <w:rsid w:val="00581DDD"/>
    <w:rsid w:val="005831A8"/>
    <w:rsid w:val="005854EF"/>
    <w:rsid w:val="005864C9"/>
    <w:rsid w:val="00586CFE"/>
    <w:rsid w:val="005905AA"/>
    <w:rsid w:val="005913B4"/>
    <w:rsid w:val="00591784"/>
    <w:rsid w:val="00597BA1"/>
    <w:rsid w:val="005A16B4"/>
    <w:rsid w:val="005A1EF2"/>
    <w:rsid w:val="005A52C0"/>
    <w:rsid w:val="005A5FF1"/>
    <w:rsid w:val="005B11D4"/>
    <w:rsid w:val="005B28D5"/>
    <w:rsid w:val="005B2D78"/>
    <w:rsid w:val="005B3E45"/>
    <w:rsid w:val="005B5E9D"/>
    <w:rsid w:val="005B6304"/>
    <w:rsid w:val="005C0360"/>
    <w:rsid w:val="005C0D59"/>
    <w:rsid w:val="005C1255"/>
    <w:rsid w:val="005C36B2"/>
    <w:rsid w:val="005C3A4F"/>
    <w:rsid w:val="005C50AB"/>
    <w:rsid w:val="005C663C"/>
    <w:rsid w:val="005D07F1"/>
    <w:rsid w:val="005D0A39"/>
    <w:rsid w:val="005D50CB"/>
    <w:rsid w:val="005D6010"/>
    <w:rsid w:val="005D6DE2"/>
    <w:rsid w:val="005D75B7"/>
    <w:rsid w:val="005E0DA4"/>
    <w:rsid w:val="005E1FB2"/>
    <w:rsid w:val="005E3567"/>
    <w:rsid w:val="005E3A67"/>
    <w:rsid w:val="005E3E36"/>
    <w:rsid w:val="005E436D"/>
    <w:rsid w:val="005E473D"/>
    <w:rsid w:val="005E7158"/>
    <w:rsid w:val="005E75AE"/>
    <w:rsid w:val="005F00FA"/>
    <w:rsid w:val="005F09CB"/>
    <w:rsid w:val="005F2E6C"/>
    <w:rsid w:val="005F2F50"/>
    <w:rsid w:val="005F471D"/>
    <w:rsid w:val="005F57C2"/>
    <w:rsid w:val="00602C78"/>
    <w:rsid w:val="00603C7D"/>
    <w:rsid w:val="00604832"/>
    <w:rsid w:val="00604E73"/>
    <w:rsid w:val="0060549F"/>
    <w:rsid w:val="006054AE"/>
    <w:rsid w:val="00606313"/>
    <w:rsid w:val="006072C0"/>
    <w:rsid w:val="00610F93"/>
    <w:rsid w:val="00611EAD"/>
    <w:rsid w:val="0061687F"/>
    <w:rsid w:val="00616D70"/>
    <w:rsid w:val="00616F74"/>
    <w:rsid w:val="00617A9F"/>
    <w:rsid w:val="00617E3C"/>
    <w:rsid w:val="0062022A"/>
    <w:rsid w:val="00622B8E"/>
    <w:rsid w:val="00624B03"/>
    <w:rsid w:val="00624ED5"/>
    <w:rsid w:val="006264BE"/>
    <w:rsid w:val="00626A7F"/>
    <w:rsid w:val="00626AB1"/>
    <w:rsid w:val="0062739C"/>
    <w:rsid w:val="00627E0A"/>
    <w:rsid w:val="006324EC"/>
    <w:rsid w:val="00632E76"/>
    <w:rsid w:val="00633732"/>
    <w:rsid w:val="0063699A"/>
    <w:rsid w:val="00637228"/>
    <w:rsid w:val="006379D8"/>
    <w:rsid w:val="006405DA"/>
    <w:rsid w:val="00642F42"/>
    <w:rsid w:val="006472EB"/>
    <w:rsid w:val="006473AE"/>
    <w:rsid w:val="006475C0"/>
    <w:rsid w:val="00650482"/>
    <w:rsid w:val="0065053C"/>
    <w:rsid w:val="00650D5D"/>
    <w:rsid w:val="00650EF0"/>
    <w:rsid w:val="0065184B"/>
    <w:rsid w:val="00660B1F"/>
    <w:rsid w:val="00661D6B"/>
    <w:rsid w:val="00662676"/>
    <w:rsid w:val="00663828"/>
    <w:rsid w:val="00667A05"/>
    <w:rsid w:val="006714E1"/>
    <w:rsid w:val="006734AE"/>
    <w:rsid w:val="006755DC"/>
    <w:rsid w:val="00676B32"/>
    <w:rsid w:val="00676B62"/>
    <w:rsid w:val="00677F3B"/>
    <w:rsid w:val="006804D1"/>
    <w:rsid w:val="0068179A"/>
    <w:rsid w:val="00681948"/>
    <w:rsid w:val="006841A0"/>
    <w:rsid w:val="00684C49"/>
    <w:rsid w:val="006865C0"/>
    <w:rsid w:val="0068727E"/>
    <w:rsid w:val="00687C6C"/>
    <w:rsid w:val="00690012"/>
    <w:rsid w:val="00694B83"/>
    <w:rsid w:val="00695F55"/>
    <w:rsid w:val="006A3930"/>
    <w:rsid w:val="006A3BA1"/>
    <w:rsid w:val="006A42F6"/>
    <w:rsid w:val="006A5812"/>
    <w:rsid w:val="006A595F"/>
    <w:rsid w:val="006B125E"/>
    <w:rsid w:val="006B32C0"/>
    <w:rsid w:val="006B4FF5"/>
    <w:rsid w:val="006B6CB1"/>
    <w:rsid w:val="006B6FA7"/>
    <w:rsid w:val="006B79A9"/>
    <w:rsid w:val="006C06FB"/>
    <w:rsid w:val="006C1444"/>
    <w:rsid w:val="006C1BFC"/>
    <w:rsid w:val="006C58ED"/>
    <w:rsid w:val="006C6B07"/>
    <w:rsid w:val="006C75F5"/>
    <w:rsid w:val="006D0E63"/>
    <w:rsid w:val="006D228E"/>
    <w:rsid w:val="006D29E7"/>
    <w:rsid w:val="006D4990"/>
    <w:rsid w:val="006D5ED0"/>
    <w:rsid w:val="006D6CE7"/>
    <w:rsid w:val="006D7774"/>
    <w:rsid w:val="006E018D"/>
    <w:rsid w:val="006E18E6"/>
    <w:rsid w:val="006E1F76"/>
    <w:rsid w:val="006E3097"/>
    <w:rsid w:val="006E3E51"/>
    <w:rsid w:val="006E4A58"/>
    <w:rsid w:val="006E4D42"/>
    <w:rsid w:val="006E5B40"/>
    <w:rsid w:val="006F09F0"/>
    <w:rsid w:val="006F1148"/>
    <w:rsid w:val="006F1212"/>
    <w:rsid w:val="006F1BEC"/>
    <w:rsid w:val="006F2BE8"/>
    <w:rsid w:val="006F2D79"/>
    <w:rsid w:val="006F3A38"/>
    <w:rsid w:val="006F5353"/>
    <w:rsid w:val="00701AB5"/>
    <w:rsid w:val="00706740"/>
    <w:rsid w:val="007103D3"/>
    <w:rsid w:val="00710665"/>
    <w:rsid w:val="007106C3"/>
    <w:rsid w:val="0071266A"/>
    <w:rsid w:val="00713268"/>
    <w:rsid w:val="007132FD"/>
    <w:rsid w:val="00714071"/>
    <w:rsid w:val="00714906"/>
    <w:rsid w:val="00714A21"/>
    <w:rsid w:val="0071632B"/>
    <w:rsid w:val="007163D3"/>
    <w:rsid w:val="00716C6A"/>
    <w:rsid w:val="007210D9"/>
    <w:rsid w:val="00722A22"/>
    <w:rsid w:val="00723669"/>
    <w:rsid w:val="00724747"/>
    <w:rsid w:val="00724D1A"/>
    <w:rsid w:val="007252F6"/>
    <w:rsid w:val="007305F4"/>
    <w:rsid w:val="00730D84"/>
    <w:rsid w:val="007343A3"/>
    <w:rsid w:val="00734D16"/>
    <w:rsid w:val="00737B60"/>
    <w:rsid w:val="00740902"/>
    <w:rsid w:val="00741648"/>
    <w:rsid w:val="00742745"/>
    <w:rsid w:val="00742F4A"/>
    <w:rsid w:val="00743158"/>
    <w:rsid w:val="00744CE2"/>
    <w:rsid w:val="00745ECB"/>
    <w:rsid w:val="00747FE9"/>
    <w:rsid w:val="0075040A"/>
    <w:rsid w:val="0075166C"/>
    <w:rsid w:val="007520EE"/>
    <w:rsid w:val="00755143"/>
    <w:rsid w:val="007612F1"/>
    <w:rsid w:val="0076264C"/>
    <w:rsid w:val="00763831"/>
    <w:rsid w:val="00763D3F"/>
    <w:rsid w:val="007640F3"/>
    <w:rsid w:val="007659EC"/>
    <w:rsid w:val="00765D88"/>
    <w:rsid w:val="00766BEE"/>
    <w:rsid w:val="00771DF4"/>
    <w:rsid w:val="007725FB"/>
    <w:rsid w:val="00773AF2"/>
    <w:rsid w:val="007744FC"/>
    <w:rsid w:val="00775887"/>
    <w:rsid w:val="00776AAA"/>
    <w:rsid w:val="00780A69"/>
    <w:rsid w:val="0078189E"/>
    <w:rsid w:val="00781B7B"/>
    <w:rsid w:val="00781CB9"/>
    <w:rsid w:val="00783E88"/>
    <w:rsid w:val="00785816"/>
    <w:rsid w:val="00786E27"/>
    <w:rsid w:val="007874F0"/>
    <w:rsid w:val="007900C9"/>
    <w:rsid w:val="0079071E"/>
    <w:rsid w:val="00791D95"/>
    <w:rsid w:val="00792648"/>
    <w:rsid w:val="007926BC"/>
    <w:rsid w:val="00792707"/>
    <w:rsid w:val="007932B3"/>
    <w:rsid w:val="00794B2D"/>
    <w:rsid w:val="007979B7"/>
    <w:rsid w:val="00797BF9"/>
    <w:rsid w:val="007A14AA"/>
    <w:rsid w:val="007A1C20"/>
    <w:rsid w:val="007A325D"/>
    <w:rsid w:val="007A4503"/>
    <w:rsid w:val="007A4AE7"/>
    <w:rsid w:val="007A6147"/>
    <w:rsid w:val="007A65CC"/>
    <w:rsid w:val="007A6D8E"/>
    <w:rsid w:val="007A78F7"/>
    <w:rsid w:val="007B1EEB"/>
    <w:rsid w:val="007B2848"/>
    <w:rsid w:val="007B65E8"/>
    <w:rsid w:val="007B78E5"/>
    <w:rsid w:val="007C16F6"/>
    <w:rsid w:val="007C2DA6"/>
    <w:rsid w:val="007C4915"/>
    <w:rsid w:val="007C4D85"/>
    <w:rsid w:val="007C5F3A"/>
    <w:rsid w:val="007C6A0C"/>
    <w:rsid w:val="007C6B75"/>
    <w:rsid w:val="007C6E47"/>
    <w:rsid w:val="007C7D68"/>
    <w:rsid w:val="007D1248"/>
    <w:rsid w:val="007D242C"/>
    <w:rsid w:val="007D2600"/>
    <w:rsid w:val="007D2A84"/>
    <w:rsid w:val="007D2D15"/>
    <w:rsid w:val="007D3365"/>
    <w:rsid w:val="007D3BB2"/>
    <w:rsid w:val="007D595F"/>
    <w:rsid w:val="007D5DE4"/>
    <w:rsid w:val="007D6DAD"/>
    <w:rsid w:val="007E30E8"/>
    <w:rsid w:val="007E5BB7"/>
    <w:rsid w:val="007E62CC"/>
    <w:rsid w:val="007E6D1F"/>
    <w:rsid w:val="007F0FD2"/>
    <w:rsid w:val="007F5535"/>
    <w:rsid w:val="007F6CA3"/>
    <w:rsid w:val="00800989"/>
    <w:rsid w:val="00801243"/>
    <w:rsid w:val="00801F97"/>
    <w:rsid w:val="00802BA4"/>
    <w:rsid w:val="008031E5"/>
    <w:rsid w:val="00803B27"/>
    <w:rsid w:val="00805EE4"/>
    <w:rsid w:val="008061AC"/>
    <w:rsid w:val="00806CCC"/>
    <w:rsid w:val="0081190B"/>
    <w:rsid w:val="00814247"/>
    <w:rsid w:val="00814D3A"/>
    <w:rsid w:val="008168F8"/>
    <w:rsid w:val="00817DC7"/>
    <w:rsid w:val="0082293B"/>
    <w:rsid w:val="00831AD2"/>
    <w:rsid w:val="00834175"/>
    <w:rsid w:val="00834EBC"/>
    <w:rsid w:val="00841C36"/>
    <w:rsid w:val="00843297"/>
    <w:rsid w:val="0084454B"/>
    <w:rsid w:val="0084526E"/>
    <w:rsid w:val="008464C5"/>
    <w:rsid w:val="00850C9C"/>
    <w:rsid w:val="00850DC2"/>
    <w:rsid w:val="00852218"/>
    <w:rsid w:val="008522B7"/>
    <w:rsid w:val="00854FFF"/>
    <w:rsid w:val="008550C3"/>
    <w:rsid w:val="0085581A"/>
    <w:rsid w:val="00856213"/>
    <w:rsid w:val="0085674A"/>
    <w:rsid w:val="008615E5"/>
    <w:rsid w:val="0086170D"/>
    <w:rsid w:val="00862287"/>
    <w:rsid w:val="008623FA"/>
    <w:rsid w:val="00862956"/>
    <w:rsid w:val="00862C3C"/>
    <w:rsid w:val="00862FBC"/>
    <w:rsid w:val="00866F06"/>
    <w:rsid w:val="00867A67"/>
    <w:rsid w:val="00870B67"/>
    <w:rsid w:val="00873890"/>
    <w:rsid w:val="00874A3F"/>
    <w:rsid w:val="00875236"/>
    <w:rsid w:val="008778A3"/>
    <w:rsid w:val="008822F8"/>
    <w:rsid w:val="0088422C"/>
    <w:rsid w:val="00884C28"/>
    <w:rsid w:val="00890AED"/>
    <w:rsid w:val="00894BAB"/>
    <w:rsid w:val="0089666C"/>
    <w:rsid w:val="00896E3F"/>
    <w:rsid w:val="008A1321"/>
    <w:rsid w:val="008A2DD4"/>
    <w:rsid w:val="008A2EAA"/>
    <w:rsid w:val="008A4784"/>
    <w:rsid w:val="008A4B9F"/>
    <w:rsid w:val="008A6265"/>
    <w:rsid w:val="008A6332"/>
    <w:rsid w:val="008A638A"/>
    <w:rsid w:val="008A64E1"/>
    <w:rsid w:val="008B007D"/>
    <w:rsid w:val="008B0336"/>
    <w:rsid w:val="008B0894"/>
    <w:rsid w:val="008B1D9C"/>
    <w:rsid w:val="008B5A5A"/>
    <w:rsid w:val="008B6C6D"/>
    <w:rsid w:val="008B6D6B"/>
    <w:rsid w:val="008B6EFC"/>
    <w:rsid w:val="008B6F71"/>
    <w:rsid w:val="008B7E56"/>
    <w:rsid w:val="008C00EB"/>
    <w:rsid w:val="008C2B8B"/>
    <w:rsid w:val="008C4BC4"/>
    <w:rsid w:val="008C6FF3"/>
    <w:rsid w:val="008C787E"/>
    <w:rsid w:val="008D01D7"/>
    <w:rsid w:val="008D2D31"/>
    <w:rsid w:val="008D3C30"/>
    <w:rsid w:val="008D6E3D"/>
    <w:rsid w:val="008D7235"/>
    <w:rsid w:val="008E0F9B"/>
    <w:rsid w:val="008E2092"/>
    <w:rsid w:val="008E2EBD"/>
    <w:rsid w:val="008E383E"/>
    <w:rsid w:val="008E3AC8"/>
    <w:rsid w:val="008E4EA8"/>
    <w:rsid w:val="008E615A"/>
    <w:rsid w:val="008E635E"/>
    <w:rsid w:val="008E667F"/>
    <w:rsid w:val="008E671C"/>
    <w:rsid w:val="008E6D0B"/>
    <w:rsid w:val="008F4EAE"/>
    <w:rsid w:val="008F7342"/>
    <w:rsid w:val="00904BE6"/>
    <w:rsid w:val="00905A85"/>
    <w:rsid w:val="00906194"/>
    <w:rsid w:val="009062F2"/>
    <w:rsid w:val="0090649B"/>
    <w:rsid w:val="00906505"/>
    <w:rsid w:val="009070B1"/>
    <w:rsid w:val="00907A30"/>
    <w:rsid w:val="009107D3"/>
    <w:rsid w:val="00911023"/>
    <w:rsid w:val="00912866"/>
    <w:rsid w:val="00912C12"/>
    <w:rsid w:val="009150D5"/>
    <w:rsid w:val="0092520D"/>
    <w:rsid w:val="00925B65"/>
    <w:rsid w:val="00926AA7"/>
    <w:rsid w:val="009274B3"/>
    <w:rsid w:val="00930C81"/>
    <w:rsid w:val="00931424"/>
    <w:rsid w:val="00932773"/>
    <w:rsid w:val="00932C1A"/>
    <w:rsid w:val="00934D9A"/>
    <w:rsid w:val="00940E89"/>
    <w:rsid w:val="009412C2"/>
    <w:rsid w:val="00941700"/>
    <w:rsid w:val="009450CA"/>
    <w:rsid w:val="00945E63"/>
    <w:rsid w:val="009515CA"/>
    <w:rsid w:val="0095374D"/>
    <w:rsid w:val="0095768B"/>
    <w:rsid w:val="00960183"/>
    <w:rsid w:val="009613FD"/>
    <w:rsid w:val="00961D6D"/>
    <w:rsid w:val="00962099"/>
    <w:rsid w:val="00962411"/>
    <w:rsid w:val="009627E4"/>
    <w:rsid w:val="00962EE2"/>
    <w:rsid w:val="009642F4"/>
    <w:rsid w:val="00965862"/>
    <w:rsid w:val="00965A39"/>
    <w:rsid w:val="009667B6"/>
    <w:rsid w:val="00966CE5"/>
    <w:rsid w:val="00967F75"/>
    <w:rsid w:val="0097017C"/>
    <w:rsid w:val="00970B16"/>
    <w:rsid w:val="00970E6F"/>
    <w:rsid w:val="00973773"/>
    <w:rsid w:val="009762DD"/>
    <w:rsid w:val="00976909"/>
    <w:rsid w:val="0097693B"/>
    <w:rsid w:val="00977949"/>
    <w:rsid w:val="009803E3"/>
    <w:rsid w:val="00980C6C"/>
    <w:rsid w:val="00981E6D"/>
    <w:rsid w:val="009823C0"/>
    <w:rsid w:val="0098278A"/>
    <w:rsid w:val="00984A3A"/>
    <w:rsid w:val="00984E0B"/>
    <w:rsid w:val="00984E23"/>
    <w:rsid w:val="009864C2"/>
    <w:rsid w:val="009873F2"/>
    <w:rsid w:val="00987988"/>
    <w:rsid w:val="0099139B"/>
    <w:rsid w:val="00992225"/>
    <w:rsid w:val="00992792"/>
    <w:rsid w:val="009937DE"/>
    <w:rsid w:val="0099706D"/>
    <w:rsid w:val="009A0996"/>
    <w:rsid w:val="009A20CE"/>
    <w:rsid w:val="009A2C4F"/>
    <w:rsid w:val="009A4A44"/>
    <w:rsid w:val="009A5837"/>
    <w:rsid w:val="009A7FC4"/>
    <w:rsid w:val="009B0DDB"/>
    <w:rsid w:val="009B33BA"/>
    <w:rsid w:val="009B4B19"/>
    <w:rsid w:val="009B687D"/>
    <w:rsid w:val="009B68C0"/>
    <w:rsid w:val="009B730B"/>
    <w:rsid w:val="009C06F4"/>
    <w:rsid w:val="009C384B"/>
    <w:rsid w:val="009C43CA"/>
    <w:rsid w:val="009C743E"/>
    <w:rsid w:val="009D0DA4"/>
    <w:rsid w:val="009D0F75"/>
    <w:rsid w:val="009D1063"/>
    <w:rsid w:val="009D149B"/>
    <w:rsid w:val="009D3843"/>
    <w:rsid w:val="009D4694"/>
    <w:rsid w:val="009D59FF"/>
    <w:rsid w:val="009E0FD6"/>
    <w:rsid w:val="009E1BBD"/>
    <w:rsid w:val="009E247A"/>
    <w:rsid w:val="009E35D9"/>
    <w:rsid w:val="009E5614"/>
    <w:rsid w:val="009E5BBA"/>
    <w:rsid w:val="009E7F89"/>
    <w:rsid w:val="009F19FE"/>
    <w:rsid w:val="009F3137"/>
    <w:rsid w:val="009F3409"/>
    <w:rsid w:val="009F37D0"/>
    <w:rsid w:val="009F5121"/>
    <w:rsid w:val="009F7252"/>
    <w:rsid w:val="009F7529"/>
    <w:rsid w:val="009F797D"/>
    <w:rsid w:val="009F7C97"/>
    <w:rsid w:val="009F7D2D"/>
    <w:rsid w:val="00A0171A"/>
    <w:rsid w:val="00A01AEF"/>
    <w:rsid w:val="00A01FB9"/>
    <w:rsid w:val="00A05BFA"/>
    <w:rsid w:val="00A071A8"/>
    <w:rsid w:val="00A078B0"/>
    <w:rsid w:val="00A107D2"/>
    <w:rsid w:val="00A10D3A"/>
    <w:rsid w:val="00A170F9"/>
    <w:rsid w:val="00A21CCF"/>
    <w:rsid w:val="00A22F25"/>
    <w:rsid w:val="00A23757"/>
    <w:rsid w:val="00A245F0"/>
    <w:rsid w:val="00A24C32"/>
    <w:rsid w:val="00A27B83"/>
    <w:rsid w:val="00A30FD8"/>
    <w:rsid w:val="00A3283D"/>
    <w:rsid w:val="00A328F5"/>
    <w:rsid w:val="00A34320"/>
    <w:rsid w:val="00A34CA1"/>
    <w:rsid w:val="00A37693"/>
    <w:rsid w:val="00A409A3"/>
    <w:rsid w:val="00A41ACC"/>
    <w:rsid w:val="00A431E9"/>
    <w:rsid w:val="00A43ED5"/>
    <w:rsid w:val="00A46EB4"/>
    <w:rsid w:val="00A47672"/>
    <w:rsid w:val="00A47806"/>
    <w:rsid w:val="00A50A7A"/>
    <w:rsid w:val="00A5193F"/>
    <w:rsid w:val="00A51E1B"/>
    <w:rsid w:val="00A52ADB"/>
    <w:rsid w:val="00A52D73"/>
    <w:rsid w:val="00A539E1"/>
    <w:rsid w:val="00A53DDB"/>
    <w:rsid w:val="00A54469"/>
    <w:rsid w:val="00A55150"/>
    <w:rsid w:val="00A55273"/>
    <w:rsid w:val="00A55311"/>
    <w:rsid w:val="00A60293"/>
    <w:rsid w:val="00A607FD"/>
    <w:rsid w:val="00A60D45"/>
    <w:rsid w:val="00A61018"/>
    <w:rsid w:val="00A647B3"/>
    <w:rsid w:val="00A65D0F"/>
    <w:rsid w:val="00A6619E"/>
    <w:rsid w:val="00A6620D"/>
    <w:rsid w:val="00A669D4"/>
    <w:rsid w:val="00A66D50"/>
    <w:rsid w:val="00A7150F"/>
    <w:rsid w:val="00A74829"/>
    <w:rsid w:val="00A7616C"/>
    <w:rsid w:val="00A77787"/>
    <w:rsid w:val="00A8025E"/>
    <w:rsid w:val="00A822FA"/>
    <w:rsid w:val="00A82374"/>
    <w:rsid w:val="00A832C5"/>
    <w:rsid w:val="00A839EA"/>
    <w:rsid w:val="00A84DCB"/>
    <w:rsid w:val="00A87997"/>
    <w:rsid w:val="00A87ACC"/>
    <w:rsid w:val="00A91956"/>
    <w:rsid w:val="00A930FC"/>
    <w:rsid w:val="00A9342A"/>
    <w:rsid w:val="00A93A0C"/>
    <w:rsid w:val="00A960E4"/>
    <w:rsid w:val="00A9695E"/>
    <w:rsid w:val="00A972ED"/>
    <w:rsid w:val="00AA1A7B"/>
    <w:rsid w:val="00AA260C"/>
    <w:rsid w:val="00AA3909"/>
    <w:rsid w:val="00AA396B"/>
    <w:rsid w:val="00AA52AA"/>
    <w:rsid w:val="00AA54C1"/>
    <w:rsid w:val="00AA7E02"/>
    <w:rsid w:val="00AB2D4D"/>
    <w:rsid w:val="00AB43A5"/>
    <w:rsid w:val="00AB4469"/>
    <w:rsid w:val="00AB44CC"/>
    <w:rsid w:val="00AB5B00"/>
    <w:rsid w:val="00AB6CFE"/>
    <w:rsid w:val="00AC0678"/>
    <w:rsid w:val="00AC2643"/>
    <w:rsid w:val="00AC28A7"/>
    <w:rsid w:val="00AC3473"/>
    <w:rsid w:val="00AC703F"/>
    <w:rsid w:val="00AD01C9"/>
    <w:rsid w:val="00AD03F2"/>
    <w:rsid w:val="00AD29BD"/>
    <w:rsid w:val="00AD4F8D"/>
    <w:rsid w:val="00AD71F6"/>
    <w:rsid w:val="00AD7292"/>
    <w:rsid w:val="00AD77F7"/>
    <w:rsid w:val="00AD7BF2"/>
    <w:rsid w:val="00AE0872"/>
    <w:rsid w:val="00AE226B"/>
    <w:rsid w:val="00AE2C2C"/>
    <w:rsid w:val="00AE2DAA"/>
    <w:rsid w:val="00AE3570"/>
    <w:rsid w:val="00AE3D1E"/>
    <w:rsid w:val="00AE5D7D"/>
    <w:rsid w:val="00AE6E6F"/>
    <w:rsid w:val="00AE746A"/>
    <w:rsid w:val="00AE7E89"/>
    <w:rsid w:val="00AF0C37"/>
    <w:rsid w:val="00AF14AB"/>
    <w:rsid w:val="00AF16A1"/>
    <w:rsid w:val="00AF25F1"/>
    <w:rsid w:val="00AF28C5"/>
    <w:rsid w:val="00AF2AA1"/>
    <w:rsid w:val="00AF2CF9"/>
    <w:rsid w:val="00AF3A81"/>
    <w:rsid w:val="00AF428F"/>
    <w:rsid w:val="00AF580F"/>
    <w:rsid w:val="00B00C71"/>
    <w:rsid w:val="00B00CE6"/>
    <w:rsid w:val="00B013E4"/>
    <w:rsid w:val="00B03B92"/>
    <w:rsid w:val="00B03D43"/>
    <w:rsid w:val="00B03EAB"/>
    <w:rsid w:val="00B0440A"/>
    <w:rsid w:val="00B04952"/>
    <w:rsid w:val="00B04C6D"/>
    <w:rsid w:val="00B071F2"/>
    <w:rsid w:val="00B10F09"/>
    <w:rsid w:val="00B11B53"/>
    <w:rsid w:val="00B11E38"/>
    <w:rsid w:val="00B12AB0"/>
    <w:rsid w:val="00B20E6B"/>
    <w:rsid w:val="00B2240F"/>
    <w:rsid w:val="00B22683"/>
    <w:rsid w:val="00B25F48"/>
    <w:rsid w:val="00B26337"/>
    <w:rsid w:val="00B273C9"/>
    <w:rsid w:val="00B310DC"/>
    <w:rsid w:val="00B31DCF"/>
    <w:rsid w:val="00B33076"/>
    <w:rsid w:val="00B33463"/>
    <w:rsid w:val="00B34534"/>
    <w:rsid w:val="00B348EB"/>
    <w:rsid w:val="00B36644"/>
    <w:rsid w:val="00B417E9"/>
    <w:rsid w:val="00B42AC9"/>
    <w:rsid w:val="00B43495"/>
    <w:rsid w:val="00B44D6D"/>
    <w:rsid w:val="00B45E8B"/>
    <w:rsid w:val="00B47C9B"/>
    <w:rsid w:val="00B47D81"/>
    <w:rsid w:val="00B51E52"/>
    <w:rsid w:val="00B52476"/>
    <w:rsid w:val="00B534D7"/>
    <w:rsid w:val="00B549C7"/>
    <w:rsid w:val="00B5518D"/>
    <w:rsid w:val="00B56119"/>
    <w:rsid w:val="00B569B2"/>
    <w:rsid w:val="00B57D21"/>
    <w:rsid w:val="00B605B0"/>
    <w:rsid w:val="00B61500"/>
    <w:rsid w:val="00B6260B"/>
    <w:rsid w:val="00B627BF"/>
    <w:rsid w:val="00B72205"/>
    <w:rsid w:val="00B736AB"/>
    <w:rsid w:val="00B7560D"/>
    <w:rsid w:val="00B75BB3"/>
    <w:rsid w:val="00B75D98"/>
    <w:rsid w:val="00B81207"/>
    <w:rsid w:val="00B81379"/>
    <w:rsid w:val="00B83082"/>
    <w:rsid w:val="00B87192"/>
    <w:rsid w:val="00B87A6F"/>
    <w:rsid w:val="00B91E41"/>
    <w:rsid w:val="00B93186"/>
    <w:rsid w:val="00B93A02"/>
    <w:rsid w:val="00B952EB"/>
    <w:rsid w:val="00B956B1"/>
    <w:rsid w:val="00B97295"/>
    <w:rsid w:val="00B975A5"/>
    <w:rsid w:val="00BA232C"/>
    <w:rsid w:val="00BA3C54"/>
    <w:rsid w:val="00BA47A5"/>
    <w:rsid w:val="00BB16F5"/>
    <w:rsid w:val="00BB1805"/>
    <w:rsid w:val="00BB2CF9"/>
    <w:rsid w:val="00BB600A"/>
    <w:rsid w:val="00BB78BF"/>
    <w:rsid w:val="00BC0A33"/>
    <w:rsid w:val="00BC1E5A"/>
    <w:rsid w:val="00BC6781"/>
    <w:rsid w:val="00BC7897"/>
    <w:rsid w:val="00BD18E3"/>
    <w:rsid w:val="00BD2888"/>
    <w:rsid w:val="00BD292C"/>
    <w:rsid w:val="00BD31B8"/>
    <w:rsid w:val="00BD5A7A"/>
    <w:rsid w:val="00BD65A3"/>
    <w:rsid w:val="00BE0BFF"/>
    <w:rsid w:val="00BE1484"/>
    <w:rsid w:val="00BE152E"/>
    <w:rsid w:val="00BE15D5"/>
    <w:rsid w:val="00BE3456"/>
    <w:rsid w:val="00BE34DD"/>
    <w:rsid w:val="00BE4A4C"/>
    <w:rsid w:val="00BE5107"/>
    <w:rsid w:val="00BE7871"/>
    <w:rsid w:val="00BF008E"/>
    <w:rsid w:val="00BF14C1"/>
    <w:rsid w:val="00BF1903"/>
    <w:rsid w:val="00BF2239"/>
    <w:rsid w:val="00BF2F8F"/>
    <w:rsid w:val="00BF358F"/>
    <w:rsid w:val="00BF36A8"/>
    <w:rsid w:val="00BF5011"/>
    <w:rsid w:val="00C01C8A"/>
    <w:rsid w:val="00C03E19"/>
    <w:rsid w:val="00C04BB9"/>
    <w:rsid w:val="00C05890"/>
    <w:rsid w:val="00C061EC"/>
    <w:rsid w:val="00C063A5"/>
    <w:rsid w:val="00C06B3D"/>
    <w:rsid w:val="00C07705"/>
    <w:rsid w:val="00C12A7F"/>
    <w:rsid w:val="00C12B54"/>
    <w:rsid w:val="00C14E5A"/>
    <w:rsid w:val="00C14FAC"/>
    <w:rsid w:val="00C15963"/>
    <w:rsid w:val="00C16210"/>
    <w:rsid w:val="00C208C7"/>
    <w:rsid w:val="00C22185"/>
    <w:rsid w:val="00C24F4F"/>
    <w:rsid w:val="00C25C63"/>
    <w:rsid w:val="00C25F54"/>
    <w:rsid w:val="00C31BDF"/>
    <w:rsid w:val="00C320D5"/>
    <w:rsid w:val="00C32356"/>
    <w:rsid w:val="00C32C65"/>
    <w:rsid w:val="00C34272"/>
    <w:rsid w:val="00C349CA"/>
    <w:rsid w:val="00C34A59"/>
    <w:rsid w:val="00C3556B"/>
    <w:rsid w:val="00C35A9E"/>
    <w:rsid w:val="00C35DF5"/>
    <w:rsid w:val="00C36C47"/>
    <w:rsid w:val="00C376DA"/>
    <w:rsid w:val="00C40D59"/>
    <w:rsid w:val="00C40F32"/>
    <w:rsid w:val="00C41988"/>
    <w:rsid w:val="00C426BC"/>
    <w:rsid w:val="00C426CF"/>
    <w:rsid w:val="00C433E7"/>
    <w:rsid w:val="00C43BC3"/>
    <w:rsid w:val="00C44409"/>
    <w:rsid w:val="00C44419"/>
    <w:rsid w:val="00C44462"/>
    <w:rsid w:val="00C44EDF"/>
    <w:rsid w:val="00C465B6"/>
    <w:rsid w:val="00C51414"/>
    <w:rsid w:val="00C51569"/>
    <w:rsid w:val="00C53164"/>
    <w:rsid w:val="00C535E2"/>
    <w:rsid w:val="00C561CD"/>
    <w:rsid w:val="00C565D1"/>
    <w:rsid w:val="00C56792"/>
    <w:rsid w:val="00C56B66"/>
    <w:rsid w:val="00C56F00"/>
    <w:rsid w:val="00C61F91"/>
    <w:rsid w:val="00C6300B"/>
    <w:rsid w:val="00C6313D"/>
    <w:rsid w:val="00C633C8"/>
    <w:rsid w:val="00C63C37"/>
    <w:rsid w:val="00C6726F"/>
    <w:rsid w:val="00C704E6"/>
    <w:rsid w:val="00C70F78"/>
    <w:rsid w:val="00C71AA1"/>
    <w:rsid w:val="00C766DE"/>
    <w:rsid w:val="00C77769"/>
    <w:rsid w:val="00C77972"/>
    <w:rsid w:val="00C819C0"/>
    <w:rsid w:val="00C81BD6"/>
    <w:rsid w:val="00C81EE3"/>
    <w:rsid w:val="00C82178"/>
    <w:rsid w:val="00C84418"/>
    <w:rsid w:val="00C84639"/>
    <w:rsid w:val="00C856A3"/>
    <w:rsid w:val="00C85775"/>
    <w:rsid w:val="00C86078"/>
    <w:rsid w:val="00C86979"/>
    <w:rsid w:val="00C92BC6"/>
    <w:rsid w:val="00C941D0"/>
    <w:rsid w:val="00C95C04"/>
    <w:rsid w:val="00C97674"/>
    <w:rsid w:val="00C97906"/>
    <w:rsid w:val="00CA15CB"/>
    <w:rsid w:val="00CA340C"/>
    <w:rsid w:val="00CA41C9"/>
    <w:rsid w:val="00CA5245"/>
    <w:rsid w:val="00CA59CD"/>
    <w:rsid w:val="00CB4503"/>
    <w:rsid w:val="00CB47B1"/>
    <w:rsid w:val="00CB51D5"/>
    <w:rsid w:val="00CB5B50"/>
    <w:rsid w:val="00CB72F3"/>
    <w:rsid w:val="00CC18AC"/>
    <w:rsid w:val="00CC2589"/>
    <w:rsid w:val="00CC2C2F"/>
    <w:rsid w:val="00CC2CA0"/>
    <w:rsid w:val="00CC6A76"/>
    <w:rsid w:val="00CC6FA3"/>
    <w:rsid w:val="00CD096F"/>
    <w:rsid w:val="00CD1004"/>
    <w:rsid w:val="00CD17DC"/>
    <w:rsid w:val="00CD2528"/>
    <w:rsid w:val="00CD2FF4"/>
    <w:rsid w:val="00CD391A"/>
    <w:rsid w:val="00CD5705"/>
    <w:rsid w:val="00CD6710"/>
    <w:rsid w:val="00CD6D91"/>
    <w:rsid w:val="00CE05C2"/>
    <w:rsid w:val="00CE0A53"/>
    <w:rsid w:val="00CE3636"/>
    <w:rsid w:val="00CE68AD"/>
    <w:rsid w:val="00CE6F00"/>
    <w:rsid w:val="00CE7B5A"/>
    <w:rsid w:val="00CF0EC5"/>
    <w:rsid w:val="00CF1875"/>
    <w:rsid w:val="00CF26C4"/>
    <w:rsid w:val="00CF2725"/>
    <w:rsid w:val="00CF5A4A"/>
    <w:rsid w:val="00CF5EDF"/>
    <w:rsid w:val="00CF60DC"/>
    <w:rsid w:val="00D00EA9"/>
    <w:rsid w:val="00D050C1"/>
    <w:rsid w:val="00D108FD"/>
    <w:rsid w:val="00D11BE8"/>
    <w:rsid w:val="00D1242B"/>
    <w:rsid w:val="00D12DD5"/>
    <w:rsid w:val="00D12DE7"/>
    <w:rsid w:val="00D13210"/>
    <w:rsid w:val="00D13306"/>
    <w:rsid w:val="00D13843"/>
    <w:rsid w:val="00D13D6C"/>
    <w:rsid w:val="00D140DA"/>
    <w:rsid w:val="00D16791"/>
    <w:rsid w:val="00D204D6"/>
    <w:rsid w:val="00D20683"/>
    <w:rsid w:val="00D2098C"/>
    <w:rsid w:val="00D213A4"/>
    <w:rsid w:val="00D240BE"/>
    <w:rsid w:val="00D24BF8"/>
    <w:rsid w:val="00D25232"/>
    <w:rsid w:val="00D30832"/>
    <w:rsid w:val="00D32EAA"/>
    <w:rsid w:val="00D331C9"/>
    <w:rsid w:val="00D3323D"/>
    <w:rsid w:val="00D3362A"/>
    <w:rsid w:val="00D349AF"/>
    <w:rsid w:val="00D34A6D"/>
    <w:rsid w:val="00D36973"/>
    <w:rsid w:val="00D37A8D"/>
    <w:rsid w:val="00D4239A"/>
    <w:rsid w:val="00D433E6"/>
    <w:rsid w:val="00D46033"/>
    <w:rsid w:val="00D46777"/>
    <w:rsid w:val="00D46DA0"/>
    <w:rsid w:val="00D50C7F"/>
    <w:rsid w:val="00D512F6"/>
    <w:rsid w:val="00D53C0D"/>
    <w:rsid w:val="00D54330"/>
    <w:rsid w:val="00D5473D"/>
    <w:rsid w:val="00D559BE"/>
    <w:rsid w:val="00D57190"/>
    <w:rsid w:val="00D57979"/>
    <w:rsid w:val="00D60C29"/>
    <w:rsid w:val="00D61625"/>
    <w:rsid w:val="00D62364"/>
    <w:rsid w:val="00D62B00"/>
    <w:rsid w:val="00D63101"/>
    <w:rsid w:val="00D6346E"/>
    <w:rsid w:val="00D63591"/>
    <w:rsid w:val="00D64ACC"/>
    <w:rsid w:val="00D66098"/>
    <w:rsid w:val="00D663E0"/>
    <w:rsid w:val="00D6646C"/>
    <w:rsid w:val="00D67073"/>
    <w:rsid w:val="00D67F03"/>
    <w:rsid w:val="00D71565"/>
    <w:rsid w:val="00D71EFC"/>
    <w:rsid w:val="00D72081"/>
    <w:rsid w:val="00D73E36"/>
    <w:rsid w:val="00D75CB7"/>
    <w:rsid w:val="00D766FC"/>
    <w:rsid w:val="00D76DF2"/>
    <w:rsid w:val="00D76F36"/>
    <w:rsid w:val="00D774D0"/>
    <w:rsid w:val="00D77F61"/>
    <w:rsid w:val="00D807EC"/>
    <w:rsid w:val="00D83C17"/>
    <w:rsid w:val="00D90C87"/>
    <w:rsid w:val="00D924B7"/>
    <w:rsid w:val="00D92725"/>
    <w:rsid w:val="00D94637"/>
    <w:rsid w:val="00D9480A"/>
    <w:rsid w:val="00D948B9"/>
    <w:rsid w:val="00D97001"/>
    <w:rsid w:val="00D972A4"/>
    <w:rsid w:val="00DA0598"/>
    <w:rsid w:val="00DA1BA4"/>
    <w:rsid w:val="00DA1ECC"/>
    <w:rsid w:val="00DA1EFF"/>
    <w:rsid w:val="00DA27CE"/>
    <w:rsid w:val="00DA3946"/>
    <w:rsid w:val="00DA3CF8"/>
    <w:rsid w:val="00DB05CD"/>
    <w:rsid w:val="00DB0DD2"/>
    <w:rsid w:val="00DB0F61"/>
    <w:rsid w:val="00DB118E"/>
    <w:rsid w:val="00DB1E84"/>
    <w:rsid w:val="00DB42BC"/>
    <w:rsid w:val="00DB4E6D"/>
    <w:rsid w:val="00DB5BB4"/>
    <w:rsid w:val="00DB5FB4"/>
    <w:rsid w:val="00DB74E3"/>
    <w:rsid w:val="00DB7E60"/>
    <w:rsid w:val="00DC1586"/>
    <w:rsid w:val="00DC21E2"/>
    <w:rsid w:val="00DC4577"/>
    <w:rsid w:val="00DC65CF"/>
    <w:rsid w:val="00DC723F"/>
    <w:rsid w:val="00DD0D99"/>
    <w:rsid w:val="00DD1C9E"/>
    <w:rsid w:val="00DD1E80"/>
    <w:rsid w:val="00DD383D"/>
    <w:rsid w:val="00DD4EB1"/>
    <w:rsid w:val="00DD6CAC"/>
    <w:rsid w:val="00DD7CA8"/>
    <w:rsid w:val="00DE1095"/>
    <w:rsid w:val="00DE1AB5"/>
    <w:rsid w:val="00DE3BBB"/>
    <w:rsid w:val="00DE3EA8"/>
    <w:rsid w:val="00DE512E"/>
    <w:rsid w:val="00DE51D5"/>
    <w:rsid w:val="00DF1754"/>
    <w:rsid w:val="00DF4814"/>
    <w:rsid w:val="00DF4ACD"/>
    <w:rsid w:val="00DF4D58"/>
    <w:rsid w:val="00DF4EEF"/>
    <w:rsid w:val="00DF4FE2"/>
    <w:rsid w:val="00DF5AA7"/>
    <w:rsid w:val="00DF5BCD"/>
    <w:rsid w:val="00DF6036"/>
    <w:rsid w:val="00DF61ED"/>
    <w:rsid w:val="00DF6D19"/>
    <w:rsid w:val="00DF72C8"/>
    <w:rsid w:val="00DF7315"/>
    <w:rsid w:val="00DF786A"/>
    <w:rsid w:val="00E00766"/>
    <w:rsid w:val="00E00AB2"/>
    <w:rsid w:val="00E00CCD"/>
    <w:rsid w:val="00E03A39"/>
    <w:rsid w:val="00E03DC7"/>
    <w:rsid w:val="00E05BB9"/>
    <w:rsid w:val="00E07888"/>
    <w:rsid w:val="00E102BA"/>
    <w:rsid w:val="00E11B6E"/>
    <w:rsid w:val="00E12A8A"/>
    <w:rsid w:val="00E14BDF"/>
    <w:rsid w:val="00E14E58"/>
    <w:rsid w:val="00E15898"/>
    <w:rsid w:val="00E17860"/>
    <w:rsid w:val="00E21C4B"/>
    <w:rsid w:val="00E22C0B"/>
    <w:rsid w:val="00E22EFB"/>
    <w:rsid w:val="00E24FC4"/>
    <w:rsid w:val="00E260DC"/>
    <w:rsid w:val="00E26B0B"/>
    <w:rsid w:val="00E300ED"/>
    <w:rsid w:val="00E3124F"/>
    <w:rsid w:val="00E31B9B"/>
    <w:rsid w:val="00E32952"/>
    <w:rsid w:val="00E32D64"/>
    <w:rsid w:val="00E33112"/>
    <w:rsid w:val="00E34594"/>
    <w:rsid w:val="00E350C4"/>
    <w:rsid w:val="00E3551B"/>
    <w:rsid w:val="00E37601"/>
    <w:rsid w:val="00E404B1"/>
    <w:rsid w:val="00E42D2B"/>
    <w:rsid w:val="00E436B2"/>
    <w:rsid w:val="00E44860"/>
    <w:rsid w:val="00E44F8C"/>
    <w:rsid w:val="00E4653A"/>
    <w:rsid w:val="00E473F0"/>
    <w:rsid w:val="00E50210"/>
    <w:rsid w:val="00E5549D"/>
    <w:rsid w:val="00E5756F"/>
    <w:rsid w:val="00E576E7"/>
    <w:rsid w:val="00E6106F"/>
    <w:rsid w:val="00E61A00"/>
    <w:rsid w:val="00E61DD1"/>
    <w:rsid w:val="00E632D0"/>
    <w:rsid w:val="00E64BC4"/>
    <w:rsid w:val="00E64FAB"/>
    <w:rsid w:val="00E6531B"/>
    <w:rsid w:val="00E65C2A"/>
    <w:rsid w:val="00E66139"/>
    <w:rsid w:val="00E66698"/>
    <w:rsid w:val="00E6680F"/>
    <w:rsid w:val="00E702C4"/>
    <w:rsid w:val="00E7362A"/>
    <w:rsid w:val="00E745DE"/>
    <w:rsid w:val="00E75AA5"/>
    <w:rsid w:val="00E76832"/>
    <w:rsid w:val="00E777E0"/>
    <w:rsid w:val="00E81FF1"/>
    <w:rsid w:val="00E83D92"/>
    <w:rsid w:val="00E84AAA"/>
    <w:rsid w:val="00E95D0D"/>
    <w:rsid w:val="00E96E18"/>
    <w:rsid w:val="00E97E14"/>
    <w:rsid w:val="00EA4C9C"/>
    <w:rsid w:val="00EA4CA2"/>
    <w:rsid w:val="00EA4D37"/>
    <w:rsid w:val="00EA4D3B"/>
    <w:rsid w:val="00EA6084"/>
    <w:rsid w:val="00EA7B1A"/>
    <w:rsid w:val="00EB1025"/>
    <w:rsid w:val="00EB616C"/>
    <w:rsid w:val="00EB78C3"/>
    <w:rsid w:val="00EC0A7A"/>
    <w:rsid w:val="00EC0DA7"/>
    <w:rsid w:val="00EC1E5F"/>
    <w:rsid w:val="00EC22CB"/>
    <w:rsid w:val="00EC2BE8"/>
    <w:rsid w:val="00EC2D6D"/>
    <w:rsid w:val="00EC3B59"/>
    <w:rsid w:val="00EC45B2"/>
    <w:rsid w:val="00EC7078"/>
    <w:rsid w:val="00ED0B46"/>
    <w:rsid w:val="00ED0C16"/>
    <w:rsid w:val="00ED1111"/>
    <w:rsid w:val="00ED18F0"/>
    <w:rsid w:val="00EE04AB"/>
    <w:rsid w:val="00EE223F"/>
    <w:rsid w:val="00EE2245"/>
    <w:rsid w:val="00EE3F3D"/>
    <w:rsid w:val="00EE57AF"/>
    <w:rsid w:val="00EE7C4B"/>
    <w:rsid w:val="00EF029F"/>
    <w:rsid w:val="00EF0A45"/>
    <w:rsid w:val="00EF187C"/>
    <w:rsid w:val="00EF20DF"/>
    <w:rsid w:val="00EF326C"/>
    <w:rsid w:val="00EF4233"/>
    <w:rsid w:val="00EF4463"/>
    <w:rsid w:val="00EF5CFB"/>
    <w:rsid w:val="00EF71B7"/>
    <w:rsid w:val="00EF7315"/>
    <w:rsid w:val="00EF7C83"/>
    <w:rsid w:val="00F0099D"/>
    <w:rsid w:val="00F01B52"/>
    <w:rsid w:val="00F03ED1"/>
    <w:rsid w:val="00F054EB"/>
    <w:rsid w:val="00F06C7E"/>
    <w:rsid w:val="00F12978"/>
    <w:rsid w:val="00F1387F"/>
    <w:rsid w:val="00F14216"/>
    <w:rsid w:val="00F151ED"/>
    <w:rsid w:val="00F16518"/>
    <w:rsid w:val="00F16884"/>
    <w:rsid w:val="00F16985"/>
    <w:rsid w:val="00F20694"/>
    <w:rsid w:val="00F22311"/>
    <w:rsid w:val="00F2235A"/>
    <w:rsid w:val="00F22B6F"/>
    <w:rsid w:val="00F22ECB"/>
    <w:rsid w:val="00F2320D"/>
    <w:rsid w:val="00F251F2"/>
    <w:rsid w:val="00F26B36"/>
    <w:rsid w:val="00F31783"/>
    <w:rsid w:val="00F318FA"/>
    <w:rsid w:val="00F31F22"/>
    <w:rsid w:val="00F329A4"/>
    <w:rsid w:val="00F33269"/>
    <w:rsid w:val="00F341AA"/>
    <w:rsid w:val="00F360BE"/>
    <w:rsid w:val="00F372F6"/>
    <w:rsid w:val="00F37FAA"/>
    <w:rsid w:val="00F40D50"/>
    <w:rsid w:val="00F44B86"/>
    <w:rsid w:val="00F4552B"/>
    <w:rsid w:val="00F465C4"/>
    <w:rsid w:val="00F4744E"/>
    <w:rsid w:val="00F4765C"/>
    <w:rsid w:val="00F51021"/>
    <w:rsid w:val="00F51B33"/>
    <w:rsid w:val="00F520B7"/>
    <w:rsid w:val="00F54F83"/>
    <w:rsid w:val="00F57B6D"/>
    <w:rsid w:val="00F623CC"/>
    <w:rsid w:val="00F62FF7"/>
    <w:rsid w:val="00F63057"/>
    <w:rsid w:val="00F63149"/>
    <w:rsid w:val="00F65BB5"/>
    <w:rsid w:val="00F671E5"/>
    <w:rsid w:val="00F67A1A"/>
    <w:rsid w:val="00F70903"/>
    <w:rsid w:val="00F70CD6"/>
    <w:rsid w:val="00F71F4A"/>
    <w:rsid w:val="00F7276A"/>
    <w:rsid w:val="00F74292"/>
    <w:rsid w:val="00F750C0"/>
    <w:rsid w:val="00F75CDF"/>
    <w:rsid w:val="00F76612"/>
    <w:rsid w:val="00F800FA"/>
    <w:rsid w:val="00F812EE"/>
    <w:rsid w:val="00F840F8"/>
    <w:rsid w:val="00F902BF"/>
    <w:rsid w:val="00F90E8C"/>
    <w:rsid w:val="00FA1BC4"/>
    <w:rsid w:val="00FA1D74"/>
    <w:rsid w:val="00FA2DDA"/>
    <w:rsid w:val="00FA3884"/>
    <w:rsid w:val="00FA3A6A"/>
    <w:rsid w:val="00FA415D"/>
    <w:rsid w:val="00FA5F90"/>
    <w:rsid w:val="00FA7BF0"/>
    <w:rsid w:val="00FB4017"/>
    <w:rsid w:val="00FB6CD8"/>
    <w:rsid w:val="00FC0BA8"/>
    <w:rsid w:val="00FC113A"/>
    <w:rsid w:val="00FC479F"/>
    <w:rsid w:val="00FC6352"/>
    <w:rsid w:val="00FC6E0E"/>
    <w:rsid w:val="00FC729F"/>
    <w:rsid w:val="00FC7DEF"/>
    <w:rsid w:val="00FD03CB"/>
    <w:rsid w:val="00FD16D6"/>
    <w:rsid w:val="00FD2FFA"/>
    <w:rsid w:val="00FD3180"/>
    <w:rsid w:val="00FD45DF"/>
    <w:rsid w:val="00FD4D9D"/>
    <w:rsid w:val="00FD7E09"/>
    <w:rsid w:val="00FE13D6"/>
    <w:rsid w:val="00FE192B"/>
    <w:rsid w:val="00FE6EF8"/>
    <w:rsid w:val="00FE7020"/>
    <w:rsid w:val="00FF1B97"/>
    <w:rsid w:val="00FF3CCC"/>
    <w:rsid w:val="00FF44D7"/>
    <w:rsid w:val="00FF5CFF"/>
    <w:rsid w:val="00FF7E6E"/>
  </w:rsids>
  <m:mathPr>
    <m:mathFont m:val="Cambria Math"/>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0C"/>
    <w:pPr>
      <w:framePr w:wrap="auto"/>
      <w:widowControl/>
      <w:autoSpaceDE/>
      <w:autoSpaceDN/>
      <w:adjustRightInd/>
      <w:spacing w:after="200" w:line="276" w:lineRule="auto"/>
      <w:ind w:left="0" w:right="0"/>
      <w:jc w:val="left"/>
      <w:textAlignment w:val="auto"/>
    </w:pPr>
    <w:rPr>
      <w:rFonts w:ascii="Arial Narrow" w:hAnsi="Arial Narrow" w:cs="DokChampa"/>
      <w:sz w:val="22"/>
      <w:szCs w:val="36"/>
      <w:rtl w:val="0"/>
      <w:cs w:val="0"/>
      <w:lang w:val="sk-SK" w:eastAsia="en-US" w:bidi="ar-SA"/>
    </w:rPr>
  </w:style>
  <w:style w:type="paragraph" w:styleId="Heading1">
    <w:name w:val="heading 1"/>
    <w:basedOn w:val="Normal"/>
    <w:next w:val="Normal"/>
    <w:link w:val="Nadpis1Char"/>
    <w:uiPriority w:val="9"/>
    <w:qFormat/>
    <w:rsid w:val="00046460"/>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unhideWhenUsed/>
    <w:qFormat/>
    <w:rsid w:val="000122D8"/>
    <w:pPr>
      <w:keepNext/>
      <w:keepLines/>
      <w:spacing w:before="40" w:after="0"/>
      <w:jc w:val="left"/>
      <w:outlineLvl w:val="1"/>
    </w:pPr>
    <w:rPr>
      <w:rFonts w:asciiTheme="majorHAnsi" w:eastAsiaTheme="majorEastAsia" w:hAnsiTheme="majorHAnsi" w:cs="Times New Roman"/>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46460"/>
    <w:rPr>
      <w:rFonts w:asciiTheme="majorHAnsi" w:eastAsiaTheme="majorEastAsia" w:hAnsiTheme="majorHAnsi" w:cs="DokChampa"/>
      <w:b/>
      <w:bCs/>
      <w:color w:val="365F91" w:themeColor="accent1" w:themeShade="BF"/>
      <w:sz w:val="28"/>
      <w:szCs w:val="28"/>
      <w:rtl w:val="0"/>
      <w:cs w:val="0"/>
      <w:lang w:val="x-none" w:eastAsia="en-US" w:bidi="ar-SA"/>
    </w:rPr>
  </w:style>
  <w:style w:type="character" w:customStyle="1" w:styleId="Nadpis2Char">
    <w:name w:val="Nadpis 2 Char"/>
    <w:basedOn w:val="DefaultParagraphFont"/>
    <w:link w:val="Heading2"/>
    <w:uiPriority w:val="9"/>
    <w:locked/>
    <w:rsid w:val="000122D8"/>
    <w:rPr>
      <w:rFonts w:asciiTheme="majorHAnsi" w:eastAsiaTheme="majorEastAsia" w:hAnsiTheme="majorHAnsi" w:cs="Times New Roman"/>
      <w:color w:val="365F91" w:themeColor="accent1" w:themeShade="BF"/>
      <w:sz w:val="26"/>
      <w:szCs w:val="26"/>
      <w:rtl w:val="0"/>
      <w:cs w:val="0"/>
      <w:lang w:val="sk-SK" w:eastAsia="x-none"/>
    </w:rPr>
  </w:style>
  <w:style w:type="paragraph" w:styleId="ListParagraph">
    <w:name w:val="List Paragraph"/>
    <w:basedOn w:val="Normal"/>
    <w:uiPriority w:val="34"/>
    <w:qFormat/>
    <w:rsid w:val="004E1F4C"/>
    <w:pPr>
      <w:ind w:left="720"/>
      <w:contextualSpacing/>
      <w:jc w:val="left"/>
    </w:pPr>
  </w:style>
  <w:style w:type="paragraph" w:styleId="FootnoteText">
    <w:name w:val="footnote text"/>
    <w:basedOn w:val="Normal"/>
    <w:link w:val="TextpoznmkypodiarouChar"/>
    <w:uiPriority w:val="99"/>
    <w:unhideWhenUsed/>
    <w:rsid w:val="00E07888"/>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E07888"/>
    <w:rPr>
      <w:rFonts w:cs="Times New Roman"/>
      <w:sz w:val="20"/>
      <w:rtl w:val="0"/>
      <w:cs w:val="0"/>
    </w:rPr>
  </w:style>
  <w:style w:type="character" w:styleId="FootnoteReference">
    <w:name w:val="footnote reference"/>
    <w:basedOn w:val="DefaultParagraphFont"/>
    <w:uiPriority w:val="99"/>
    <w:unhideWhenUsed/>
    <w:rsid w:val="00E07888"/>
    <w:rPr>
      <w:rFonts w:cs="Times New Roman"/>
      <w:vertAlign w:val="superscript"/>
      <w:rtl w:val="0"/>
      <w:cs w:val="0"/>
    </w:rPr>
  </w:style>
  <w:style w:type="character" w:styleId="CommentReference">
    <w:name w:val="annotation reference"/>
    <w:basedOn w:val="DefaultParagraphFont"/>
    <w:uiPriority w:val="99"/>
    <w:semiHidden/>
    <w:unhideWhenUsed/>
    <w:rsid w:val="007E62CC"/>
    <w:rPr>
      <w:rFonts w:cs="Times New Roman"/>
      <w:sz w:val="16"/>
      <w:rtl w:val="0"/>
      <w:cs w:val="0"/>
    </w:rPr>
  </w:style>
  <w:style w:type="paragraph" w:styleId="CommentText">
    <w:name w:val="annotation text"/>
    <w:basedOn w:val="Normal"/>
    <w:link w:val="TextkomentraChar"/>
    <w:uiPriority w:val="99"/>
    <w:semiHidden/>
    <w:unhideWhenUsed/>
    <w:rsid w:val="007E62CC"/>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7E62CC"/>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7E62C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E62CC"/>
    <w:rPr>
      <w:b/>
    </w:rPr>
  </w:style>
  <w:style w:type="paragraph" w:styleId="BalloonText">
    <w:name w:val="Balloon Text"/>
    <w:basedOn w:val="Normal"/>
    <w:link w:val="TextbublinyChar"/>
    <w:uiPriority w:val="99"/>
    <w:semiHidden/>
    <w:unhideWhenUsed/>
    <w:rsid w:val="007E62C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E62CC"/>
    <w:rPr>
      <w:rFonts w:ascii="Tahoma" w:hAnsi="Tahoma" w:cs="Times New Roman"/>
      <w:sz w:val="16"/>
      <w:rtl w:val="0"/>
      <w:cs w:val="0"/>
    </w:rPr>
  </w:style>
  <w:style w:type="paragraph" w:styleId="EndnoteText">
    <w:name w:val="endnote text"/>
    <w:basedOn w:val="Normal"/>
    <w:link w:val="TextvysvetlivkyChar"/>
    <w:uiPriority w:val="99"/>
    <w:semiHidden/>
    <w:unhideWhenUsed/>
    <w:rsid w:val="008A64E1"/>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8A64E1"/>
    <w:rPr>
      <w:rFonts w:cs="Times New Roman"/>
      <w:sz w:val="20"/>
      <w:rtl w:val="0"/>
      <w:cs w:val="0"/>
    </w:rPr>
  </w:style>
  <w:style w:type="character" w:styleId="EndnoteReference">
    <w:name w:val="endnote reference"/>
    <w:basedOn w:val="DefaultParagraphFont"/>
    <w:uiPriority w:val="99"/>
    <w:semiHidden/>
    <w:unhideWhenUsed/>
    <w:rsid w:val="008A64E1"/>
    <w:rPr>
      <w:rFonts w:cs="Times New Roman"/>
      <w:vertAlign w:val="superscript"/>
      <w:rtl w:val="0"/>
      <w:cs w:val="0"/>
    </w:rPr>
  </w:style>
  <w:style w:type="character" w:customStyle="1" w:styleId="normalchar">
    <w:name w:val="normal__char"/>
    <w:basedOn w:val="DefaultParagraphFont"/>
    <w:rsid w:val="00F33269"/>
    <w:rPr>
      <w:rFonts w:cs="Times New Roman"/>
      <w:rtl w:val="0"/>
      <w:cs w:val="0"/>
    </w:rPr>
  </w:style>
  <w:style w:type="paragraph" w:styleId="Header">
    <w:name w:val="header"/>
    <w:basedOn w:val="Normal"/>
    <w:link w:val="HlavikaChar"/>
    <w:uiPriority w:val="99"/>
    <w:unhideWhenUsed/>
    <w:rsid w:val="0099706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9706D"/>
    <w:rPr>
      <w:rFonts w:cs="Times New Roman"/>
      <w:sz w:val="36"/>
      <w:szCs w:val="36"/>
      <w:rtl w:val="0"/>
      <w:cs w:val="0"/>
      <w:lang w:val="x-none" w:eastAsia="en-US" w:bidi="ar-SA"/>
    </w:rPr>
  </w:style>
  <w:style w:type="paragraph" w:styleId="Footer">
    <w:name w:val="footer"/>
    <w:basedOn w:val="Normal"/>
    <w:link w:val="PtaChar"/>
    <w:uiPriority w:val="99"/>
    <w:unhideWhenUsed/>
    <w:rsid w:val="0099706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9706D"/>
    <w:rPr>
      <w:rFonts w:cs="Times New Roman"/>
      <w:sz w:val="36"/>
      <w:szCs w:val="36"/>
      <w:rtl w:val="0"/>
      <w:cs w:val="0"/>
      <w:lang w:val="x-none" w:eastAsia="en-US" w:bidi="ar-SA"/>
    </w:rPr>
  </w:style>
  <w:style w:type="character" w:styleId="Hyperlink">
    <w:name w:val="Hyperlink"/>
    <w:basedOn w:val="DefaultParagraphFont"/>
    <w:uiPriority w:val="99"/>
    <w:unhideWhenUsed/>
    <w:rsid w:val="00B273C9"/>
    <w:rPr>
      <w:rFonts w:cs="Times New Roman"/>
      <w:color w:val="0000FF" w:themeColor="hlink" w:themeShade="FF"/>
      <w:u w:val="single"/>
      <w:rtl w:val="0"/>
      <w:cs w:val="0"/>
    </w:rPr>
  </w:style>
  <w:style w:type="paragraph" w:styleId="Revision">
    <w:name w:val="Revision"/>
    <w:hidden/>
    <w:uiPriority w:val="99"/>
    <w:semiHidden/>
    <w:rsid w:val="00FC479F"/>
    <w:pPr>
      <w:framePr w:wrap="auto"/>
      <w:widowControl/>
      <w:autoSpaceDE/>
      <w:autoSpaceDN/>
      <w:adjustRightInd/>
      <w:ind w:left="0" w:right="0"/>
      <w:jc w:val="left"/>
      <w:textAlignment w:val="auto"/>
    </w:pPr>
    <w:rPr>
      <w:rFonts w:ascii="Arial Narrow" w:hAnsi="Arial Narrow" w:cs="DokChampa"/>
      <w:sz w:val="22"/>
      <w:szCs w:val="36"/>
      <w:rtl w:val="0"/>
      <w:cs w:val="0"/>
      <w:lang w:val="sk-SK" w:eastAsia="en-US" w:bidi="ar-SA"/>
    </w:rPr>
  </w:style>
  <w:style w:type="paragraph" w:customStyle="1" w:styleId="Point0number">
    <w:name w:val="Point 0 (number)"/>
    <w:basedOn w:val="Normal"/>
    <w:rsid w:val="00D4239A"/>
    <w:pPr>
      <w:numPr>
        <w:numId w:val="10"/>
      </w:numPr>
      <w:tabs>
        <w:tab w:val="num" w:pos="850"/>
      </w:tabs>
      <w:spacing w:before="120" w:after="120" w:line="240" w:lineRule="auto"/>
      <w:ind w:left="850" w:hanging="850"/>
      <w:jc w:val="both"/>
    </w:pPr>
    <w:rPr>
      <w:rFonts w:ascii="Times New Roman" w:hAnsi="Times New Roman" w:cs="Times New Roman"/>
      <w:sz w:val="24"/>
      <w:szCs w:val="22"/>
      <w:lang w:val="en-GB" w:eastAsia="sk-SK"/>
    </w:rPr>
  </w:style>
  <w:style w:type="paragraph" w:customStyle="1" w:styleId="Point1number">
    <w:name w:val="Point 1 (number)"/>
    <w:basedOn w:val="Normal"/>
    <w:rsid w:val="00D4239A"/>
    <w:pPr>
      <w:numPr>
        <w:ilvl w:val="2"/>
        <w:numId w:val="10"/>
      </w:numPr>
      <w:tabs>
        <w:tab w:val="num" w:pos="1417"/>
      </w:tabs>
      <w:spacing w:before="120" w:after="120" w:line="240" w:lineRule="auto"/>
      <w:ind w:left="1417" w:hanging="567"/>
      <w:jc w:val="both"/>
    </w:pPr>
    <w:rPr>
      <w:rFonts w:ascii="Times New Roman" w:hAnsi="Times New Roman" w:cs="Times New Roman"/>
      <w:sz w:val="24"/>
      <w:szCs w:val="22"/>
      <w:lang w:val="en-GB" w:eastAsia="sk-SK"/>
    </w:rPr>
  </w:style>
  <w:style w:type="paragraph" w:customStyle="1" w:styleId="Point2number">
    <w:name w:val="Point 2 (number)"/>
    <w:basedOn w:val="Normal"/>
    <w:rsid w:val="00D4239A"/>
    <w:pPr>
      <w:numPr>
        <w:ilvl w:val="4"/>
        <w:numId w:val="10"/>
      </w:numPr>
      <w:tabs>
        <w:tab w:val="num" w:pos="1984"/>
      </w:tabs>
      <w:spacing w:before="120" w:after="120" w:line="240" w:lineRule="auto"/>
      <w:ind w:left="1984" w:hanging="567"/>
      <w:jc w:val="both"/>
    </w:pPr>
    <w:rPr>
      <w:rFonts w:ascii="Times New Roman" w:hAnsi="Times New Roman" w:cs="Times New Roman"/>
      <w:sz w:val="24"/>
      <w:szCs w:val="22"/>
      <w:lang w:val="en-GB" w:eastAsia="sk-SK"/>
    </w:rPr>
  </w:style>
  <w:style w:type="paragraph" w:customStyle="1" w:styleId="Point3number">
    <w:name w:val="Point 3 (number)"/>
    <w:basedOn w:val="Normal"/>
    <w:rsid w:val="00D4239A"/>
    <w:pPr>
      <w:numPr>
        <w:ilvl w:val="6"/>
        <w:numId w:val="10"/>
      </w:numPr>
      <w:tabs>
        <w:tab w:val="num" w:pos="2551"/>
      </w:tabs>
      <w:spacing w:before="120" w:after="120" w:line="240" w:lineRule="auto"/>
      <w:ind w:left="2551" w:hanging="567"/>
      <w:jc w:val="both"/>
    </w:pPr>
    <w:rPr>
      <w:rFonts w:ascii="Times New Roman" w:hAnsi="Times New Roman" w:cs="Times New Roman"/>
      <w:sz w:val="24"/>
      <w:szCs w:val="22"/>
      <w:lang w:val="en-GB" w:eastAsia="sk-SK"/>
    </w:rPr>
  </w:style>
  <w:style w:type="paragraph" w:customStyle="1" w:styleId="Point0letter">
    <w:name w:val="Point 0 (letter)"/>
    <w:basedOn w:val="Normal"/>
    <w:rsid w:val="00D4239A"/>
    <w:pPr>
      <w:tabs>
        <w:tab w:val="left" w:pos="850"/>
      </w:tabs>
      <w:spacing w:before="120" w:after="120" w:line="360" w:lineRule="auto"/>
      <w:ind w:left="850" w:hanging="850"/>
      <w:jc w:val="both"/>
    </w:pPr>
    <w:rPr>
      <w:rFonts w:ascii="Times New Roman" w:hAnsi="Times New Roman" w:cs="Times New Roman"/>
      <w:noProof/>
      <w:sz w:val="24"/>
      <w:szCs w:val="22"/>
      <w:lang w:val="en-GB" w:eastAsia="sk-SK"/>
    </w:rPr>
  </w:style>
  <w:style w:type="paragraph" w:customStyle="1" w:styleId="Point1letter">
    <w:name w:val="Point 1 (letter)"/>
    <w:basedOn w:val="Normal"/>
    <w:rsid w:val="00D4239A"/>
    <w:pPr>
      <w:numPr>
        <w:ilvl w:val="3"/>
        <w:numId w:val="10"/>
      </w:numPr>
      <w:tabs>
        <w:tab w:val="num" w:pos="1417"/>
      </w:tabs>
      <w:spacing w:before="120" w:after="120" w:line="240" w:lineRule="auto"/>
      <w:ind w:left="1417" w:hanging="567"/>
      <w:jc w:val="both"/>
    </w:pPr>
    <w:rPr>
      <w:rFonts w:ascii="Times New Roman" w:hAnsi="Times New Roman" w:cs="Times New Roman"/>
      <w:sz w:val="24"/>
      <w:szCs w:val="22"/>
      <w:lang w:val="en-GB" w:eastAsia="sk-SK"/>
    </w:rPr>
  </w:style>
  <w:style w:type="paragraph" w:customStyle="1" w:styleId="Point2letter">
    <w:name w:val="Point 2 (letter)"/>
    <w:basedOn w:val="Normal"/>
    <w:rsid w:val="00D4239A"/>
    <w:pPr>
      <w:numPr>
        <w:ilvl w:val="5"/>
        <w:numId w:val="10"/>
      </w:numPr>
      <w:tabs>
        <w:tab w:val="num" w:pos="1984"/>
      </w:tabs>
      <w:spacing w:before="120" w:after="120" w:line="240" w:lineRule="auto"/>
      <w:ind w:left="1984" w:hanging="567"/>
      <w:jc w:val="both"/>
    </w:pPr>
    <w:rPr>
      <w:rFonts w:ascii="Times New Roman" w:hAnsi="Times New Roman" w:cs="Times New Roman"/>
      <w:sz w:val="24"/>
      <w:szCs w:val="22"/>
      <w:lang w:val="en-GB" w:eastAsia="sk-SK"/>
    </w:rPr>
  </w:style>
  <w:style w:type="paragraph" w:customStyle="1" w:styleId="Point3letter">
    <w:name w:val="Point 3 (letter)"/>
    <w:basedOn w:val="Normal"/>
    <w:rsid w:val="00D4239A"/>
    <w:pPr>
      <w:numPr>
        <w:ilvl w:val="7"/>
        <w:numId w:val="10"/>
      </w:numPr>
      <w:tabs>
        <w:tab w:val="num" w:pos="2551"/>
      </w:tabs>
      <w:spacing w:before="120" w:after="120" w:line="240" w:lineRule="auto"/>
      <w:ind w:left="2551" w:hanging="567"/>
      <w:jc w:val="both"/>
    </w:pPr>
    <w:rPr>
      <w:rFonts w:ascii="Times New Roman" w:hAnsi="Times New Roman" w:cs="Times New Roman"/>
      <w:sz w:val="24"/>
      <w:szCs w:val="22"/>
      <w:lang w:val="en-GB" w:eastAsia="sk-SK"/>
    </w:rPr>
  </w:style>
  <w:style w:type="paragraph" w:customStyle="1" w:styleId="Point4letter">
    <w:name w:val="Point 4 (letter)"/>
    <w:basedOn w:val="Normal"/>
    <w:rsid w:val="00D4239A"/>
    <w:pPr>
      <w:numPr>
        <w:ilvl w:val="8"/>
        <w:numId w:val="10"/>
      </w:numPr>
      <w:tabs>
        <w:tab w:val="num" w:pos="3118"/>
      </w:tabs>
      <w:spacing w:before="120" w:after="120" w:line="240" w:lineRule="auto"/>
      <w:ind w:left="3118" w:hanging="567"/>
      <w:jc w:val="both"/>
    </w:pPr>
    <w:rPr>
      <w:rFonts w:ascii="Times New Roman" w:hAnsi="Times New Roman" w:cs="Times New Roman"/>
      <w:sz w:val="24"/>
      <w:szCs w:val="22"/>
      <w:lang w:val="en-GB" w:eastAsia="sk-SK"/>
    </w:rPr>
  </w:style>
  <w:style w:type="paragraph" w:customStyle="1" w:styleId="Pointabc">
    <w:name w:val="Point abc"/>
    <w:basedOn w:val="Normal"/>
    <w:rsid w:val="00D4239A"/>
    <w:pPr>
      <w:numPr>
        <w:ilvl w:val="1"/>
        <w:numId w:val="11"/>
      </w:numPr>
      <w:tabs>
        <w:tab w:val="num" w:pos="567"/>
      </w:tabs>
      <w:spacing w:before="120" w:after="120" w:line="360" w:lineRule="auto"/>
      <w:ind w:left="567" w:hanging="567"/>
      <w:jc w:val="left"/>
    </w:pPr>
    <w:rPr>
      <w:rFonts w:ascii="Times New Roman" w:hAnsi="Times New Roman" w:cs="Times New Roman"/>
      <w:sz w:val="24"/>
      <w:szCs w:val="24"/>
      <w:lang w:val="en-GB" w:eastAsia="sk-SK"/>
    </w:rPr>
  </w:style>
  <w:style w:type="paragraph" w:customStyle="1" w:styleId="Pointabc1">
    <w:name w:val="Point abc (1)"/>
    <w:basedOn w:val="Normal"/>
    <w:rsid w:val="00D4239A"/>
    <w:pPr>
      <w:numPr>
        <w:ilvl w:val="3"/>
        <w:numId w:val="11"/>
      </w:numPr>
      <w:tabs>
        <w:tab w:val="num" w:pos="1134"/>
      </w:tabs>
      <w:spacing w:before="120" w:after="120" w:line="360" w:lineRule="auto"/>
      <w:ind w:left="1134" w:hanging="567"/>
      <w:jc w:val="left"/>
      <w:outlineLvl w:val="0"/>
    </w:pPr>
    <w:rPr>
      <w:rFonts w:ascii="Times New Roman" w:hAnsi="Times New Roman" w:cs="Times New Roman"/>
      <w:sz w:val="24"/>
      <w:szCs w:val="24"/>
      <w:lang w:val="en-GB" w:eastAsia="sk-SK"/>
    </w:rPr>
  </w:style>
  <w:style w:type="paragraph" w:customStyle="1" w:styleId="Pointabc2">
    <w:name w:val="Point abc (2)"/>
    <w:basedOn w:val="Normal"/>
    <w:rsid w:val="00D4239A"/>
    <w:pPr>
      <w:numPr>
        <w:ilvl w:val="5"/>
        <w:numId w:val="11"/>
      </w:numPr>
      <w:tabs>
        <w:tab w:val="num" w:pos="1701"/>
      </w:tabs>
      <w:spacing w:before="120" w:after="120" w:line="360" w:lineRule="auto"/>
      <w:ind w:left="1701" w:hanging="567"/>
      <w:jc w:val="left"/>
      <w:outlineLvl w:val="1"/>
    </w:pPr>
    <w:rPr>
      <w:rFonts w:ascii="Times New Roman" w:hAnsi="Times New Roman" w:cs="Times New Roman"/>
      <w:sz w:val="24"/>
      <w:szCs w:val="24"/>
      <w:lang w:val="en-GB" w:eastAsia="sk-SK"/>
    </w:rPr>
  </w:style>
  <w:style w:type="paragraph" w:customStyle="1" w:styleId="Pointabc3">
    <w:name w:val="Point abc (3)"/>
    <w:basedOn w:val="Normal"/>
    <w:rsid w:val="00D4239A"/>
    <w:pPr>
      <w:numPr>
        <w:ilvl w:val="7"/>
        <w:numId w:val="11"/>
      </w:numPr>
      <w:tabs>
        <w:tab w:val="num" w:pos="2268"/>
      </w:tabs>
      <w:spacing w:before="120" w:after="120" w:line="360" w:lineRule="auto"/>
      <w:ind w:left="2268" w:hanging="567"/>
      <w:jc w:val="left"/>
      <w:outlineLvl w:val="2"/>
    </w:pPr>
    <w:rPr>
      <w:rFonts w:ascii="Times New Roman" w:hAnsi="Times New Roman" w:cs="Times New Roman"/>
      <w:sz w:val="24"/>
      <w:szCs w:val="24"/>
      <w:lang w:val="en-GB" w:eastAsia="sk-SK"/>
    </w:rPr>
  </w:style>
  <w:style w:type="paragraph" w:customStyle="1" w:styleId="Pointabc4">
    <w:name w:val="Point abc (4)"/>
    <w:basedOn w:val="Normal"/>
    <w:rsid w:val="00D4239A"/>
    <w:pPr>
      <w:numPr>
        <w:ilvl w:val="8"/>
        <w:numId w:val="11"/>
      </w:numPr>
      <w:tabs>
        <w:tab w:val="num" w:pos="2835"/>
      </w:tabs>
      <w:spacing w:before="120" w:after="120" w:line="360" w:lineRule="auto"/>
      <w:ind w:left="2835" w:hanging="567"/>
      <w:jc w:val="left"/>
      <w:outlineLvl w:val="3"/>
    </w:pPr>
    <w:rPr>
      <w:rFonts w:ascii="Times New Roman" w:hAnsi="Times New Roman" w:cs="Times New Roman"/>
      <w:sz w:val="24"/>
      <w:szCs w:val="24"/>
      <w:lang w:val="en-GB" w:eastAsia="sk-SK"/>
    </w:rPr>
  </w:style>
  <w:style w:type="paragraph" w:customStyle="1" w:styleId="Point123">
    <w:name w:val="Point 123"/>
    <w:basedOn w:val="Normal"/>
    <w:rsid w:val="00D4239A"/>
    <w:pPr>
      <w:numPr>
        <w:numId w:val="11"/>
      </w:numPr>
      <w:tabs>
        <w:tab w:val="num" w:pos="567"/>
      </w:tabs>
      <w:spacing w:before="120" w:after="120" w:line="360" w:lineRule="auto"/>
      <w:ind w:left="567" w:hanging="567"/>
      <w:jc w:val="left"/>
    </w:pPr>
    <w:rPr>
      <w:rFonts w:ascii="Times New Roman" w:hAnsi="Times New Roman" w:cs="Times New Roman"/>
      <w:sz w:val="24"/>
      <w:szCs w:val="24"/>
      <w:lang w:val="en-GB" w:eastAsia="sk-SK"/>
    </w:rPr>
  </w:style>
  <w:style w:type="paragraph" w:customStyle="1" w:styleId="Point1231">
    <w:name w:val="Point 123 (1)"/>
    <w:basedOn w:val="Normal"/>
    <w:rsid w:val="00D4239A"/>
    <w:pPr>
      <w:numPr>
        <w:ilvl w:val="2"/>
        <w:numId w:val="11"/>
      </w:numPr>
      <w:tabs>
        <w:tab w:val="num" w:pos="1134"/>
      </w:tabs>
      <w:spacing w:before="120" w:after="120" w:line="360" w:lineRule="auto"/>
      <w:ind w:left="1134" w:hanging="567"/>
      <w:jc w:val="left"/>
      <w:outlineLvl w:val="0"/>
    </w:pPr>
    <w:rPr>
      <w:rFonts w:ascii="Times New Roman" w:hAnsi="Times New Roman" w:cs="Times New Roman"/>
      <w:sz w:val="24"/>
      <w:szCs w:val="24"/>
      <w:lang w:val="en-GB" w:eastAsia="sk-SK"/>
    </w:rPr>
  </w:style>
  <w:style w:type="paragraph" w:customStyle="1" w:styleId="Point1232">
    <w:name w:val="Point 123 (2)"/>
    <w:basedOn w:val="Normal"/>
    <w:rsid w:val="00D4239A"/>
    <w:pPr>
      <w:numPr>
        <w:ilvl w:val="4"/>
        <w:numId w:val="11"/>
      </w:numPr>
      <w:tabs>
        <w:tab w:val="num" w:pos="1701"/>
      </w:tabs>
      <w:spacing w:before="120" w:after="120" w:line="360" w:lineRule="auto"/>
      <w:ind w:left="1701" w:hanging="567"/>
      <w:jc w:val="left"/>
      <w:outlineLvl w:val="1"/>
    </w:pPr>
    <w:rPr>
      <w:rFonts w:ascii="Times New Roman" w:hAnsi="Times New Roman" w:cs="Times New Roman"/>
      <w:sz w:val="24"/>
      <w:szCs w:val="24"/>
      <w:lang w:val="en-GB" w:eastAsia="sk-SK"/>
    </w:rPr>
  </w:style>
  <w:style w:type="paragraph" w:customStyle="1" w:styleId="Point1233">
    <w:name w:val="Point 123 (3)"/>
    <w:basedOn w:val="Normal"/>
    <w:rsid w:val="00D4239A"/>
    <w:pPr>
      <w:numPr>
        <w:ilvl w:val="6"/>
        <w:numId w:val="11"/>
      </w:numPr>
      <w:tabs>
        <w:tab w:val="num" w:pos="2268"/>
      </w:tabs>
      <w:spacing w:before="120" w:after="120" w:line="360" w:lineRule="auto"/>
      <w:ind w:left="2268" w:hanging="567"/>
      <w:jc w:val="left"/>
      <w:outlineLvl w:val="2"/>
    </w:pPr>
    <w:rPr>
      <w:rFonts w:ascii="Times New Roman" w:hAnsi="Times New Roman" w:cs="Times New Roman"/>
      <w:sz w:val="24"/>
      <w:szCs w:val="24"/>
      <w:lang w:val="en-GB" w:eastAsia="sk-SK"/>
    </w:rPr>
  </w:style>
  <w:style w:type="paragraph" w:customStyle="1" w:styleId="FooterText">
    <w:name w:val="Footer Text"/>
    <w:basedOn w:val="Normal"/>
    <w:rsid w:val="003047B9"/>
    <w:pPr>
      <w:spacing w:after="0" w:line="240" w:lineRule="auto"/>
      <w:jc w:val="left"/>
    </w:pPr>
    <w:rPr>
      <w:rFonts w:ascii="Times New Roman" w:hAnsi="Times New Roman" w:cs="Times New Roman"/>
      <w:sz w:val="24"/>
      <w:szCs w:val="24"/>
      <w:lang w:val="en-GB" w:eastAsia="sk-SK"/>
    </w:rPr>
  </w:style>
  <w:style w:type="paragraph" w:customStyle="1" w:styleId="FooterCouncil">
    <w:name w:val="Footer Council"/>
    <w:basedOn w:val="Normal"/>
    <w:rsid w:val="003047B9"/>
    <w:pPr>
      <w:spacing w:after="0" w:line="240" w:lineRule="auto"/>
      <w:jc w:val="left"/>
    </w:pPr>
    <w:rPr>
      <w:rFonts w:ascii="Times New Roman" w:hAnsi="Times New Roman" w:cs="Times New Roman"/>
      <w:sz w:val="2"/>
      <w:szCs w:val="24"/>
      <w:lang w:val="en-GB" w:eastAsia="sk-SK"/>
    </w:rPr>
  </w:style>
  <w:style w:type="paragraph" w:customStyle="1" w:styleId="Point0">
    <w:name w:val="Point 0"/>
    <w:basedOn w:val="Normal"/>
    <w:rsid w:val="003B5158"/>
    <w:pPr>
      <w:spacing w:before="120" w:after="120" w:line="360" w:lineRule="auto"/>
      <w:ind w:left="850" w:hanging="850"/>
      <w:jc w:val="left"/>
    </w:pPr>
    <w:rPr>
      <w:rFonts w:ascii="Times New Roman" w:hAnsi="Times New Roman" w:cs="Times New Roman"/>
      <w:sz w:val="24"/>
      <w:szCs w:val="24"/>
    </w:rPr>
  </w:style>
  <w:style w:type="paragraph" w:customStyle="1" w:styleId="Tiret0">
    <w:name w:val="Tiret 0"/>
    <w:basedOn w:val="Normal"/>
    <w:rsid w:val="003B5158"/>
    <w:pPr>
      <w:numPr>
        <w:numId w:val="20"/>
      </w:numPr>
      <w:tabs>
        <w:tab w:val="num" w:pos="850"/>
      </w:tabs>
      <w:spacing w:before="120" w:after="120" w:line="360" w:lineRule="auto"/>
      <w:ind w:left="850" w:hanging="850"/>
      <w:jc w:val="left"/>
    </w:pPr>
    <w:rPr>
      <w:rFonts w:ascii="Times New Roman" w:hAnsi="Times New Roman" w:cs="Times New Roman"/>
      <w:sz w:val="24"/>
      <w:szCs w:val="24"/>
    </w:rPr>
  </w:style>
  <w:style w:type="character" w:styleId="PlaceholderText">
    <w:name w:val="Placeholder Text"/>
    <w:basedOn w:val="DefaultParagraphFont"/>
    <w:uiPriority w:val="99"/>
    <w:semiHidden/>
    <w:rsid w:val="00C32C65"/>
    <w:rPr>
      <w:rFonts w:cs="Times New Roman"/>
      <w:color w:val="808080"/>
      <w:rtl w:val="0"/>
      <w:cs w:val="0"/>
    </w:rPr>
  </w:style>
  <w:style w:type="character" w:styleId="Strong">
    <w:name w:val="Strong"/>
    <w:basedOn w:val="DefaultParagraphFont"/>
    <w:uiPriority w:val="22"/>
    <w:qFormat/>
    <w:rsid w:val="004C3E23"/>
    <w:rPr>
      <w:rFonts w:cs="Times New Roman"/>
      <w:b/>
      <w:bCs/>
      <w:rtl w:val="0"/>
      <w:cs w:val="0"/>
    </w:rPr>
  </w:style>
  <w:style w:type="paragraph" w:customStyle="1" w:styleId="Text1">
    <w:name w:val="Text 1"/>
    <w:basedOn w:val="Normal"/>
    <w:rsid w:val="00EC45B2"/>
    <w:pPr>
      <w:spacing w:before="120" w:after="120" w:line="360" w:lineRule="auto"/>
      <w:ind w:left="850"/>
      <w:jc w:val="left"/>
      <w:outlineLvl w:val="0"/>
    </w:pPr>
    <w:rPr>
      <w:rFonts w:ascii="Times New Roman" w:hAnsi="Times New Roman" w:cs="Times New Roman"/>
      <w:sz w:val="24"/>
      <w:szCs w:val="24"/>
    </w:rPr>
  </w:style>
  <w:style w:type="paragraph" w:customStyle="1" w:styleId="Point1">
    <w:name w:val="Point 1"/>
    <w:basedOn w:val="Normal"/>
    <w:rsid w:val="00EC45B2"/>
    <w:pPr>
      <w:spacing w:before="120" w:after="120" w:line="360" w:lineRule="auto"/>
      <w:ind w:left="1417" w:hanging="567"/>
      <w:jc w:val="left"/>
      <w:outlineLvl w:val="0"/>
    </w:pPr>
    <w:rPr>
      <w:rFonts w:ascii="Times New Roman" w:hAnsi="Times New Roman" w:cs="Times New Roman"/>
      <w:sz w:val="24"/>
      <w:szCs w:val="24"/>
    </w:rPr>
  </w:style>
  <w:style w:type="paragraph" w:styleId="BodyTextIndent">
    <w:name w:val="Body Text Indent"/>
    <w:basedOn w:val="Normal"/>
    <w:link w:val="ZarkazkladnhotextuChar"/>
    <w:uiPriority w:val="99"/>
    <w:unhideWhenUsed/>
    <w:rsid w:val="0097017C"/>
    <w:pPr>
      <w:spacing w:after="0" w:line="240" w:lineRule="auto"/>
      <w:jc w:val="both"/>
    </w:pPr>
    <w:rPr>
      <w:rFonts w:ascii="Times New Roman" w:hAnsi="Times New Roman" w:cs="Times New Roman"/>
      <w:sz w:val="24"/>
      <w:szCs w:val="24"/>
    </w:rPr>
  </w:style>
  <w:style w:type="character" w:customStyle="1" w:styleId="ZarkazkladnhotextuChar">
    <w:name w:val="Zarážka základného textu Char"/>
    <w:basedOn w:val="DefaultParagraphFont"/>
    <w:link w:val="BodyTextIndent"/>
    <w:uiPriority w:val="99"/>
    <w:locked/>
    <w:rsid w:val="0097017C"/>
    <w:rPr>
      <w:rFonts w:ascii="Times New Roman" w:hAnsi="Times New Roman" w:cs="Times New Roman"/>
      <w:sz w:val="24"/>
      <w:szCs w:val="24"/>
      <w:rtl w:val="0"/>
      <w:cs w:val="0"/>
      <w:lang w:val="sk-SK" w:eastAsia="x-none"/>
    </w:rPr>
  </w:style>
  <w:style w:type="paragraph" w:styleId="NoSpacing">
    <w:name w:val="No Spacing"/>
    <w:uiPriority w:val="1"/>
    <w:qFormat/>
    <w:rsid w:val="0097017C"/>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F72E-CB7F-4A65-A9BD-1F76F86D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13</Pages>
  <Words>3999</Words>
  <Characters>22796</Characters>
  <Application>Microsoft Office Word</Application>
  <DocSecurity>0</DocSecurity>
  <Lines>0</Lines>
  <Paragraphs>0</Paragraphs>
  <ScaleCrop>false</ScaleCrop>
  <Company>Ministerstvo financií</Company>
  <LinksUpToDate>false</LinksUpToDate>
  <CharactersWithSpaces>26742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Uhrinova Lineta</dc:creator>
  <cp:lastModifiedBy>Grossova Iveta</cp:lastModifiedBy>
  <cp:revision>2</cp:revision>
  <cp:lastPrinted>2016-10-18T13:39:00Z</cp:lastPrinted>
  <dcterms:created xsi:type="dcterms:W3CDTF">2016-10-27T08:16:00Z</dcterms:created>
  <dcterms:modified xsi:type="dcterms:W3CDTF">2016-10-27T08:16:00Z</dcterms:modified>
</cp:coreProperties>
</file>