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3A95" w:rsidRPr="00AE5220" w:rsidP="00A70BB7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E5220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  <w:r w:rsidRPr="00AE5220">
        <w:rPr>
          <w:rFonts w:ascii="Book Antiqua" w:hAnsi="Book Antiqua"/>
          <w:b/>
          <w:bCs/>
          <w:sz w:val="22"/>
          <w:szCs w:val="22"/>
        </w:rPr>
        <w:t> </w:t>
      </w:r>
    </w:p>
    <w:p w:rsidR="00E03A95" w:rsidRPr="00AE5220" w:rsidP="00A70BB7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AE5220">
        <w:rPr>
          <w:rFonts w:ascii="Book Antiqua" w:hAnsi="Book Antiqua"/>
          <w:sz w:val="22"/>
          <w:szCs w:val="22"/>
        </w:rPr>
        <w:t>A. Všeobecná časť</w:t>
      </w:r>
    </w:p>
    <w:p w:rsidR="00E03A95" w:rsidRPr="00AE5220" w:rsidP="00A70BB7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E5220">
        <w:rPr>
          <w:rFonts w:ascii="Book Antiqua" w:hAnsi="Book Antiqua"/>
          <w:sz w:val="22"/>
          <w:szCs w:val="22"/>
        </w:rPr>
        <w:t>Návrh ústavného zákona, ktorým sa mení a dopĺňa Ústava Slovenskej republiky</w:t>
        <w:br/>
        <w:t>č. 460/1992 Zb. v znení neskorších predpisov (ďalej len „ná</w:t>
      </w:r>
      <w:r w:rsidRPr="00AE5220" w:rsidR="00A70BB7">
        <w:rPr>
          <w:rFonts w:ascii="Book Antiqua" w:hAnsi="Book Antiqua"/>
          <w:sz w:val="22"/>
          <w:szCs w:val="22"/>
        </w:rPr>
        <w:t>vr</w:t>
      </w:r>
      <w:r w:rsidRPr="00AE5220" w:rsidR="00AE5220">
        <w:rPr>
          <w:rFonts w:ascii="Book Antiqua" w:hAnsi="Book Antiqua"/>
          <w:sz w:val="22"/>
          <w:szCs w:val="22"/>
        </w:rPr>
        <w:t>h ústavného zákona“) predkladá</w:t>
      </w:r>
      <w:r w:rsidRPr="00AE5220" w:rsidR="00A70BB7">
        <w:rPr>
          <w:rFonts w:ascii="Book Antiqua" w:hAnsi="Book Antiqua"/>
          <w:sz w:val="22"/>
          <w:szCs w:val="22"/>
        </w:rPr>
        <w:t xml:space="preserve"> </w:t>
      </w:r>
      <w:r w:rsidRPr="00AE5220" w:rsidR="00AE5220">
        <w:rPr>
          <w:rFonts w:ascii="Book Antiqua" w:hAnsi="Book Antiqua"/>
          <w:sz w:val="22"/>
          <w:szCs w:val="22"/>
        </w:rPr>
        <w:t>skupina poslancov</w:t>
      </w:r>
      <w:r w:rsidRPr="00AE5220" w:rsidR="00A70BB7">
        <w:rPr>
          <w:rFonts w:ascii="Book Antiqua" w:hAnsi="Book Antiqua"/>
          <w:sz w:val="22"/>
          <w:szCs w:val="22"/>
        </w:rPr>
        <w:t xml:space="preserve"> </w:t>
      </w:r>
      <w:r w:rsidRPr="00AE5220">
        <w:rPr>
          <w:rFonts w:ascii="Book Antiqua" w:hAnsi="Book Antiqua"/>
          <w:sz w:val="22"/>
          <w:szCs w:val="22"/>
        </w:rPr>
        <w:t>Národnej rady Slovenskej republiky (ďalej len „NR SR“)</w:t>
      </w:r>
      <w:r w:rsidRPr="00AE5220" w:rsidR="00795176">
        <w:rPr>
          <w:rFonts w:ascii="Book Antiqua" w:hAnsi="Book Antiqua"/>
          <w:sz w:val="22"/>
          <w:szCs w:val="22"/>
        </w:rPr>
        <w:t xml:space="preserve"> za hnutie </w:t>
      </w:r>
      <w:r w:rsidRPr="00AE5220" w:rsidR="00795176">
        <w:rPr>
          <w:rFonts w:ascii="Book Antiqua" w:hAnsi="Book Antiqua" w:cs="Book Antiqua"/>
          <w:sz w:val="22"/>
          <w:szCs w:val="22"/>
        </w:rPr>
        <w:t>OBY</w:t>
      </w:r>
      <w:r w:rsidRPr="00AE5220" w:rsidR="00795176">
        <w:rPr>
          <w:rFonts w:ascii="Book Antiqua" w:hAnsi="Book Antiqua"/>
          <w:sz w:val="22"/>
          <w:szCs w:val="22"/>
        </w:rPr>
        <w:t>Č</w:t>
      </w:r>
      <w:r w:rsidRPr="00AE5220" w:rsidR="00795176">
        <w:rPr>
          <w:rFonts w:ascii="Book Antiqua" w:hAnsi="Book Antiqua" w:cs="Book Antiqua"/>
          <w:sz w:val="22"/>
          <w:szCs w:val="22"/>
        </w:rPr>
        <w:t xml:space="preserve">AJNÍ </w:t>
      </w:r>
      <w:r w:rsidRPr="00AE5220" w:rsidR="00795176">
        <w:rPr>
          <w:rFonts w:ascii="Book Antiqua" w:hAnsi="Book Antiqua"/>
          <w:sz w:val="22"/>
          <w:szCs w:val="22"/>
        </w:rPr>
        <w:t>Ľ</w:t>
      </w:r>
      <w:r w:rsidRPr="00AE5220" w:rsidR="00795176">
        <w:rPr>
          <w:rFonts w:ascii="Book Antiqua" w:hAnsi="Book Antiqua" w:cs="Book Antiqua"/>
          <w:sz w:val="22"/>
          <w:szCs w:val="22"/>
        </w:rPr>
        <w:t>UDIA a nezávislé osobnosti</w:t>
      </w:r>
      <w:r w:rsidRPr="00AE5220" w:rsidR="00A56168">
        <w:rPr>
          <w:rFonts w:ascii="Book Antiqua" w:hAnsi="Book Antiqua" w:cs="Book Antiqua"/>
          <w:sz w:val="22"/>
          <w:szCs w:val="22"/>
        </w:rPr>
        <w:t xml:space="preserve"> </w:t>
      </w:r>
      <w:r w:rsidRPr="00AE5220" w:rsidR="008C6109">
        <w:rPr>
          <w:rFonts w:ascii="Book Antiqua" w:hAnsi="Book Antiqua" w:cs="Book Antiqua"/>
          <w:sz w:val="22"/>
          <w:szCs w:val="22"/>
        </w:rPr>
        <w:t>(O</w:t>
      </w:r>
      <w:r w:rsidRPr="00AE5220" w:rsidR="008C6109">
        <w:rPr>
          <w:rFonts w:ascii="Book Antiqua" w:hAnsi="Book Antiqua"/>
          <w:sz w:val="22"/>
          <w:szCs w:val="22"/>
        </w:rPr>
        <w:t>Ľ</w:t>
      </w:r>
      <w:r w:rsidRPr="00AE5220" w:rsidR="00AE5220">
        <w:rPr>
          <w:rFonts w:ascii="Book Antiqua" w:hAnsi="Book Antiqua" w:cs="Book Antiqua"/>
          <w:sz w:val="22"/>
          <w:szCs w:val="22"/>
        </w:rPr>
        <w:t>A</w:t>
      </w:r>
      <w:r w:rsidRPr="00AE5220" w:rsidR="00A56168">
        <w:rPr>
          <w:rFonts w:ascii="Book Antiqua" w:hAnsi="Book Antiqua" w:cs="Book Antiqua"/>
          <w:sz w:val="22"/>
          <w:szCs w:val="22"/>
        </w:rPr>
        <w:t>NO – NOVA)</w:t>
      </w:r>
      <w:r w:rsidRPr="00AE5220">
        <w:rPr>
          <w:rFonts w:ascii="Book Antiqua" w:hAnsi="Book Antiqua"/>
          <w:sz w:val="22"/>
          <w:szCs w:val="22"/>
        </w:rPr>
        <w:t>.</w:t>
      </w:r>
    </w:p>
    <w:p w:rsidR="00D04C4B" w:rsidRPr="00AE5220" w:rsidP="00A70BB7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E5220" w:rsidR="00314F25">
        <w:rPr>
          <w:rFonts w:ascii="Book Antiqua" w:hAnsi="Book Antiqua"/>
          <w:b/>
          <w:sz w:val="22"/>
          <w:szCs w:val="22"/>
        </w:rPr>
        <w:t>S cieľom zvýšiť dôveryhodnosť NR SR v očiach verejnosti a politickú kultúru v najvyššom ústavodarnom a zákonodarnom orgáne Slovenskej</w:t>
      </w:r>
      <w:r w:rsidR="00AE5220">
        <w:rPr>
          <w:rFonts w:ascii="Book Antiqua" w:hAnsi="Book Antiqua"/>
          <w:b/>
          <w:sz w:val="22"/>
          <w:szCs w:val="22"/>
        </w:rPr>
        <w:t xml:space="preserve"> republiky, sa navrhuje, aby sa, po</w:t>
      </w:r>
      <w:r w:rsidRPr="00AE5220" w:rsidR="00B758CD">
        <w:rPr>
          <w:rFonts w:ascii="Book Antiqua" w:hAnsi="Book Antiqua"/>
          <w:b/>
          <w:sz w:val="22"/>
          <w:szCs w:val="22"/>
        </w:rPr>
        <w:t xml:space="preserve"> vzore </w:t>
      </w:r>
      <w:r w:rsidRPr="00AE5220" w:rsidR="00963691">
        <w:rPr>
          <w:rFonts w:ascii="Book Antiqua" w:hAnsi="Book Antiqua"/>
          <w:b/>
          <w:sz w:val="22"/>
          <w:szCs w:val="22"/>
        </w:rPr>
        <w:t>Spojeného kráľovstva Veľkej Británie a Severného Írska</w:t>
      </w:r>
      <w:r w:rsidRPr="00AE5220" w:rsidR="00314F25">
        <w:rPr>
          <w:rFonts w:ascii="Book Antiqua" w:hAnsi="Book Antiqua"/>
          <w:b/>
          <w:sz w:val="22"/>
          <w:szCs w:val="22"/>
        </w:rPr>
        <w:t xml:space="preserve"> - </w:t>
      </w:r>
      <w:r w:rsidRPr="00AE5220" w:rsidR="00B758CD">
        <w:rPr>
          <w:rFonts w:ascii="Book Antiqua" w:hAnsi="Book Antiqua"/>
          <w:b/>
          <w:sz w:val="22"/>
          <w:szCs w:val="22"/>
        </w:rPr>
        <w:t>krajiny s dlhoročnou tra</w:t>
      </w:r>
      <w:r w:rsidRPr="00AE5220" w:rsidR="00314F25">
        <w:rPr>
          <w:rFonts w:ascii="Book Antiqua" w:hAnsi="Book Antiqua"/>
          <w:b/>
          <w:sz w:val="22"/>
          <w:szCs w:val="22"/>
        </w:rPr>
        <w:t>díciou parlamentnej demokracie</w:t>
      </w:r>
      <w:r w:rsidR="00AE5220">
        <w:rPr>
          <w:rFonts w:ascii="Book Antiqua" w:hAnsi="Book Antiqua"/>
          <w:b/>
          <w:sz w:val="22"/>
          <w:szCs w:val="22"/>
        </w:rPr>
        <w:t>,</w:t>
      </w:r>
      <w:r w:rsidRPr="00AE5220" w:rsidR="00314F25">
        <w:rPr>
          <w:rFonts w:ascii="Book Antiqua" w:hAnsi="Book Antiqua"/>
          <w:b/>
          <w:sz w:val="22"/>
          <w:szCs w:val="22"/>
        </w:rPr>
        <w:t xml:space="preserve"> predsed</w:t>
      </w:r>
      <w:r w:rsidRPr="00AE5220" w:rsidR="00963691">
        <w:rPr>
          <w:rFonts w:ascii="Book Antiqua" w:hAnsi="Book Antiqua"/>
          <w:b/>
          <w:sz w:val="22"/>
          <w:szCs w:val="22"/>
        </w:rPr>
        <w:t xml:space="preserve">a NR SR </w:t>
      </w:r>
      <w:r w:rsidRPr="00AE5220" w:rsidR="00B758CD">
        <w:rPr>
          <w:rFonts w:ascii="Book Antiqua" w:hAnsi="Book Antiqua"/>
          <w:b/>
          <w:sz w:val="22"/>
          <w:szCs w:val="22"/>
        </w:rPr>
        <w:t>vzdal členstva v politickej strane alebo v politickom hnutí bezprostredne po zvolení do tejto funkcie</w:t>
      </w:r>
      <w:r w:rsidR="00AE5220">
        <w:rPr>
          <w:rFonts w:ascii="Book Antiqua" w:hAnsi="Book Antiqua"/>
          <w:b/>
          <w:sz w:val="22"/>
          <w:szCs w:val="22"/>
        </w:rPr>
        <w:t xml:space="preserve"> a aby nevystupoval v ich mene </w:t>
      </w:r>
      <w:r w:rsidRPr="00AE5220" w:rsidR="00963691">
        <w:rPr>
          <w:rFonts w:ascii="Book Antiqua" w:hAnsi="Book Antiqua"/>
          <w:b/>
          <w:sz w:val="22"/>
          <w:szCs w:val="22"/>
        </w:rPr>
        <w:t>a</w:t>
      </w:r>
      <w:r w:rsidRPr="00AE5220" w:rsidR="00AE5220">
        <w:rPr>
          <w:rFonts w:ascii="Book Antiqua" w:hAnsi="Book Antiqua"/>
          <w:b/>
          <w:sz w:val="22"/>
          <w:szCs w:val="22"/>
        </w:rPr>
        <w:t>ni</w:t>
      </w:r>
      <w:r w:rsidRPr="00AE5220" w:rsidR="00963691">
        <w:rPr>
          <w:rFonts w:ascii="Book Antiqua" w:hAnsi="Book Antiqua"/>
          <w:b/>
          <w:sz w:val="22"/>
          <w:szCs w:val="22"/>
        </w:rPr>
        <w:t> nepôsobil v ich prospech</w:t>
      </w:r>
      <w:r w:rsidRPr="00AE5220" w:rsidR="00B758CD">
        <w:rPr>
          <w:rFonts w:ascii="Book Antiqua" w:hAnsi="Book Antiqua"/>
          <w:b/>
          <w:sz w:val="22"/>
          <w:szCs w:val="22"/>
        </w:rPr>
        <w:t xml:space="preserve">. </w:t>
      </w:r>
      <w:r w:rsidRPr="00AE5220" w:rsidR="00A106DE">
        <w:rPr>
          <w:rFonts w:ascii="Book Antiqua" w:hAnsi="Book Antiqua"/>
          <w:b/>
          <w:sz w:val="22"/>
          <w:szCs w:val="22"/>
        </w:rPr>
        <w:t xml:space="preserve">Tieto obmedzenia </w:t>
      </w:r>
      <w:r w:rsidRPr="00AE5220" w:rsidR="00AE5220">
        <w:rPr>
          <w:rFonts w:ascii="Book Antiqua" w:hAnsi="Book Antiqua"/>
          <w:b/>
          <w:sz w:val="22"/>
          <w:szCs w:val="22"/>
        </w:rPr>
        <w:t xml:space="preserve">sa vzťahujú na </w:t>
      </w:r>
      <w:r w:rsidRPr="00AE5220" w:rsidR="00A106DE">
        <w:rPr>
          <w:rFonts w:ascii="Book Antiqua" w:hAnsi="Book Antiqua"/>
          <w:b/>
          <w:sz w:val="22"/>
          <w:szCs w:val="22"/>
        </w:rPr>
        <w:t>pre</w:t>
      </w:r>
      <w:r w:rsidRPr="00AE5220" w:rsidR="00AE5220">
        <w:rPr>
          <w:rFonts w:ascii="Book Antiqua" w:hAnsi="Book Antiqua"/>
          <w:b/>
          <w:sz w:val="22"/>
          <w:szCs w:val="22"/>
        </w:rPr>
        <w:t>dsedu NR SR aj počas jedného roka od skončenia výkonu jeho funkcie</w:t>
      </w:r>
      <w:r w:rsidRPr="00AE5220" w:rsidR="00A106DE">
        <w:rPr>
          <w:rFonts w:ascii="Book Antiqua" w:hAnsi="Book Antiqua"/>
          <w:b/>
          <w:sz w:val="22"/>
          <w:szCs w:val="22"/>
        </w:rPr>
        <w:t xml:space="preserve">, t.j. </w:t>
      </w:r>
      <w:r w:rsidRPr="00AE5220" w:rsidR="00AE5220">
        <w:rPr>
          <w:rFonts w:ascii="Book Antiqua" w:hAnsi="Book Antiqua"/>
          <w:b/>
          <w:sz w:val="22"/>
          <w:szCs w:val="22"/>
        </w:rPr>
        <w:t xml:space="preserve">počas jedného roka </w:t>
      </w:r>
      <w:r w:rsidRPr="00AE5220" w:rsidR="00A106DE">
        <w:rPr>
          <w:rFonts w:ascii="Book Antiqua" w:hAnsi="Book Antiqua"/>
          <w:b/>
          <w:sz w:val="22"/>
          <w:szCs w:val="22"/>
        </w:rPr>
        <w:t>odo dňa zvolenia nového predsedu NR SR.</w:t>
      </w:r>
      <w:r w:rsidR="00AE5220">
        <w:rPr>
          <w:rFonts w:ascii="Book Antiqua" w:hAnsi="Book Antiqua"/>
          <w:b/>
          <w:sz w:val="22"/>
          <w:szCs w:val="22"/>
        </w:rPr>
        <w:t xml:space="preserve"> </w:t>
      </w:r>
      <w:r w:rsidRPr="00AE5220" w:rsidR="00AE5220">
        <w:rPr>
          <w:rFonts w:ascii="Book Antiqua" w:hAnsi="Book Antiqua"/>
          <w:sz w:val="22"/>
          <w:szCs w:val="22"/>
        </w:rPr>
        <w:t>Nestrannosť predsedu parlamentu a dôraz na jeho konania, ktoré nie je voči žiadnej parlamentnej politickej strane alebo hnutiu diskriminačné, je pevne zakotvené aj v systéme politickej kultúry iných európskych krajín, napr. Fí</w:t>
      </w:r>
      <w:r w:rsidR="00AE5220">
        <w:rPr>
          <w:rFonts w:ascii="Book Antiqua" w:hAnsi="Book Antiqua"/>
          <w:sz w:val="22"/>
          <w:szCs w:val="22"/>
        </w:rPr>
        <w:t xml:space="preserve">nska alebo Rakúska, hoci nie </w:t>
      </w:r>
      <w:r w:rsidRPr="00AE5220" w:rsidR="00AE5220">
        <w:rPr>
          <w:rFonts w:ascii="Book Antiqua" w:hAnsi="Book Antiqua"/>
          <w:sz w:val="22"/>
          <w:szCs w:val="22"/>
        </w:rPr>
        <w:t>vždy ide o zákonnú úpravu.</w:t>
      </w:r>
    </w:p>
    <w:p w:rsidR="00B758CD" w:rsidRPr="00AE5220" w:rsidP="00A70BB7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E5220">
        <w:rPr>
          <w:rFonts w:ascii="Book Antiqua" w:hAnsi="Book Antiqua"/>
          <w:sz w:val="22"/>
          <w:szCs w:val="22"/>
        </w:rPr>
        <w:t>Dôvodom navrhovanej právnej úpravy je skutočnosť, že</w:t>
      </w:r>
      <w:r w:rsidR="00AE5220">
        <w:rPr>
          <w:rFonts w:ascii="Book Antiqua" w:hAnsi="Book Antiqua"/>
          <w:sz w:val="22"/>
          <w:szCs w:val="22"/>
        </w:rPr>
        <w:t xml:space="preserve"> v systéme parlamentnej demokracie </w:t>
      </w:r>
      <w:r w:rsidRPr="00AE5220">
        <w:rPr>
          <w:rFonts w:ascii="Book Antiqua" w:hAnsi="Book Antiqua"/>
          <w:sz w:val="22"/>
          <w:szCs w:val="22"/>
        </w:rPr>
        <w:t>je najvyšším zdrojom moci parlament</w:t>
      </w:r>
      <w:r w:rsidRPr="00AE5220" w:rsidR="003B164A">
        <w:rPr>
          <w:rFonts w:ascii="Book Antiqua" w:hAnsi="Book Antiqua"/>
          <w:sz w:val="22"/>
          <w:szCs w:val="22"/>
        </w:rPr>
        <w:t xml:space="preserve"> (nie vláda ani prezident)</w:t>
      </w:r>
      <w:r w:rsidRPr="00AE5220">
        <w:rPr>
          <w:rFonts w:ascii="Book Antiqua" w:hAnsi="Book Antiqua"/>
          <w:sz w:val="22"/>
          <w:szCs w:val="22"/>
        </w:rPr>
        <w:t>, ktorý reprezentuje jeho predseda. Predseda parlamentu je najdôležitejšou osobou parlamentu a predstavuje záruku jeho efektívneho fungovania. Rokovací poriadok zveruje predsedovi NR SR významné právomoci. Je žiaduce, aby túto širokú škálu právomoci vykonával obj</w:t>
      </w:r>
      <w:r w:rsidR="00AE5220">
        <w:rPr>
          <w:rFonts w:ascii="Book Antiqua" w:hAnsi="Book Antiqua"/>
          <w:sz w:val="22"/>
          <w:szCs w:val="22"/>
        </w:rPr>
        <w:t>ektívne, spravodlivo a nestranne</w:t>
      </w:r>
      <w:r w:rsidRPr="00AE5220">
        <w:rPr>
          <w:rFonts w:ascii="Book Antiqua" w:hAnsi="Book Antiqua"/>
          <w:sz w:val="22"/>
          <w:szCs w:val="22"/>
        </w:rPr>
        <w:t>, čo však nie je v plnej miere možné, ak takýto predseda je viazaný aj členstvom a</w:t>
      </w:r>
      <w:r w:rsidRPr="00AE5220" w:rsidR="00D04C4B">
        <w:rPr>
          <w:rFonts w:ascii="Book Antiqua" w:hAnsi="Book Antiqua"/>
          <w:sz w:val="22"/>
          <w:szCs w:val="22"/>
        </w:rPr>
        <w:t> napĺňaním záujmov</w:t>
      </w:r>
      <w:r w:rsidRPr="00AE5220">
        <w:rPr>
          <w:rFonts w:ascii="Book Antiqua" w:hAnsi="Book Antiqua"/>
          <w:sz w:val="22"/>
          <w:szCs w:val="22"/>
        </w:rPr>
        <w:t> politickej strany alebo v polit</w:t>
      </w:r>
      <w:r w:rsidRPr="00AE5220" w:rsidR="00314F25">
        <w:rPr>
          <w:rFonts w:ascii="Book Antiqua" w:hAnsi="Book Antiqua"/>
          <w:sz w:val="22"/>
          <w:szCs w:val="22"/>
        </w:rPr>
        <w:t>i</w:t>
      </w:r>
      <w:r w:rsidRPr="00AE5220">
        <w:rPr>
          <w:rFonts w:ascii="Book Antiqua" w:hAnsi="Book Antiqua"/>
          <w:sz w:val="22"/>
          <w:szCs w:val="22"/>
        </w:rPr>
        <w:t xml:space="preserve">ckého hnutia, na kandidátke ktorej bol zvolený za poslanca NR SR a následne </w:t>
      </w:r>
      <w:r w:rsidRPr="00AE5220" w:rsidR="00D04C4B">
        <w:rPr>
          <w:rFonts w:ascii="Book Antiqua" w:hAnsi="Book Antiqua"/>
          <w:sz w:val="22"/>
          <w:szCs w:val="22"/>
        </w:rPr>
        <w:t>do funkcie</w:t>
      </w:r>
      <w:r w:rsidRPr="00AE5220">
        <w:rPr>
          <w:rFonts w:ascii="Book Antiqua" w:hAnsi="Book Antiqua"/>
          <w:sz w:val="22"/>
          <w:szCs w:val="22"/>
        </w:rPr>
        <w:t xml:space="preserve"> predsedu NR SR. Predkladaná právna úprava požaduje, aby sa poslanec NR SR vzdal členstva v politickej strane počas výkonu funkcie predsedu</w:t>
      </w:r>
      <w:r w:rsidRPr="00AE5220" w:rsidR="00963691">
        <w:rPr>
          <w:rFonts w:ascii="Book Antiqua" w:hAnsi="Book Antiqua"/>
          <w:sz w:val="22"/>
          <w:szCs w:val="22"/>
        </w:rPr>
        <w:t xml:space="preserve"> NR SR</w:t>
      </w:r>
      <w:r w:rsidRPr="00AE5220">
        <w:rPr>
          <w:rFonts w:ascii="Book Antiqua" w:hAnsi="Book Antiqua"/>
          <w:sz w:val="22"/>
          <w:szCs w:val="22"/>
        </w:rPr>
        <w:t xml:space="preserve">, čo </w:t>
      </w:r>
      <w:r w:rsidRPr="00AE5220" w:rsidR="00314F25">
        <w:rPr>
          <w:rFonts w:ascii="Book Antiqua" w:hAnsi="Book Antiqua"/>
          <w:sz w:val="22"/>
          <w:szCs w:val="22"/>
        </w:rPr>
        <w:t>v princípe zodpovedá právnej úprave platnej v Spojenom kráľovstve Veľkej Británie a Severného Írska</w:t>
      </w:r>
      <w:r w:rsidRPr="00AE5220">
        <w:rPr>
          <w:rFonts w:ascii="Book Antiqua" w:hAnsi="Book Antiqua"/>
          <w:sz w:val="22"/>
          <w:szCs w:val="22"/>
        </w:rPr>
        <w:t>, kde predseda parlamentu musí zostať politicky nestranný</w:t>
      </w:r>
      <w:r w:rsidRPr="00AE5220" w:rsidR="00A72D77">
        <w:rPr>
          <w:rFonts w:ascii="Book Antiqua" w:hAnsi="Book Antiqua"/>
          <w:sz w:val="22"/>
          <w:szCs w:val="22"/>
        </w:rPr>
        <w:t xml:space="preserve"> nielen počas výkonu fun</w:t>
      </w:r>
      <w:r w:rsidRPr="00AE5220" w:rsidR="00314F25">
        <w:rPr>
          <w:rFonts w:ascii="Book Antiqua" w:hAnsi="Book Antiqua"/>
          <w:sz w:val="22"/>
          <w:szCs w:val="22"/>
        </w:rPr>
        <w:t>k</w:t>
      </w:r>
      <w:r w:rsidRPr="00AE5220" w:rsidR="00A72D77">
        <w:rPr>
          <w:rFonts w:ascii="Book Antiqua" w:hAnsi="Book Antiqua"/>
          <w:sz w:val="22"/>
          <w:szCs w:val="22"/>
        </w:rPr>
        <w:t>cie predsedu parlamentu,</w:t>
      </w:r>
      <w:r w:rsidRPr="00AE5220">
        <w:rPr>
          <w:rFonts w:ascii="Book Antiqua" w:hAnsi="Book Antiqua"/>
          <w:sz w:val="22"/>
          <w:szCs w:val="22"/>
        </w:rPr>
        <w:t xml:space="preserve"> </w:t>
      </w:r>
      <w:r w:rsidRPr="00AE5220" w:rsidR="00314F25">
        <w:rPr>
          <w:rFonts w:ascii="Book Antiqua" w:hAnsi="Book Antiqua"/>
          <w:sz w:val="22"/>
          <w:szCs w:val="22"/>
        </w:rPr>
        <w:t xml:space="preserve">ale </w:t>
      </w:r>
      <w:r w:rsidRPr="00AE5220">
        <w:rPr>
          <w:rFonts w:ascii="Book Antiqua" w:hAnsi="Book Antiqua"/>
          <w:sz w:val="22"/>
          <w:szCs w:val="22"/>
        </w:rPr>
        <w:t>aj po</w:t>
      </w:r>
      <w:r w:rsidRPr="00AE5220" w:rsidR="00A72D77">
        <w:rPr>
          <w:rFonts w:ascii="Book Antiqua" w:hAnsi="Book Antiqua"/>
          <w:sz w:val="22"/>
          <w:szCs w:val="22"/>
        </w:rPr>
        <w:t xml:space="preserve"> jej</w:t>
      </w:r>
      <w:r w:rsidRPr="00AE5220">
        <w:rPr>
          <w:rFonts w:ascii="Book Antiqua" w:hAnsi="Book Antiqua"/>
          <w:sz w:val="22"/>
          <w:szCs w:val="22"/>
        </w:rPr>
        <w:t xml:space="preserve"> záni</w:t>
      </w:r>
      <w:r w:rsidRPr="00AE5220" w:rsidR="00A72D77">
        <w:rPr>
          <w:rFonts w:ascii="Book Antiqua" w:hAnsi="Book Antiqua"/>
          <w:sz w:val="22"/>
          <w:szCs w:val="22"/>
        </w:rPr>
        <w:t>ku.</w:t>
      </w:r>
    </w:p>
    <w:p w:rsidR="00E03A95" w:rsidRPr="00AE5220" w:rsidP="00A70BB7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E5220">
        <w:rPr>
          <w:rFonts w:ascii="Book Antiqua" w:hAnsi="Book Antiqua"/>
          <w:sz w:val="22"/>
          <w:szCs w:val="22"/>
        </w:rPr>
        <w:t>Predkladaný návrh ústavnéh</w:t>
      </w:r>
      <w:r w:rsidRPr="00AE5220" w:rsidR="00180DE1">
        <w:rPr>
          <w:rFonts w:ascii="Book Antiqua" w:hAnsi="Book Antiqua"/>
          <w:sz w:val="22"/>
          <w:szCs w:val="22"/>
        </w:rPr>
        <w:t xml:space="preserve">o zákona </w:t>
      </w:r>
      <w:r w:rsidRPr="00AE5220" w:rsidR="00D04C4B">
        <w:rPr>
          <w:rFonts w:ascii="Book Antiqua" w:hAnsi="Book Antiqua"/>
          <w:sz w:val="22"/>
          <w:szCs w:val="22"/>
        </w:rPr>
        <w:t>nemá</w:t>
      </w:r>
      <w:r w:rsidRPr="00AE5220" w:rsidR="00180DE1">
        <w:rPr>
          <w:rFonts w:ascii="Book Antiqua" w:hAnsi="Book Antiqua"/>
          <w:sz w:val="22"/>
          <w:szCs w:val="22"/>
        </w:rPr>
        <w:t xml:space="preserve"> vplyv na rozpočet verejnej správy, nezakladá vplyv </w:t>
      </w:r>
      <w:r w:rsidRPr="00AE5220">
        <w:rPr>
          <w:rFonts w:ascii="Book Antiqua" w:hAnsi="Book Antiqua"/>
          <w:sz w:val="22"/>
          <w:szCs w:val="22"/>
        </w:rPr>
        <w:t>na podnikateľské prostredie, nevyvoláva sociálne vplyvy, ani vpl</w:t>
      </w:r>
      <w:r w:rsidRPr="00AE5220" w:rsidR="00180DE1">
        <w:rPr>
          <w:rFonts w:ascii="Book Antiqua" w:hAnsi="Book Antiqua"/>
          <w:sz w:val="22"/>
          <w:szCs w:val="22"/>
        </w:rPr>
        <w:t xml:space="preserve">yvy na životné prostredie a </w:t>
      </w:r>
      <w:r w:rsidRPr="00AE5220">
        <w:rPr>
          <w:rFonts w:ascii="Book Antiqua" w:hAnsi="Book Antiqua"/>
          <w:sz w:val="22"/>
          <w:szCs w:val="22"/>
        </w:rPr>
        <w:t xml:space="preserve">na informatizáciu spoločnosti. </w:t>
      </w:r>
    </w:p>
    <w:p w:rsidR="00E03A95" w:rsidRPr="00AE5220" w:rsidP="00A70BB7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E5220">
        <w:rPr>
          <w:rFonts w:ascii="Book Antiqua" w:hAnsi="Book Antiqua"/>
          <w:sz w:val="22"/>
          <w:szCs w:val="22"/>
        </w:rPr>
        <w:t>Návrh ústavného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03A95" w:rsidRPr="00AE5220" w:rsidP="00A70BB7">
      <w:pPr>
        <w:pStyle w:val="NormalWeb"/>
        <w:pageBreakBefore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E5220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E5220">
        <w:rPr>
          <w:rFonts w:ascii="Book Antiqua" w:hAnsi="Book Antiqua"/>
          <w:b/>
          <w:bCs/>
          <w:sz w:val="22"/>
          <w:szCs w:val="22"/>
        </w:rPr>
        <w:t xml:space="preserve">K Čl. I </w:t>
      </w:r>
    </w:p>
    <w:p w:rsidR="009A636C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E5220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D04C4B" w:rsidRPr="00AE5220" w:rsidP="00A70BB7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AE5220">
        <w:rPr>
          <w:rFonts w:ascii="Book Antiqua" w:hAnsi="Book Antiqua"/>
          <w:bCs/>
          <w:sz w:val="22"/>
          <w:szCs w:val="22"/>
        </w:rPr>
        <w:t>Upravuje sa politická</w:t>
      </w:r>
      <w:r w:rsidRPr="00AE5220" w:rsidR="005D246D">
        <w:rPr>
          <w:rFonts w:ascii="Book Antiqua" w:hAnsi="Book Antiqua"/>
          <w:bCs/>
          <w:sz w:val="22"/>
          <w:szCs w:val="22"/>
        </w:rPr>
        <w:t xml:space="preserve"> nestrannosť</w:t>
      </w:r>
      <w:r w:rsidR="00AE5220">
        <w:rPr>
          <w:rFonts w:ascii="Book Antiqua" w:hAnsi="Book Antiqua"/>
          <w:bCs/>
          <w:sz w:val="22"/>
          <w:szCs w:val="22"/>
        </w:rPr>
        <w:t xml:space="preserve"> predsedu NR SR </w:t>
      </w:r>
      <w:r w:rsidRPr="00AE5220" w:rsidR="00963691">
        <w:rPr>
          <w:rFonts w:ascii="Book Antiqua" w:hAnsi="Book Antiqua"/>
          <w:bCs/>
          <w:sz w:val="22"/>
          <w:szCs w:val="22"/>
        </w:rPr>
        <w:t xml:space="preserve">formou novelizácie </w:t>
      </w:r>
      <w:r w:rsidR="00AE5220">
        <w:rPr>
          <w:rFonts w:ascii="Book Antiqua" w:hAnsi="Book Antiqua"/>
          <w:bCs/>
          <w:sz w:val="22"/>
          <w:szCs w:val="22"/>
        </w:rPr>
        <w:t xml:space="preserve">Ústavy Slovenskej republiky a nie </w:t>
      </w:r>
      <w:r w:rsidRPr="00AE5220" w:rsidR="00963691">
        <w:rPr>
          <w:rFonts w:ascii="Book Antiqua" w:hAnsi="Book Antiqua"/>
          <w:bCs/>
          <w:sz w:val="22"/>
          <w:szCs w:val="22"/>
        </w:rPr>
        <w:t xml:space="preserve">zákona </w:t>
      </w:r>
      <w:r w:rsidRPr="00AE5220" w:rsidR="000C4CE6">
        <w:rPr>
          <w:rFonts w:ascii="Book Antiqua" w:hAnsi="Book Antiqua"/>
          <w:bCs/>
          <w:sz w:val="22"/>
          <w:szCs w:val="22"/>
        </w:rPr>
        <w:t>Nár</w:t>
      </w:r>
      <w:r w:rsidR="00AE5220">
        <w:rPr>
          <w:rFonts w:ascii="Book Antiqua" w:hAnsi="Book Antiqua"/>
          <w:bCs/>
          <w:sz w:val="22"/>
          <w:szCs w:val="22"/>
        </w:rPr>
        <w:t xml:space="preserve">odnej rady Slovenskej republiky </w:t>
      </w:r>
      <w:r w:rsidRPr="00AE5220" w:rsidR="000C4CE6">
        <w:rPr>
          <w:rFonts w:ascii="Book Antiqua" w:hAnsi="Book Antiqua"/>
          <w:bCs/>
          <w:sz w:val="22"/>
          <w:szCs w:val="22"/>
        </w:rPr>
        <w:t>č. 350/1996 Z. z. o rokovacom poriadku Národnej rady Slovenskej republiky v zn</w:t>
      </w:r>
      <w:r w:rsidR="00AE5220">
        <w:rPr>
          <w:rFonts w:ascii="Book Antiqua" w:hAnsi="Book Antiqua"/>
          <w:bCs/>
          <w:sz w:val="22"/>
          <w:szCs w:val="22"/>
        </w:rPr>
        <w:t>ení neskorších predpisov</w:t>
      </w:r>
      <w:r w:rsidR="006B700E">
        <w:rPr>
          <w:rFonts w:ascii="Book Antiqua" w:hAnsi="Book Antiqua"/>
          <w:bCs/>
          <w:sz w:val="22"/>
          <w:szCs w:val="22"/>
        </w:rPr>
        <w:t xml:space="preserve">. Rovnaká forma úpravy je </w:t>
      </w:r>
      <w:r w:rsidR="00AE5220">
        <w:rPr>
          <w:rFonts w:ascii="Book Antiqua" w:hAnsi="Book Antiqua"/>
          <w:bCs/>
          <w:sz w:val="22"/>
          <w:szCs w:val="22"/>
        </w:rPr>
        <w:t xml:space="preserve">v súčasnosti použitá </w:t>
      </w:r>
      <w:r w:rsidR="006B700E">
        <w:rPr>
          <w:rFonts w:ascii="Book Antiqua" w:hAnsi="Book Antiqua"/>
          <w:bCs/>
          <w:sz w:val="22"/>
          <w:szCs w:val="22"/>
        </w:rPr>
        <w:t>aj v prípade sudcov</w:t>
      </w:r>
      <w:r w:rsidRPr="00AE5220" w:rsidR="006F21FC">
        <w:rPr>
          <w:rFonts w:ascii="Book Antiqua" w:hAnsi="Book Antiqua"/>
          <w:bCs/>
          <w:sz w:val="22"/>
          <w:szCs w:val="22"/>
        </w:rPr>
        <w:t xml:space="preserve"> Ústavného súdu SR (Č</w:t>
      </w:r>
      <w:r w:rsidR="006B700E">
        <w:rPr>
          <w:rFonts w:ascii="Book Antiqua" w:hAnsi="Book Antiqua"/>
          <w:bCs/>
          <w:sz w:val="22"/>
          <w:szCs w:val="22"/>
        </w:rPr>
        <w:t>l. 137 ods. 1 Ústavy Slovenskej republiky</w:t>
      </w:r>
      <w:r w:rsidRPr="00AE5220" w:rsidR="006F21FC">
        <w:rPr>
          <w:rFonts w:ascii="Book Antiqua" w:hAnsi="Book Antiqua"/>
          <w:bCs/>
          <w:sz w:val="22"/>
          <w:szCs w:val="22"/>
        </w:rPr>
        <w:t>)</w:t>
      </w:r>
      <w:r w:rsidR="00AE5220">
        <w:rPr>
          <w:rFonts w:ascii="Book Antiqua" w:hAnsi="Book Antiqua"/>
          <w:bCs/>
          <w:sz w:val="22"/>
          <w:szCs w:val="22"/>
        </w:rPr>
        <w:t>,</w:t>
      </w:r>
      <w:r w:rsidRPr="00AE5220" w:rsidR="006F21FC">
        <w:rPr>
          <w:rFonts w:ascii="Book Antiqua" w:hAnsi="Book Antiqua"/>
          <w:bCs/>
          <w:sz w:val="22"/>
          <w:szCs w:val="22"/>
        </w:rPr>
        <w:t xml:space="preserve"> či sudcov pôsobia</w:t>
      </w:r>
      <w:r w:rsidR="006B700E">
        <w:rPr>
          <w:rFonts w:ascii="Book Antiqua" w:hAnsi="Book Antiqua"/>
          <w:bCs/>
          <w:sz w:val="22"/>
          <w:szCs w:val="22"/>
        </w:rPr>
        <w:t>ci</w:t>
      </w:r>
      <w:r w:rsidRPr="00AE5220" w:rsidR="006F21FC">
        <w:rPr>
          <w:rFonts w:ascii="Book Antiqua" w:hAnsi="Book Antiqua"/>
          <w:bCs/>
          <w:sz w:val="22"/>
          <w:szCs w:val="22"/>
        </w:rPr>
        <w:t>ch v sústave súdov Slovenskej republiky (Č</w:t>
      </w:r>
      <w:r w:rsidR="006B700E">
        <w:rPr>
          <w:rFonts w:ascii="Book Antiqua" w:hAnsi="Book Antiqua"/>
          <w:bCs/>
          <w:sz w:val="22"/>
          <w:szCs w:val="22"/>
        </w:rPr>
        <w:t>l. 145a ods. 1 Ústavy Slovenskej republiky</w:t>
      </w:r>
      <w:r w:rsidRPr="00AE5220" w:rsidR="006F21FC">
        <w:rPr>
          <w:rFonts w:ascii="Book Antiqua" w:hAnsi="Book Antiqua"/>
          <w:bCs/>
          <w:sz w:val="22"/>
          <w:szCs w:val="22"/>
        </w:rPr>
        <w:t>).</w:t>
      </w:r>
      <w:r w:rsidRPr="00AE5220" w:rsidR="00201A3E">
        <w:rPr>
          <w:rFonts w:ascii="Book Antiqua" w:hAnsi="Book Antiqua"/>
          <w:bCs/>
          <w:sz w:val="22"/>
          <w:szCs w:val="22"/>
        </w:rPr>
        <w:t xml:space="preserve"> </w:t>
      </w:r>
    </w:p>
    <w:p w:rsidR="006B700E" w:rsidP="00A70BB7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E5220" w:rsidR="00EE2B03">
        <w:rPr>
          <w:rFonts w:ascii="Book Antiqua" w:hAnsi="Book Antiqua"/>
          <w:sz w:val="22"/>
          <w:szCs w:val="22"/>
        </w:rPr>
        <w:t xml:space="preserve">Politická nestrannosť predsedu </w:t>
      </w:r>
      <w:r>
        <w:rPr>
          <w:rFonts w:ascii="Book Antiqua" w:hAnsi="Book Antiqua"/>
          <w:sz w:val="22"/>
          <w:szCs w:val="22"/>
        </w:rPr>
        <w:t>parlamentu je jedným</w:t>
      </w:r>
      <w:r w:rsidRPr="00AE5220" w:rsidR="00EE2B03">
        <w:rPr>
          <w:rFonts w:ascii="Book Antiqua" w:hAnsi="Book Antiqua"/>
          <w:sz w:val="22"/>
          <w:szCs w:val="22"/>
        </w:rPr>
        <w:t xml:space="preserve"> z najdôležitejších </w:t>
      </w:r>
      <w:r>
        <w:rPr>
          <w:rFonts w:ascii="Book Antiqua" w:hAnsi="Book Antiqua"/>
          <w:sz w:val="22"/>
          <w:szCs w:val="22"/>
        </w:rPr>
        <w:t>znakov</w:t>
      </w:r>
      <w:r w:rsidRPr="00AE5220" w:rsidR="00EE2B03">
        <w:rPr>
          <w:rFonts w:ascii="Book Antiqua" w:hAnsi="Book Antiqua"/>
          <w:sz w:val="22"/>
          <w:szCs w:val="22"/>
        </w:rPr>
        <w:t xml:space="preserve"> tejto funkcie. Ak je raz poslanec zvolený z</w:t>
      </w:r>
      <w:r>
        <w:rPr>
          <w:rFonts w:ascii="Book Antiqua" w:hAnsi="Book Antiqua"/>
          <w:sz w:val="22"/>
          <w:szCs w:val="22"/>
        </w:rPr>
        <w:t>a predsedu NR SR, je z hľadiska politickej nestrannosti žiaduce, aby zrušil</w:t>
      </w:r>
      <w:r w:rsidRPr="00AE5220" w:rsidR="00EE2B03">
        <w:rPr>
          <w:rFonts w:ascii="Book Antiqua" w:hAnsi="Book Antiqua"/>
          <w:sz w:val="22"/>
          <w:szCs w:val="22"/>
        </w:rPr>
        <w:t xml:space="preserve"> všetky väzby so svojou politickou stranou alebo politickým hnutím a vo všetkých asp</w:t>
      </w:r>
      <w:r>
        <w:rPr>
          <w:rFonts w:ascii="Book Antiqua" w:hAnsi="Book Antiqua"/>
          <w:sz w:val="22"/>
          <w:szCs w:val="22"/>
        </w:rPr>
        <w:t>ektoch výkonu funkcie sa zameral</w:t>
      </w:r>
      <w:r w:rsidRPr="00AE5220" w:rsidR="00EE2B03">
        <w:rPr>
          <w:rFonts w:ascii="Book Antiqua" w:hAnsi="Book Antiqua"/>
          <w:sz w:val="22"/>
          <w:szCs w:val="22"/>
        </w:rPr>
        <w:t xml:space="preserve"> na odbornosť, spravodlivosť</w:t>
      </w:r>
      <w:r w:rsidRPr="00AE5220" w:rsidR="00A70BB7">
        <w:rPr>
          <w:rFonts w:ascii="Book Antiqua" w:hAnsi="Book Antiqua"/>
          <w:sz w:val="22"/>
          <w:szCs w:val="22"/>
        </w:rPr>
        <w:t xml:space="preserve"> a objektivitu.</w:t>
      </w:r>
      <w:r w:rsidRPr="00AE5220" w:rsidR="00963691">
        <w:rPr>
          <w:rFonts w:ascii="Book Antiqua" w:hAnsi="Book Antiqua"/>
          <w:sz w:val="22"/>
          <w:szCs w:val="22"/>
        </w:rPr>
        <w:t xml:space="preserve"> </w:t>
      </w:r>
    </w:p>
    <w:p w:rsidR="006B700E" w:rsidP="00A70BB7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E5220" w:rsidR="00963691">
        <w:rPr>
          <w:rFonts w:ascii="Book Antiqua" w:hAnsi="Book Antiqua"/>
          <w:sz w:val="22"/>
          <w:szCs w:val="22"/>
        </w:rPr>
        <w:t>Takúto zábezpeku nestrannosti</w:t>
      </w:r>
      <w:r>
        <w:rPr>
          <w:rFonts w:ascii="Book Antiqua" w:hAnsi="Book Antiqua"/>
          <w:sz w:val="22"/>
          <w:szCs w:val="22"/>
        </w:rPr>
        <w:t>, ktorá sa viaže nielen na členstvo v politickej strane alebo hnutí, ale aj na konanie v ich prospech alebo vystupovanie v ich mene,</w:t>
      </w:r>
      <w:r w:rsidRPr="00AE5220" w:rsidR="00963691">
        <w:rPr>
          <w:rFonts w:ascii="Book Antiqua" w:hAnsi="Book Antiqua"/>
          <w:sz w:val="22"/>
          <w:szCs w:val="22"/>
        </w:rPr>
        <w:t xml:space="preserve"> už aj v súčasnosti upravujú niektoré zákony, napr. zákon č. 474/2005 Z. z. o Slovákoch žijúcich v zahraničí a o zmene a doplnení niektorých zákonov v znení neskorších predpisov (§ 4 ods. 5) alebo zákon č. </w:t>
      </w:r>
      <w:r w:rsidRPr="00AE5220" w:rsidR="00C1493F">
        <w:rPr>
          <w:rFonts w:ascii="Book Antiqua" w:hAnsi="Book Antiqua"/>
          <w:sz w:val="22"/>
          <w:szCs w:val="22"/>
        </w:rPr>
        <w:t>343/2015 Z. z. o verejnom obstarávaní a o zmene a doplnení niektorých zákonov v znení zákona č. 438/2015 Z. z. (§ 141 ods. 3).</w:t>
      </w:r>
      <w:r w:rsidRPr="00AE5220" w:rsidR="00A106DE">
        <w:rPr>
          <w:rFonts w:ascii="Book Antiqua" w:hAnsi="Book Antiqua"/>
          <w:sz w:val="22"/>
          <w:szCs w:val="22"/>
        </w:rPr>
        <w:t xml:space="preserve"> </w:t>
      </w:r>
    </w:p>
    <w:p w:rsidR="006B700E" w:rsidP="00A70BB7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Takýto princíp nestrannosti výkonu funkcie predsedu parlamentu je zakotvený nielen v právnych predpisoch Spojeného kráľovstva Veľkej Británie a Severného Írska, ale je aj súčasťou politickej kultúry viacerých iných európskych krajín, napr. Rakúska alebo Fínska.</w:t>
      </w:r>
    </w:p>
    <w:p w:rsidR="00D04C4B" w:rsidRPr="006B700E" w:rsidP="00A70BB7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B700E" w:rsidR="00915C66">
        <w:rPr>
          <w:rFonts w:ascii="Book Antiqua" w:hAnsi="Book Antiqua"/>
          <w:sz w:val="22"/>
          <w:szCs w:val="22"/>
        </w:rPr>
        <w:t>Súčasťou navrhovanej úpravy je aj ustanovenie</w:t>
      </w:r>
      <w:r w:rsidRPr="006B700E" w:rsidR="00A106DE">
        <w:rPr>
          <w:rFonts w:ascii="Book Antiqua" w:hAnsi="Book Antiqua"/>
          <w:sz w:val="22"/>
          <w:szCs w:val="22"/>
        </w:rPr>
        <w:t xml:space="preserve">, aby obmedzenia vo vzťahu k členstvu v politickej </w:t>
      </w:r>
      <w:r w:rsidRPr="006B700E" w:rsidR="00915C66">
        <w:rPr>
          <w:rFonts w:ascii="Book Antiqua" w:hAnsi="Book Antiqua"/>
          <w:sz w:val="22"/>
          <w:szCs w:val="22"/>
        </w:rPr>
        <w:t>strane alebo v politickom</w:t>
      </w:r>
      <w:r w:rsidRPr="006B700E" w:rsidR="00702776">
        <w:rPr>
          <w:rFonts w:ascii="Book Antiqua" w:hAnsi="Book Antiqua"/>
          <w:sz w:val="22"/>
          <w:szCs w:val="22"/>
        </w:rPr>
        <w:t xml:space="preserve"> hnutí, rovnako ako aj</w:t>
      </w:r>
      <w:r w:rsidRPr="006B700E" w:rsidR="00915C66">
        <w:rPr>
          <w:rFonts w:ascii="Book Antiqua" w:hAnsi="Book Antiqua"/>
          <w:sz w:val="22"/>
          <w:szCs w:val="22"/>
        </w:rPr>
        <w:t xml:space="preserve"> aktívne vystupovanie a pôsobenie v prospech takejto strany alebo hnutia </w:t>
      </w:r>
      <w:r w:rsidRPr="006B700E" w:rsidR="006B700E">
        <w:rPr>
          <w:rFonts w:ascii="Book Antiqua" w:hAnsi="Book Antiqua"/>
          <w:sz w:val="22"/>
          <w:szCs w:val="22"/>
        </w:rPr>
        <w:t xml:space="preserve">sa vzťahovali na predsedu NR SR aj počas jedného roka od skončenia výkonu jeho funkcie. Skončenie výkonu funkcie predsedu NR SR </w:t>
      </w:r>
      <w:r w:rsidR="006B700E">
        <w:rPr>
          <w:rFonts w:ascii="Book Antiqua" w:hAnsi="Book Antiqua"/>
          <w:sz w:val="22"/>
          <w:szCs w:val="22"/>
        </w:rPr>
        <w:t xml:space="preserve">sa posudzuje </w:t>
      </w:r>
      <w:r w:rsidRPr="006B700E" w:rsidR="006B700E">
        <w:rPr>
          <w:rFonts w:ascii="Book Antiqua" w:hAnsi="Book Antiqua"/>
          <w:sz w:val="22"/>
          <w:szCs w:val="22"/>
        </w:rPr>
        <w:t xml:space="preserve">s prihliadnutím na čl. 89 ods. 4 Ústavy Slovenskej republiky (terajší </w:t>
      </w:r>
      <w:r w:rsidR="006B700E">
        <w:rPr>
          <w:rFonts w:ascii="Book Antiqua" w:hAnsi="Book Antiqua"/>
          <w:sz w:val="22"/>
          <w:szCs w:val="22"/>
        </w:rPr>
        <w:t xml:space="preserve">  </w:t>
      </w:r>
      <w:r w:rsidRPr="006B700E" w:rsidR="006B700E">
        <w:rPr>
          <w:rFonts w:ascii="Book Antiqua" w:hAnsi="Book Antiqua"/>
          <w:sz w:val="22"/>
          <w:szCs w:val="22"/>
        </w:rPr>
        <w:t>čl. 89 ods. 3 Ústavy Slovenskej republiky), podľa ktorého: „</w:t>
      </w:r>
      <w:r w:rsidRPr="006B700E" w:rsidR="006B700E">
        <w:rPr>
          <w:rFonts w:ascii="Book Antiqua" w:hAnsi="Book Antiqua" w:cs="Segoe UI"/>
          <w:i/>
          <w:sz w:val="22"/>
          <w:szCs w:val="22"/>
          <w:shd w:val="clear" w:color="auto" w:fill="FFFFFF"/>
        </w:rPr>
        <w:t>Predseda Národnej rady Slovenskej republiky ostáva vo funkcii aj po uplynutí volebného obdobia, kým si Národná rada Slovenskej republiky nezvolí nového predsedu</w:t>
      </w:r>
      <w:r w:rsidRPr="006B700E" w:rsidR="006B700E">
        <w:rPr>
          <w:rFonts w:ascii="Book Antiqua" w:hAnsi="Book Antiqua"/>
          <w:i/>
          <w:sz w:val="22"/>
          <w:szCs w:val="22"/>
        </w:rPr>
        <w:t>.</w:t>
      </w:r>
      <w:r w:rsidRPr="006B700E" w:rsidR="006B700E">
        <w:rPr>
          <w:rFonts w:ascii="Book Antiqua" w:hAnsi="Book Antiqua"/>
          <w:sz w:val="22"/>
          <w:szCs w:val="22"/>
        </w:rPr>
        <w:t>“.</w:t>
      </w:r>
    </w:p>
    <w:p w:rsidR="009A636C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E5220" w:rsidR="001651ED">
        <w:rPr>
          <w:rFonts w:ascii="Book Antiqua" w:hAnsi="Book Antiqua"/>
          <w:bCs/>
          <w:sz w:val="22"/>
          <w:szCs w:val="22"/>
          <w:u w:val="single"/>
        </w:rPr>
        <w:t>K bodu 2</w:t>
      </w:r>
    </w:p>
    <w:p w:rsidR="00D04C4B" w:rsidP="006B700E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E5220" w:rsidR="00180DE1">
        <w:rPr>
          <w:rFonts w:ascii="Book Antiqua" w:hAnsi="Book Antiqua" w:cs="Book Antiqua"/>
          <w:bCs/>
          <w:sz w:val="22"/>
          <w:szCs w:val="22"/>
        </w:rPr>
        <w:t>Legislatívno-technická úprava bezpros</w:t>
      </w:r>
      <w:r w:rsidRPr="00AE5220" w:rsidR="005A647B">
        <w:rPr>
          <w:rFonts w:ascii="Book Antiqua" w:hAnsi="Book Antiqua" w:cs="Book Antiqua"/>
          <w:bCs/>
          <w:sz w:val="22"/>
          <w:szCs w:val="22"/>
        </w:rPr>
        <w:t>tredne súvisiaca s</w:t>
      </w:r>
      <w:r w:rsidRPr="00AE5220" w:rsidR="00963691">
        <w:rPr>
          <w:rFonts w:ascii="Book Antiqua" w:hAnsi="Book Antiqua" w:cs="Book Antiqua"/>
          <w:bCs/>
          <w:sz w:val="22"/>
          <w:szCs w:val="22"/>
        </w:rPr>
        <w:t> </w:t>
      </w:r>
      <w:r w:rsidRPr="00AE5220" w:rsidR="00963691">
        <w:rPr>
          <w:rFonts w:ascii="Book Antiqua" w:hAnsi="Book Antiqua"/>
          <w:bCs/>
          <w:sz w:val="22"/>
          <w:szCs w:val="22"/>
        </w:rPr>
        <w:t>Č</w:t>
      </w:r>
      <w:r w:rsidRPr="00AE5220" w:rsidR="00963691">
        <w:rPr>
          <w:rFonts w:ascii="Book Antiqua" w:hAnsi="Book Antiqua" w:cs="Book Antiqua"/>
          <w:bCs/>
          <w:sz w:val="22"/>
          <w:szCs w:val="22"/>
        </w:rPr>
        <w:t xml:space="preserve">l. I </w:t>
      </w:r>
      <w:r w:rsidRPr="00AE5220">
        <w:rPr>
          <w:rFonts w:ascii="Book Antiqua" w:hAnsi="Book Antiqua"/>
          <w:bCs/>
          <w:sz w:val="22"/>
          <w:szCs w:val="22"/>
        </w:rPr>
        <w:t>bodom 1</w:t>
      </w:r>
      <w:r w:rsidRPr="00AE5220" w:rsidR="00180DE1">
        <w:rPr>
          <w:rFonts w:ascii="Book Antiqua" w:hAnsi="Book Antiqua" w:cs="Book Antiqua"/>
          <w:bCs/>
          <w:sz w:val="22"/>
          <w:szCs w:val="22"/>
        </w:rPr>
        <w:t xml:space="preserve"> tohto návrhu ústavného zákona.</w:t>
      </w:r>
    </w:p>
    <w:p w:rsidR="006B700E" w:rsidRPr="00AE5220" w:rsidP="006B700E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AE5220">
        <w:rPr>
          <w:rFonts w:ascii="Book Antiqua" w:hAnsi="Book Antiqua"/>
          <w:b/>
          <w:sz w:val="22"/>
          <w:szCs w:val="22"/>
        </w:rPr>
        <w:t>K Čl. II</w:t>
      </w:r>
    </w:p>
    <w:p w:rsidR="00E03A95" w:rsidRPr="00AE5220" w:rsidP="00A70BB7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E5220">
        <w:rPr>
          <w:rFonts w:ascii="Book Antiqua" w:hAnsi="Book Antiqua"/>
          <w:sz w:val="22"/>
          <w:szCs w:val="22"/>
        </w:rPr>
        <w:t xml:space="preserve">Navrhuje sa účinnosť predkladaného návrhu ústavného zákona, so zohľadnením potrebnej dĺžky legisvakančnej lehoty, na 1. </w:t>
      </w:r>
      <w:r w:rsidRPr="00AE5220" w:rsidR="005A647B">
        <w:rPr>
          <w:rFonts w:ascii="Book Antiqua" w:hAnsi="Book Antiqua"/>
          <w:sz w:val="22"/>
          <w:szCs w:val="22"/>
        </w:rPr>
        <w:t>marca</w:t>
      </w:r>
      <w:r w:rsidRPr="00AE5220" w:rsidR="00CA18DE">
        <w:rPr>
          <w:rFonts w:ascii="Book Antiqua" w:hAnsi="Book Antiqua"/>
          <w:sz w:val="22"/>
          <w:szCs w:val="22"/>
        </w:rPr>
        <w:t xml:space="preserve"> 2017</w:t>
      </w:r>
      <w:r w:rsidRPr="00AE5220" w:rsidR="00795176">
        <w:rPr>
          <w:rFonts w:ascii="Book Antiqua" w:hAnsi="Book Antiqua"/>
          <w:sz w:val="22"/>
          <w:szCs w:val="22"/>
        </w:rPr>
        <w:t>.</w:t>
      </w:r>
      <w:r w:rsidRPr="00AE5220" w:rsidR="00963691">
        <w:rPr>
          <w:rFonts w:ascii="Book Antiqua" w:hAnsi="Book Antiqua"/>
          <w:sz w:val="22"/>
          <w:szCs w:val="22"/>
        </w:rPr>
        <w:t xml:space="preserve"> Prechodné ustanovenia sa nenavrhujú, pretože zámerom je, aby takáto nová úprava platila aj na terajšieho predsedu NR SR. Slovo „bezprostredne“ v novom znení § 89 ods. 2 znamená okamžite, ako to je objektívne možné, t.j. v prípade terajšieho predsedu NR SR okamžite po nadobudnutí účinnosti tohto ústavného zákona.</w:t>
      </w:r>
    </w:p>
    <w:p w:rsidR="00E03A95" w:rsidRPr="00AE5220" w:rsidP="00A70BB7">
      <w:pPr>
        <w:pStyle w:val="NormalWeb"/>
        <w:pageBreakBefore/>
        <w:bidi w:val="0"/>
        <w:spacing w:before="120" w:after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AE5220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E03A95" w:rsidRPr="00AE5220" w:rsidP="00A70BB7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E5220">
        <w:rPr>
          <w:rFonts w:ascii="Book Antiqua" w:hAnsi="Book Antiqua"/>
          <w:b/>
          <w:bCs/>
          <w:sz w:val="22"/>
          <w:szCs w:val="22"/>
        </w:rPr>
        <w:t>návrhu ústavného zákona</w:t>
      </w:r>
      <w:r w:rsidRPr="00AE5220">
        <w:rPr>
          <w:rFonts w:ascii="Book Antiqua" w:hAnsi="Book Antiqua"/>
          <w:sz w:val="22"/>
          <w:szCs w:val="22"/>
        </w:rPr>
        <w:t xml:space="preserve"> </w:t>
      </w:r>
      <w:r w:rsidRPr="00AE5220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5220">
        <w:rPr>
          <w:rFonts w:ascii="Book Antiqua" w:hAnsi="Book Antiqua"/>
          <w:sz w:val="22"/>
          <w:szCs w:val="22"/>
        </w:rPr>
        <w:t> </w:t>
      </w: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5220">
        <w:rPr>
          <w:rFonts w:ascii="Book Antiqua" w:hAnsi="Book Antiqua"/>
          <w:b/>
          <w:bCs/>
          <w:sz w:val="22"/>
          <w:szCs w:val="22"/>
        </w:rPr>
        <w:t>1. Navrhovateľ ústavného zákona:</w:t>
      </w:r>
      <w:r w:rsidRPr="00AE5220" w:rsidR="00A70BB7">
        <w:rPr>
          <w:rFonts w:ascii="Book Antiqua" w:hAnsi="Book Antiqua"/>
          <w:sz w:val="22"/>
          <w:szCs w:val="22"/>
        </w:rPr>
        <w:t xml:space="preserve"> </w:t>
      </w:r>
      <w:r w:rsidR="006B700E">
        <w:rPr>
          <w:rFonts w:ascii="Book Antiqua" w:hAnsi="Book Antiqua"/>
          <w:sz w:val="22"/>
          <w:szCs w:val="22"/>
        </w:rPr>
        <w:t xml:space="preserve">skupina poslancov </w:t>
      </w:r>
      <w:r w:rsidRPr="00AE5220">
        <w:rPr>
          <w:rFonts w:ascii="Book Antiqua" w:hAnsi="Book Antiqua"/>
          <w:sz w:val="22"/>
          <w:szCs w:val="22"/>
        </w:rPr>
        <w:t>Nár</w:t>
      </w:r>
      <w:r w:rsidR="006B700E">
        <w:rPr>
          <w:rFonts w:ascii="Book Antiqua" w:hAnsi="Book Antiqua"/>
          <w:sz w:val="22"/>
          <w:szCs w:val="22"/>
        </w:rPr>
        <w:t>odnej rady Slovenskej republiky</w:t>
      </w: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5220">
        <w:rPr>
          <w:rFonts w:ascii="Book Antiqua" w:hAnsi="Book Antiqua"/>
          <w:sz w:val="22"/>
          <w:szCs w:val="22"/>
        </w:rPr>
        <w:t> </w:t>
      </w: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5220">
        <w:rPr>
          <w:rFonts w:ascii="Book Antiqua" w:hAnsi="Book Antiqua"/>
          <w:b/>
          <w:bCs/>
          <w:sz w:val="22"/>
          <w:szCs w:val="22"/>
        </w:rPr>
        <w:t>2. Názov návrhu ústavného zákona:</w:t>
      </w:r>
      <w:r w:rsidRPr="00AE5220">
        <w:rPr>
          <w:rFonts w:ascii="Book Antiqua" w:hAnsi="Book Antiqua"/>
          <w:sz w:val="22"/>
          <w:szCs w:val="22"/>
        </w:rPr>
        <w:t xml:space="preserve"> návrh ústavného zákona, ktorým sa mení a dopĺňa Ústava Slovenskej republiky č. 460/1992 Zb. v znení neskorších predpisov</w:t>
      </w: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E5220">
        <w:rPr>
          <w:rFonts w:ascii="Book Antiqua" w:hAnsi="Book Antiqua"/>
          <w:b/>
          <w:bCs/>
          <w:sz w:val="22"/>
          <w:szCs w:val="22"/>
        </w:rPr>
        <w:t>3. Predmet návrhu ústavného zákona:</w:t>
      </w:r>
    </w:p>
    <w:p w:rsidR="00E03A95" w:rsidRPr="00AE5220" w:rsidP="00A70BB7">
      <w:pPr>
        <w:pStyle w:val="NormalWeb"/>
        <w:numPr>
          <w:ilvl w:val="0"/>
          <w:numId w:val="2"/>
        </w:numPr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E5220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E03A95" w:rsidRPr="00AE5220" w:rsidP="00A70BB7">
      <w:pPr>
        <w:pStyle w:val="NormalWeb"/>
        <w:numPr>
          <w:ilvl w:val="0"/>
          <w:numId w:val="2"/>
        </w:numPr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E5220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E03A95" w:rsidRPr="00AE5220" w:rsidP="00A70BB7">
      <w:pPr>
        <w:pStyle w:val="NormalWeb"/>
        <w:numPr>
          <w:ilvl w:val="0"/>
          <w:numId w:val="2"/>
        </w:numPr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E5220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E5220">
        <w:rPr>
          <w:rFonts w:ascii="Book Antiqua" w:hAnsi="Book Antiqua"/>
          <w:b/>
          <w:bCs/>
          <w:sz w:val="22"/>
          <w:szCs w:val="22"/>
        </w:rPr>
        <w:t>Vzhľadom na to, že predmet návrhu ústavného zákona nie je upravený v práve Európskej únie, je bezpredmetné vyjadrovať sa k bodom 4. a 5.</w:t>
      </w:r>
    </w:p>
    <w:p w:rsidR="00E03A95" w:rsidRPr="00AE5220" w:rsidP="00A70BB7">
      <w:pPr>
        <w:bidi w:val="0"/>
        <w:spacing w:before="120" w:line="276" w:lineRule="auto"/>
        <w:ind w:left="341"/>
        <w:jc w:val="both"/>
        <w:rPr>
          <w:rFonts w:ascii="Book Antiqua" w:hAnsi="Book Antiqua"/>
          <w:b/>
          <w:sz w:val="22"/>
          <w:szCs w:val="22"/>
        </w:rPr>
      </w:pPr>
      <w:r w:rsidRPr="00AE5220">
        <w:rPr>
          <w:rFonts w:ascii="Book Antiqua" w:hAnsi="Book Antiqua"/>
          <w:b/>
          <w:sz w:val="22"/>
          <w:szCs w:val="22"/>
        </w:rPr>
        <w:t xml:space="preserve"> </w:t>
      </w:r>
    </w:p>
    <w:p w:rsidR="00E03A95" w:rsidRPr="00AE5220" w:rsidP="00A70BB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AE5220" w:rsidP="00A70BB7">
      <w:pPr>
        <w:tabs>
          <w:tab w:val="left" w:pos="341"/>
        </w:tabs>
        <w:autoSpaceDE w:val="0"/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6B700E" w:rsidP="00A70BB7">
      <w:pPr>
        <w:tabs>
          <w:tab w:val="left" w:pos="341"/>
        </w:tabs>
        <w:autoSpaceDE w:val="0"/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03A95" w:rsidRPr="00AE5220" w:rsidP="00A70BB7">
      <w:pPr>
        <w:tabs>
          <w:tab w:val="left" w:pos="341"/>
        </w:tabs>
        <w:autoSpaceDE w:val="0"/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AE5220">
        <w:rPr>
          <w:rFonts w:ascii="Book Antiqua" w:hAnsi="Book Antiqua"/>
          <w:b/>
          <w:bCs/>
          <w:caps/>
          <w:spacing w:val="30"/>
          <w:sz w:val="22"/>
          <w:szCs w:val="22"/>
        </w:rPr>
        <w:t>Doložka</w:t>
      </w:r>
    </w:p>
    <w:p w:rsidR="00E03A95" w:rsidRPr="00AE5220" w:rsidP="00A70BB7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E5220">
        <w:rPr>
          <w:rFonts w:ascii="Book Antiqua" w:hAnsi="Book Antiqua"/>
          <w:b/>
          <w:bCs/>
          <w:sz w:val="22"/>
          <w:szCs w:val="22"/>
        </w:rPr>
        <w:t>vybraných vplyvov</w:t>
      </w:r>
    </w:p>
    <w:p w:rsidR="00E03A95" w:rsidRPr="00AE5220" w:rsidP="00A70BB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5220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AE5220">
        <w:rPr>
          <w:rFonts w:ascii="Book Antiqua" w:hAnsi="Book Antiqua"/>
          <w:sz w:val="22"/>
          <w:szCs w:val="22"/>
        </w:rPr>
        <w:t>návrh ústavného zákona, ktorým sa mení a dopĺňa Ústava Slovenskej republiky č. 460/1992 Zb. v znení neskorších predpisov</w:t>
      </w: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AE5220">
        <w:rPr>
          <w:rFonts w:ascii="Book Antiqua" w:hAnsi="Book Antiqua"/>
          <w:b/>
          <w:bCs/>
          <w:sz w:val="22"/>
          <w:szCs w:val="22"/>
        </w:rPr>
        <w:t>        Termín začatia a ukončenia PPK:</w:t>
      </w:r>
      <w:r w:rsidRPr="00AE5220">
        <w:rPr>
          <w:rFonts w:ascii="Book Antiqua" w:hAnsi="Book Antiqua"/>
          <w:sz w:val="22"/>
          <w:szCs w:val="22"/>
        </w:rPr>
        <w:t xml:space="preserve"> </w:t>
      </w:r>
      <w:r w:rsidRPr="00AE5220">
        <w:rPr>
          <w:rFonts w:ascii="Book Antiqua" w:hAnsi="Book Antiqua"/>
          <w:i/>
          <w:iCs/>
          <w:sz w:val="22"/>
          <w:szCs w:val="22"/>
        </w:rPr>
        <w:t>bezpredmetné</w:t>
      </w: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E5220">
        <w:rPr>
          <w:rFonts w:ascii="Book Antiqua" w:hAnsi="Book Antiqua"/>
          <w:b/>
          <w:bCs/>
          <w:sz w:val="22"/>
          <w:szCs w:val="22"/>
        </w:rPr>
        <w:t> </w:t>
      </w: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E5220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Style w:val="TableNormal"/>
        <w:tblW w:w="0" w:type="auto"/>
        <w:tblInd w:w="-10" w:type="dxa"/>
        <w:tblLayout w:type="fixed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212"/>
      </w:tblGrid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 w:rsidR="00394B8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AE5220" w:rsidP="00A70BB7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522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:rsidR="00E03A95" w:rsidRPr="00AE5220" w:rsidP="00A70BB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  <w:r w:rsidRPr="00AE5220">
        <w:rPr>
          <w:rFonts w:ascii="Book Antiqua" w:hAnsi="Book Antiqua"/>
          <w:sz w:val="22"/>
          <w:szCs w:val="22"/>
        </w:rPr>
        <w:t> </w:t>
      </w: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E5220">
        <w:rPr>
          <w:rFonts w:ascii="Book Antiqua" w:hAnsi="Book Antiqua"/>
          <w:b/>
          <w:bCs/>
          <w:sz w:val="22"/>
          <w:szCs w:val="22"/>
        </w:rPr>
        <w:t>A.3. Poznámky</w:t>
      </w:r>
    </w:p>
    <w:p w:rsidR="00394B80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AE5220">
        <w:rPr>
          <w:rFonts w:ascii="Book Antiqua" w:hAnsi="Book Antiqua"/>
          <w:i/>
          <w:iCs/>
          <w:sz w:val="22"/>
          <w:szCs w:val="22"/>
        </w:rPr>
        <w:t>bezpredmetné</w:t>
      </w: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E5220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AE5220">
        <w:rPr>
          <w:rFonts w:ascii="Book Antiqua" w:hAnsi="Book Antiqua"/>
          <w:i/>
          <w:iCs/>
          <w:sz w:val="22"/>
          <w:szCs w:val="22"/>
        </w:rPr>
        <w:t>bezpredmetné</w:t>
      </w: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E5220">
        <w:rPr>
          <w:rFonts w:ascii="Book Antiqua" w:hAnsi="Book Antiqua"/>
          <w:b/>
          <w:bCs/>
          <w:sz w:val="22"/>
          <w:szCs w:val="22"/>
        </w:rPr>
        <w:t> </w:t>
      </w: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E5220">
        <w:rPr>
          <w:rFonts w:ascii="Book Antiqua" w:hAnsi="Book Antiqua"/>
          <w:b/>
          <w:bCs/>
          <w:sz w:val="22"/>
          <w:szCs w:val="22"/>
        </w:rPr>
        <w:t>A.5. Stanovisko gestorov</w:t>
      </w:r>
    </w:p>
    <w:p w:rsidR="00E03A95" w:rsidRPr="00AE5220" w:rsidP="00A70BB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AE5220">
        <w:rPr>
          <w:rFonts w:ascii="Book Antiqua" w:hAnsi="Book Antiqua"/>
          <w:i/>
          <w:iCs/>
          <w:sz w:val="22"/>
          <w:szCs w:val="22"/>
        </w:rPr>
        <w:t>Návrh ústavného zákona bol zaslaný na vyjadrenie Ministerstvu financií SR a stanovisko tohto ministerstva tvorí súčasť predkladaného materiálu.</w:t>
      </w: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6DE">
    <w:pPr>
      <w:pStyle w:val="Footer"/>
      <w:bidi w:val="0"/>
      <w:jc w:val="right"/>
      <w:rPr>
        <w:rFonts w:ascii="Times New Roman" w:hAnsi="Times New Roman"/>
      </w:rPr>
    </w:pPr>
    <w:r w:rsidR="006217CC">
      <w:rPr>
        <w:rFonts w:ascii="Times New Roman" w:hAnsi="Times New Roman"/>
      </w:rPr>
      <w:fldChar w:fldCharType="begin"/>
    </w:r>
    <w:r w:rsidR="006217CC">
      <w:rPr>
        <w:rFonts w:ascii="Times New Roman" w:hAnsi="Times New Roman"/>
      </w:rPr>
      <w:instrText>PAGE   \* MERGEFORMAT</w:instrText>
    </w:r>
    <w:r w:rsidR="006217CC">
      <w:rPr>
        <w:rFonts w:ascii="Times New Roman" w:hAnsi="Times New Roman"/>
      </w:rPr>
      <w:fldChar w:fldCharType="separate"/>
    </w:r>
    <w:r w:rsidR="00EA4BC0">
      <w:rPr>
        <w:rFonts w:ascii="Times New Roman" w:hAnsi="Times New Roman"/>
        <w:noProof/>
      </w:rPr>
      <w:t>1</w:t>
    </w:r>
    <w:r w:rsidR="006217CC">
      <w:rPr>
        <w:rFonts w:ascii="Times New Roman" w:hAnsi="Times New Roman"/>
      </w:rPr>
      <w:fldChar w:fldCharType="end"/>
    </w:r>
  </w:p>
  <w:p w:rsidR="00A106DE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6DE">
    <w:pPr>
      <w:bidi w:val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99C888E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2">
    <w:nsid w:val="00000002"/>
    <w:multiLevelType w:val="singleLevel"/>
    <w:tmpl w:val="00000002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characterSpacingControl w:val="doNotCompress"/>
  <w:compat/>
  <w:rsids>
    <w:rsidRoot w:val="009A636C"/>
    <w:rsid w:val="00014B7B"/>
    <w:rsid w:val="000256E0"/>
    <w:rsid w:val="000B37E7"/>
    <w:rsid w:val="000C4CE6"/>
    <w:rsid w:val="001651ED"/>
    <w:rsid w:val="00180DE1"/>
    <w:rsid w:val="00201A3E"/>
    <w:rsid w:val="002F022D"/>
    <w:rsid w:val="0030651A"/>
    <w:rsid w:val="00314F25"/>
    <w:rsid w:val="00394B80"/>
    <w:rsid w:val="003B164A"/>
    <w:rsid w:val="004C4CBB"/>
    <w:rsid w:val="005036FC"/>
    <w:rsid w:val="00507591"/>
    <w:rsid w:val="005645C7"/>
    <w:rsid w:val="005A647B"/>
    <w:rsid w:val="005D246D"/>
    <w:rsid w:val="006130E4"/>
    <w:rsid w:val="006217CC"/>
    <w:rsid w:val="0064030C"/>
    <w:rsid w:val="006A339F"/>
    <w:rsid w:val="006B700E"/>
    <w:rsid w:val="006C3973"/>
    <w:rsid w:val="006F21FC"/>
    <w:rsid w:val="00702776"/>
    <w:rsid w:val="007350FD"/>
    <w:rsid w:val="00795176"/>
    <w:rsid w:val="00830B56"/>
    <w:rsid w:val="008C6109"/>
    <w:rsid w:val="00915C66"/>
    <w:rsid w:val="0092580A"/>
    <w:rsid w:val="00931B52"/>
    <w:rsid w:val="009321B4"/>
    <w:rsid w:val="0094103B"/>
    <w:rsid w:val="00962BED"/>
    <w:rsid w:val="00963691"/>
    <w:rsid w:val="00973A12"/>
    <w:rsid w:val="009A4F11"/>
    <w:rsid w:val="009A636C"/>
    <w:rsid w:val="00A106DE"/>
    <w:rsid w:val="00A31FD7"/>
    <w:rsid w:val="00A5282A"/>
    <w:rsid w:val="00A53025"/>
    <w:rsid w:val="00A56168"/>
    <w:rsid w:val="00A70BB7"/>
    <w:rsid w:val="00A72D77"/>
    <w:rsid w:val="00AC1B7B"/>
    <w:rsid w:val="00AE5220"/>
    <w:rsid w:val="00B758CD"/>
    <w:rsid w:val="00C13BC6"/>
    <w:rsid w:val="00C1493F"/>
    <w:rsid w:val="00CA18DE"/>
    <w:rsid w:val="00D04C4B"/>
    <w:rsid w:val="00E03A95"/>
    <w:rsid w:val="00E21AB1"/>
    <w:rsid w:val="00EA4BC0"/>
    <w:rsid w:val="00EB00CB"/>
    <w:rsid w:val="00EE2B0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num" w:pos="432"/>
      </w:tabs>
      <w:autoSpaceDE w:val="0"/>
      <w:ind w:left="432" w:hanging="432"/>
      <w:jc w:val="center"/>
      <w:outlineLvl w:val="0"/>
    </w:pPr>
    <w:rPr>
      <w:rFonts w:ascii="Cambria" w:hAnsi="Cambria"/>
      <w:b/>
      <w:kern w:val="1"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num" w:pos="720"/>
      </w:tabs>
      <w:spacing w:before="240" w:after="60"/>
      <w:ind w:left="720" w:hanging="72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Book Antiqua" w:hAnsi="Book Antiqua" w:cs="Book Antiqu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3z0">
    <w:name w:val="WW8Num3z0"/>
    <w:rPr>
      <w:i w:val="0"/>
    </w:rPr>
  </w:style>
  <w:style w:type="character" w:customStyle="1" w:styleId="WW8Num3z1">
    <w:name w:val="WW8Num3z1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b/>
    </w:rPr>
  </w:style>
  <w:style w:type="character" w:customStyle="1" w:styleId="WW8Num6z1">
    <w:name w:val="WW8Num6z1"/>
  </w:style>
  <w:style w:type="character" w:customStyle="1" w:styleId="WW8Num7z0">
    <w:name w:val="WW8Num7z0"/>
    <w:rPr>
      <w:i w:val="0"/>
    </w:rPr>
  </w:style>
  <w:style w:type="character" w:customStyle="1" w:styleId="WW8Num7z1">
    <w:name w:val="WW8Num7z1"/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b/>
      <w:i w:val="0"/>
    </w:rPr>
  </w:style>
  <w:style w:type="character" w:customStyle="1" w:styleId="WW8Num11z2">
    <w:name w:val="WW8Num11z2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b w:val="0"/>
      <w:i w:val="0"/>
    </w:rPr>
  </w:style>
  <w:style w:type="character" w:customStyle="1" w:styleId="WW8Num15z3">
    <w:name w:val="WW8Num15z3"/>
    <w:rPr>
      <w:b/>
      <w:i w:val="0"/>
    </w:rPr>
  </w:style>
  <w:style w:type="character" w:customStyle="1" w:styleId="WW8Num15z5">
    <w:name w:val="WW8Num15z5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</w:style>
  <w:style w:type="character" w:customStyle="1" w:styleId="Predvolenpsmoodseku1">
    <w:name w:val="Predvolené písmo odseku1"/>
  </w:style>
  <w:style w:type="character" w:customStyle="1" w:styleId="Nadpis1Char">
    <w:name w:val="Nadpis 1 Char"/>
    <w:rPr>
      <w:rFonts w:ascii="Cambria" w:hAnsi="Cambria" w:cs="Cambria"/>
      <w:b/>
      <w:kern w:val="1"/>
      <w:sz w:val="32"/>
    </w:rPr>
  </w:style>
  <w:style w:type="character" w:customStyle="1" w:styleId="Nadpis3Char">
    <w:name w:val="Nadpis 3 Char"/>
    <w:rPr>
      <w:rFonts w:ascii="Cambria" w:hAnsi="Cambria" w:cs="Cambria"/>
      <w:b/>
      <w:sz w:val="26"/>
    </w:rPr>
  </w:style>
  <w:style w:type="character" w:customStyle="1" w:styleId="PtaChar">
    <w:name w:val="Päta Char"/>
    <w:uiPriority w:val="99"/>
    <w:rPr>
      <w:sz w:val="24"/>
    </w:rPr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styleId="PageNumber">
    <w:name w:val="page number"/>
  </w:style>
  <w:style w:type="character" w:customStyle="1" w:styleId="apple-converted-space">
    <w:name w:val="apple-converted-space"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</w:rPr>
  </w:style>
  <w:style w:type="character" w:customStyle="1" w:styleId="Odkaznakomentr1">
    <w:name w:val="Odkaz na komentár1"/>
    <w:rPr>
      <w:sz w:val="16"/>
    </w:rPr>
  </w:style>
  <w:style w:type="character" w:customStyle="1" w:styleId="TextkomentraChar">
    <w:name w:val="Text komentára Char"/>
  </w:style>
  <w:style w:type="character" w:customStyle="1" w:styleId="PredmetkomentraChar">
    <w:name w:val="Predmet komentára Char"/>
    <w:rPr>
      <w:b/>
    </w:rPr>
  </w:style>
  <w:style w:type="character" w:customStyle="1" w:styleId="HlavikaChar">
    <w:name w:val="Hlavička Char"/>
    <w:rPr>
      <w:sz w:val="24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List">
    <w:name w:val="List"/>
    <w:basedOn w:val="BodyText"/>
    <w:pPr>
      <w:jc w:val="left"/>
    </w:pPr>
    <w:rPr>
      <w:rFonts w:cs="Mangal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  <w:rPr>
      <w:szCs w:val="20"/>
    </w:rPr>
  </w:style>
  <w:style w:type="paragraph" w:styleId="BalloonText">
    <w:name w:val="Balloon Text"/>
    <w:basedOn w:val="Normal"/>
    <w:pPr>
      <w:jc w:val="left"/>
    </w:pPr>
    <w:rPr>
      <w:rFonts w:ascii="Tahoma" w:hAnsi="Tahoma"/>
      <w:sz w:val="16"/>
      <w:szCs w:val="20"/>
    </w:rPr>
  </w:style>
  <w:style w:type="paragraph" w:customStyle="1" w:styleId="titulok">
    <w:name w:val="titulok"/>
    <w:basedOn w:val="Normal"/>
    <w:pPr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pPr>
      <w:spacing w:before="280" w:after="280"/>
      <w:jc w:val="left"/>
    </w:pPr>
  </w:style>
  <w:style w:type="paragraph" w:customStyle="1" w:styleId="Textkomentra1">
    <w:name w:val="Text komentára1"/>
    <w:basedOn w:val="Normal"/>
    <w:pPr>
      <w:jc w:val="left"/>
    </w:pPr>
    <w:rPr>
      <w:sz w:val="20"/>
      <w:szCs w:val="20"/>
    </w:rPr>
  </w:style>
  <w:style w:type="paragraph" w:styleId="CommentSubject">
    <w:name w:val="annotation subject"/>
    <w:basedOn w:val="Textkomentra1"/>
    <w:next w:val="Textkomentra1"/>
    <w:pPr>
      <w:jc w:val="left"/>
    </w:pPr>
    <w:rPr>
      <w:b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spjarm.NCSR\Desktop\Normal.wpt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1079</Words>
  <Characters>6151</Characters>
  <Application>Microsoft Office Word</Application>
  <DocSecurity>0</DocSecurity>
  <Lines>0</Lines>
  <Paragraphs>0</Paragraphs>
  <ScaleCrop>false</ScaleCrop>
  <Company>Kancelaria NR SR</Company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Tomáš Mészáros</dc:creator>
  <cp:lastModifiedBy>Gašparíková, Jarmila</cp:lastModifiedBy>
  <cp:revision>2</cp:revision>
  <cp:lastPrinted>1901-01-01T00:00:00Z</cp:lastPrinted>
  <dcterms:created xsi:type="dcterms:W3CDTF">2016-10-27T16:38:00Z</dcterms:created>
  <dcterms:modified xsi:type="dcterms:W3CDTF">2016-10-27T16:38:00Z</dcterms:modified>
</cp:coreProperties>
</file>