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D761E" w:rsidRPr="00D74FF1" w:rsidP="005A0F5A">
      <w:pPr>
        <w:bidi w:val="0"/>
        <w:spacing w:after="0"/>
        <w:jc w:val="center"/>
        <w:rPr>
          <w:rFonts w:ascii="Times New Roman" w:hAnsi="Times New Roman" w:cs="Times New Roman"/>
          <w:b/>
          <w:bCs/>
          <w:sz w:val="24"/>
          <w:szCs w:val="24"/>
        </w:rPr>
      </w:pPr>
    </w:p>
    <w:p w:rsidR="000F1EA0" w:rsidRPr="00D74FF1" w:rsidP="005A0F5A">
      <w:pPr>
        <w:bidi w:val="0"/>
        <w:spacing w:after="0"/>
        <w:jc w:val="center"/>
        <w:rPr>
          <w:rFonts w:ascii="Times New Roman" w:hAnsi="Times New Roman" w:cs="Times New Roman"/>
          <w:b/>
          <w:bCs/>
          <w:sz w:val="24"/>
          <w:szCs w:val="24"/>
        </w:rPr>
      </w:pPr>
    </w:p>
    <w:p w:rsidR="000F1EA0" w:rsidRPr="00D74FF1" w:rsidP="005A0F5A">
      <w:pPr>
        <w:bidi w:val="0"/>
        <w:spacing w:after="0"/>
        <w:jc w:val="center"/>
        <w:rPr>
          <w:rFonts w:ascii="Times New Roman" w:hAnsi="Times New Roman" w:cs="Times New Roman"/>
          <w:b/>
          <w:bCs/>
          <w:sz w:val="24"/>
          <w:szCs w:val="24"/>
        </w:rPr>
      </w:pPr>
    </w:p>
    <w:p w:rsidR="000F1EA0" w:rsidRPr="00D74FF1" w:rsidP="005A0F5A">
      <w:pPr>
        <w:bidi w:val="0"/>
        <w:spacing w:after="0"/>
        <w:jc w:val="center"/>
        <w:rPr>
          <w:rFonts w:ascii="Times New Roman" w:hAnsi="Times New Roman" w:cs="Times New Roman"/>
          <w:b/>
          <w:bCs/>
          <w:sz w:val="24"/>
          <w:szCs w:val="24"/>
        </w:rPr>
      </w:pPr>
    </w:p>
    <w:p w:rsidR="000F1EA0" w:rsidRPr="00D74FF1" w:rsidP="005A0F5A">
      <w:pPr>
        <w:bidi w:val="0"/>
        <w:spacing w:after="0"/>
        <w:jc w:val="center"/>
        <w:rPr>
          <w:rFonts w:ascii="Times New Roman" w:hAnsi="Times New Roman" w:cs="Times New Roman"/>
          <w:b/>
          <w:bCs/>
          <w:sz w:val="24"/>
          <w:szCs w:val="24"/>
        </w:rPr>
      </w:pPr>
    </w:p>
    <w:p w:rsidR="000F1EA0" w:rsidRPr="00D74FF1" w:rsidP="005A0F5A">
      <w:pPr>
        <w:bidi w:val="0"/>
        <w:spacing w:after="0"/>
        <w:jc w:val="center"/>
        <w:rPr>
          <w:rFonts w:ascii="Times New Roman" w:hAnsi="Times New Roman" w:cs="Times New Roman"/>
          <w:b/>
          <w:bCs/>
          <w:sz w:val="24"/>
          <w:szCs w:val="24"/>
        </w:rPr>
      </w:pPr>
    </w:p>
    <w:p w:rsidR="000F1EA0" w:rsidRPr="00D74FF1" w:rsidP="005A0F5A">
      <w:pPr>
        <w:bidi w:val="0"/>
        <w:spacing w:after="0"/>
        <w:jc w:val="center"/>
        <w:rPr>
          <w:rFonts w:ascii="Times New Roman" w:hAnsi="Times New Roman" w:cs="Times New Roman"/>
          <w:b/>
          <w:bCs/>
          <w:sz w:val="24"/>
          <w:szCs w:val="24"/>
        </w:rPr>
      </w:pPr>
    </w:p>
    <w:p w:rsidR="000F1EA0" w:rsidRPr="00D74FF1" w:rsidP="005A0F5A">
      <w:pPr>
        <w:bidi w:val="0"/>
        <w:spacing w:after="0"/>
        <w:jc w:val="center"/>
        <w:rPr>
          <w:rFonts w:ascii="Times New Roman" w:hAnsi="Times New Roman" w:cs="Times New Roman"/>
          <w:b/>
          <w:bCs/>
          <w:sz w:val="24"/>
          <w:szCs w:val="24"/>
        </w:rPr>
      </w:pPr>
    </w:p>
    <w:p w:rsidR="000F1EA0" w:rsidRPr="00D74FF1" w:rsidP="005A0F5A">
      <w:pPr>
        <w:bidi w:val="0"/>
        <w:spacing w:after="0"/>
        <w:jc w:val="center"/>
        <w:rPr>
          <w:rFonts w:ascii="Times New Roman" w:hAnsi="Times New Roman" w:cs="Times New Roman"/>
          <w:b/>
          <w:bCs/>
          <w:sz w:val="24"/>
          <w:szCs w:val="24"/>
        </w:rPr>
      </w:pPr>
    </w:p>
    <w:p w:rsidR="000F1EA0" w:rsidRPr="00D74FF1" w:rsidP="005A0F5A">
      <w:pPr>
        <w:bidi w:val="0"/>
        <w:spacing w:after="0"/>
        <w:jc w:val="center"/>
        <w:rPr>
          <w:rFonts w:ascii="Times New Roman" w:hAnsi="Times New Roman" w:cs="Times New Roman"/>
          <w:b/>
          <w:bCs/>
          <w:sz w:val="24"/>
          <w:szCs w:val="24"/>
        </w:rPr>
      </w:pPr>
    </w:p>
    <w:p w:rsidR="000F1EA0" w:rsidRPr="00D74FF1" w:rsidP="005A0F5A">
      <w:pPr>
        <w:bidi w:val="0"/>
        <w:spacing w:after="0"/>
        <w:jc w:val="center"/>
        <w:rPr>
          <w:rFonts w:ascii="Times New Roman" w:hAnsi="Times New Roman" w:cs="Times New Roman"/>
          <w:b/>
          <w:bCs/>
          <w:sz w:val="24"/>
          <w:szCs w:val="24"/>
        </w:rPr>
      </w:pPr>
    </w:p>
    <w:p w:rsidR="006D761E" w:rsidRPr="00D74FF1" w:rsidP="005A0F5A">
      <w:pPr>
        <w:bidi w:val="0"/>
        <w:spacing w:after="0"/>
        <w:jc w:val="center"/>
        <w:rPr>
          <w:rFonts w:ascii="Times New Roman" w:hAnsi="Times New Roman" w:cs="Times New Roman"/>
          <w:b/>
          <w:bCs/>
          <w:sz w:val="24"/>
          <w:szCs w:val="24"/>
        </w:rPr>
      </w:pPr>
      <w:r w:rsidRPr="00D74FF1">
        <w:rPr>
          <w:rFonts w:ascii="Times New Roman" w:hAnsi="Times New Roman" w:cs="Times New Roman"/>
          <w:b/>
          <w:bCs/>
          <w:sz w:val="24"/>
          <w:szCs w:val="24"/>
        </w:rPr>
        <w:t>z</w:t>
      </w:r>
      <w:r w:rsidR="00D86AEF">
        <w:rPr>
          <w:rFonts w:ascii="Times New Roman" w:hAnsi="Times New Roman" w:cs="Times New Roman"/>
          <w:b/>
          <w:bCs/>
          <w:sz w:val="24"/>
          <w:szCs w:val="24"/>
        </w:rPr>
        <w:t> 12.</w:t>
      </w:r>
      <w:r w:rsidRPr="00D74FF1">
        <w:rPr>
          <w:rFonts w:ascii="Times New Roman" w:hAnsi="Times New Roman" w:cs="Times New Roman"/>
          <w:b/>
          <w:bCs/>
          <w:sz w:val="24"/>
          <w:szCs w:val="24"/>
        </w:rPr>
        <w:t xml:space="preserve"> </w:t>
      </w:r>
      <w:r w:rsidR="00B03560">
        <w:rPr>
          <w:rFonts w:ascii="Times New Roman" w:hAnsi="Times New Roman" w:cs="Times New Roman"/>
          <w:b/>
          <w:bCs/>
          <w:sz w:val="24"/>
          <w:szCs w:val="24"/>
        </w:rPr>
        <w:t xml:space="preserve">októbra </w:t>
      </w:r>
      <w:r w:rsidRPr="00D74FF1">
        <w:rPr>
          <w:rFonts w:ascii="Times New Roman" w:hAnsi="Times New Roman" w:cs="Times New Roman"/>
          <w:b/>
          <w:bCs/>
          <w:sz w:val="24"/>
          <w:szCs w:val="24"/>
        </w:rPr>
        <w:t>201</w:t>
      </w:r>
      <w:r w:rsidRPr="00D74FF1" w:rsidR="000537B8">
        <w:rPr>
          <w:rFonts w:ascii="Times New Roman" w:hAnsi="Times New Roman" w:cs="Times New Roman"/>
          <w:b/>
          <w:bCs/>
          <w:sz w:val="24"/>
          <w:szCs w:val="24"/>
        </w:rPr>
        <w:t>6</w:t>
      </w:r>
      <w:r w:rsidRPr="00D74FF1">
        <w:rPr>
          <w:rFonts w:ascii="Times New Roman" w:hAnsi="Times New Roman" w:cs="Times New Roman"/>
          <w:b/>
          <w:bCs/>
          <w:sz w:val="24"/>
          <w:szCs w:val="24"/>
        </w:rPr>
        <w:t>,</w:t>
      </w:r>
    </w:p>
    <w:p w:rsidR="006D761E" w:rsidRPr="00D74FF1" w:rsidP="005A0F5A">
      <w:pPr>
        <w:bidi w:val="0"/>
        <w:spacing w:after="0"/>
        <w:jc w:val="center"/>
        <w:rPr>
          <w:rFonts w:ascii="Times New Roman" w:hAnsi="Times New Roman" w:cs="Times New Roman"/>
          <w:b/>
          <w:bCs/>
          <w:sz w:val="24"/>
          <w:szCs w:val="24"/>
        </w:rPr>
      </w:pPr>
    </w:p>
    <w:p w:rsidR="000F1EA0" w:rsidRPr="00D74FF1" w:rsidP="005A0F5A">
      <w:pPr>
        <w:bidi w:val="0"/>
        <w:spacing w:after="0"/>
        <w:jc w:val="center"/>
        <w:rPr>
          <w:rFonts w:ascii="Times New Roman" w:hAnsi="Times New Roman" w:cs="Times New Roman"/>
          <w:b/>
          <w:bCs/>
          <w:sz w:val="24"/>
          <w:szCs w:val="24"/>
        </w:rPr>
      </w:pPr>
    </w:p>
    <w:p w:rsidR="000537B8" w:rsidRPr="00D74FF1" w:rsidP="000537B8">
      <w:pPr>
        <w:widowControl w:val="0"/>
        <w:bidi w:val="0"/>
        <w:jc w:val="center"/>
        <w:rPr>
          <w:rFonts w:ascii="Times New Roman" w:hAnsi="Times New Roman" w:cs="Times New Roman"/>
          <w:b/>
          <w:bCs/>
          <w:sz w:val="24"/>
          <w:szCs w:val="24"/>
        </w:rPr>
      </w:pPr>
      <w:r w:rsidRPr="00D74FF1">
        <w:rPr>
          <w:rFonts w:ascii="Times New Roman" w:hAnsi="Times New Roman" w:cs="Times New Roman"/>
          <w:b/>
          <w:bCs/>
          <w:sz w:val="24"/>
          <w:szCs w:val="24"/>
        </w:rPr>
        <w:t>ktorým sa mení a dopĺňa zákon č. 566/2001 Z. z. o cenných papieroch a investičných službách a o zmene a doplnení niektorých zákonov (zákon o cenných papieroch) v znení neskorších predpisov a ktorým sa menia a dopĺňajú niektoré zákony</w:t>
      </w:r>
    </w:p>
    <w:p w:rsidR="000537B8" w:rsidRPr="00D74FF1" w:rsidP="000537B8">
      <w:pPr>
        <w:widowControl w:val="0"/>
        <w:bidi w:val="0"/>
        <w:jc w:val="center"/>
        <w:rPr>
          <w:rFonts w:ascii="Times New Roman" w:hAnsi="Times New Roman" w:cs="Times New Roman"/>
          <w:b/>
          <w:bCs/>
          <w:sz w:val="24"/>
          <w:szCs w:val="24"/>
        </w:rPr>
      </w:pPr>
    </w:p>
    <w:p w:rsidR="000537B8" w:rsidRPr="00D74FF1" w:rsidP="000537B8">
      <w:pPr>
        <w:widowControl w:val="0"/>
        <w:bidi w:val="0"/>
        <w:spacing w:after="0"/>
        <w:ind w:firstLine="426"/>
        <w:rPr>
          <w:rFonts w:ascii="Times New Roman" w:hAnsi="Times New Roman" w:cs="Times New Roman"/>
          <w:bCs/>
          <w:sz w:val="24"/>
          <w:szCs w:val="24"/>
        </w:rPr>
      </w:pPr>
      <w:r w:rsidRPr="00D74FF1">
        <w:rPr>
          <w:rFonts w:ascii="Times New Roman" w:hAnsi="Times New Roman" w:cs="Times New Roman"/>
          <w:bCs/>
          <w:sz w:val="24"/>
          <w:szCs w:val="24"/>
        </w:rPr>
        <w:t>Národná rada Slovenskej republiky sa uzniesla na tomto zákone:</w:t>
      </w:r>
    </w:p>
    <w:p w:rsidR="000F1EA0" w:rsidRPr="00D74FF1" w:rsidP="000537B8">
      <w:pPr>
        <w:bidi w:val="0"/>
        <w:spacing w:after="0"/>
        <w:ind w:left="426" w:hanging="426"/>
        <w:jc w:val="center"/>
        <w:rPr>
          <w:rFonts w:ascii="Times New Roman" w:hAnsi="Times New Roman" w:cs="Times New Roman"/>
          <w:bCs/>
          <w:color w:val="000000"/>
          <w:sz w:val="24"/>
          <w:szCs w:val="24"/>
        </w:rPr>
      </w:pPr>
    </w:p>
    <w:p w:rsidR="00536EC9" w:rsidRPr="00D74FF1" w:rsidP="00536EC9">
      <w:pPr>
        <w:bidi w:val="0"/>
        <w:spacing w:after="0"/>
        <w:ind w:left="426" w:hanging="426"/>
        <w:jc w:val="center"/>
        <w:rPr>
          <w:rFonts w:ascii="Times New Roman" w:hAnsi="Times New Roman" w:cs="Times New Roman"/>
          <w:b/>
          <w:bCs/>
          <w:color w:val="000000"/>
          <w:sz w:val="24"/>
          <w:szCs w:val="24"/>
        </w:rPr>
      </w:pPr>
      <w:r w:rsidRPr="00D74FF1">
        <w:rPr>
          <w:rFonts w:ascii="Times New Roman" w:hAnsi="Times New Roman" w:cs="Times New Roman"/>
          <w:b/>
          <w:bCs/>
          <w:color w:val="000000"/>
          <w:sz w:val="24"/>
          <w:szCs w:val="24"/>
        </w:rPr>
        <w:t>Čl. I</w:t>
      </w:r>
    </w:p>
    <w:p w:rsidR="00536EC9" w:rsidRPr="00D74FF1" w:rsidP="00536EC9">
      <w:pPr>
        <w:widowControl w:val="0"/>
        <w:overflowPunct w:val="0"/>
        <w:bidi w:val="0"/>
        <w:adjustRightInd w:val="0"/>
        <w:spacing w:after="0"/>
        <w:jc w:val="center"/>
        <w:rPr>
          <w:rFonts w:ascii="Times New Roman" w:hAnsi="Times New Roman" w:cs="Times New Roman"/>
          <w:b/>
          <w:bCs/>
          <w:kern w:val="28"/>
          <w:sz w:val="24"/>
          <w:szCs w:val="24"/>
        </w:rPr>
      </w:pPr>
    </w:p>
    <w:p w:rsidR="00536EC9" w:rsidRPr="00D74FF1" w:rsidP="00536EC9">
      <w:pPr>
        <w:pStyle w:val="Default"/>
        <w:bidi w:val="0"/>
        <w:jc w:val="both"/>
        <w:rPr>
          <w:rFonts w:ascii="Times New Roman" w:hAnsi="Times New Roman" w:cs="Times New Roman"/>
          <w:kern w:val="28"/>
        </w:rPr>
      </w:pPr>
      <w:r w:rsidRPr="00D74FF1">
        <w:rPr>
          <w:rFonts w:ascii="Times New Roman" w:hAnsi="Times New Roman" w:cs="Times New Roman"/>
          <w:bCs/>
          <w:kern w:val="28"/>
        </w:rPr>
        <w:t>Zákon č. 566/2001 Z. z. o cenných papieroch a investičných službách</w:t>
      </w:r>
      <w:r w:rsidRPr="00D74FF1">
        <w:rPr>
          <w:rFonts w:ascii="Times New Roman" w:hAnsi="Times New Roman" w:cs="Times New Roman"/>
          <w:b/>
          <w:bCs/>
          <w:kern w:val="28"/>
        </w:rPr>
        <w:t xml:space="preserve"> </w:t>
      </w:r>
      <w:r w:rsidRPr="00D74FF1">
        <w:rPr>
          <w:rFonts w:ascii="Times New Roman" w:hAnsi="Times New Roman" w:cs="Times New Roman"/>
          <w:kern w:val="28"/>
        </w:rPr>
        <w:t>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w:t>
      </w:r>
      <w:r w:rsidRPr="00D74FF1">
        <w:rPr>
          <w:rFonts w:ascii="Times New Roman" w:hAnsi="Times New Roman" w:cs="Times New Roman"/>
          <w:b/>
          <w:bCs/>
          <w:kern w:val="28"/>
        </w:rPr>
        <w:t xml:space="preserve"> </w:t>
      </w:r>
      <w:r w:rsidRPr="00D74FF1">
        <w:rPr>
          <w:rFonts w:ascii="Times New Roman" w:hAnsi="Times New Roman" w:cs="Times New Roman"/>
          <w:kern w:val="28"/>
        </w:rPr>
        <w:t xml:space="preserve">505/2010 Z. z., zákona č. </w:t>
      </w:r>
      <w:r w:rsidRPr="00D74FF1">
        <w:rPr>
          <w:rFonts w:ascii="Times New Roman" w:hAnsi="Times New Roman" w:cs="Times New Roman"/>
          <w:bCs/>
          <w:kern w:val="28"/>
        </w:rPr>
        <w:t xml:space="preserve">46/2011 Z. z., zákona č. 130/2011 Z. z., zákona č. 394/2011 Z. z., zákona č. 520/2011 Z. z., zákona č. 440/2012 Z. z., zákona č. 132/2013 Z. z., zákona č. 206/2013 Z. z., zákona č. 352/2013 Z. z.,  zákona č. 213/2014 Z. z., zákona č. 371/2014 Z. z., zákona č. 39/2015 Z. z., zákona č. 117/2015 Z. z., </w:t>
      </w:r>
      <w:r w:rsidRPr="00D74FF1">
        <w:rPr>
          <w:rFonts w:ascii="Times New Roman" w:hAnsi="Times New Roman" w:cs="Times New Roman"/>
        </w:rPr>
        <w:t>zákona č. 253/2015 Z. z., zákona č. 323/2015 Z. z., zákona č. 359/2015 Z. z., zákona č. 361/2015 Z. z., zákona č. 375/2015 Z. z., zákona č. 388/2015 Z. z., zákona č. 389/2015 Z. z.,</w:t>
      </w:r>
      <w:r w:rsidRPr="00D74FF1">
        <w:rPr>
          <w:rFonts w:ascii="Times New Roman" w:hAnsi="Times New Roman" w:cs="Times New Roman"/>
          <w:bCs/>
          <w:kern w:val="28"/>
        </w:rPr>
        <w:t> zákona č. 437/2015 Z. z., zákona č. 91/2016 Z. z.</w:t>
      </w:r>
      <w:r w:rsidRPr="00D74FF1" w:rsidR="000F1EA0">
        <w:rPr>
          <w:rFonts w:ascii="Times New Roman" w:hAnsi="Times New Roman" w:cs="Times New Roman"/>
          <w:bCs/>
          <w:kern w:val="28"/>
        </w:rPr>
        <w:t>,</w:t>
      </w:r>
      <w:r w:rsidRPr="00D74FF1">
        <w:rPr>
          <w:rFonts w:ascii="Times New Roman" w:hAnsi="Times New Roman" w:cs="Times New Roman"/>
          <w:bCs/>
          <w:kern w:val="28"/>
        </w:rPr>
        <w:t> zákona č. 125/2016 Z. z.</w:t>
      </w:r>
      <w:r w:rsidRPr="00D74FF1" w:rsidR="005B73E8">
        <w:rPr>
          <w:rFonts w:ascii="Times New Roman" w:hAnsi="Times New Roman" w:cs="Times New Roman"/>
          <w:bCs/>
          <w:kern w:val="28"/>
        </w:rPr>
        <w:t xml:space="preserve"> a zákona č. .../2016 Z.z.</w:t>
      </w:r>
      <w:r w:rsidRPr="00D74FF1">
        <w:rPr>
          <w:rFonts w:ascii="Times New Roman" w:hAnsi="Times New Roman" w:cs="Times New Roman"/>
          <w:bCs/>
          <w:kern w:val="28"/>
        </w:rPr>
        <w:t xml:space="preserve"> s</w:t>
      </w:r>
      <w:r w:rsidRPr="00D74FF1">
        <w:rPr>
          <w:rFonts w:ascii="Times New Roman" w:hAnsi="Times New Roman" w:cs="Times New Roman"/>
          <w:kern w:val="28"/>
        </w:rPr>
        <w:t>a mení a dopĺňa takto:</w:t>
      </w:r>
    </w:p>
    <w:p w:rsidR="00536EC9" w:rsidRPr="00D74FF1" w:rsidP="00536EC9">
      <w:pPr>
        <w:widowControl w:val="0"/>
        <w:overflowPunct w:val="0"/>
        <w:bidi w:val="0"/>
        <w:adjustRightInd w:val="0"/>
        <w:spacing w:after="0"/>
        <w:ind w:firstLine="708"/>
        <w:jc w:val="both"/>
        <w:rPr>
          <w:rFonts w:ascii="Times New Roman" w:hAnsi="Times New Roman" w:cs="Times New Roman"/>
          <w:kern w:val="28"/>
          <w:sz w:val="24"/>
          <w:szCs w:val="24"/>
        </w:rPr>
      </w:pPr>
    </w:p>
    <w:p w:rsidR="00536EC9" w:rsidRPr="00D74FF1" w:rsidP="00536EC9">
      <w:pPr>
        <w:pStyle w:val="ListParagraph"/>
        <w:numPr>
          <w:numId w:val="10"/>
        </w:numPr>
        <w:bidi w:val="0"/>
        <w:spacing w:after="0" w:line="259" w:lineRule="auto"/>
        <w:ind w:left="426" w:firstLine="0"/>
        <w:contextualSpacing/>
        <w:jc w:val="both"/>
        <w:rPr>
          <w:rFonts w:ascii="Times New Roman" w:hAnsi="Times New Roman" w:cs="Times New Roman"/>
          <w:sz w:val="24"/>
          <w:szCs w:val="24"/>
        </w:rPr>
      </w:pPr>
      <w:r w:rsidRPr="00D74FF1">
        <w:rPr>
          <w:rFonts w:ascii="Times New Roman" w:hAnsi="Times New Roman" w:cs="Times New Roman"/>
          <w:sz w:val="24"/>
          <w:szCs w:val="24"/>
        </w:rPr>
        <w:t>V § 4a ods. 3 písm. g) sa na konci pripájajú tieto slová: „ak v emisných podmienkach investičných certifikátov nie je uvedené, že ide o trvalý finančný nástroj bez povinnosti jeho vyrovnania,“.</w:t>
      </w:r>
    </w:p>
    <w:p w:rsidR="00536EC9" w:rsidRPr="00D74FF1" w:rsidP="00536EC9">
      <w:pPr>
        <w:pStyle w:val="ListParagraph"/>
        <w:bidi w:val="0"/>
        <w:spacing w:after="0" w:line="259" w:lineRule="auto"/>
        <w:ind w:left="786"/>
        <w:jc w:val="both"/>
        <w:rPr>
          <w:rFonts w:ascii="Times New Roman" w:hAnsi="Times New Roman" w:cs="Times New Roman"/>
          <w:sz w:val="24"/>
          <w:szCs w:val="24"/>
        </w:rPr>
      </w:pPr>
    </w:p>
    <w:p w:rsidR="000F1EA0" w:rsidRPr="00D74FF1" w:rsidP="00536EC9">
      <w:pPr>
        <w:pStyle w:val="ListParagraph"/>
        <w:bidi w:val="0"/>
        <w:spacing w:after="0" w:line="259" w:lineRule="auto"/>
        <w:ind w:left="786"/>
        <w:jc w:val="both"/>
        <w:rPr>
          <w:rFonts w:ascii="Times New Roman" w:hAnsi="Times New Roman" w:cs="Times New Roman"/>
          <w:sz w:val="24"/>
          <w:szCs w:val="24"/>
        </w:rPr>
      </w:pPr>
    </w:p>
    <w:p w:rsidR="000F1EA0" w:rsidRPr="00D74FF1" w:rsidP="00536EC9">
      <w:pPr>
        <w:pStyle w:val="ListParagraph"/>
        <w:bidi w:val="0"/>
        <w:spacing w:after="0" w:line="259" w:lineRule="auto"/>
        <w:ind w:left="786"/>
        <w:jc w:val="both"/>
        <w:rPr>
          <w:rFonts w:ascii="Times New Roman" w:hAnsi="Times New Roman" w:cs="Times New Roman"/>
          <w:sz w:val="24"/>
          <w:szCs w:val="24"/>
        </w:rPr>
      </w:pPr>
    </w:p>
    <w:p w:rsidR="00536EC9" w:rsidRPr="00D74FF1" w:rsidP="00536EC9">
      <w:pPr>
        <w:numPr>
          <w:numId w:val="10"/>
        </w:numPr>
        <w:bidi w:val="0"/>
        <w:spacing w:after="0" w:line="259" w:lineRule="auto"/>
        <w:contextualSpacing/>
        <w:jc w:val="both"/>
        <w:rPr>
          <w:rFonts w:ascii="Times New Roman" w:hAnsi="Times New Roman" w:cs="Times New Roman"/>
          <w:sz w:val="24"/>
          <w:szCs w:val="24"/>
        </w:rPr>
      </w:pPr>
      <w:r w:rsidRPr="00D74FF1">
        <w:rPr>
          <w:rFonts w:ascii="Times New Roman" w:hAnsi="Times New Roman" w:cs="Times New Roman"/>
          <w:sz w:val="24"/>
          <w:szCs w:val="24"/>
        </w:rPr>
        <w:t xml:space="preserve">§ 4a sa dopĺňa odsekom 19, ktorý znie: </w:t>
      </w:r>
    </w:p>
    <w:p w:rsidR="00536EC9" w:rsidRPr="00D74FF1" w:rsidP="00536EC9">
      <w:pPr>
        <w:bidi w:val="0"/>
        <w:spacing w:after="0"/>
        <w:ind w:left="360"/>
        <w:jc w:val="both"/>
        <w:rPr>
          <w:rFonts w:ascii="Times New Roman" w:hAnsi="Times New Roman" w:cs="Times New Roman"/>
          <w:sz w:val="24"/>
          <w:szCs w:val="24"/>
        </w:rPr>
      </w:pPr>
      <w:r w:rsidRPr="00D74FF1">
        <w:rPr>
          <w:rFonts w:ascii="Times New Roman" w:hAnsi="Times New Roman" w:cs="Times New Roman"/>
          <w:sz w:val="24"/>
          <w:szCs w:val="24"/>
        </w:rPr>
        <w:t xml:space="preserve">       „(19) Ak v emisných podmienkach investičných certifikátov emitent uviedol, že ide o trvalý finančný nástroj bez povinnosti jeho vyrovnania alebo je v nich uvedená skutočnosť, ktorá trvalo alebo dočasne znižuje hodnotu investičného certifikátu a umožňuje jeho konverziu na nástroje vlastného kapitálu Tier 1 podľa osobitného predpisu,</w:t>
      </w:r>
      <w:r w:rsidRPr="00D74FF1">
        <w:rPr>
          <w:rFonts w:ascii="Times New Roman" w:hAnsi="Times New Roman" w:cs="Times New Roman"/>
          <w:sz w:val="24"/>
          <w:szCs w:val="24"/>
          <w:vertAlign w:val="superscript"/>
        </w:rPr>
        <w:t>16ae</w:t>
      </w:r>
      <w:r w:rsidRPr="00D74FF1">
        <w:rPr>
          <w:rFonts w:ascii="Times New Roman" w:hAnsi="Times New Roman" w:cs="Times New Roman"/>
          <w:sz w:val="24"/>
          <w:szCs w:val="24"/>
        </w:rPr>
        <w:t>) takéto investičné certifikáty môžu byť predmetom ponuky len pre profesionálnych klientov podľa § 8a ods. 2.“</w:t>
      </w:r>
      <w:r w:rsidRPr="00D74FF1">
        <w:rPr>
          <w:rFonts w:ascii="Times New Roman" w:hAnsi="Times New Roman" w:cs="Times New Roman"/>
          <w:bCs/>
          <w:sz w:val="24"/>
          <w:szCs w:val="24"/>
        </w:rPr>
        <w:t>.</w:t>
      </w:r>
      <w:r w:rsidRPr="00D74FF1">
        <w:rPr>
          <w:rFonts w:ascii="Times New Roman" w:hAnsi="Times New Roman" w:cs="Times New Roman"/>
          <w:sz w:val="24"/>
          <w:szCs w:val="24"/>
        </w:rPr>
        <w:t xml:space="preserve">     </w:t>
      </w:r>
    </w:p>
    <w:p w:rsidR="00536EC9" w:rsidRPr="00D74FF1" w:rsidP="00536EC9">
      <w:pPr>
        <w:bidi w:val="0"/>
        <w:spacing w:after="0"/>
        <w:ind w:left="360"/>
        <w:jc w:val="both"/>
        <w:rPr>
          <w:rFonts w:ascii="Times New Roman" w:hAnsi="Times New Roman" w:cs="Times New Roman"/>
          <w:sz w:val="24"/>
          <w:szCs w:val="24"/>
        </w:rPr>
      </w:pPr>
      <w:r w:rsidRPr="00D74FF1">
        <w:rPr>
          <w:rFonts w:ascii="Times New Roman" w:hAnsi="Times New Roman" w:cs="Times New Roman"/>
          <w:sz w:val="24"/>
          <w:szCs w:val="24"/>
        </w:rPr>
        <w:t>Poznámka pod čiarou k odkazu 16ae znie:</w:t>
      </w:r>
    </w:p>
    <w:p w:rsidR="00536EC9" w:rsidRPr="00D74FF1" w:rsidP="00536EC9">
      <w:pPr>
        <w:autoSpaceDE w:val="0"/>
        <w:autoSpaceDN w:val="0"/>
        <w:bidi w:val="0"/>
        <w:adjustRightInd w:val="0"/>
        <w:spacing w:after="0"/>
        <w:ind w:left="360"/>
        <w:jc w:val="both"/>
        <w:rPr>
          <w:rFonts w:ascii="Times New Roman" w:hAnsi="Times New Roman" w:cs="Times New Roman"/>
          <w:sz w:val="24"/>
          <w:szCs w:val="24"/>
        </w:rPr>
      </w:pPr>
      <w:r w:rsidRPr="00D74FF1">
        <w:rPr>
          <w:rFonts w:ascii="Times New Roman" w:hAnsi="Times New Roman" w:cs="Times New Roman"/>
          <w:color w:val="231F20"/>
          <w:sz w:val="24"/>
          <w:szCs w:val="24"/>
        </w:rPr>
        <w:t>„</w:t>
      </w:r>
      <w:r w:rsidRPr="00D74FF1">
        <w:rPr>
          <w:rFonts w:ascii="Times New Roman" w:hAnsi="Times New Roman" w:cs="Times New Roman"/>
          <w:color w:val="231F20"/>
          <w:sz w:val="24"/>
          <w:szCs w:val="24"/>
          <w:vertAlign w:val="superscript"/>
        </w:rPr>
        <w:t>16ae</w:t>
      </w:r>
      <w:r w:rsidRPr="00D74FF1">
        <w:rPr>
          <w:rFonts w:ascii="Times New Roman" w:hAnsi="Times New Roman" w:cs="Times New Roman"/>
          <w:color w:val="231F20"/>
          <w:sz w:val="24"/>
          <w:szCs w:val="24"/>
        </w:rPr>
        <w:t>) Nariadenie (EÚ) č. 575/2013 v platnom znení.</w:t>
      </w:r>
    </w:p>
    <w:p w:rsidR="00536EC9" w:rsidRPr="00D74FF1" w:rsidP="00536EC9">
      <w:pPr>
        <w:autoSpaceDE w:val="0"/>
        <w:autoSpaceDN w:val="0"/>
        <w:bidi w:val="0"/>
        <w:adjustRightInd w:val="0"/>
        <w:spacing w:after="0"/>
        <w:ind w:left="360"/>
        <w:jc w:val="both"/>
        <w:rPr>
          <w:rFonts w:ascii="Times New Roman" w:hAnsi="Times New Roman" w:cs="Times New Roman"/>
          <w:sz w:val="24"/>
          <w:szCs w:val="24"/>
        </w:rPr>
      </w:pPr>
      <w:r w:rsidRPr="00D74FF1">
        <w:rPr>
          <w:rFonts w:ascii="Times New Roman" w:hAnsi="Times New Roman" w:cs="Times New Roman"/>
          <w:color w:val="231F20"/>
          <w:sz w:val="24"/>
          <w:szCs w:val="24"/>
        </w:rPr>
        <w:t>Delegované nariadenie Komisie (EÚ) č. 241/2014 zo 7. januára 2014, ktorým sa dopĺňa nariadenie Európskeho parlamentu a Rady (EÚ) č. 575/2013, pokiaľ ide o regulačné technické predpisy týkajúce sa požiadaviek na vlastné zdroje inštitúcií (</w:t>
      </w:r>
      <w:r w:rsidRPr="00D74FF1">
        <w:rPr>
          <w:rFonts w:ascii="Times New Roman" w:hAnsi="Times New Roman" w:cs="Times New Roman"/>
          <w:iCs/>
          <w:sz w:val="24"/>
          <w:szCs w:val="24"/>
        </w:rPr>
        <w:t>Ú. v. EÚ L 74, 14.3.2014</w:t>
      </w:r>
      <w:r w:rsidRPr="00D74FF1">
        <w:rPr>
          <w:rFonts w:ascii="Times New Roman" w:hAnsi="Times New Roman" w:cs="Times New Roman"/>
          <w:i/>
          <w:iCs/>
          <w:sz w:val="24"/>
          <w:szCs w:val="24"/>
        </w:rPr>
        <w:t>)</w:t>
      </w:r>
      <w:r w:rsidRPr="00D74FF1">
        <w:rPr>
          <w:rFonts w:ascii="Times New Roman" w:hAnsi="Times New Roman" w:cs="Times New Roman"/>
          <w:iCs/>
          <w:sz w:val="24"/>
          <w:szCs w:val="24"/>
        </w:rPr>
        <w:t xml:space="preserve"> v platnom znení</w:t>
      </w:r>
      <w:r w:rsidRPr="00D74FF1">
        <w:rPr>
          <w:rFonts w:ascii="Times New Roman" w:hAnsi="Times New Roman" w:cs="Times New Roman"/>
          <w:sz w:val="24"/>
          <w:szCs w:val="24"/>
        </w:rPr>
        <w:t>.</w:t>
      </w:r>
      <w:r w:rsidRPr="00D74FF1">
        <w:rPr>
          <w:rFonts w:ascii="Times New Roman" w:hAnsi="Times New Roman" w:cs="Times New Roman"/>
          <w:color w:val="231F20"/>
          <w:sz w:val="24"/>
          <w:szCs w:val="24"/>
        </w:rPr>
        <w:t>“.</w:t>
      </w:r>
    </w:p>
    <w:p w:rsidR="00536EC9" w:rsidRPr="00D74FF1" w:rsidP="00536EC9">
      <w:pPr>
        <w:widowControl w:val="0"/>
        <w:overflowPunct w:val="0"/>
        <w:bidi w:val="0"/>
        <w:adjustRightInd w:val="0"/>
        <w:spacing w:after="0"/>
        <w:ind w:firstLine="708"/>
        <w:jc w:val="both"/>
        <w:rPr>
          <w:rFonts w:ascii="Times New Roman" w:hAnsi="Times New Roman" w:cs="Times New Roman"/>
          <w:kern w:val="28"/>
          <w:sz w:val="24"/>
          <w:szCs w:val="24"/>
        </w:rPr>
      </w:pPr>
    </w:p>
    <w:p w:rsidR="00536EC9" w:rsidRPr="00D74FF1" w:rsidP="00536EC9">
      <w:pPr>
        <w:pStyle w:val="ListParagraph"/>
        <w:numPr>
          <w:numId w:val="10"/>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V § 7 ods. 9 sa vypúšťajú slová „písm. b), § 99 ods. 3 písm. b), § 104 ods. 2 a § 164 ods. 1“.  </w:t>
      </w:r>
    </w:p>
    <w:p w:rsidR="00536EC9" w:rsidRPr="00D74FF1" w:rsidP="00536EC9">
      <w:pPr>
        <w:bidi w:val="0"/>
        <w:spacing w:after="0"/>
        <w:ind w:left="360"/>
        <w:contextualSpacing/>
        <w:jc w:val="both"/>
        <w:rPr>
          <w:rFonts w:ascii="Times New Roman" w:hAnsi="Times New Roman" w:cs="Times New Roman"/>
          <w:color w:val="000000"/>
          <w:sz w:val="24"/>
          <w:szCs w:val="24"/>
        </w:rPr>
      </w:pPr>
    </w:p>
    <w:p w:rsidR="00536EC9" w:rsidRPr="00D74FF1" w:rsidP="00536EC9">
      <w:pPr>
        <w:numPr>
          <w:numId w:val="10"/>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V § 10 ods. 4 písm. a) sa za slovo „depozitárom“ vkladá čiarka a slová „podľa § 99 ods. 3“ sa nahrádzajú slovami „zahraničným centrálnym depozitárom“.   </w:t>
      </w:r>
    </w:p>
    <w:p w:rsidR="004A5AC4" w:rsidRPr="00D74FF1" w:rsidP="004A5AC4">
      <w:pPr>
        <w:bidi w:val="0"/>
        <w:spacing w:after="0"/>
        <w:ind w:left="786"/>
        <w:contextualSpacing/>
        <w:jc w:val="both"/>
        <w:rPr>
          <w:rFonts w:ascii="Times New Roman" w:hAnsi="Times New Roman" w:cs="Times New Roman"/>
          <w:color w:val="000000"/>
          <w:sz w:val="24"/>
          <w:szCs w:val="24"/>
        </w:rPr>
      </w:pPr>
    </w:p>
    <w:p w:rsidR="00536EC9" w:rsidRPr="00D74FF1" w:rsidP="00536EC9">
      <w:pPr>
        <w:pStyle w:val="ListParagraph"/>
        <w:numPr>
          <w:numId w:val="10"/>
        </w:numPr>
        <w:bidi w:val="0"/>
        <w:spacing w:after="0" w:line="259" w:lineRule="auto"/>
        <w:contextualSpacing/>
        <w:jc w:val="both"/>
        <w:rPr>
          <w:rFonts w:ascii="Times New Roman" w:hAnsi="Times New Roman" w:cs="Times New Roman"/>
          <w:sz w:val="24"/>
          <w:szCs w:val="24"/>
        </w:rPr>
      </w:pPr>
      <w:r w:rsidRPr="00D74FF1">
        <w:rPr>
          <w:rFonts w:ascii="Times New Roman" w:hAnsi="Times New Roman" w:cs="Times New Roman"/>
          <w:sz w:val="24"/>
          <w:szCs w:val="24"/>
        </w:rPr>
        <w:t xml:space="preserve">V § 10 ods. 4 písm. b) sa slová „§ 99 ods. 3 a § 103“ nahrádzajú slovami „tohto zákona“. </w:t>
      </w:r>
    </w:p>
    <w:p w:rsidR="00536EC9" w:rsidRPr="00D74FF1" w:rsidP="00536EC9">
      <w:pPr>
        <w:pStyle w:val="ListParagraph"/>
        <w:bidi w:val="0"/>
        <w:spacing w:after="0" w:line="259" w:lineRule="auto"/>
        <w:jc w:val="both"/>
        <w:rPr>
          <w:rFonts w:ascii="Times New Roman" w:hAnsi="Times New Roman" w:cs="Times New Roman"/>
          <w:sz w:val="24"/>
          <w:szCs w:val="24"/>
        </w:rPr>
      </w:pPr>
    </w:p>
    <w:p w:rsidR="00536EC9" w:rsidRPr="00D74FF1" w:rsidP="00536EC9">
      <w:pPr>
        <w:pStyle w:val="ListParagraph"/>
        <w:numPr>
          <w:numId w:val="10"/>
        </w:numPr>
        <w:bidi w:val="0"/>
        <w:spacing w:after="0" w:line="259"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12 sa vypúšťa odsek 2.</w:t>
      </w:r>
    </w:p>
    <w:p w:rsidR="00536EC9" w:rsidRPr="00D74FF1" w:rsidP="00536EC9">
      <w:pPr>
        <w:bidi w:val="0"/>
        <w:spacing w:after="0"/>
        <w:ind w:left="108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Doterajšie odseky 3 až 7 sa označujú ako odseky 2 až 6.</w:t>
      </w:r>
    </w:p>
    <w:p w:rsidR="00536EC9" w:rsidRPr="00D74FF1" w:rsidP="00536EC9">
      <w:pPr>
        <w:bidi w:val="0"/>
        <w:spacing w:after="0"/>
        <w:ind w:left="1080"/>
        <w:jc w:val="both"/>
        <w:rPr>
          <w:rFonts w:ascii="Times New Roman" w:hAnsi="Times New Roman" w:cs="Times New Roman"/>
          <w:color w:val="000000"/>
          <w:sz w:val="24"/>
          <w:szCs w:val="24"/>
        </w:rPr>
      </w:pPr>
    </w:p>
    <w:p w:rsidR="00536EC9" w:rsidRPr="00D74FF1" w:rsidP="00536EC9">
      <w:pPr>
        <w:pStyle w:val="ListParagraph"/>
        <w:numPr>
          <w:numId w:val="10"/>
        </w:numPr>
        <w:bidi w:val="0"/>
        <w:spacing w:after="0"/>
        <w:contextualSpacing/>
        <w:jc w:val="both"/>
        <w:rPr>
          <w:rFonts w:ascii="Times New Roman" w:hAnsi="Times New Roman" w:cs="Times New Roman"/>
          <w:color w:val="000000"/>
          <w:sz w:val="24"/>
          <w:szCs w:val="24"/>
          <w:u w:val="single"/>
        </w:rPr>
      </w:pPr>
      <w:r w:rsidRPr="00D74FF1">
        <w:rPr>
          <w:rFonts w:ascii="Times New Roman" w:hAnsi="Times New Roman" w:cs="Times New Roman"/>
          <w:color w:val="000000"/>
          <w:sz w:val="24"/>
          <w:szCs w:val="24"/>
        </w:rPr>
        <w:t xml:space="preserve">V § 14 odsek 4 znie: </w:t>
      </w:r>
    </w:p>
    <w:p w:rsidR="00536EC9" w:rsidRPr="00D74FF1" w:rsidP="00D77FFA">
      <w:pPr>
        <w:bidi w:val="0"/>
        <w:spacing w:after="0"/>
        <w:ind w:left="426" w:firstLine="283"/>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„(4) Osoba, ktorá vedie evidenciu zaknihovaných cenných papierov, je povinná pri zániku zaknihovaného cenného papiera vykonať výmaz cenného papiera v tejto evidencii bezodkladne po tom, ako sa dozvie o tejto skutočnosti; tým nie je dotknuté ustanovenie § 104 ods. 5.“.  </w:t>
      </w:r>
    </w:p>
    <w:p w:rsidR="00536EC9" w:rsidRPr="00D74FF1" w:rsidP="00536EC9">
      <w:pPr>
        <w:bidi w:val="0"/>
        <w:spacing w:after="0"/>
        <w:ind w:left="426" w:firstLine="578"/>
        <w:jc w:val="both"/>
        <w:rPr>
          <w:rFonts w:ascii="Times New Roman" w:hAnsi="Times New Roman" w:cs="Times New Roman"/>
          <w:color w:val="000000"/>
          <w:sz w:val="24"/>
          <w:szCs w:val="24"/>
        </w:rPr>
      </w:pPr>
    </w:p>
    <w:p w:rsidR="00536EC9" w:rsidRPr="00D74FF1" w:rsidP="00536EC9">
      <w:pPr>
        <w:pStyle w:val="ListParagraph"/>
        <w:numPr>
          <w:numId w:val="10"/>
        </w:numPr>
        <w:bidi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17 ods. 1 sa za slovo „depozitára“ vkladajú slová „(ďalej len „člen“)“.</w:t>
      </w:r>
    </w:p>
    <w:p w:rsidR="00536EC9" w:rsidRPr="00D74FF1" w:rsidP="00536EC9">
      <w:pPr>
        <w:bidi w:val="0"/>
        <w:spacing w:after="0"/>
        <w:ind w:left="426" w:firstLine="578"/>
        <w:jc w:val="both"/>
        <w:rPr>
          <w:rFonts w:ascii="Times New Roman" w:hAnsi="Times New Roman" w:cs="Times New Roman"/>
          <w:color w:val="000000"/>
          <w:sz w:val="24"/>
          <w:szCs w:val="24"/>
        </w:rPr>
      </w:pPr>
    </w:p>
    <w:p w:rsidR="00536EC9" w:rsidRPr="00D74FF1" w:rsidP="00536EC9">
      <w:pPr>
        <w:pStyle w:val="ListParagraph"/>
        <w:numPr>
          <w:numId w:val="10"/>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V § 23 ods. 2 sa za slovami „§ 70 ods. 1 písm. a)“ vypúšťa čiarka a slová „§ 102 ods. 1 písm. a) a b)“.  </w:t>
      </w:r>
    </w:p>
    <w:p w:rsidR="00536EC9" w:rsidRPr="00D74FF1" w:rsidP="00536EC9">
      <w:pPr>
        <w:pStyle w:val="ListParagraph"/>
        <w:bidi w:val="0"/>
        <w:spacing w:after="0"/>
        <w:rPr>
          <w:rFonts w:ascii="Times New Roman" w:hAnsi="Times New Roman" w:cs="Times New Roman"/>
          <w:color w:val="000000"/>
          <w:sz w:val="24"/>
          <w:szCs w:val="24"/>
        </w:rPr>
      </w:pPr>
    </w:p>
    <w:p w:rsidR="00536EC9" w:rsidRPr="00D74FF1" w:rsidP="00536EC9">
      <w:pPr>
        <w:pStyle w:val="ListParagraph"/>
        <w:numPr>
          <w:numId w:val="10"/>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 V § 28 ods. 3 písm. e) sa vypúšťajú slová „výplaty úrokových výnosov, splatenia menovitej hodnoty,“.</w:t>
      </w:r>
    </w:p>
    <w:p w:rsidR="00536EC9" w:rsidRPr="00D74FF1" w:rsidP="00536EC9">
      <w:pPr>
        <w:pStyle w:val="ListParagraph"/>
        <w:bidi w:val="0"/>
        <w:spacing w:after="0"/>
        <w:rPr>
          <w:rFonts w:ascii="Times New Roman" w:hAnsi="Times New Roman" w:cs="Times New Roman"/>
          <w:color w:val="000000"/>
          <w:sz w:val="24"/>
          <w:szCs w:val="24"/>
        </w:rPr>
      </w:pPr>
    </w:p>
    <w:p w:rsidR="00536EC9" w:rsidRPr="00D74FF1" w:rsidP="00536EC9">
      <w:pPr>
        <w:pStyle w:val="ListParagraph"/>
        <w:numPr>
          <w:numId w:val="10"/>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28 ods. 3 sa vypúšťa písmeno f).</w:t>
      </w:r>
    </w:p>
    <w:p w:rsidR="00536EC9" w:rsidRPr="00D74FF1" w:rsidP="00536EC9">
      <w:pPr>
        <w:pStyle w:val="ListParagraph"/>
        <w:bidi w:val="0"/>
        <w:spacing w:after="0"/>
        <w:rPr>
          <w:rFonts w:ascii="Times New Roman" w:hAnsi="Times New Roman" w:cs="Times New Roman"/>
          <w:color w:val="000000"/>
          <w:sz w:val="24"/>
          <w:szCs w:val="24"/>
        </w:rPr>
      </w:pPr>
    </w:p>
    <w:p w:rsidR="00536EC9" w:rsidRPr="00D74FF1" w:rsidP="00536EC9">
      <w:pPr>
        <w:pStyle w:val="ListParagraph"/>
        <w:bidi w:val="0"/>
        <w:spacing w:after="0"/>
        <w:ind w:left="786"/>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Doterajšie písmená g) až l) sa označujú ako písmená f) až k).</w:t>
      </w:r>
    </w:p>
    <w:p w:rsidR="00536EC9" w:rsidRPr="00D74FF1" w:rsidP="00536EC9">
      <w:pPr>
        <w:pStyle w:val="ListParagraph"/>
        <w:bidi w:val="0"/>
        <w:spacing w:after="0"/>
        <w:ind w:left="786"/>
        <w:jc w:val="both"/>
        <w:rPr>
          <w:rFonts w:ascii="Times New Roman" w:hAnsi="Times New Roman" w:cs="Times New Roman"/>
          <w:color w:val="000000"/>
          <w:sz w:val="24"/>
          <w:szCs w:val="24"/>
        </w:rPr>
      </w:pPr>
    </w:p>
    <w:p w:rsidR="00536EC9" w:rsidRPr="00D74FF1" w:rsidP="00536EC9">
      <w:pPr>
        <w:pStyle w:val="ListParagraph"/>
        <w:numPr>
          <w:numId w:val="10"/>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V § 28 ods. 3 písm. </w:t>
      </w:r>
      <w:r w:rsidRPr="00D74FF1" w:rsidR="005B73E8">
        <w:rPr>
          <w:rFonts w:ascii="Times New Roman" w:hAnsi="Times New Roman" w:cs="Times New Roman"/>
          <w:color w:val="000000"/>
          <w:sz w:val="24"/>
          <w:szCs w:val="24"/>
        </w:rPr>
        <w:t>g</w:t>
      </w:r>
      <w:r w:rsidRPr="00D74FF1">
        <w:rPr>
          <w:rFonts w:ascii="Times New Roman" w:hAnsi="Times New Roman" w:cs="Times New Roman"/>
          <w:color w:val="000000"/>
          <w:sz w:val="24"/>
          <w:szCs w:val="24"/>
        </w:rPr>
        <w:t>) sa na konci pripájajú tieto slová: „alebo za účelom plnenia povinností podľa osobitných predpisov</w:t>
      </w:r>
      <w:r w:rsidRPr="00D74FF1">
        <w:rPr>
          <w:rFonts w:ascii="Times New Roman" w:hAnsi="Times New Roman" w:cs="Times New Roman"/>
          <w:color w:val="000000"/>
          <w:sz w:val="24"/>
          <w:szCs w:val="24"/>
          <w:vertAlign w:val="superscript"/>
        </w:rPr>
        <w:t>40</w:t>
      </w:r>
      <w:r w:rsidRPr="00D74FF1">
        <w:rPr>
          <w:rFonts w:ascii="Times New Roman" w:hAnsi="Times New Roman" w:cs="Times New Roman"/>
          <w:color w:val="000000"/>
          <w:sz w:val="24"/>
          <w:szCs w:val="24"/>
        </w:rPr>
        <w:t>), alebo centrálny depozitár na nevyhnutný čas za účelom nápravy zisteného nesúladu v evidencii“.</w:t>
      </w:r>
    </w:p>
    <w:p w:rsidR="00536EC9" w:rsidRPr="00D74FF1" w:rsidP="00536EC9">
      <w:pPr>
        <w:pStyle w:val="ListParagraph"/>
        <w:bidi w:val="0"/>
        <w:spacing w:after="0"/>
        <w:jc w:val="both"/>
        <w:rPr>
          <w:rFonts w:ascii="Times New Roman" w:hAnsi="Times New Roman" w:cs="Times New Roman"/>
          <w:color w:val="000000"/>
          <w:sz w:val="24"/>
          <w:szCs w:val="24"/>
        </w:rPr>
      </w:pPr>
    </w:p>
    <w:p w:rsidR="00536EC9" w:rsidRPr="00D74FF1" w:rsidP="00536EC9">
      <w:pPr>
        <w:pStyle w:val="ListParagraph"/>
        <w:bidi w:val="0"/>
        <w:spacing w:after="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Poznámka pod čiarou k odkazu 40 znie:</w:t>
      </w:r>
    </w:p>
    <w:p w:rsidR="00536EC9" w:rsidRPr="00D74FF1" w:rsidP="00536EC9">
      <w:pPr>
        <w:pStyle w:val="ListParagraph"/>
        <w:bidi w:val="0"/>
        <w:spacing w:after="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w:t>
      </w:r>
      <w:r w:rsidRPr="00D74FF1">
        <w:rPr>
          <w:rFonts w:ascii="Times New Roman" w:hAnsi="Times New Roman" w:cs="Times New Roman"/>
          <w:color w:val="000000"/>
          <w:sz w:val="24"/>
          <w:szCs w:val="24"/>
          <w:vertAlign w:val="superscript"/>
        </w:rPr>
        <w:t>40</w:t>
      </w:r>
      <w:r w:rsidRPr="00D74FF1">
        <w:rPr>
          <w:rFonts w:ascii="Times New Roman" w:hAnsi="Times New Roman" w:cs="Times New Roman"/>
          <w:color w:val="000000"/>
          <w:sz w:val="24"/>
          <w:szCs w:val="24"/>
        </w:rPr>
        <w:t>) Napríklad zákon č. ......./2016 Z. z.  o vykonávaní medzinárodných sankcií.“.</w:t>
      </w:r>
    </w:p>
    <w:p w:rsidR="00536EC9" w:rsidRPr="00D74FF1" w:rsidP="00536EC9">
      <w:pPr>
        <w:pStyle w:val="ListParagraph"/>
        <w:bidi w:val="0"/>
        <w:spacing w:after="0"/>
        <w:jc w:val="both"/>
        <w:rPr>
          <w:rFonts w:ascii="Times New Roman" w:hAnsi="Times New Roman" w:cs="Times New Roman"/>
          <w:color w:val="000000"/>
          <w:sz w:val="24"/>
          <w:szCs w:val="24"/>
        </w:rPr>
      </w:pPr>
    </w:p>
    <w:p w:rsidR="00536EC9" w:rsidRPr="00D74FF1" w:rsidP="00072CF3">
      <w:pPr>
        <w:pStyle w:val="ListParagraph"/>
        <w:numPr>
          <w:numId w:val="10"/>
        </w:numPr>
        <w:bidi w:val="0"/>
        <w:spacing w:after="0"/>
        <w:ind w:left="142" w:firstLine="284"/>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V § 28 ods. 4 prvej vete sa na konci bodka nahrádza bodkočiarkou a pripájajú sa tieto slová: „ak osoba podľa odseku 3 písm. a), g) a i) neuvedie v príkaze označenie cenných papierov a počet kusov cenného papiera, príkaz sa vzťahuje na všetky cenné papiere evidované na účte majiteľa v čase podania príkazu.“ a v druhej vete sa slová „všetky náležitosti“ nahrádzajú slovami „náležitosti najmenej v rozsahu prvej vety“. </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36EC9">
      <w:pPr>
        <w:pStyle w:val="ListParagraph"/>
        <w:numPr>
          <w:numId w:val="10"/>
        </w:numPr>
        <w:bidi w:val="0"/>
        <w:spacing w:after="0"/>
        <w:ind w:left="0" w:firstLine="36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28 ods. 5 prvej vete sa na konci bodka nahrádza čiarkou a pripájajú sa tieto slová: „ktorý vedie emisiu v registri emitenta.“ a za prvú vetu sa vkladá nová druhá veta, ktorá znie:  „Ak sa pozastavenie práva nakladať vzťahuje na celú emisiu, ktorej cenné papiere sú evidované na držiteľskom účte centrálneho depozitára, je centrálny depozitár povinný zaregistrovať pozastavenie práva nakladať v evidencii, ktorú vedie podľa § 105c na základe oznámenia centrálneho depozitára, ktorý vedie register emitenta; oznámenie môže byť realizované elektronickou formou a musí obsahovať údaje v rovnakom rozsahu ako boli uvedené v príkaze na registráciu pozastavenia práva nakladať.“.</w:t>
      </w:r>
    </w:p>
    <w:p w:rsidR="00536EC9" w:rsidRPr="00D74FF1" w:rsidP="00536EC9">
      <w:pPr>
        <w:pStyle w:val="ListParagraph"/>
        <w:bidi w:val="0"/>
        <w:spacing w:after="0"/>
        <w:rPr>
          <w:rFonts w:ascii="Times New Roman" w:hAnsi="Times New Roman" w:cs="Times New Roman"/>
          <w:color w:val="000000"/>
          <w:sz w:val="24"/>
          <w:szCs w:val="24"/>
        </w:rPr>
      </w:pPr>
    </w:p>
    <w:p w:rsidR="00536EC9" w:rsidRPr="00D74FF1" w:rsidP="00536EC9">
      <w:pPr>
        <w:pStyle w:val="ListParagraph"/>
        <w:numPr>
          <w:numId w:val="10"/>
        </w:numPr>
        <w:bidi w:val="0"/>
        <w:spacing w:after="0"/>
        <w:ind w:left="0" w:firstLine="36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28 ods. 7 sa za slovo „predaja,“ vkladajú slová „zmluvu o zabezpečovacom prevode cenného papiera,“.</w:t>
      </w:r>
    </w:p>
    <w:p w:rsidR="00536EC9" w:rsidRPr="00D74FF1" w:rsidP="00536EC9">
      <w:pPr>
        <w:pStyle w:val="ListParagraph"/>
        <w:bidi w:val="0"/>
        <w:spacing w:after="0"/>
        <w:rPr>
          <w:rFonts w:ascii="Times New Roman" w:hAnsi="Times New Roman" w:cs="Times New Roman"/>
          <w:color w:val="000000"/>
          <w:sz w:val="24"/>
          <w:szCs w:val="24"/>
        </w:rPr>
      </w:pPr>
    </w:p>
    <w:p w:rsidR="00536EC9" w:rsidRPr="00D74FF1" w:rsidP="00072CF3">
      <w:pPr>
        <w:pStyle w:val="ListParagraph"/>
        <w:numPr>
          <w:numId w:val="10"/>
        </w:numPr>
        <w:bidi w:val="0"/>
        <w:spacing w:after="0"/>
        <w:ind w:left="0" w:firstLine="284"/>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29 sa slová „§ 99 ods. 16 a § 107a“ nahrádzajú slovami „tohto zákona“.</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072CF3">
      <w:pPr>
        <w:pStyle w:val="ListParagraph"/>
        <w:numPr>
          <w:numId w:val="10"/>
        </w:numPr>
        <w:bidi w:val="0"/>
        <w:spacing w:after="0"/>
        <w:ind w:hanging="502"/>
        <w:contextualSpacing/>
        <w:rPr>
          <w:rFonts w:ascii="Times New Roman" w:hAnsi="Times New Roman" w:cs="Times New Roman"/>
          <w:color w:val="000000"/>
          <w:sz w:val="24"/>
          <w:szCs w:val="24"/>
        </w:rPr>
      </w:pPr>
      <w:r w:rsidRPr="00D74FF1">
        <w:rPr>
          <w:rFonts w:ascii="Times New Roman" w:hAnsi="Times New Roman" w:cs="Times New Roman"/>
          <w:color w:val="000000"/>
          <w:sz w:val="24"/>
          <w:szCs w:val="24"/>
        </w:rPr>
        <w:t>V § 41 ods. 2 sa číslo „100“ nahrádza slovami „centrálny depozitár“.</w:t>
      </w:r>
    </w:p>
    <w:p w:rsidR="00536EC9" w:rsidRPr="00D74FF1" w:rsidP="00536EC9">
      <w:pPr>
        <w:pStyle w:val="ListParagraph"/>
        <w:bidi w:val="0"/>
        <w:spacing w:after="0"/>
        <w:rPr>
          <w:rFonts w:ascii="Times New Roman" w:hAnsi="Times New Roman" w:cs="Times New Roman"/>
          <w:color w:val="000000"/>
          <w:sz w:val="24"/>
          <w:szCs w:val="24"/>
        </w:rPr>
      </w:pPr>
    </w:p>
    <w:p w:rsidR="00536EC9" w:rsidRPr="00D74FF1" w:rsidP="00072CF3">
      <w:pPr>
        <w:pStyle w:val="ListParagraph"/>
        <w:numPr>
          <w:numId w:val="10"/>
        </w:numPr>
        <w:bidi w:val="0"/>
        <w:spacing w:after="0"/>
        <w:ind w:hanging="502"/>
        <w:contextualSpacing/>
        <w:rPr>
          <w:rFonts w:ascii="Times New Roman" w:hAnsi="Times New Roman" w:cs="Times New Roman"/>
          <w:color w:val="000000"/>
          <w:sz w:val="24"/>
          <w:szCs w:val="24"/>
        </w:rPr>
      </w:pPr>
      <w:r w:rsidRPr="00D74FF1">
        <w:rPr>
          <w:rFonts w:ascii="Times New Roman" w:hAnsi="Times New Roman" w:cs="Times New Roman"/>
          <w:color w:val="000000"/>
          <w:sz w:val="24"/>
          <w:szCs w:val="24"/>
        </w:rPr>
        <w:t>V § 42 ods. 2 sa vypúšťajú slová „alebo 100“.</w:t>
      </w:r>
    </w:p>
    <w:p w:rsidR="00536EC9" w:rsidRPr="00D74FF1" w:rsidP="00536EC9">
      <w:pPr>
        <w:bidi w:val="0"/>
        <w:spacing w:after="0"/>
        <w:rPr>
          <w:rFonts w:ascii="Times New Roman" w:hAnsi="Times New Roman" w:cs="Times New Roman"/>
          <w:color w:val="000000"/>
          <w:sz w:val="24"/>
          <w:szCs w:val="24"/>
        </w:rPr>
      </w:pPr>
    </w:p>
    <w:p w:rsidR="00536EC9" w:rsidRPr="00D74FF1" w:rsidP="00536EC9">
      <w:pPr>
        <w:pStyle w:val="ListParagraph"/>
        <w:numPr>
          <w:numId w:val="10"/>
        </w:numPr>
        <w:bidi w:val="0"/>
        <w:spacing w:after="0"/>
        <w:ind w:left="0" w:firstLine="273"/>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V § 44 ods. 3 sa na konci bodka nahrádza bodkočiarkou a pripájajú sa tieto slová: „to neplatí, ak sú imobilizované cenné papiere prijaté na obchodovanie na regulovanom trhu alebo na inom obchodnom mieste.“. </w:t>
      </w:r>
    </w:p>
    <w:p w:rsidR="00536EC9" w:rsidRPr="00D74FF1" w:rsidP="00536EC9">
      <w:pPr>
        <w:bidi w:val="0"/>
        <w:spacing w:after="0"/>
        <w:ind w:left="360"/>
        <w:jc w:val="both"/>
        <w:rPr>
          <w:rFonts w:ascii="Times New Roman" w:hAnsi="Times New Roman" w:cs="Times New Roman"/>
          <w:color w:val="000000"/>
          <w:sz w:val="24"/>
          <w:szCs w:val="24"/>
        </w:rPr>
      </w:pPr>
      <w:r w:rsidRPr="00D74FF1">
        <w:rPr>
          <w:rFonts w:ascii="Times New Roman" w:hAnsi="Times New Roman" w:cs="Times New Roman"/>
          <w:i/>
          <w:color w:val="000000"/>
          <w:sz w:val="24"/>
          <w:szCs w:val="24"/>
        </w:rPr>
        <w:t xml:space="preserve">       </w:t>
      </w:r>
      <w:r w:rsidRPr="00D74FF1">
        <w:rPr>
          <w:rFonts w:ascii="Times New Roman" w:hAnsi="Times New Roman" w:cs="Times New Roman"/>
          <w:i/>
          <w:color w:val="000000"/>
          <w:sz w:val="24"/>
          <w:szCs w:val="24"/>
          <w:u w:val="single"/>
        </w:rPr>
        <w:t xml:space="preserve"> </w:t>
      </w:r>
    </w:p>
    <w:p w:rsidR="00536EC9" w:rsidRPr="00D74FF1" w:rsidP="00072CF3">
      <w:pPr>
        <w:pStyle w:val="ListParagraph"/>
        <w:numPr>
          <w:numId w:val="10"/>
        </w:numPr>
        <w:bidi w:val="0"/>
        <w:spacing w:after="0"/>
        <w:ind w:hanging="502"/>
        <w:contextualSpacing/>
        <w:jc w:val="both"/>
        <w:rPr>
          <w:rFonts w:ascii="Times New Roman" w:hAnsi="Times New Roman" w:cs="Times New Roman"/>
          <w:color w:val="000000"/>
          <w:sz w:val="24"/>
          <w:szCs w:val="24"/>
        </w:rPr>
      </w:pPr>
      <w:r w:rsidRPr="00D74FF1">
        <w:rPr>
          <w:rFonts w:ascii="Times New Roman" w:hAnsi="Times New Roman" w:cs="Times New Roman"/>
          <w:sz w:val="24"/>
          <w:szCs w:val="24"/>
        </w:rPr>
        <w:t>§ 44 sa dopĺňa odsekom 4, ktorý znie:</w:t>
      </w:r>
    </w:p>
    <w:p w:rsidR="00536EC9" w:rsidRPr="00D74FF1" w:rsidP="00536EC9">
      <w:pPr>
        <w:bidi w:val="0"/>
        <w:spacing w:after="0"/>
        <w:ind w:firstLine="720"/>
        <w:jc w:val="both"/>
        <w:rPr>
          <w:rFonts w:ascii="Times New Roman" w:hAnsi="Times New Roman" w:cs="Times New Roman"/>
          <w:sz w:val="24"/>
          <w:szCs w:val="24"/>
        </w:rPr>
      </w:pPr>
      <w:r w:rsidRPr="00D74FF1">
        <w:rPr>
          <w:rFonts w:ascii="Times New Roman" w:hAnsi="Times New Roman" w:cs="Times New Roman"/>
          <w:sz w:val="24"/>
          <w:szCs w:val="24"/>
        </w:rPr>
        <w:t xml:space="preserve">„(4)  Emitent, ktorého cenné papiere sú  </w:t>
      </w:r>
      <w:r w:rsidRPr="00D74FF1">
        <w:rPr>
          <w:rFonts w:ascii="Times New Roman" w:hAnsi="Times New Roman" w:cs="Times New Roman"/>
          <w:color w:val="000000"/>
          <w:sz w:val="24"/>
          <w:szCs w:val="24"/>
        </w:rPr>
        <w:t>prijaté na obchodovanie na regulovanom trhu alebo na inom obchodnom mieste,</w:t>
      </w:r>
      <w:r w:rsidRPr="00D74FF1">
        <w:rPr>
          <w:rFonts w:ascii="Times New Roman" w:hAnsi="Times New Roman" w:cs="Times New Roman"/>
          <w:sz w:val="24"/>
          <w:szCs w:val="24"/>
        </w:rPr>
        <w:t xml:space="preserve"> môže uzavrieť zmluvu podľa odseku 1 len s centrálnym depozitárom alebo so zahraničným centrálnym depozitárom, ktorý vykonáva túto činnosť.“.</w:t>
      </w:r>
    </w:p>
    <w:p w:rsidR="00536EC9" w:rsidP="00536EC9">
      <w:pPr>
        <w:bidi w:val="0"/>
        <w:spacing w:after="0"/>
        <w:ind w:firstLine="720"/>
        <w:jc w:val="both"/>
        <w:rPr>
          <w:rFonts w:ascii="Times New Roman" w:hAnsi="Times New Roman" w:cs="Times New Roman"/>
          <w:sz w:val="24"/>
          <w:szCs w:val="24"/>
        </w:rPr>
      </w:pPr>
    </w:p>
    <w:p w:rsidR="00D77FFA" w:rsidRPr="00D74FF1" w:rsidP="00536EC9">
      <w:pPr>
        <w:bidi w:val="0"/>
        <w:spacing w:after="0"/>
        <w:ind w:firstLine="720"/>
        <w:jc w:val="both"/>
        <w:rPr>
          <w:rFonts w:ascii="Times New Roman" w:hAnsi="Times New Roman" w:cs="Times New Roman"/>
          <w:sz w:val="24"/>
          <w:szCs w:val="24"/>
        </w:rPr>
      </w:pPr>
    </w:p>
    <w:p w:rsidR="00536EC9" w:rsidRPr="00D74FF1" w:rsidP="00072CF3">
      <w:pPr>
        <w:pStyle w:val="ListParagraph"/>
        <w:numPr>
          <w:numId w:val="10"/>
        </w:numPr>
        <w:bidi w:val="0"/>
        <w:spacing w:after="0"/>
        <w:ind w:hanging="502"/>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47 ods. 1 písmeno c) znie:</w:t>
      </w:r>
    </w:p>
    <w:p w:rsidR="00536EC9" w:rsidRPr="00D74FF1" w:rsidP="00536EC9">
      <w:pPr>
        <w:bidi w:val="0"/>
        <w:spacing w:after="0"/>
        <w:jc w:val="both"/>
        <w:rPr>
          <w:rFonts w:ascii="Times New Roman" w:hAnsi="Times New Roman" w:cs="Times New Roman"/>
          <w:color w:val="000000"/>
          <w:sz w:val="24"/>
          <w:szCs w:val="24"/>
        </w:rPr>
      </w:pPr>
      <w:r w:rsidR="00D77FFA">
        <w:rPr>
          <w:rFonts w:ascii="Times New Roman" w:hAnsi="Times New Roman" w:cs="Times New Roman"/>
          <w:color w:val="000000"/>
          <w:sz w:val="24"/>
          <w:szCs w:val="24"/>
        </w:rPr>
        <w:t xml:space="preserve">            </w:t>
      </w:r>
      <w:r w:rsidRPr="00D74FF1">
        <w:rPr>
          <w:rFonts w:ascii="Times New Roman" w:hAnsi="Times New Roman" w:cs="Times New Roman"/>
          <w:color w:val="000000"/>
          <w:sz w:val="24"/>
          <w:szCs w:val="24"/>
        </w:rPr>
        <w:t>„c) označenie založeného cenného papiera obsahujúce ISIN pri zaknihovanom cennom papieri alebo pri listinnom cennom papieri označenie založeného cenného papiera obsahujúce druh a formu cenného papiera, identifikačné číslo, obchodné meno alebo názov a sídlo emitenta, ak je právnickou osobou, alebo meno a priezvisko a trvalý pobyt emitenta, ak je fyzickou osobou,“.</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36EC9">
      <w:pPr>
        <w:pStyle w:val="ListParagraph"/>
        <w:numPr>
          <w:numId w:val="10"/>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47 odsek 2 znie:</w:t>
      </w:r>
    </w:p>
    <w:p w:rsidR="00536EC9" w:rsidRPr="00D74FF1" w:rsidP="00072CF3">
      <w:pPr>
        <w:bidi w:val="0"/>
        <w:spacing w:after="0"/>
        <w:ind w:firstLine="709"/>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„(2) Centrálny depozitár je povinný na písomnú žiadosť právnickej osoby alebo fyzickej osoby vydať výpis z registra záložných práv v rozsahu údajov podľa odseku 1 písm. a), c), f) a h), pričom výpis môže obsahovať aj ďalšie údaje z registra emitenta.“.</w:t>
      </w:r>
    </w:p>
    <w:p w:rsidR="005B73E8" w:rsidRPr="00D74FF1" w:rsidP="00536EC9">
      <w:pPr>
        <w:bidi w:val="0"/>
        <w:spacing w:after="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ab/>
      </w:r>
    </w:p>
    <w:p w:rsidR="005B73E8" w:rsidRPr="00D74FF1" w:rsidP="005B73E8">
      <w:pPr>
        <w:pStyle w:val="ListParagraph"/>
        <w:numPr>
          <w:numId w:val="10"/>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sz w:val="24"/>
          <w:szCs w:val="24"/>
        </w:rPr>
        <w:t xml:space="preserve"> </w:t>
      </w:r>
      <w:r w:rsidRPr="00D74FF1">
        <w:rPr>
          <w:rFonts w:ascii="Times New Roman" w:hAnsi="Times New Roman" w:cs="Times New Roman"/>
          <w:color w:val="000000"/>
          <w:sz w:val="24"/>
          <w:szCs w:val="24"/>
        </w:rPr>
        <w:t>V § 50 odseky 2 a 3 znejú:</w:t>
      </w:r>
    </w:p>
    <w:p w:rsidR="005B73E8" w:rsidRPr="00D74FF1" w:rsidP="00072CF3">
      <w:pPr>
        <w:bidi w:val="0"/>
        <w:ind w:firstLine="851"/>
        <w:jc w:val="both"/>
        <w:rPr>
          <w:rFonts w:ascii="Times New Roman" w:hAnsi="Times New Roman" w:cs="Times New Roman"/>
          <w:sz w:val="24"/>
          <w:szCs w:val="24"/>
        </w:rPr>
      </w:pPr>
      <w:r w:rsidRPr="00D74FF1">
        <w:rPr>
          <w:rFonts w:ascii="Times New Roman" w:hAnsi="Times New Roman" w:cs="Times New Roman"/>
          <w:sz w:val="24"/>
          <w:szCs w:val="24"/>
        </w:rPr>
        <w:t xml:space="preserve">„(2) Príkaz na registráciu zmluvného záložného práva k cennému papieru sa podáva centrálnemu depozitárovi, ak sú údaje o majiteľovi cenného papiera evidované na účte majiteľa vedenom centrálnym depozitárom, alebo členovi, ak sú údaje o majiteľovi cenného papiera evidované na účte majiteľa vedenom členom,  alebo obchodníkovi s cennými papiermi, ak sú údaje o majiteľoch cenných papierov evidované v evidencii podľa § 71h ods. 2, </w:t>
      </w:r>
      <w:r w:rsidRPr="00D74FF1">
        <w:rPr>
          <w:rFonts w:ascii="Times New Roman" w:hAnsi="Times New Roman" w:cs="Times New Roman"/>
          <w:bCs/>
          <w:sz w:val="24"/>
          <w:szCs w:val="24"/>
        </w:rPr>
        <w:t>alebo centrálnemu depozitárovi, ak sú údaje o majiteľovi cenného papiera  vedené podľa § 105c</w:t>
      </w:r>
      <w:r w:rsidRPr="00D74FF1">
        <w:rPr>
          <w:rFonts w:ascii="Times New Roman" w:hAnsi="Times New Roman" w:cs="Times New Roman"/>
          <w:bCs/>
          <w:color w:val="0070C0"/>
          <w:sz w:val="24"/>
          <w:szCs w:val="24"/>
        </w:rPr>
        <w:t xml:space="preserve"> </w:t>
      </w:r>
      <w:r w:rsidRPr="00D74FF1">
        <w:rPr>
          <w:rFonts w:ascii="Times New Roman" w:hAnsi="Times New Roman" w:cs="Times New Roman"/>
          <w:bCs/>
          <w:sz w:val="24"/>
          <w:szCs w:val="24"/>
        </w:rPr>
        <w:t xml:space="preserve">druhej vety. </w:t>
      </w:r>
      <w:r w:rsidRPr="00D74FF1">
        <w:rPr>
          <w:rFonts w:ascii="Times New Roman" w:hAnsi="Times New Roman" w:cs="Times New Roman"/>
          <w:sz w:val="24"/>
          <w:szCs w:val="24"/>
        </w:rPr>
        <w:t xml:space="preserve">Člen alebo obchodník s cennými papiermi, </w:t>
      </w:r>
      <w:r w:rsidRPr="00D74FF1">
        <w:rPr>
          <w:rFonts w:ascii="Times New Roman" w:hAnsi="Times New Roman" w:cs="Times New Roman"/>
          <w:bCs/>
          <w:sz w:val="24"/>
          <w:szCs w:val="24"/>
        </w:rPr>
        <w:t>ktorý vedie údaje o majiteľoch cenných papierov  v evidencii podľa § 71h ods. 2, alebo</w:t>
      </w:r>
      <w:r w:rsidRPr="00D74FF1">
        <w:rPr>
          <w:rFonts w:ascii="Times New Roman" w:hAnsi="Times New Roman" w:cs="Times New Roman"/>
          <w:sz w:val="24"/>
          <w:szCs w:val="24"/>
        </w:rPr>
        <w:t xml:space="preserve"> </w:t>
      </w:r>
      <w:r w:rsidRPr="00D74FF1">
        <w:rPr>
          <w:rFonts w:ascii="Times New Roman" w:hAnsi="Times New Roman" w:cs="Times New Roman"/>
          <w:bCs/>
          <w:sz w:val="24"/>
          <w:szCs w:val="24"/>
        </w:rPr>
        <w:t>centrálny depozitár, ak sú údaje o majiteľovi cenného papiera vedené podľa § 105c druhej vety,</w:t>
      </w:r>
      <w:r w:rsidRPr="00D74FF1">
        <w:rPr>
          <w:rFonts w:ascii="Times New Roman" w:hAnsi="Times New Roman" w:cs="Times New Roman"/>
          <w:sz w:val="24"/>
          <w:szCs w:val="24"/>
        </w:rPr>
        <w:t xml:space="preserve"> je povinný po obdržaní príkazu na registráciu zmluvného záložného práva k cennému papieru bezodkladne postúpiť tento príkaz centrálnemu depozitárovi.     </w:t>
      </w:r>
    </w:p>
    <w:p w:rsidR="005B73E8" w:rsidRPr="00D74FF1" w:rsidP="00072CF3">
      <w:pPr>
        <w:bidi w:val="0"/>
        <w:ind w:firstLine="786"/>
        <w:jc w:val="both"/>
        <w:rPr>
          <w:rFonts w:ascii="Times New Roman" w:hAnsi="Times New Roman" w:cs="Times New Roman"/>
          <w:sz w:val="24"/>
          <w:szCs w:val="24"/>
        </w:rPr>
      </w:pPr>
      <w:r w:rsidRPr="00D74FF1">
        <w:rPr>
          <w:rFonts w:ascii="Times New Roman" w:hAnsi="Times New Roman" w:cs="Times New Roman"/>
          <w:sz w:val="24"/>
          <w:szCs w:val="24"/>
        </w:rPr>
        <w:t xml:space="preserve">(3) Centrálny depozitár po vykonaní registrácie zmluvného záložného práva v registri záložných práv bezodkladne zaeviduje túto skutočnosť aj na účte majiteľa založeného cenného papiera, ak sa účet majiteľa vedie v jeho evidencii, alebo bezodkladne oznámi túto skutočnosť členovi, u ktorého sa vedie účet majiteľa založeného cenného papiera, alebo obchodníkovi s cennými papiermi, ak sú údaje o majiteľoch cenných papierov evidované v evidencii podľa § 71h ods. 2 </w:t>
      </w:r>
      <w:r w:rsidRPr="00D74FF1">
        <w:rPr>
          <w:rFonts w:ascii="Times New Roman" w:hAnsi="Times New Roman" w:cs="Times New Roman"/>
          <w:bCs/>
          <w:sz w:val="24"/>
          <w:szCs w:val="24"/>
        </w:rPr>
        <w:t>alebo</w:t>
      </w:r>
      <w:r w:rsidRPr="00D74FF1">
        <w:rPr>
          <w:rFonts w:ascii="Times New Roman" w:hAnsi="Times New Roman" w:cs="Times New Roman"/>
          <w:sz w:val="24"/>
          <w:szCs w:val="24"/>
        </w:rPr>
        <w:t xml:space="preserve"> </w:t>
      </w:r>
      <w:r w:rsidRPr="00D74FF1">
        <w:rPr>
          <w:rFonts w:ascii="Times New Roman" w:hAnsi="Times New Roman" w:cs="Times New Roman"/>
          <w:bCs/>
          <w:sz w:val="24"/>
          <w:szCs w:val="24"/>
        </w:rPr>
        <w:t>centrálnemu depozitárovi, ak sú údaje o majiteľoch cenných papierov vedené podľa § 105c druhej vety</w:t>
      </w:r>
      <w:r w:rsidRPr="00D74FF1">
        <w:rPr>
          <w:rFonts w:ascii="Times New Roman" w:hAnsi="Times New Roman" w:cs="Times New Roman"/>
          <w:sz w:val="24"/>
          <w:szCs w:val="24"/>
        </w:rPr>
        <w:t>. Člen alebo obchodník s cennými papiermi, ktorý vedie evidenciu podľa § 71h ods. 2, je povinný po oznámení centrálneho depozitára o vykonaní registrácie zmluvného záložného práva v registri záložných práv bezodkladne zaevidovať túto skutočnosť na príslušnom účte alebo v evidencii podľa § 71h ods. 2.</w:t>
      </w:r>
      <w:r w:rsidRPr="00D74FF1">
        <w:rPr>
          <w:rFonts w:ascii="Times New Roman" w:hAnsi="Times New Roman" w:cs="Times New Roman"/>
          <w:bCs/>
          <w:sz w:val="24"/>
          <w:szCs w:val="24"/>
        </w:rPr>
        <w:t xml:space="preserve"> Centrálny depozitár, ktorý vedie evidenciu podľa § 105c druhej vety, je povinný po oznámení centrálneho depozitára o vykonaní registrácie zmluvného záložného práva v registri záložných práv bezodkladne zaevidovať túto skutočnosť na príslušnom účte alebo oznámiť ju členovi, ak sú údaje o majiteľovi cenného papiera evidované na účte majiteľa vedenom členom,  alebo obchodníkovi s cennými papiermi, ak sú údaje o majiteľoch cenných papierov evidované v evidencii podľa § 71h ods. 2. Člen alebo obchodník s cennými papiermi, ktorý vedie evidenciu podľa § 71h ods. 2, je povinný po oznámení podľa tretej vety bezodkladne zaevidovať túto skutočnosť na príslušnom účte alebo v evidencii podľa § 71h ods. 2.</w:t>
      </w:r>
      <w:r w:rsidRPr="00D74FF1">
        <w:rPr>
          <w:rFonts w:ascii="Times New Roman" w:hAnsi="Times New Roman" w:cs="Times New Roman"/>
          <w:sz w:val="24"/>
          <w:szCs w:val="24"/>
        </w:rPr>
        <w:t>“.</w:t>
      </w:r>
    </w:p>
    <w:p w:rsidR="005B73E8" w:rsidRPr="00D74FF1" w:rsidP="005B73E8">
      <w:pPr>
        <w:pStyle w:val="ListParagraph"/>
        <w:numPr>
          <w:numId w:val="10"/>
        </w:numPr>
        <w:bidi w:val="0"/>
        <w:spacing w:after="0"/>
        <w:ind w:left="0" w:firstLine="426"/>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50 ods. 5, § 107h ods. 10 a § 107l ods. 10 sa slová „§ 99“ nahrádzajú slovami „§ 10 ods. 4 písm. a)“.</w:t>
      </w:r>
    </w:p>
    <w:p w:rsidR="005B73E8" w:rsidRPr="00D74FF1" w:rsidP="005B73E8">
      <w:pPr>
        <w:bidi w:val="0"/>
        <w:ind w:left="786"/>
        <w:jc w:val="both"/>
        <w:rPr>
          <w:rFonts w:ascii="Times New Roman" w:hAnsi="Times New Roman" w:cs="Times New Roman"/>
          <w:sz w:val="24"/>
          <w:szCs w:val="24"/>
        </w:rPr>
      </w:pPr>
    </w:p>
    <w:p w:rsidR="005B73E8" w:rsidRPr="00D74FF1" w:rsidP="00072CF3">
      <w:pPr>
        <w:bidi w:val="0"/>
        <w:ind w:left="-142" w:hanging="142"/>
        <w:jc w:val="both"/>
        <w:rPr>
          <w:rFonts w:ascii="Times New Roman" w:hAnsi="Times New Roman" w:cs="Times New Roman"/>
          <w:sz w:val="24"/>
          <w:szCs w:val="24"/>
        </w:rPr>
      </w:pPr>
      <w:r w:rsidRPr="00D74FF1">
        <w:rPr>
          <w:rFonts w:ascii="Times New Roman" w:hAnsi="Times New Roman" w:cs="Times New Roman"/>
          <w:sz w:val="24"/>
          <w:szCs w:val="24"/>
        </w:rPr>
        <w:t xml:space="preserve">    </w:t>
        <w:tab/>
      </w:r>
      <w:r w:rsidRPr="00D74FF1" w:rsidR="00072CF3">
        <w:rPr>
          <w:rFonts w:ascii="Times New Roman" w:hAnsi="Times New Roman" w:cs="Times New Roman"/>
          <w:sz w:val="24"/>
          <w:szCs w:val="24"/>
        </w:rPr>
        <w:t xml:space="preserve">        </w:t>
      </w:r>
      <w:r w:rsidRPr="00D74FF1">
        <w:rPr>
          <w:rFonts w:ascii="Times New Roman" w:hAnsi="Times New Roman" w:cs="Times New Roman"/>
          <w:sz w:val="24"/>
          <w:szCs w:val="24"/>
        </w:rPr>
        <w:t xml:space="preserve">25. V § 52 ods. 2 prvej vete sa na konci bodka nahrádza čiarkou a pripájajú sa tieto slová: „alebo </w:t>
        <w:tab/>
        <w:t>centrálnemu depozitárovi, ak sú údaje o majiteľovi cenného papiera vedené podľa § 105c druhej vety.“.</w:t>
      </w:r>
    </w:p>
    <w:p w:rsidR="00536EC9" w:rsidRPr="00D74FF1" w:rsidP="00072CF3">
      <w:pPr>
        <w:pStyle w:val="ListParagraph"/>
        <w:numPr>
          <w:numId w:val="29"/>
        </w:numPr>
        <w:bidi w:val="0"/>
        <w:spacing w:after="0" w:line="240" w:lineRule="auto"/>
        <w:ind w:left="0" w:firstLine="426"/>
        <w:contextualSpacing/>
        <w:jc w:val="both"/>
        <w:rPr>
          <w:rFonts w:ascii="Times New Roman" w:hAnsi="Times New Roman" w:cs="Times New Roman"/>
          <w:sz w:val="24"/>
          <w:szCs w:val="24"/>
        </w:rPr>
      </w:pPr>
      <w:r w:rsidRPr="00D74FF1">
        <w:rPr>
          <w:rFonts w:ascii="Times New Roman" w:hAnsi="Times New Roman" w:cs="Times New Roman"/>
          <w:sz w:val="24"/>
          <w:szCs w:val="24"/>
        </w:rPr>
        <w:t>V § 54 ods. 12 sa na konci pripája táto veta: „Národná banka Slovenska môže povoliť obchodníkovi s cennými papiermi podľa prvej vety, ktorý vykonáva pokyny klientov týkajúce sa finančných nástrojov, držať takéto nástroje na vlastný účet, len ak sú splnené tieto podmienky:</w:t>
      </w:r>
    </w:p>
    <w:p w:rsidR="00536EC9" w:rsidRPr="00D74FF1" w:rsidP="00536EC9">
      <w:pPr>
        <w:pStyle w:val="CM1"/>
        <w:tabs>
          <w:tab w:val="left" w:pos="550"/>
        </w:tabs>
        <w:bidi w:val="0"/>
        <w:ind w:firstLine="349"/>
        <w:jc w:val="both"/>
        <w:rPr>
          <w:rFonts w:ascii="Times New Roman" w:hAnsi="Times New Roman" w:cs="Times New Roman"/>
          <w:color w:val="000000"/>
        </w:rPr>
      </w:pPr>
    </w:p>
    <w:p w:rsidR="00536EC9" w:rsidRPr="00D74FF1" w:rsidP="00536EC9">
      <w:pPr>
        <w:pStyle w:val="CM4"/>
        <w:bidi w:val="0"/>
        <w:spacing w:before="60"/>
        <w:ind w:left="567" w:hanging="141"/>
        <w:jc w:val="both"/>
        <w:rPr>
          <w:rFonts w:ascii="Times New Roman" w:hAnsi="Times New Roman" w:cs="Times New Roman"/>
          <w:color w:val="000000"/>
        </w:rPr>
      </w:pPr>
      <w:r w:rsidRPr="00D74FF1" w:rsidR="005B73E8">
        <w:rPr>
          <w:rFonts w:ascii="Times New Roman" w:hAnsi="Times New Roman" w:cs="Times New Roman"/>
          <w:color w:val="000000"/>
        </w:rPr>
        <w:tab/>
        <w:tab/>
        <w:tab/>
      </w:r>
      <w:r w:rsidRPr="00D74FF1">
        <w:rPr>
          <w:rFonts w:ascii="Times New Roman" w:hAnsi="Times New Roman" w:cs="Times New Roman"/>
          <w:color w:val="000000"/>
        </w:rPr>
        <w:t xml:space="preserve">a) ide o pozície vzniknuté len v dôsledku toho, že obchodníkovi s cennými </w:t>
      </w:r>
      <w:r w:rsidRPr="00D74FF1" w:rsidR="005B73E8">
        <w:rPr>
          <w:rFonts w:ascii="Times New Roman" w:hAnsi="Times New Roman" w:cs="Times New Roman"/>
          <w:color w:val="000000"/>
        </w:rPr>
        <w:tab/>
        <w:tab/>
      </w:r>
      <w:r w:rsidRPr="00D74FF1">
        <w:rPr>
          <w:rFonts w:ascii="Times New Roman" w:hAnsi="Times New Roman" w:cs="Times New Roman"/>
          <w:color w:val="000000"/>
        </w:rPr>
        <w:t xml:space="preserve">papiermi sa nepodarilo presne splniť pokyny klientov, </w:t>
      </w:r>
    </w:p>
    <w:p w:rsidR="00536EC9" w:rsidRPr="00D74FF1" w:rsidP="00536EC9">
      <w:pPr>
        <w:pStyle w:val="CM4"/>
        <w:bidi w:val="0"/>
        <w:spacing w:before="60"/>
        <w:ind w:left="567" w:hanging="141"/>
        <w:jc w:val="both"/>
        <w:rPr>
          <w:rFonts w:ascii="Times New Roman" w:hAnsi="Times New Roman" w:cs="Times New Roman"/>
          <w:color w:val="000000"/>
        </w:rPr>
      </w:pPr>
      <w:r w:rsidRPr="00D74FF1" w:rsidR="005B73E8">
        <w:rPr>
          <w:rFonts w:ascii="Times New Roman" w:hAnsi="Times New Roman" w:cs="Times New Roman"/>
          <w:color w:val="000000"/>
        </w:rPr>
        <w:tab/>
        <w:tab/>
        <w:tab/>
      </w:r>
      <w:r w:rsidRPr="00D74FF1">
        <w:rPr>
          <w:rFonts w:ascii="Times New Roman" w:hAnsi="Times New Roman" w:cs="Times New Roman"/>
          <w:color w:val="000000"/>
        </w:rPr>
        <w:t xml:space="preserve">b) celková trhová hodnota všetkých takýchto pozícií je najviac 15 % z hodnoty </w:t>
      </w:r>
      <w:r w:rsidRPr="00D74FF1" w:rsidR="005B73E8">
        <w:rPr>
          <w:rFonts w:ascii="Times New Roman" w:hAnsi="Times New Roman" w:cs="Times New Roman"/>
          <w:color w:val="000000"/>
        </w:rPr>
        <w:tab/>
        <w:tab/>
      </w:r>
      <w:r w:rsidRPr="00D74FF1">
        <w:rPr>
          <w:rFonts w:ascii="Times New Roman" w:hAnsi="Times New Roman" w:cs="Times New Roman"/>
          <w:color w:val="000000"/>
        </w:rPr>
        <w:t xml:space="preserve">počiatočného kapitálu obchodníka s cennými papiermi, </w:t>
      </w:r>
    </w:p>
    <w:p w:rsidR="00536EC9" w:rsidRPr="00D74FF1" w:rsidP="00536EC9">
      <w:pPr>
        <w:pStyle w:val="CM4"/>
        <w:bidi w:val="0"/>
        <w:spacing w:before="60"/>
        <w:ind w:left="567" w:hanging="141"/>
        <w:jc w:val="both"/>
        <w:rPr>
          <w:rFonts w:ascii="Times New Roman" w:hAnsi="Times New Roman" w:cs="Times New Roman"/>
          <w:color w:val="000000"/>
        </w:rPr>
      </w:pPr>
      <w:r w:rsidRPr="00D74FF1" w:rsidR="005B73E8">
        <w:rPr>
          <w:rFonts w:ascii="Times New Roman" w:hAnsi="Times New Roman" w:cs="Times New Roman"/>
          <w:color w:val="000000"/>
        </w:rPr>
        <w:tab/>
        <w:tab/>
        <w:tab/>
      </w:r>
      <w:r w:rsidRPr="00D74FF1">
        <w:rPr>
          <w:rFonts w:ascii="Times New Roman" w:hAnsi="Times New Roman" w:cs="Times New Roman"/>
          <w:color w:val="000000"/>
        </w:rPr>
        <w:t xml:space="preserve">c) obchodník s cennými papiermi spĺňa požiadavky podľa osobitného </w:t>
      </w:r>
      <w:r w:rsidRPr="00D74FF1" w:rsidR="005B73E8">
        <w:rPr>
          <w:rFonts w:ascii="Times New Roman" w:hAnsi="Times New Roman" w:cs="Times New Roman"/>
          <w:color w:val="000000"/>
        </w:rPr>
        <w:tab/>
        <w:tab/>
        <w:tab/>
      </w:r>
      <w:r w:rsidRPr="00D74FF1">
        <w:rPr>
          <w:rFonts w:ascii="Times New Roman" w:hAnsi="Times New Roman" w:cs="Times New Roman"/>
          <w:color w:val="000000"/>
        </w:rPr>
        <w:t>predpisu,</w:t>
      </w:r>
      <w:r w:rsidRPr="00D74FF1">
        <w:rPr>
          <w:rFonts w:ascii="Times New Roman" w:hAnsi="Times New Roman" w:cs="Times New Roman"/>
          <w:color w:val="000000"/>
          <w:vertAlign w:val="superscript"/>
        </w:rPr>
        <w:t>50ab</w:t>
      </w:r>
      <w:r w:rsidRPr="00D74FF1">
        <w:rPr>
          <w:rFonts w:ascii="Times New Roman" w:hAnsi="Times New Roman" w:cs="Times New Roman"/>
          <w:color w:val="000000"/>
        </w:rPr>
        <w:t xml:space="preserve">) </w:t>
      </w:r>
    </w:p>
    <w:p w:rsidR="00536EC9" w:rsidRPr="00D74FF1" w:rsidP="00536EC9">
      <w:pPr>
        <w:pStyle w:val="CM4"/>
        <w:bidi w:val="0"/>
        <w:spacing w:before="60"/>
        <w:ind w:left="567" w:hanging="141"/>
        <w:jc w:val="both"/>
        <w:rPr>
          <w:rFonts w:ascii="Times New Roman" w:hAnsi="Times New Roman" w:cs="Times New Roman"/>
          <w:color w:val="000000"/>
        </w:rPr>
      </w:pPr>
      <w:r w:rsidRPr="00D74FF1" w:rsidR="005B73E8">
        <w:rPr>
          <w:rFonts w:ascii="Times New Roman" w:hAnsi="Times New Roman" w:cs="Times New Roman"/>
          <w:color w:val="000000"/>
        </w:rPr>
        <w:tab/>
        <w:tab/>
        <w:tab/>
      </w:r>
      <w:r w:rsidRPr="00D74FF1">
        <w:rPr>
          <w:rFonts w:ascii="Times New Roman" w:hAnsi="Times New Roman" w:cs="Times New Roman"/>
          <w:color w:val="000000"/>
        </w:rPr>
        <w:t xml:space="preserve">d) takéto pozície nie sú otvárané na systematickej a trvalej báze a sú </w:t>
      </w:r>
      <w:r w:rsidRPr="00D74FF1" w:rsidR="005B73E8">
        <w:rPr>
          <w:rFonts w:ascii="Times New Roman" w:hAnsi="Times New Roman" w:cs="Times New Roman"/>
          <w:color w:val="000000"/>
        </w:rPr>
        <w:tab/>
        <w:tab/>
        <w:tab/>
      </w:r>
      <w:r w:rsidRPr="00D74FF1">
        <w:rPr>
          <w:rFonts w:ascii="Times New Roman" w:hAnsi="Times New Roman" w:cs="Times New Roman"/>
          <w:color w:val="000000"/>
        </w:rPr>
        <w:t xml:space="preserve">obmedzené len na čas potrebný na uskutočnenie príslušného obchodu.“. </w:t>
      </w:r>
    </w:p>
    <w:p w:rsidR="00536EC9" w:rsidRPr="00D74FF1" w:rsidP="00536EC9">
      <w:pPr>
        <w:bidi w:val="0"/>
        <w:spacing w:after="0"/>
        <w:rPr>
          <w:rFonts w:ascii="Times New Roman" w:hAnsi="Times New Roman" w:cs="Times New Roman"/>
          <w:sz w:val="24"/>
          <w:szCs w:val="24"/>
        </w:rPr>
      </w:pPr>
    </w:p>
    <w:p w:rsidR="00536EC9" w:rsidRPr="00D74FF1" w:rsidP="00536EC9">
      <w:pPr>
        <w:bidi w:val="0"/>
        <w:spacing w:after="0"/>
        <w:jc w:val="both"/>
        <w:rPr>
          <w:rFonts w:ascii="Times New Roman" w:hAnsi="Times New Roman" w:cs="Times New Roman"/>
          <w:color w:val="000000"/>
          <w:sz w:val="24"/>
          <w:szCs w:val="24"/>
        </w:rPr>
      </w:pPr>
      <w:r w:rsidRPr="00D74FF1" w:rsidR="003D27D8">
        <w:rPr>
          <w:rFonts w:ascii="Times New Roman" w:hAnsi="Times New Roman" w:cs="Times New Roman"/>
          <w:color w:val="000000"/>
          <w:sz w:val="24"/>
          <w:szCs w:val="24"/>
        </w:rPr>
        <w:tab/>
      </w:r>
      <w:r w:rsidRPr="00D74FF1">
        <w:rPr>
          <w:rFonts w:ascii="Times New Roman" w:hAnsi="Times New Roman" w:cs="Times New Roman"/>
          <w:color w:val="000000"/>
          <w:sz w:val="24"/>
          <w:szCs w:val="24"/>
        </w:rPr>
        <w:tab/>
        <w:t>Poznámka pod čiarou k odkazu 50ab znie:</w:t>
      </w:r>
    </w:p>
    <w:p w:rsidR="00536EC9" w:rsidRPr="00D74FF1" w:rsidP="00536EC9">
      <w:pPr>
        <w:bidi w:val="0"/>
        <w:spacing w:after="0"/>
        <w:jc w:val="both"/>
        <w:rPr>
          <w:rFonts w:ascii="Times New Roman" w:hAnsi="Times New Roman" w:cs="Times New Roman"/>
          <w:color w:val="000000"/>
          <w:sz w:val="24"/>
          <w:szCs w:val="24"/>
        </w:rPr>
      </w:pPr>
      <w:r w:rsidRPr="00D74FF1" w:rsidR="003D27D8">
        <w:rPr>
          <w:rFonts w:ascii="Times New Roman" w:hAnsi="Times New Roman" w:cs="Times New Roman"/>
          <w:color w:val="000000"/>
          <w:sz w:val="24"/>
          <w:szCs w:val="24"/>
        </w:rPr>
        <w:tab/>
      </w:r>
      <w:r w:rsidRPr="00D74FF1">
        <w:rPr>
          <w:rFonts w:ascii="Times New Roman" w:hAnsi="Times New Roman" w:cs="Times New Roman"/>
          <w:color w:val="000000"/>
          <w:sz w:val="24"/>
          <w:szCs w:val="24"/>
        </w:rPr>
        <w:t xml:space="preserve">          „</w:t>
      </w:r>
      <w:r w:rsidRPr="00D74FF1">
        <w:rPr>
          <w:rFonts w:ascii="Times New Roman" w:hAnsi="Times New Roman" w:cs="Times New Roman"/>
          <w:color w:val="000000"/>
          <w:sz w:val="24"/>
          <w:szCs w:val="24"/>
          <w:vertAlign w:val="superscript"/>
        </w:rPr>
        <w:t>50ab</w:t>
      </w:r>
      <w:r w:rsidRPr="00D74FF1">
        <w:rPr>
          <w:rFonts w:ascii="Times New Roman" w:hAnsi="Times New Roman" w:cs="Times New Roman"/>
          <w:color w:val="000000"/>
          <w:sz w:val="24"/>
          <w:szCs w:val="24"/>
        </w:rPr>
        <w:t>) Čl. 92 až 95 a časť IV nariadenia (EÚ) č. 575/2013 v platnom znení.“.</w:t>
      </w:r>
    </w:p>
    <w:p w:rsidR="00536EC9" w:rsidRPr="00D74FF1" w:rsidP="00536EC9">
      <w:pPr>
        <w:pStyle w:val="ListParagraph"/>
        <w:bidi w:val="0"/>
        <w:spacing w:after="0"/>
        <w:ind w:left="786"/>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70 ods. 1 a 4 sa vypúšťa písmeno g).</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V § 70 ods. 2 sa vypúšťa štvrtá veta. </w:t>
      </w:r>
    </w:p>
    <w:p w:rsidR="00536EC9" w:rsidRPr="00D74FF1" w:rsidP="00536EC9">
      <w:pPr>
        <w:pStyle w:val="ListParagraph"/>
        <w:bidi w:val="0"/>
        <w:spacing w:after="0"/>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70 ods. 13 sa slová „až g)“ nahrádzajú slovami „a f)“.</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74c sa dopĺňa odsekom 6, ktorý znie:</w:t>
      </w:r>
    </w:p>
    <w:p w:rsidR="00536EC9" w:rsidRPr="00D74FF1" w:rsidP="00536EC9">
      <w:pPr>
        <w:bidi w:val="0"/>
        <w:spacing w:after="0"/>
        <w:ind w:firstLine="708"/>
        <w:jc w:val="both"/>
        <w:rPr>
          <w:rFonts w:ascii="Times New Roman" w:hAnsi="Times New Roman" w:cs="Times New Roman"/>
          <w:sz w:val="24"/>
          <w:szCs w:val="24"/>
        </w:rPr>
      </w:pPr>
      <w:r w:rsidRPr="00D74FF1">
        <w:rPr>
          <w:rFonts w:ascii="Times New Roman" w:hAnsi="Times New Roman" w:cs="Times New Roman"/>
          <w:color w:val="000000"/>
          <w:sz w:val="24"/>
          <w:szCs w:val="24"/>
        </w:rPr>
        <w:t xml:space="preserve"> „</w:t>
      </w:r>
      <w:r w:rsidRPr="00D74FF1">
        <w:rPr>
          <w:rFonts w:ascii="Times New Roman" w:hAnsi="Times New Roman" w:cs="Times New Roman"/>
          <w:sz w:val="24"/>
          <w:szCs w:val="24"/>
        </w:rPr>
        <w:t>(6)  Ak Národná banka Slovenska  udelila výnimku na uplatňovanie požiadaviek na vlastné zdroje na konsolidovanom základe podľa osobitného predpisu,</w:t>
      </w:r>
      <w:r w:rsidRPr="00D74FF1">
        <w:rPr>
          <w:rFonts w:ascii="Times New Roman" w:hAnsi="Times New Roman" w:cs="Times New Roman"/>
          <w:sz w:val="24"/>
          <w:szCs w:val="24"/>
          <w:vertAlign w:val="superscript"/>
        </w:rPr>
        <w:t>58jca</w:t>
      </w:r>
      <w:r w:rsidRPr="00D74FF1">
        <w:rPr>
          <w:rFonts w:ascii="Times New Roman" w:hAnsi="Times New Roman" w:cs="Times New Roman"/>
          <w:sz w:val="24"/>
          <w:szCs w:val="24"/>
        </w:rPr>
        <w:t>)  požiadavky podľa odseku 1 sa uplatňujú na individuálnom základe.“.</w:t>
      </w:r>
    </w:p>
    <w:p w:rsidR="00536EC9" w:rsidRPr="00D74FF1" w:rsidP="00536EC9">
      <w:pPr>
        <w:bidi w:val="0"/>
        <w:spacing w:after="0"/>
        <w:ind w:firstLine="708"/>
        <w:jc w:val="both"/>
        <w:rPr>
          <w:rFonts w:ascii="Times New Roman" w:hAnsi="Times New Roman" w:cs="Times New Roman"/>
          <w:sz w:val="24"/>
          <w:szCs w:val="24"/>
        </w:rPr>
      </w:pPr>
    </w:p>
    <w:p w:rsidR="00536EC9" w:rsidRPr="00D74FF1" w:rsidP="00536EC9">
      <w:pPr>
        <w:bidi w:val="0"/>
        <w:spacing w:after="0"/>
        <w:ind w:firstLine="708"/>
        <w:jc w:val="both"/>
        <w:rPr>
          <w:rFonts w:ascii="Times New Roman" w:hAnsi="Times New Roman" w:cs="Times New Roman"/>
          <w:sz w:val="24"/>
          <w:szCs w:val="24"/>
        </w:rPr>
      </w:pPr>
      <w:r w:rsidRPr="00D74FF1">
        <w:rPr>
          <w:rFonts w:ascii="Times New Roman" w:hAnsi="Times New Roman" w:cs="Times New Roman"/>
          <w:sz w:val="24"/>
          <w:szCs w:val="24"/>
        </w:rPr>
        <w:t xml:space="preserve">Poznámka pod čiarou k odkazu 58jca znie:  </w:t>
      </w:r>
    </w:p>
    <w:p w:rsidR="00536EC9" w:rsidRPr="00D74FF1" w:rsidP="00536EC9">
      <w:pPr>
        <w:bidi w:val="0"/>
        <w:spacing w:after="0"/>
        <w:ind w:firstLine="708"/>
        <w:jc w:val="both"/>
        <w:rPr>
          <w:rFonts w:ascii="Times New Roman" w:hAnsi="Times New Roman" w:cs="Times New Roman"/>
          <w:sz w:val="24"/>
          <w:szCs w:val="24"/>
        </w:rPr>
      </w:pPr>
      <w:r w:rsidRPr="00D74FF1">
        <w:rPr>
          <w:rFonts w:ascii="Times New Roman" w:hAnsi="Times New Roman" w:cs="Times New Roman"/>
          <w:sz w:val="24"/>
          <w:szCs w:val="24"/>
        </w:rPr>
        <w:t>„</w:t>
      </w:r>
      <w:r w:rsidRPr="00D74FF1">
        <w:rPr>
          <w:rFonts w:ascii="Times New Roman" w:hAnsi="Times New Roman" w:cs="Times New Roman"/>
          <w:sz w:val="24"/>
          <w:szCs w:val="24"/>
          <w:vertAlign w:val="superscript"/>
        </w:rPr>
        <w:t>58jca</w:t>
      </w:r>
      <w:r w:rsidRPr="00D74FF1">
        <w:rPr>
          <w:rFonts w:ascii="Times New Roman" w:hAnsi="Times New Roman" w:cs="Times New Roman"/>
          <w:sz w:val="24"/>
          <w:szCs w:val="24"/>
        </w:rPr>
        <w:t>) Čl. 15 nariadenia (EÚ) č. 575/2013 v platnom znení.“.</w:t>
      </w:r>
    </w:p>
    <w:p w:rsidR="00536EC9" w:rsidRPr="00D74FF1" w:rsidP="00536EC9">
      <w:pPr>
        <w:tabs>
          <w:tab w:val="left" w:pos="944"/>
        </w:tabs>
        <w:autoSpaceDE w:val="0"/>
        <w:autoSpaceDN w:val="0"/>
        <w:bidi w:val="0"/>
        <w:adjustRightInd w:val="0"/>
        <w:spacing w:after="0"/>
        <w:jc w:val="both"/>
        <w:rPr>
          <w:rFonts w:ascii="Times New Roman" w:hAnsi="Times New Roman" w:cs="Times New Roman"/>
          <w:color w:val="000000"/>
          <w:sz w:val="24"/>
          <w:szCs w:val="24"/>
        </w:rPr>
      </w:pPr>
    </w:p>
    <w:p w:rsidR="00536EC9" w:rsidRPr="00D74FF1" w:rsidP="005B73E8">
      <w:pPr>
        <w:pStyle w:val="ListParagraph"/>
        <w:numPr>
          <w:numId w:val="29"/>
        </w:numPr>
        <w:autoSpaceDE w:val="0"/>
        <w:autoSpaceDN w:val="0"/>
        <w:bidi w:val="0"/>
        <w:adjustRightInd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V § 84 ods. 5 sa slová „5 000 Sk“ nahrádzajú slovami „150 eur“, slová „12 000 Sk“ sa nahrádzajú slovami „350 eur“ a  slová „70 000 Sk“ sa nahrádzajú slovami „2 000 eur“.     </w:t>
      </w:r>
    </w:p>
    <w:p w:rsidR="00536EC9" w:rsidRPr="00D74FF1" w:rsidP="00536EC9">
      <w:pPr>
        <w:autoSpaceDE w:val="0"/>
        <w:autoSpaceDN w:val="0"/>
        <w:bidi w:val="0"/>
        <w:adjustRightInd w:val="0"/>
        <w:spacing w:after="0"/>
        <w:jc w:val="both"/>
        <w:rPr>
          <w:rFonts w:ascii="Times New Roman" w:hAnsi="Times New Roman" w:cs="Times New Roman"/>
          <w:color w:val="000000"/>
          <w:sz w:val="24"/>
          <w:szCs w:val="24"/>
        </w:rPr>
      </w:pPr>
    </w:p>
    <w:p w:rsidR="00536EC9" w:rsidRPr="00D74FF1" w:rsidP="005B73E8">
      <w:pPr>
        <w:pStyle w:val="ListParagraph"/>
        <w:numPr>
          <w:numId w:val="29"/>
        </w:numPr>
        <w:autoSpaceDE w:val="0"/>
        <w:autoSpaceDN w:val="0"/>
        <w:bidi w:val="0"/>
        <w:adjustRightInd w:val="0"/>
        <w:spacing w:after="0" w:line="240" w:lineRule="auto"/>
        <w:contextualSpacing/>
        <w:jc w:val="both"/>
        <w:rPr>
          <w:rFonts w:ascii="Times New Roman" w:hAnsi="Times New Roman" w:cs="Times New Roman"/>
          <w:sz w:val="24"/>
          <w:szCs w:val="24"/>
        </w:rPr>
      </w:pPr>
      <w:r w:rsidRPr="00D74FF1">
        <w:rPr>
          <w:rFonts w:ascii="Times New Roman" w:hAnsi="Times New Roman" w:cs="Times New Roman"/>
          <w:sz w:val="24"/>
          <w:szCs w:val="24"/>
        </w:rPr>
        <w:t>V § 84 ods. 6 písm. b) prvom bode sa na konci pripájajú tieto slová: „najmenej však 390 eur“.</w:t>
      </w:r>
    </w:p>
    <w:p w:rsidR="00536EC9" w:rsidRPr="00D74FF1" w:rsidP="00536EC9">
      <w:pPr>
        <w:autoSpaceDE w:val="0"/>
        <w:autoSpaceDN w:val="0"/>
        <w:bidi w:val="0"/>
        <w:adjustRightInd w:val="0"/>
        <w:spacing w:after="0"/>
        <w:ind w:left="360"/>
        <w:jc w:val="both"/>
        <w:rPr>
          <w:rFonts w:ascii="Times New Roman" w:hAnsi="Times New Roman" w:cs="Times New Roman"/>
          <w:color w:val="000000"/>
          <w:sz w:val="24"/>
          <w:szCs w:val="24"/>
        </w:rPr>
      </w:pPr>
    </w:p>
    <w:p w:rsidR="00536EC9" w:rsidRPr="00D74FF1" w:rsidP="005B73E8">
      <w:pPr>
        <w:pStyle w:val="ListParagraph"/>
        <w:numPr>
          <w:numId w:val="29"/>
        </w:numPr>
        <w:autoSpaceDE w:val="0"/>
        <w:autoSpaceDN w:val="0"/>
        <w:bidi w:val="0"/>
        <w:adjustRightInd w:val="0"/>
        <w:spacing w:after="0" w:line="240" w:lineRule="auto"/>
        <w:contextualSpacing/>
        <w:jc w:val="both"/>
        <w:rPr>
          <w:rFonts w:ascii="Times New Roman" w:hAnsi="Times New Roman" w:cs="Times New Roman"/>
          <w:sz w:val="24"/>
          <w:szCs w:val="24"/>
        </w:rPr>
      </w:pPr>
      <w:r w:rsidRPr="00D74FF1">
        <w:rPr>
          <w:rFonts w:ascii="Times New Roman" w:hAnsi="Times New Roman" w:cs="Times New Roman"/>
          <w:sz w:val="24"/>
          <w:szCs w:val="24"/>
        </w:rPr>
        <w:t>V § 84 ods. 6 písm. c) prvom bode sa na konci pripájajú tieto slová: „najmenej však 2 300 eur“.</w:t>
      </w:r>
    </w:p>
    <w:p w:rsidR="00536EC9" w:rsidRPr="00D74FF1" w:rsidP="00536EC9">
      <w:pPr>
        <w:autoSpaceDE w:val="0"/>
        <w:autoSpaceDN w:val="0"/>
        <w:bidi w:val="0"/>
        <w:adjustRightInd w:val="0"/>
        <w:spacing w:after="0"/>
        <w:rPr>
          <w:rFonts w:ascii="Times New Roman" w:hAnsi="Times New Roman" w:cs="Times New Roman"/>
          <w:sz w:val="24"/>
          <w:szCs w:val="24"/>
        </w:rPr>
      </w:pPr>
    </w:p>
    <w:p w:rsidR="00536EC9" w:rsidRPr="00D74FF1" w:rsidP="005B73E8">
      <w:pPr>
        <w:pStyle w:val="ListParagraph"/>
        <w:numPr>
          <w:numId w:val="29"/>
        </w:numPr>
        <w:bidi w:val="0"/>
        <w:spacing w:after="0"/>
        <w:contextualSpacing/>
        <w:rPr>
          <w:rFonts w:ascii="Times New Roman" w:hAnsi="Times New Roman" w:cs="Times New Roman"/>
          <w:color w:val="000000"/>
          <w:sz w:val="24"/>
          <w:szCs w:val="24"/>
        </w:rPr>
      </w:pPr>
      <w:r w:rsidRPr="00D74FF1">
        <w:rPr>
          <w:rFonts w:ascii="Times New Roman" w:hAnsi="Times New Roman" w:cs="Times New Roman"/>
          <w:color w:val="000000"/>
          <w:sz w:val="24"/>
          <w:szCs w:val="24"/>
        </w:rPr>
        <w:t>V § 99 odseky 1 až 8 znejú:</w:t>
      </w:r>
    </w:p>
    <w:p w:rsidR="00536EC9" w:rsidRPr="00D74FF1" w:rsidP="00536EC9">
      <w:pPr>
        <w:autoSpaceDE w:val="0"/>
        <w:autoSpaceDN w:val="0"/>
        <w:bidi w:val="0"/>
        <w:adjustRightInd w:val="0"/>
        <w:spacing w:after="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        </w:t>
      </w:r>
      <w:r w:rsidR="00D77FFA">
        <w:rPr>
          <w:rFonts w:ascii="Times New Roman" w:hAnsi="Times New Roman" w:cs="Times New Roman"/>
          <w:color w:val="000000"/>
          <w:sz w:val="24"/>
          <w:szCs w:val="24"/>
        </w:rPr>
        <w:t xml:space="preserve">  </w:t>
      </w:r>
      <w:r w:rsidRPr="00D74FF1">
        <w:rPr>
          <w:rFonts w:ascii="Times New Roman" w:hAnsi="Times New Roman" w:cs="Times New Roman"/>
          <w:color w:val="000000"/>
          <w:sz w:val="24"/>
          <w:szCs w:val="24"/>
        </w:rPr>
        <w:t xml:space="preserve">   „(1) Centrálny depozitár je právnickou osobou so sídlom na území Slovenskej republiky, ktorej bolo udelené povolenie na činnosť centrálneho depozitára podľa osobitného predpisu</w:t>
      </w:r>
      <w:r w:rsidRPr="00D74FF1">
        <w:rPr>
          <w:rFonts w:ascii="Times New Roman" w:hAnsi="Times New Roman" w:cs="Times New Roman"/>
          <w:color w:val="000000"/>
          <w:sz w:val="24"/>
          <w:szCs w:val="24"/>
          <w:vertAlign w:val="superscript"/>
        </w:rPr>
        <w:t>89</w:t>
      </w:r>
      <w:r w:rsidRPr="00D74FF1">
        <w:rPr>
          <w:rFonts w:ascii="Times New Roman" w:hAnsi="Times New Roman" w:cs="Times New Roman"/>
          <w:color w:val="000000"/>
          <w:sz w:val="24"/>
          <w:szCs w:val="24"/>
        </w:rPr>
        <w:t>)</w:t>
      </w:r>
      <w:r w:rsidRPr="00D74FF1">
        <w:rPr>
          <w:rFonts w:ascii="Times New Roman" w:hAnsi="Times New Roman" w:cs="Times New Roman"/>
          <w:color w:val="000000"/>
          <w:sz w:val="24"/>
          <w:szCs w:val="24"/>
          <w:vertAlign w:val="superscript"/>
        </w:rPr>
        <w:t xml:space="preserve"> </w:t>
      </w:r>
      <w:r w:rsidRPr="00D74FF1">
        <w:rPr>
          <w:rFonts w:ascii="Times New Roman" w:hAnsi="Times New Roman" w:cs="Times New Roman"/>
          <w:color w:val="000000"/>
          <w:sz w:val="24"/>
          <w:szCs w:val="24"/>
        </w:rPr>
        <w:t xml:space="preserve">(ďalej len „povolenie na činnosť“). </w:t>
      </w:r>
    </w:p>
    <w:p w:rsidR="00536EC9" w:rsidRPr="00D74FF1" w:rsidP="00536EC9">
      <w:pPr>
        <w:autoSpaceDE w:val="0"/>
        <w:autoSpaceDN w:val="0"/>
        <w:bidi w:val="0"/>
        <w:adjustRightInd w:val="0"/>
        <w:spacing w:after="0"/>
        <w:rPr>
          <w:rFonts w:ascii="Times New Roman" w:hAnsi="Times New Roman" w:cs="Times New Roman"/>
          <w:color w:val="000000"/>
          <w:sz w:val="24"/>
          <w:szCs w:val="24"/>
        </w:rPr>
      </w:pPr>
    </w:p>
    <w:p w:rsidR="00536EC9" w:rsidRPr="00D74FF1" w:rsidP="00536EC9">
      <w:pPr>
        <w:autoSpaceDE w:val="0"/>
        <w:autoSpaceDN w:val="0"/>
        <w:bidi w:val="0"/>
        <w:adjustRightInd w:val="0"/>
        <w:spacing w:after="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          (2) Zahraničný centrálny depozitár je právnickou osobou so sídlom v inom členskom štáte, ktorej bolo udelené povolenie na činnosť alebo právnická osoba so sídlom mimo územia Slovenskej republiky, ktorá bola uznaná podľa osobitného predpisu.</w:t>
      </w:r>
      <w:r w:rsidRPr="00D74FF1">
        <w:rPr>
          <w:rFonts w:ascii="Times New Roman" w:hAnsi="Times New Roman" w:cs="Times New Roman"/>
          <w:color w:val="000000"/>
          <w:sz w:val="24"/>
          <w:szCs w:val="24"/>
          <w:vertAlign w:val="superscript"/>
        </w:rPr>
        <w:t>89</w:t>
      </w:r>
      <w:r w:rsidRPr="00D74FF1">
        <w:rPr>
          <w:rFonts w:ascii="Times New Roman" w:hAnsi="Times New Roman" w:cs="Times New Roman"/>
          <w:color w:val="000000"/>
          <w:sz w:val="24"/>
          <w:szCs w:val="24"/>
        </w:rPr>
        <w:t xml:space="preserve">) </w:t>
      </w:r>
    </w:p>
    <w:p w:rsidR="00536EC9" w:rsidRPr="00D74FF1" w:rsidP="00536EC9">
      <w:pPr>
        <w:autoSpaceDE w:val="0"/>
        <w:autoSpaceDN w:val="0"/>
        <w:bidi w:val="0"/>
        <w:adjustRightInd w:val="0"/>
        <w:spacing w:after="0"/>
        <w:rPr>
          <w:rFonts w:ascii="Times New Roman" w:hAnsi="Times New Roman" w:cs="Times New Roman"/>
          <w:color w:val="000000"/>
          <w:sz w:val="24"/>
          <w:szCs w:val="24"/>
        </w:rPr>
      </w:pPr>
    </w:p>
    <w:p w:rsidR="00536EC9" w:rsidRPr="00D74FF1" w:rsidP="00536EC9">
      <w:pPr>
        <w:autoSpaceDE w:val="0"/>
        <w:autoSpaceDN w:val="0"/>
        <w:bidi w:val="0"/>
        <w:adjustRightInd w:val="0"/>
        <w:spacing w:after="0"/>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         (3) Povolenie na činnosť udeľuje Národná banka Slovenska. </w:t>
      </w:r>
    </w:p>
    <w:p w:rsidR="00536EC9" w:rsidRPr="00D74FF1" w:rsidP="00536EC9">
      <w:pPr>
        <w:bidi w:val="0"/>
        <w:spacing w:after="0"/>
        <w:rPr>
          <w:rFonts w:ascii="Times New Roman" w:hAnsi="Times New Roman" w:cs="Times New Roman"/>
          <w:color w:val="000000"/>
          <w:sz w:val="24"/>
          <w:szCs w:val="24"/>
        </w:rPr>
      </w:pPr>
    </w:p>
    <w:p w:rsidR="00536EC9" w:rsidRPr="00D74FF1" w:rsidP="00536EC9">
      <w:pPr>
        <w:bidi w:val="0"/>
        <w:spacing w:after="0"/>
        <w:ind w:firstLine="284"/>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    (4) Na žiadosť o povolenie na činnosť, postup pri udelení povolenia na činnosť, podmienky udelenia povolenia na činnosť, zmenu povolenia na činnosť, zverenie vykonávania hlavnej služby centrálneho depozitára a odňatie povolenia na činnosť sa vzťahuje osobitný predpis.</w:t>
      </w:r>
      <w:r w:rsidRPr="00D74FF1">
        <w:rPr>
          <w:rFonts w:ascii="Times New Roman" w:hAnsi="Times New Roman" w:cs="Times New Roman"/>
          <w:color w:val="000000"/>
          <w:sz w:val="24"/>
          <w:szCs w:val="24"/>
          <w:vertAlign w:val="superscript"/>
        </w:rPr>
        <w:t>89a</w:t>
      </w:r>
      <w:r w:rsidRPr="00D74FF1">
        <w:rPr>
          <w:rFonts w:ascii="Times New Roman" w:hAnsi="Times New Roman" w:cs="Times New Roman"/>
          <w:color w:val="000000"/>
          <w:sz w:val="24"/>
          <w:szCs w:val="24"/>
        </w:rPr>
        <w:t>)</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36EC9">
      <w:pPr>
        <w:autoSpaceDE w:val="0"/>
        <w:autoSpaceDN w:val="0"/>
        <w:bidi w:val="0"/>
        <w:adjustRightInd w:val="0"/>
        <w:spacing w:after="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          (5) Ustanovenia o vedení evidencie zaknihovaných cenných papierov podľa tohto zákona alebo osobitného </w:t>
      </w:r>
      <w:r w:rsidRPr="00D74FF1" w:rsidR="003D27D8">
        <w:rPr>
          <w:rFonts w:ascii="Times New Roman" w:hAnsi="Times New Roman" w:cs="Times New Roman"/>
          <w:color w:val="000000"/>
          <w:sz w:val="24"/>
          <w:szCs w:val="24"/>
        </w:rPr>
        <w:t>predpisu</w:t>
      </w:r>
      <w:r w:rsidRPr="00D74FF1">
        <w:rPr>
          <w:rFonts w:ascii="Times New Roman" w:hAnsi="Times New Roman" w:cs="Times New Roman"/>
          <w:color w:val="000000"/>
          <w:sz w:val="24"/>
          <w:szCs w:val="24"/>
          <w:vertAlign w:val="superscript"/>
        </w:rPr>
        <w:t>89b</w:t>
      </w:r>
      <w:r w:rsidRPr="00D74FF1">
        <w:rPr>
          <w:rFonts w:ascii="Times New Roman" w:hAnsi="Times New Roman" w:cs="Times New Roman"/>
          <w:color w:val="000000"/>
          <w:sz w:val="24"/>
          <w:szCs w:val="24"/>
        </w:rPr>
        <w:t>) centrálnym depozitárom sa primerane vzťahujú na zahraničného centrálneho depozitára vykonávajúceho činnosť na území Slovenskej republiky na základe práva poskytovať služby podľa osobitného predpisu.</w:t>
      </w:r>
      <w:r w:rsidRPr="00D74FF1">
        <w:rPr>
          <w:rFonts w:ascii="Times New Roman" w:hAnsi="Times New Roman" w:cs="Times New Roman"/>
          <w:color w:val="000000"/>
          <w:sz w:val="24"/>
          <w:szCs w:val="24"/>
          <w:vertAlign w:val="superscript"/>
        </w:rPr>
        <w:t>89c</w:t>
      </w:r>
      <w:r w:rsidRPr="00D74FF1">
        <w:rPr>
          <w:rFonts w:ascii="Times New Roman" w:hAnsi="Times New Roman" w:cs="Times New Roman"/>
          <w:color w:val="000000"/>
          <w:sz w:val="24"/>
          <w:szCs w:val="24"/>
        </w:rPr>
        <w:t xml:space="preserve">)  </w:t>
      </w:r>
    </w:p>
    <w:p w:rsidR="00536EC9" w:rsidRPr="00D74FF1" w:rsidP="00536EC9">
      <w:pPr>
        <w:autoSpaceDE w:val="0"/>
        <w:autoSpaceDN w:val="0"/>
        <w:bidi w:val="0"/>
        <w:adjustRightInd w:val="0"/>
        <w:spacing w:after="0"/>
        <w:jc w:val="both"/>
        <w:rPr>
          <w:rFonts w:ascii="Times New Roman" w:hAnsi="Times New Roman" w:cs="Times New Roman"/>
          <w:color w:val="000000"/>
          <w:sz w:val="24"/>
          <w:szCs w:val="24"/>
        </w:rPr>
      </w:pPr>
    </w:p>
    <w:p w:rsidR="00536EC9" w:rsidRPr="00D74FF1" w:rsidP="00536EC9">
      <w:pPr>
        <w:autoSpaceDE w:val="0"/>
        <w:autoSpaceDN w:val="0"/>
        <w:bidi w:val="0"/>
        <w:adjustRightInd w:val="0"/>
        <w:spacing w:after="0"/>
        <w:jc w:val="both"/>
        <w:rPr>
          <w:rFonts w:ascii="Times New Roman" w:hAnsi="Times New Roman" w:cs="Times New Roman"/>
          <w:sz w:val="24"/>
          <w:szCs w:val="24"/>
        </w:rPr>
      </w:pPr>
      <w:r w:rsidRPr="00D74FF1">
        <w:rPr>
          <w:rFonts w:ascii="Times New Roman" w:hAnsi="Times New Roman" w:cs="Times New Roman"/>
          <w:color w:val="000000"/>
          <w:sz w:val="24"/>
          <w:szCs w:val="24"/>
        </w:rPr>
        <w:t xml:space="preserve">          (6) Iná osoba ako </w:t>
      </w:r>
      <w:r w:rsidRPr="00D74FF1">
        <w:rPr>
          <w:rFonts w:ascii="Times New Roman" w:hAnsi="Times New Roman" w:cs="Times New Roman"/>
          <w:sz w:val="24"/>
          <w:szCs w:val="24"/>
        </w:rPr>
        <w:t>centrálny depozitár alebo zahraničný centrálny depozitár môže v Slovenskej republike poskytovať služby centrálneho vedenia účtov</w:t>
      </w:r>
      <w:r w:rsidRPr="00D74FF1">
        <w:rPr>
          <w:rFonts w:ascii="Times New Roman" w:hAnsi="Times New Roman" w:cs="Times New Roman"/>
          <w:sz w:val="24"/>
          <w:szCs w:val="24"/>
          <w:vertAlign w:val="superscript"/>
        </w:rPr>
        <w:t>89d</w:t>
      </w:r>
      <w:r w:rsidRPr="00D74FF1">
        <w:rPr>
          <w:rFonts w:ascii="Times New Roman" w:hAnsi="Times New Roman" w:cs="Times New Roman"/>
          <w:sz w:val="24"/>
          <w:szCs w:val="24"/>
        </w:rPr>
        <w:t>) pre cenné papiere prijaté na obchodovanie na regulovanom trhu len za podmienok podľa tohto zákona a osobitného predpisu.</w:t>
      </w:r>
      <w:r w:rsidRPr="00D74FF1">
        <w:rPr>
          <w:rFonts w:ascii="Times New Roman" w:hAnsi="Times New Roman" w:cs="Times New Roman"/>
          <w:sz w:val="24"/>
          <w:szCs w:val="24"/>
          <w:vertAlign w:val="superscript"/>
        </w:rPr>
        <w:t>89e</w:t>
      </w:r>
      <w:r w:rsidRPr="00D74FF1">
        <w:rPr>
          <w:rFonts w:ascii="Times New Roman" w:hAnsi="Times New Roman" w:cs="Times New Roman"/>
          <w:sz w:val="24"/>
          <w:szCs w:val="24"/>
        </w:rPr>
        <w:t>)</w:t>
      </w:r>
    </w:p>
    <w:p w:rsidR="00536EC9" w:rsidRPr="00D74FF1" w:rsidP="00536EC9">
      <w:pPr>
        <w:autoSpaceDE w:val="0"/>
        <w:autoSpaceDN w:val="0"/>
        <w:bidi w:val="0"/>
        <w:adjustRightInd w:val="0"/>
        <w:spacing w:after="0"/>
        <w:jc w:val="both"/>
        <w:rPr>
          <w:rFonts w:ascii="Times New Roman" w:hAnsi="Times New Roman" w:cs="Times New Roman"/>
          <w:color w:val="000000"/>
          <w:sz w:val="24"/>
          <w:szCs w:val="24"/>
        </w:rPr>
      </w:pPr>
    </w:p>
    <w:p w:rsidR="00536EC9" w:rsidRPr="00D74FF1" w:rsidP="00536EC9">
      <w:pPr>
        <w:autoSpaceDE w:val="0"/>
        <w:autoSpaceDN w:val="0"/>
        <w:bidi w:val="0"/>
        <w:adjustRightInd w:val="0"/>
        <w:spacing w:after="0"/>
        <w:ind w:firstLine="284"/>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     (7) Systém vyrovnania transakcií s cennými papiermi tvoria najmenej traja účastníci okrem jeho prevádzkovateľa, prípadného zúčtovacieho agenta, centrálnej protistrany, zúčtovacieho ústavu alebo prípadného nepriameho účastníka, so spoločnými pravidlami pre zúčtovanie cez centrálnu protistranu alebo mimo centrálnej protistrany a na vykonávanie príkazov na prevody medzi účastníkmi (ďalej len „systém vyrovnania“).   </w:t>
      </w:r>
    </w:p>
    <w:p w:rsidR="00536EC9" w:rsidRPr="00D74FF1" w:rsidP="00536EC9">
      <w:pPr>
        <w:autoSpaceDE w:val="0"/>
        <w:autoSpaceDN w:val="0"/>
        <w:bidi w:val="0"/>
        <w:adjustRightInd w:val="0"/>
        <w:spacing w:after="0"/>
        <w:jc w:val="both"/>
        <w:rPr>
          <w:rFonts w:ascii="Times New Roman" w:hAnsi="Times New Roman" w:cs="Times New Roman"/>
          <w:color w:val="000000"/>
          <w:sz w:val="24"/>
          <w:szCs w:val="24"/>
        </w:rPr>
      </w:pPr>
    </w:p>
    <w:p w:rsidR="00536EC9" w:rsidRPr="00D74FF1" w:rsidP="00536EC9">
      <w:pPr>
        <w:autoSpaceDE w:val="0"/>
        <w:autoSpaceDN w:val="0"/>
        <w:bidi w:val="0"/>
        <w:adjustRightInd w:val="0"/>
        <w:spacing w:after="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           (8) Centrálny depozitár </w:t>
      </w:r>
      <w:r w:rsidRPr="00D74FF1">
        <w:rPr>
          <w:rFonts w:ascii="Times New Roman" w:hAnsi="Times New Roman" w:cs="Times New Roman"/>
          <w:sz w:val="24"/>
          <w:szCs w:val="24"/>
        </w:rPr>
        <w:t>určí časový rozvrh vyrovnania transakcií s cennými papiermi vrátane určenia okamihu vstupu príkazu na registráciu prevodu do systému vyrovnania a okamihu, od ktorého nesmie byť účastníkom systému vyrovnania ani žiadnou treťou osobou príkaz na registráciu prevodu odvolaný ani zrušený a ani inak nesmie byť znemožnené vykonanie tohto príkazu; ak je centrálny depozitár účastníkom v prepojenom systéme, prihliadne pri určovaní tohto okamihu na potrebu, čo možno najvyššej miery koordinácie medzi systémami vyrovnania v prepojenom systéme v súlade s  pravidlami podľa odseku 18.“.</w:t>
      </w:r>
    </w:p>
    <w:p w:rsidR="00536EC9" w:rsidRPr="00D74FF1" w:rsidP="00536EC9">
      <w:pPr>
        <w:autoSpaceDE w:val="0"/>
        <w:autoSpaceDN w:val="0"/>
        <w:bidi w:val="0"/>
        <w:adjustRightInd w:val="0"/>
        <w:spacing w:after="0"/>
        <w:rPr>
          <w:rFonts w:ascii="Times New Roman" w:hAnsi="Times New Roman" w:cs="Times New Roman"/>
          <w:b/>
          <w:sz w:val="24"/>
          <w:szCs w:val="24"/>
        </w:rPr>
      </w:pPr>
    </w:p>
    <w:p w:rsidR="00536EC9" w:rsidRPr="00D74FF1" w:rsidP="00536EC9">
      <w:pPr>
        <w:bidi w:val="0"/>
        <w:spacing w:after="0"/>
        <w:rPr>
          <w:rFonts w:ascii="Times New Roman" w:hAnsi="Times New Roman" w:cs="Times New Roman"/>
          <w:color w:val="000000"/>
          <w:sz w:val="24"/>
          <w:szCs w:val="24"/>
        </w:rPr>
      </w:pPr>
      <w:r w:rsidR="00D77FFA">
        <w:rPr>
          <w:rFonts w:ascii="Times New Roman" w:hAnsi="Times New Roman" w:cs="Times New Roman"/>
          <w:color w:val="000000"/>
          <w:sz w:val="24"/>
          <w:szCs w:val="24"/>
        </w:rPr>
        <w:tab/>
      </w:r>
      <w:r w:rsidRPr="00D74FF1">
        <w:rPr>
          <w:rFonts w:ascii="Times New Roman" w:hAnsi="Times New Roman" w:cs="Times New Roman"/>
          <w:color w:val="000000"/>
          <w:sz w:val="24"/>
          <w:szCs w:val="24"/>
        </w:rPr>
        <w:t>Poznámky pod čiarou k odkazom 89 až 89e znejú:</w:t>
      </w:r>
    </w:p>
    <w:p w:rsidR="00536EC9" w:rsidRPr="00D74FF1" w:rsidP="00536EC9">
      <w:pPr>
        <w:bidi w:val="0"/>
        <w:spacing w:after="0"/>
        <w:jc w:val="both"/>
        <w:rPr>
          <w:rFonts w:ascii="Times New Roman" w:hAnsi="Times New Roman" w:cs="Times New Roman"/>
          <w:color w:val="000000"/>
          <w:sz w:val="24"/>
          <w:szCs w:val="24"/>
        </w:rPr>
      </w:pPr>
      <w:r w:rsidR="00D77FFA">
        <w:rPr>
          <w:rFonts w:ascii="Times New Roman" w:hAnsi="Times New Roman" w:cs="Times New Roman"/>
          <w:color w:val="000000"/>
          <w:sz w:val="24"/>
          <w:szCs w:val="24"/>
        </w:rPr>
        <w:tab/>
      </w:r>
      <w:r w:rsidRPr="00D74FF1">
        <w:rPr>
          <w:rFonts w:ascii="Times New Roman" w:hAnsi="Times New Roman" w:cs="Times New Roman"/>
          <w:color w:val="000000"/>
          <w:sz w:val="24"/>
          <w:szCs w:val="24"/>
        </w:rPr>
        <w:t xml:space="preserve"> „</w:t>
      </w:r>
      <w:r w:rsidRPr="00D74FF1">
        <w:rPr>
          <w:rFonts w:ascii="Times New Roman" w:hAnsi="Times New Roman" w:cs="Times New Roman"/>
          <w:color w:val="000000"/>
          <w:sz w:val="24"/>
          <w:szCs w:val="24"/>
          <w:vertAlign w:val="superscript"/>
        </w:rPr>
        <w:t>89</w:t>
      </w:r>
      <w:r w:rsidRPr="00D74FF1">
        <w:rPr>
          <w:rFonts w:ascii="Times New Roman" w:hAnsi="Times New Roman" w:cs="Times New Roman"/>
          <w:color w:val="000000"/>
          <w:sz w:val="24"/>
          <w:szCs w:val="24"/>
        </w:rPr>
        <w:t xml:space="preserve">) Čl. 16 nariadenia Európskeho parlamentu a Rady (EÚ) č. 909/2014 z 23. júla </w:t>
      </w:r>
      <w:r w:rsidR="00D77FFA">
        <w:rPr>
          <w:rFonts w:ascii="Times New Roman" w:hAnsi="Times New Roman" w:cs="Times New Roman"/>
          <w:color w:val="000000"/>
          <w:sz w:val="24"/>
          <w:szCs w:val="24"/>
        </w:rPr>
        <w:tab/>
      </w:r>
      <w:r w:rsidRPr="00D74FF1">
        <w:rPr>
          <w:rFonts w:ascii="Times New Roman" w:hAnsi="Times New Roman" w:cs="Times New Roman"/>
          <w:color w:val="000000"/>
          <w:sz w:val="24"/>
          <w:szCs w:val="24"/>
        </w:rPr>
        <w:t xml:space="preserve">2014 o zlepšení vyrovnania transakcií s cennými papiermi v Európskej únii, </w:t>
      </w:r>
      <w:r w:rsidR="00D77FFA">
        <w:rPr>
          <w:rFonts w:ascii="Times New Roman" w:hAnsi="Times New Roman" w:cs="Times New Roman"/>
          <w:color w:val="000000"/>
          <w:sz w:val="24"/>
          <w:szCs w:val="24"/>
        </w:rPr>
        <w:tab/>
      </w:r>
      <w:r w:rsidRPr="00D74FF1">
        <w:rPr>
          <w:rFonts w:ascii="Times New Roman" w:hAnsi="Times New Roman" w:cs="Times New Roman"/>
          <w:color w:val="000000"/>
          <w:sz w:val="24"/>
          <w:szCs w:val="24"/>
        </w:rPr>
        <w:t xml:space="preserve">centrálnych depozitároch cenných papierov a o zmene smerníc 98/26/ES a </w:t>
      </w:r>
      <w:r w:rsidR="00D77FFA">
        <w:rPr>
          <w:rFonts w:ascii="Times New Roman" w:hAnsi="Times New Roman" w:cs="Times New Roman"/>
          <w:color w:val="000000"/>
          <w:sz w:val="24"/>
          <w:szCs w:val="24"/>
        </w:rPr>
        <w:tab/>
      </w:r>
      <w:r w:rsidRPr="00D74FF1">
        <w:rPr>
          <w:rFonts w:ascii="Times New Roman" w:hAnsi="Times New Roman" w:cs="Times New Roman"/>
          <w:color w:val="000000"/>
          <w:sz w:val="24"/>
          <w:szCs w:val="24"/>
        </w:rPr>
        <w:t>2014/65/EÚ a nariadenia (EÚ) č. 236/2012 (Ú.v. EÚ L 257, 28.8.2014).</w:t>
      </w:r>
    </w:p>
    <w:p w:rsidR="00536EC9" w:rsidRPr="00D74FF1" w:rsidP="00536EC9">
      <w:pPr>
        <w:bidi w:val="0"/>
        <w:spacing w:after="0"/>
        <w:jc w:val="both"/>
        <w:rPr>
          <w:rFonts w:ascii="Times New Roman" w:hAnsi="Times New Roman" w:cs="Times New Roman"/>
          <w:color w:val="000000"/>
          <w:sz w:val="24"/>
          <w:szCs w:val="24"/>
        </w:rPr>
      </w:pPr>
      <w:r w:rsidR="00D77FFA">
        <w:rPr>
          <w:rFonts w:ascii="Times New Roman" w:hAnsi="Times New Roman" w:cs="Times New Roman"/>
          <w:color w:val="000000"/>
          <w:sz w:val="24"/>
          <w:szCs w:val="24"/>
        </w:rPr>
        <w:tab/>
      </w:r>
      <w:r w:rsidRPr="00D74FF1">
        <w:rPr>
          <w:rFonts w:ascii="Times New Roman" w:hAnsi="Times New Roman" w:cs="Times New Roman"/>
          <w:color w:val="000000"/>
          <w:sz w:val="24"/>
          <w:szCs w:val="24"/>
        </w:rPr>
        <w:t xml:space="preserve">  </w:t>
      </w:r>
      <w:r w:rsidRPr="00D74FF1">
        <w:rPr>
          <w:rFonts w:ascii="Times New Roman" w:hAnsi="Times New Roman" w:cs="Times New Roman"/>
          <w:color w:val="000000"/>
          <w:sz w:val="24"/>
          <w:szCs w:val="24"/>
          <w:vertAlign w:val="superscript"/>
        </w:rPr>
        <w:t>89a</w:t>
      </w:r>
      <w:r w:rsidRPr="00D74FF1">
        <w:rPr>
          <w:rFonts w:ascii="Times New Roman" w:hAnsi="Times New Roman" w:cs="Times New Roman"/>
          <w:color w:val="000000"/>
          <w:sz w:val="24"/>
          <w:szCs w:val="24"/>
        </w:rPr>
        <w:t>)  Čl. 16 až 21, 54 až 57 a čl. 69 ods. 2,4 a 5 nariadenia (EÚ) č. 909/2014.</w:t>
      </w:r>
    </w:p>
    <w:p w:rsidR="00536EC9" w:rsidRPr="00D74FF1" w:rsidP="00536EC9">
      <w:pPr>
        <w:bidi w:val="0"/>
        <w:spacing w:after="0"/>
        <w:jc w:val="both"/>
        <w:rPr>
          <w:rFonts w:ascii="Times New Roman" w:hAnsi="Times New Roman" w:cs="Times New Roman"/>
          <w:color w:val="000000"/>
          <w:sz w:val="24"/>
          <w:szCs w:val="24"/>
        </w:rPr>
      </w:pPr>
      <w:r w:rsidR="00D77FFA">
        <w:rPr>
          <w:rFonts w:ascii="Times New Roman" w:hAnsi="Times New Roman" w:cs="Times New Roman"/>
          <w:color w:val="000000"/>
          <w:sz w:val="24"/>
          <w:szCs w:val="24"/>
        </w:rPr>
        <w:tab/>
      </w:r>
      <w:r w:rsidRPr="00D74FF1">
        <w:rPr>
          <w:rFonts w:ascii="Times New Roman" w:hAnsi="Times New Roman" w:cs="Times New Roman"/>
          <w:color w:val="000000"/>
          <w:sz w:val="24"/>
          <w:szCs w:val="24"/>
        </w:rPr>
        <w:t xml:space="preserve">  </w:t>
      </w:r>
      <w:r w:rsidRPr="00D74FF1">
        <w:rPr>
          <w:rFonts w:ascii="Times New Roman" w:hAnsi="Times New Roman" w:cs="Times New Roman"/>
          <w:color w:val="000000"/>
          <w:sz w:val="24"/>
          <w:szCs w:val="24"/>
          <w:vertAlign w:val="superscript"/>
        </w:rPr>
        <w:t>89b</w:t>
      </w:r>
      <w:r w:rsidRPr="00D74FF1">
        <w:rPr>
          <w:rFonts w:ascii="Times New Roman" w:hAnsi="Times New Roman" w:cs="Times New Roman"/>
          <w:color w:val="000000"/>
          <w:sz w:val="24"/>
          <w:szCs w:val="24"/>
        </w:rPr>
        <w:t>) Napríklad zákon č. 203/2011 Z. z. v znení neskorších predpisov.</w:t>
      </w:r>
    </w:p>
    <w:p w:rsidR="00536EC9" w:rsidRPr="00D74FF1" w:rsidP="00536EC9">
      <w:pPr>
        <w:bidi w:val="0"/>
        <w:spacing w:after="0"/>
        <w:jc w:val="both"/>
        <w:rPr>
          <w:rFonts w:ascii="Times New Roman" w:hAnsi="Times New Roman" w:cs="Times New Roman"/>
          <w:color w:val="000000"/>
          <w:sz w:val="24"/>
          <w:szCs w:val="24"/>
        </w:rPr>
      </w:pPr>
      <w:r w:rsidR="00D77FFA">
        <w:rPr>
          <w:rFonts w:ascii="Times New Roman" w:hAnsi="Times New Roman" w:cs="Times New Roman"/>
          <w:color w:val="000000"/>
          <w:sz w:val="24"/>
          <w:szCs w:val="24"/>
        </w:rPr>
        <w:tab/>
      </w:r>
      <w:r w:rsidRPr="00D74FF1">
        <w:rPr>
          <w:rFonts w:ascii="Times New Roman" w:hAnsi="Times New Roman" w:cs="Times New Roman"/>
          <w:color w:val="000000"/>
          <w:sz w:val="24"/>
          <w:szCs w:val="24"/>
        </w:rPr>
        <w:t xml:space="preserve">  </w:t>
      </w:r>
      <w:r w:rsidRPr="00D74FF1">
        <w:rPr>
          <w:rFonts w:ascii="Times New Roman" w:hAnsi="Times New Roman" w:cs="Times New Roman"/>
          <w:color w:val="000000"/>
          <w:sz w:val="24"/>
          <w:szCs w:val="24"/>
          <w:vertAlign w:val="superscript"/>
        </w:rPr>
        <w:t>89c</w:t>
      </w:r>
      <w:r w:rsidRPr="00D74FF1">
        <w:rPr>
          <w:rFonts w:ascii="Times New Roman" w:hAnsi="Times New Roman" w:cs="Times New Roman"/>
          <w:color w:val="000000"/>
          <w:sz w:val="24"/>
          <w:szCs w:val="24"/>
        </w:rPr>
        <w:t>)  Čl. 23 a 25 nariadenia (EÚ) č. 909/2014.</w:t>
      </w:r>
    </w:p>
    <w:p w:rsidR="00536EC9" w:rsidRPr="00D74FF1" w:rsidP="00536EC9">
      <w:pPr>
        <w:bidi w:val="0"/>
        <w:spacing w:after="0"/>
        <w:jc w:val="both"/>
        <w:rPr>
          <w:rFonts w:ascii="Times New Roman" w:hAnsi="Times New Roman" w:cs="Times New Roman"/>
          <w:color w:val="000000"/>
          <w:sz w:val="24"/>
          <w:szCs w:val="24"/>
        </w:rPr>
      </w:pPr>
      <w:r w:rsidR="00D77FFA">
        <w:rPr>
          <w:rFonts w:ascii="Times New Roman" w:hAnsi="Times New Roman" w:cs="Times New Roman"/>
          <w:color w:val="000000"/>
          <w:sz w:val="24"/>
          <w:szCs w:val="24"/>
        </w:rPr>
        <w:tab/>
      </w:r>
      <w:r w:rsidRPr="00D74FF1" w:rsidR="003D27D8">
        <w:rPr>
          <w:rFonts w:ascii="Times New Roman" w:hAnsi="Times New Roman" w:cs="Times New Roman"/>
          <w:color w:val="000000"/>
          <w:sz w:val="24"/>
          <w:szCs w:val="24"/>
        </w:rPr>
        <w:t xml:space="preserve"> </w:t>
      </w:r>
      <w:r w:rsidRPr="00D74FF1">
        <w:rPr>
          <w:rFonts w:ascii="Times New Roman" w:hAnsi="Times New Roman" w:cs="Times New Roman"/>
          <w:color w:val="000000"/>
          <w:sz w:val="24"/>
          <w:szCs w:val="24"/>
        </w:rPr>
        <w:t xml:space="preserve"> </w:t>
      </w:r>
      <w:r w:rsidRPr="00D74FF1">
        <w:rPr>
          <w:rFonts w:ascii="Times New Roman" w:hAnsi="Times New Roman" w:cs="Times New Roman"/>
          <w:color w:val="000000"/>
          <w:sz w:val="24"/>
          <w:szCs w:val="24"/>
          <w:vertAlign w:val="superscript"/>
        </w:rPr>
        <w:t>89d</w:t>
      </w:r>
      <w:r w:rsidRPr="00D74FF1">
        <w:rPr>
          <w:rFonts w:ascii="Times New Roman" w:hAnsi="Times New Roman" w:cs="Times New Roman"/>
          <w:color w:val="000000"/>
          <w:sz w:val="24"/>
          <w:szCs w:val="24"/>
        </w:rPr>
        <w:t xml:space="preserve">) § 10 zákona č. 203/2011 Z. z. v znení zákona č. 206/2013 Z. z. </w:t>
      </w:r>
    </w:p>
    <w:p w:rsidR="00536EC9" w:rsidRPr="00D74FF1" w:rsidP="00536EC9">
      <w:pPr>
        <w:bidi w:val="0"/>
        <w:spacing w:after="0"/>
        <w:jc w:val="both"/>
        <w:rPr>
          <w:rFonts w:ascii="Times New Roman" w:hAnsi="Times New Roman" w:cs="Times New Roman"/>
          <w:color w:val="000000"/>
          <w:sz w:val="24"/>
          <w:szCs w:val="24"/>
        </w:rPr>
      </w:pPr>
      <w:r w:rsidR="00D77FFA">
        <w:rPr>
          <w:rFonts w:ascii="Times New Roman" w:hAnsi="Times New Roman" w:cs="Times New Roman"/>
          <w:color w:val="000000"/>
          <w:sz w:val="24"/>
          <w:szCs w:val="24"/>
        </w:rPr>
        <w:tab/>
      </w:r>
      <w:r w:rsidRPr="00D74FF1">
        <w:rPr>
          <w:rFonts w:ascii="Times New Roman" w:hAnsi="Times New Roman" w:cs="Times New Roman"/>
          <w:color w:val="000000"/>
          <w:sz w:val="24"/>
          <w:szCs w:val="24"/>
        </w:rPr>
        <w:t xml:space="preserve">  </w:t>
      </w:r>
      <w:r w:rsidRPr="00D74FF1">
        <w:rPr>
          <w:rFonts w:ascii="Times New Roman" w:hAnsi="Times New Roman" w:cs="Times New Roman"/>
          <w:color w:val="000000"/>
          <w:sz w:val="24"/>
          <w:szCs w:val="24"/>
          <w:vertAlign w:val="superscript"/>
        </w:rPr>
        <w:t>89e</w:t>
      </w:r>
      <w:r w:rsidRPr="00D74FF1">
        <w:rPr>
          <w:rFonts w:ascii="Times New Roman" w:hAnsi="Times New Roman" w:cs="Times New Roman"/>
          <w:color w:val="000000"/>
          <w:sz w:val="24"/>
          <w:szCs w:val="24"/>
        </w:rPr>
        <w:t>)  Čl. 31 a príloha oddiel A prvý a druhý bod nariadenia (EÚ) č. 909/2014.“.</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99 ods. 9 sa na konci pripája táto veta:</w:t>
      </w:r>
    </w:p>
    <w:p w:rsidR="00536EC9" w:rsidRPr="00D74FF1" w:rsidP="00536EC9">
      <w:pPr>
        <w:pStyle w:val="ListParagraph"/>
        <w:bidi w:val="0"/>
        <w:spacing w:after="0"/>
        <w:ind w:left="786"/>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„Člen, ktorý podáva príkazy na nezaradený účet podľa § 173v zodpovedá za správnosť, úplnosť a včasnosť podania týchto príkazov.“.</w:t>
      </w:r>
    </w:p>
    <w:p w:rsidR="00536EC9" w:rsidRPr="00D74FF1" w:rsidP="00536EC9">
      <w:pPr>
        <w:bidi w:val="0"/>
        <w:spacing w:after="0"/>
        <w:jc w:val="both"/>
        <w:rPr>
          <w:rFonts w:ascii="Times New Roman" w:hAnsi="Times New Roman" w:cs="Times New Roman"/>
          <w:i/>
          <w:sz w:val="24"/>
          <w:szCs w:val="24"/>
        </w:rPr>
      </w:pPr>
      <w:r w:rsidRPr="00D74FF1">
        <w:rPr>
          <w:rFonts w:ascii="Times New Roman" w:hAnsi="Times New Roman" w:cs="Times New Roman"/>
          <w:color w:val="000000"/>
          <w:sz w:val="24"/>
          <w:szCs w:val="24"/>
        </w:rPr>
        <w:t xml:space="preserve">  </w:t>
      </w: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V § 99 sa vypúšťajú odseky 11 až 13. </w:t>
      </w:r>
    </w:p>
    <w:p w:rsidR="00536EC9" w:rsidRPr="00D74FF1" w:rsidP="00536EC9">
      <w:pPr>
        <w:bidi w:val="0"/>
        <w:spacing w:after="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    </w:t>
      </w:r>
      <w:r w:rsidRPr="00D74FF1" w:rsidR="004D6A68">
        <w:rPr>
          <w:rFonts w:ascii="Times New Roman" w:hAnsi="Times New Roman" w:cs="Times New Roman"/>
          <w:color w:val="000000"/>
          <w:sz w:val="24"/>
          <w:szCs w:val="24"/>
        </w:rPr>
        <w:t xml:space="preserve">         </w:t>
      </w:r>
      <w:r w:rsidRPr="00D74FF1">
        <w:rPr>
          <w:rFonts w:ascii="Times New Roman" w:hAnsi="Times New Roman" w:cs="Times New Roman"/>
          <w:color w:val="000000"/>
          <w:sz w:val="24"/>
          <w:szCs w:val="24"/>
        </w:rPr>
        <w:t xml:space="preserve"> Doterajšie odseky 14 až 23 sa označujú ako odseky 11 až 20.</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V § 99 ods. 11 sa vypúšťajú slová „ § 71, a § 71b ods. 1, 2, 4 a 5 a“.   </w:t>
      </w:r>
    </w:p>
    <w:p w:rsidR="001E44F9" w:rsidRPr="00D74FF1" w:rsidP="001E44F9">
      <w:pPr>
        <w:pStyle w:val="ListParagraph"/>
        <w:bidi w:val="0"/>
        <w:spacing w:after="0"/>
        <w:ind w:left="786"/>
        <w:contextualSpacing/>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V § 99 odsek 13 znie:  </w:t>
      </w:r>
    </w:p>
    <w:p w:rsidR="00536EC9" w:rsidRPr="00D74FF1" w:rsidP="00536EC9">
      <w:pPr>
        <w:bidi w:val="0"/>
        <w:spacing w:after="0"/>
        <w:ind w:left="720"/>
        <w:jc w:val="both"/>
        <w:rPr>
          <w:rFonts w:ascii="Times New Roman" w:hAnsi="Times New Roman" w:cs="Times New Roman"/>
          <w:color w:val="000000"/>
          <w:sz w:val="24"/>
          <w:szCs w:val="24"/>
        </w:rPr>
      </w:pPr>
      <w:r w:rsidR="00D77FFA">
        <w:rPr>
          <w:rFonts w:ascii="Times New Roman" w:hAnsi="Times New Roman" w:cs="Times New Roman"/>
          <w:color w:val="000000"/>
          <w:sz w:val="24"/>
          <w:szCs w:val="24"/>
        </w:rPr>
        <w:t xml:space="preserve"> </w:t>
      </w:r>
      <w:r w:rsidRPr="00D74FF1">
        <w:rPr>
          <w:rFonts w:ascii="Times New Roman" w:hAnsi="Times New Roman" w:cs="Times New Roman"/>
          <w:color w:val="000000"/>
          <w:sz w:val="24"/>
          <w:szCs w:val="24"/>
        </w:rPr>
        <w:t>„(13) Účastníkom systému vyrovnania môže byť len</w:t>
      </w:r>
    </w:p>
    <w:p w:rsidR="00536EC9" w:rsidRPr="00D74FF1" w:rsidP="00536EC9">
      <w:pPr>
        <w:numPr>
          <w:numId w:val="14"/>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banka alebo zahraničná banka,</w:t>
      </w:r>
    </w:p>
    <w:p w:rsidR="00536EC9" w:rsidRPr="00D74FF1" w:rsidP="00536EC9">
      <w:pPr>
        <w:numPr>
          <w:numId w:val="14"/>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obchodník s cennými papiermi alebo zahraničný obchodník s cennými papiermi,</w:t>
      </w:r>
    </w:p>
    <w:p w:rsidR="00536EC9" w:rsidRPr="00D74FF1" w:rsidP="00536EC9">
      <w:pPr>
        <w:numPr>
          <w:numId w:val="14"/>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centrálna protistrana, zúčtovací agent, zúčtovací ústav alebo prevádzkovateľ systému vyrovnania alebo prevádzkovateľ platobného systému,</w:t>
      </w:r>
    </w:p>
    <w:p w:rsidR="00536EC9" w:rsidRPr="00D74FF1" w:rsidP="00536EC9">
      <w:pPr>
        <w:numPr>
          <w:numId w:val="14"/>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orgán verejnej moci,</w:t>
      </w:r>
    </w:p>
    <w:p w:rsidR="00536EC9" w:rsidRPr="00D74FF1" w:rsidP="00536EC9">
      <w:pPr>
        <w:numPr>
          <w:numId w:val="14"/>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obchodná spoločnosť, ktorej štát poskytol záruku v súvislosti s jej účasťou v systéme vyrovnania alebo v platobnom systéme,</w:t>
      </w:r>
    </w:p>
    <w:p w:rsidR="00536EC9" w:rsidRPr="00D74FF1" w:rsidP="00536EC9">
      <w:pPr>
        <w:numPr>
          <w:numId w:val="14"/>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centrálny depozitár, ktorý sa stal účastníkom systému vyrovnania prevádzkovaného centrálnym depozitárom na základe osobitného predpisu.</w:t>
      </w:r>
      <w:r w:rsidRPr="00D74FF1">
        <w:rPr>
          <w:rFonts w:ascii="Times New Roman" w:hAnsi="Times New Roman" w:cs="Times New Roman"/>
          <w:color w:val="000000"/>
          <w:sz w:val="24"/>
          <w:szCs w:val="24"/>
          <w:vertAlign w:val="superscript"/>
        </w:rPr>
        <w:t>90</w:t>
      </w:r>
      <w:r w:rsidRPr="00D74FF1">
        <w:rPr>
          <w:rFonts w:ascii="Times New Roman" w:hAnsi="Times New Roman" w:cs="Times New Roman"/>
          <w:color w:val="000000"/>
          <w:sz w:val="24"/>
          <w:szCs w:val="24"/>
        </w:rPr>
        <w:t>)“.</w:t>
      </w:r>
    </w:p>
    <w:p w:rsidR="00536EC9" w:rsidRPr="00D74FF1" w:rsidP="00536EC9">
      <w:pPr>
        <w:bidi w:val="0"/>
        <w:spacing w:after="0"/>
        <w:contextualSpacing/>
        <w:jc w:val="both"/>
        <w:rPr>
          <w:rFonts w:ascii="Times New Roman" w:hAnsi="Times New Roman" w:cs="Times New Roman"/>
          <w:color w:val="000000"/>
          <w:sz w:val="24"/>
          <w:szCs w:val="24"/>
        </w:rPr>
      </w:pPr>
    </w:p>
    <w:p w:rsidR="00536EC9" w:rsidRPr="00D74FF1" w:rsidP="00536EC9">
      <w:pPr>
        <w:bidi w:val="0"/>
        <w:spacing w:after="0"/>
        <w:contextualSpacing/>
        <w:jc w:val="both"/>
        <w:rPr>
          <w:rFonts w:ascii="Times New Roman" w:hAnsi="Times New Roman" w:cs="Times New Roman"/>
          <w:color w:val="000000"/>
          <w:sz w:val="24"/>
          <w:szCs w:val="24"/>
        </w:rPr>
      </w:pPr>
      <w:r w:rsidRPr="00D74FF1" w:rsidR="001E44F9">
        <w:rPr>
          <w:rFonts w:ascii="Times New Roman" w:hAnsi="Times New Roman" w:cs="Times New Roman"/>
          <w:color w:val="000000"/>
          <w:sz w:val="24"/>
          <w:szCs w:val="24"/>
        </w:rPr>
        <w:tab/>
      </w:r>
      <w:r w:rsidRPr="00D74FF1">
        <w:rPr>
          <w:rFonts w:ascii="Times New Roman" w:hAnsi="Times New Roman" w:cs="Times New Roman"/>
          <w:color w:val="000000"/>
          <w:sz w:val="24"/>
          <w:szCs w:val="24"/>
        </w:rPr>
        <w:t>Poznámka  pod čiarou k odkazu 90 znie:</w:t>
      </w:r>
    </w:p>
    <w:p w:rsidR="00536EC9" w:rsidRPr="00D74FF1" w:rsidP="00536EC9">
      <w:pPr>
        <w:bidi w:val="0"/>
        <w:spacing w:after="0"/>
        <w:contextualSpacing/>
        <w:jc w:val="both"/>
        <w:rPr>
          <w:rFonts w:ascii="Times New Roman" w:hAnsi="Times New Roman" w:cs="Times New Roman"/>
          <w:sz w:val="24"/>
          <w:szCs w:val="24"/>
        </w:rPr>
      </w:pPr>
      <w:r w:rsidRPr="00D74FF1" w:rsidR="001E44F9">
        <w:rPr>
          <w:rFonts w:ascii="Times New Roman" w:hAnsi="Times New Roman" w:cs="Times New Roman"/>
          <w:color w:val="000000"/>
          <w:sz w:val="24"/>
          <w:szCs w:val="24"/>
        </w:rPr>
        <w:tab/>
      </w:r>
      <w:r w:rsidRPr="00D74FF1">
        <w:rPr>
          <w:rFonts w:ascii="Times New Roman" w:hAnsi="Times New Roman" w:cs="Times New Roman"/>
          <w:color w:val="000000"/>
          <w:sz w:val="24"/>
          <w:szCs w:val="24"/>
        </w:rPr>
        <w:t>„</w:t>
      </w:r>
      <w:r w:rsidRPr="00D74FF1">
        <w:rPr>
          <w:rFonts w:ascii="Times New Roman" w:hAnsi="Times New Roman" w:cs="Times New Roman"/>
          <w:color w:val="000000"/>
          <w:sz w:val="24"/>
          <w:szCs w:val="24"/>
          <w:vertAlign w:val="superscript"/>
        </w:rPr>
        <w:t>90</w:t>
      </w:r>
      <w:r w:rsidRPr="00D74FF1">
        <w:rPr>
          <w:rFonts w:ascii="Times New Roman" w:hAnsi="Times New Roman" w:cs="Times New Roman"/>
          <w:color w:val="000000"/>
          <w:sz w:val="24"/>
          <w:szCs w:val="24"/>
        </w:rPr>
        <w:t>) Nariadenie (EÚ) č. 909/2014.</w:t>
      </w:r>
      <w:r w:rsidRPr="00D74FF1">
        <w:rPr>
          <w:rFonts w:ascii="Times New Roman" w:hAnsi="Times New Roman" w:cs="Times New Roman"/>
          <w:iCs/>
          <w:sz w:val="24"/>
          <w:szCs w:val="24"/>
        </w:rPr>
        <w:t>“.</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 100 sa vypúšťa. </w:t>
      </w:r>
    </w:p>
    <w:p w:rsidR="00536EC9" w:rsidRPr="00D74FF1" w:rsidP="00536EC9">
      <w:pPr>
        <w:pStyle w:val="ListParagraph"/>
        <w:bidi w:val="0"/>
        <w:spacing w:after="0"/>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101 vrátane nadpisu znie:</w:t>
      </w:r>
    </w:p>
    <w:p w:rsidR="00536EC9" w:rsidRPr="00D74FF1" w:rsidP="00536EC9">
      <w:pPr>
        <w:bidi w:val="0"/>
        <w:spacing w:after="0"/>
        <w:jc w:val="center"/>
        <w:rPr>
          <w:rFonts w:ascii="Times New Roman" w:hAnsi="Times New Roman" w:cs="Times New Roman"/>
          <w:sz w:val="24"/>
          <w:szCs w:val="24"/>
        </w:rPr>
      </w:pPr>
      <w:r w:rsidRPr="00D74FF1">
        <w:rPr>
          <w:rFonts w:ascii="Times New Roman" w:hAnsi="Times New Roman" w:cs="Times New Roman"/>
          <w:sz w:val="24"/>
          <w:szCs w:val="24"/>
        </w:rPr>
        <w:t>„§ 101</w:t>
      </w:r>
    </w:p>
    <w:p w:rsidR="00536EC9" w:rsidRPr="00D74FF1" w:rsidP="00536EC9">
      <w:pPr>
        <w:bidi w:val="0"/>
        <w:spacing w:after="0"/>
        <w:jc w:val="center"/>
        <w:rPr>
          <w:rFonts w:ascii="Times New Roman" w:hAnsi="Times New Roman" w:cs="Times New Roman"/>
          <w:sz w:val="24"/>
          <w:szCs w:val="24"/>
        </w:rPr>
      </w:pPr>
      <w:r w:rsidRPr="00D74FF1">
        <w:rPr>
          <w:rFonts w:ascii="Times New Roman" w:hAnsi="Times New Roman" w:cs="Times New Roman"/>
          <w:sz w:val="24"/>
          <w:szCs w:val="24"/>
        </w:rPr>
        <w:t>Vzdanie sa povolenia na činnosť</w:t>
      </w:r>
    </w:p>
    <w:p w:rsidR="00536EC9" w:rsidRPr="00D74FF1" w:rsidP="00536EC9">
      <w:pPr>
        <w:autoSpaceDE w:val="0"/>
        <w:autoSpaceDN w:val="0"/>
        <w:bidi w:val="0"/>
        <w:adjustRightInd w:val="0"/>
        <w:spacing w:after="0"/>
        <w:ind w:firstLine="708"/>
        <w:rPr>
          <w:rFonts w:ascii="Times New Roman" w:hAnsi="Times New Roman" w:cs="Times New Roman"/>
          <w:sz w:val="24"/>
          <w:szCs w:val="24"/>
        </w:rPr>
      </w:pPr>
    </w:p>
    <w:p w:rsidR="00536EC9" w:rsidRPr="00D74FF1" w:rsidP="00536EC9">
      <w:pPr>
        <w:pStyle w:val="ListParagraph"/>
        <w:bidi w:val="0"/>
        <w:spacing w:after="0"/>
        <w:ind w:left="0" w:firstLine="708"/>
        <w:jc w:val="both"/>
        <w:rPr>
          <w:rFonts w:ascii="Times New Roman" w:hAnsi="Times New Roman" w:cs="Times New Roman"/>
          <w:sz w:val="24"/>
          <w:szCs w:val="24"/>
        </w:rPr>
      </w:pPr>
      <w:r w:rsidRPr="00D74FF1">
        <w:rPr>
          <w:rFonts w:ascii="Times New Roman" w:hAnsi="Times New Roman" w:cs="Times New Roman"/>
          <w:sz w:val="24"/>
          <w:szCs w:val="24"/>
        </w:rPr>
        <w:t xml:space="preserve">(1) Centrálny depozitár oznamuje Národnej banke Slovenska úmysel vzdať sa povolenia na činnosť podľa osobitného predpisu. </w:t>
      </w:r>
      <w:r w:rsidRPr="00D74FF1">
        <w:rPr>
          <w:rFonts w:ascii="Times New Roman" w:hAnsi="Times New Roman" w:cs="Times New Roman"/>
          <w:sz w:val="24"/>
          <w:szCs w:val="24"/>
          <w:vertAlign w:val="superscript"/>
        </w:rPr>
        <w:t>90ab</w:t>
      </w:r>
      <w:r w:rsidRPr="00D74FF1">
        <w:rPr>
          <w:rFonts w:ascii="Times New Roman" w:hAnsi="Times New Roman" w:cs="Times New Roman"/>
          <w:sz w:val="24"/>
          <w:szCs w:val="24"/>
        </w:rPr>
        <w:t>) Doručením oznámenia o úmysle vzdať sa povolenia na činnosť Národnej banke Slovenska začína konanie podľa osobitného predpisu</w:t>
      </w:r>
      <w:r w:rsidRPr="00D74FF1">
        <w:rPr>
          <w:rFonts w:ascii="Times New Roman" w:hAnsi="Times New Roman" w:cs="Times New Roman"/>
          <w:sz w:val="24"/>
          <w:szCs w:val="24"/>
          <w:vertAlign w:val="superscript"/>
        </w:rPr>
        <w:t>20</w:t>
      </w:r>
      <w:r w:rsidRPr="00D74FF1">
        <w:rPr>
          <w:rFonts w:ascii="Times New Roman" w:hAnsi="Times New Roman" w:cs="Times New Roman"/>
          <w:sz w:val="24"/>
          <w:szCs w:val="24"/>
        </w:rPr>
        <w:t>)</w:t>
      </w:r>
      <w:r w:rsidRPr="00D74FF1">
        <w:rPr>
          <w:rFonts w:ascii="Times New Roman" w:hAnsi="Times New Roman" w:cs="Times New Roman"/>
          <w:sz w:val="24"/>
          <w:szCs w:val="24"/>
          <w:vertAlign w:val="superscript"/>
        </w:rPr>
        <w:t xml:space="preserve"> </w:t>
      </w:r>
      <w:r w:rsidRPr="00D74FF1">
        <w:rPr>
          <w:rFonts w:ascii="Times New Roman" w:hAnsi="Times New Roman" w:cs="Times New Roman"/>
          <w:sz w:val="24"/>
          <w:szCs w:val="24"/>
        </w:rPr>
        <w:t xml:space="preserve"> o odňatí povolenia.</w:t>
      </w:r>
    </w:p>
    <w:p w:rsidR="00536EC9" w:rsidRPr="00D74FF1" w:rsidP="00536EC9">
      <w:pPr>
        <w:pStyle w:val="ListParagraph"/>
        <w:autoSpaceDE w:val="0"/>
        <w:autoSpaceDN w:val="0"/>
        <w:bidi w:val="0"/>
        <w:adjustRightInd w:val="0"/>
        <w:spacing w:after="0"/>
        <w:ind w:left="1413"/>
        <w:jc w:val="both"/>
        <w:rPr>
          <w:rFonts w:ascii="Times New Roman" w:hAnsi="Times New Roman" w:cs="Times New Roman"/>
          <w:sz w:val="24"/>
          <w:szCs w:val="24"/>
        </w:rPr>
      </w:pPr>
    </w:p>
    <w:p w:rsidR="00536EC9" w:rsidRPr="00D74FF1" w:rsidP="00536EC9">
      <w:pPr>
        <w:pStyle w:val="ListParagraph"/>
        <w:autoSpaceDE w:val="0"/>
        <w:autoSpaceDN w:val="0"/>
        <w:bidi w:val="0"/>
        <w:adjustRightInd w:val="0"/>
        <w:spacing w:after="0"/>
        <w:ind w:left="0" w:firstLine="708"/>
        <w:jc w:val="both"/>
        <w:rPr>
          <w:rFonts w:ascii="Times New Roman" w:hAnsi="Times New Roman" w:cs="Times New Roman"/>
          <w:sz w:val="24"/>
          <w:szCs w:val="24"/>
        </w:rPr>
      </w:pPr>
      <w:r w:rsidRPr="00D74FF1">
        <w:rPr>
          <w:rFonts w:ascii="Times New Roman" w:hAnsi="Times New Roman" w:cs="Times New Roman"/>
          <w:sz w:val="24"/>
          <w:szCs w:val="24"/>
        </w:rPr>
        <w:t xml:space="preserve">(2) Pred vydaním rozhodnutia o odňatí povolenia na činnosť Národná banka Slovenska preverí plnenie povinností a ďalších podmienok postupu zabezpečujúceho včasné a riadne vyrovnanie a prevod aktív klientov a členov na iného centrálneho depozitára (ďalej len „prevod aktív“) určenom v pláne na riadenie ukončenia činnosti vypracovanom podľa osobitného predpisu. </w:t>
      </w:r>
      <w:r w:rsidRPr="00D74FF1">
        <w:rPr>
          <w:rFonts w:ascii="Times New Roman" w:hAnsi="Times New Roman" w:cs="Times New Roman"/>
          <w:sz w:val="24"/>
          <w:szCs w:val="24"/>
          <w:vertAlign w:val="superscript"/>
        </w:rPr>
        <w:t>90ac</w:t>
      </w:r>
      <w:r w:rsidRPr="00D74FF1">
        <w:rPr>
          <w:rFonts w:ascii="Times New Roman" w:hAnsi="Times New Roman" w:cs="Times New Roman"/>
          <w:sz w:val="24"/>
          <w:szCs w:val="24"/>
        </w:rPr>
        <w:t xml:space="preserve">) V konaní podľa prvej vety je Národná banka Slovenska oprávnená uložiť centrálnemu depozitárovi prijať opatrenia na zabezpečenie včasného a riadneho vyrovnania a prevodu aktív aj nad rámec plánu podľa prvej vety a oznámeného úmyslu. </w:t>
      </w:r>
    </w:p>
    <w:p w:rsidR="00536EC9" w:rsidRPr="00D74FF1" w:rsidP="00536EC9">
      <w:pPr>
        <w:pStyle w:val="ListParagraph"/>
        <w:autoSpaceDE w:val="0"/>
        <w:autoSpaceDN w:val="0"/>
        <w:bidi w:val="0"/>
        <w:adjustRightInd w:val="0"/>
        <w:spacing w:after="0"/>
        <w:ind w:left="1413"/>
        <w:jc w:val="both"/>
        <w:rPr>
          <w:rFonts w:ascii="Times New Roman" w:hAnsi="Times New Roman" w:cs="Times New Roman"/>
          <w:sz w:val="24"/>
          <w:szCs w:val="24"/>
        </w:rPr>
      </w:pPr>
    </w:p>
    <w:p w:rsidR="00536EC9" w:rsidRPr="00D74FF1" w:rsidP="00536EC9">
      <w:pPr>
        <w:pStyle w:val="ListParagraph"/>
        <w:bidi w:val="0"/>
        <w:spacing w:after="0"/>
        <w:ind w:left="0" w:firstLine="708"/>
        <w:jc w:val="both"/>
        <w:rPr>
          <w:rFonts w:ascii="Times New Roman" w:hAnsi="Times New Roman" w:cs="Times New Roman"/>
          <w:sz w:val="24"/>
          <w:szCs w:val="24"/>
        </w:rPr>
      </w:pPr>
      <w:r w:rsidRPr="00D74FF1">
        <w:rPr>
          <w:rFonts w:ascii="Times New Roman" w:hAnsi="Times New Roman" w:cs="Times New Roman"/>
          <w:sz w:val="24"/>
          <w:szCs w:val="24"/>
        </w:rPr>
        <w:t xml:space="preserve">(3) Centrálny depozitár prevádza aktíva na iného centrálneho depozitára ako oprávneného nadobúdateľa podľa osobitného predpisu. </w:t>
      </w:r>
      <w:r w:rsidRPr="00D74FF1">
        <w:rPr>
          <w:rFonts w:ascii="Times New Roman" w:hAnsi="Times New Roman" w:cs="Times New Roman"/>
          <w:sz w:val="24"/>
          <w:szCs w:val="24"/>
          <w:vertAlign w:val="superscript"/>
        </w:rPr>
        <w:t>90</w:t>
      </w:r>
      <w:r w:rsidRPr="00D74FF1">
        <w:rPr>
          <w:rFonts w:ascii="Times New Roman" w:hAnsi="Times New Roman" w:cs="Times New Roman"/>
          <w:sz w:val="24"/>
          <w:szCs w:val="24"/>
        </w:rPr>
        <w:t>) S prevodom aktív prevádza centrálny depozitár aj súvisiacu evidenciu a registre. Národná banka Slovenska je oprávnená určiť rozsah, obsah a podmienky prevodu aktív a súvisiacej evidencie a registrov tak, aby prevodom neboli dotknuté práva osôb, ktorých aktíva sa prevádzajú a práva tretích osôb súvisiace s prevádzanými aktívami, evidenciou a registrami. Pri pochybnostiach sa predpokladá, že s prevádzanými aktívami prešli na oprávneného nadobúdateľa aj všetky povinnosti týkajúce sa prevádzaných aktív a súvisiacej evidencie a registrov. Pri prevode aktív a súvisiacej evidencie a registrov musí centrálny depozitár, oprávnený nadobúdateľ a každá ďalšia osoba podieľajúca sa na takomto prevode chrániť práva tretích osôb, ktoré môžu byť takýmto prevodom dotknuté. Za škodu spôsobenú pri prevode aktív a súvisiacej evidencie a registrov zodpovedá centrálny depozitár a  oprávnený nadobúdateľ spoločne a nerozdielne.</w:t>
      </w:r>
    </w:p>
    <w:p w:rsidR="00536EC9" w:rsidRPr="00D74FF1" w:rsidP="00536EC9">
      <w:pPr>
        <w:pStyle w:val="ListParagraph"/>
        <w:autoSpaceDE w:val="0"/>
        <w:autoSpaceDN w:val="0"/>
        <w:bidi w:val="0"/>
        <w:adjustRightInd w:val="0"/>
        <w:spacing w:after="0"/>
        <w:ind w:left="1413"/>
        <w:jc w:val="both"/>
        <w:rPr>
          <w:rFonts w:ascii="Times New Roman" w:hAnsi="Times New Roman" w:cs="Times New Roman"/>
          <w:sz w:val="24"/>
          <w:szCs w:val="24"/>
        </w:rPr>
      </w:pPr>
    </w:p>
    <w:p w:rsidR="00536EC9" w:rsidRPr="00D74FF1" w:rsidP="00536EC9">
      <w:pPr>
        <w:pStyle w:val="ListParagraph"/>
        <w:autoSpaceDE w:val="0"/>
        <w:autoSpaceDN w:val="0"/>
        <w:bidi w:val="0"/>
        <w:adjustRightInd w:val="0"/>
        <w:spacing w:after="0"/>
        <w:ind w:left="0" w:firstLine="708"/>
        <w:jc w:val="both"/>
        <w:rPr>
          <w:rFonts w:ascii="Times New Roman" w:hAnsi="Times New Roman" w:cs="Times New Roman"/>
          <w:sz w:val="24"/>
          <w:szCs w:val="24"/>
        </w:rPr>
      </w:pPr>
      <w:r w:rsidRPr="00D74FF1">
        <w:rPr>
          <w:rFonts w:ascii="Times New Roman" w:hAnsi="Times New Roman" w:cs="Times New Roman"/>
          <w:sz w:val="24"/>
          <w:szCs w:val="24"/>
        </w:rPr>
        <w:t>(4) Po ukončení prevodu aktív a súvisiacej evidencie a registrov na oprávneného nadobúdateľa podľa osobitného predpisu</w:t>
      </w:r>
      <w:r w:rsidRPr="00D74FF1">
        <w:rPr>
          <w:rFonts w:ascii="Times New Roman" w:hAnsi="Times New Roman" w:cs="Times New Roman"/>
          <w:sz w:val="24"/>
          <w:szCs w:val="24"/>
          <w:vertAlign w:val="superscript"/>
        </w:rPr>
        <w:t>90ac</w:t>
      </w:r>
      <w:r w:rsidRPr="00D74FF1">
        <w:rPr>
          <w:rFonts w:ascii="Times New Roman" w:hAnsi="Times New Roman" w:cs="Times New Roman"/>
          <w:sz w:val="24"/>
          <w:szCs w:val="24"/>
        </w:rPr>
        <w:t xml:space="preserve">) a po splnení podmienok uložených Národnou bankou Slovenska v súvislosti s prevodom aktív vydá Národná banka Slovenska rozhodnutie, ktorým odníme centrálnemu depozitárovi povolenie na činnosť. </w:t>
      </w:r>
      <w:r w:rsidRPr="00D74FF1">
        <w:rPr>
          <w:rFonts w:ascii="Times New Roman" w:hAnsi="Times New Roman" w:cs="Times New Roman"/>
          <w:sz w:val="24"/>
          <w:szCs w:val="24"/>
          <w:vertAlign w:val="superscript"/>
        </w:rPr>
        <w:t>90ab</w:t>
      </w:r>
      <w:r w:rsidRPr="00D74FF1">
        <w:rPr>
          <w:rFonts w:ascii="Times New Roman" w:hAnsi="Times New Roman" w:cs="Times New Roman"/>
          <w:sz w:val="24"/>
          <w:szCs w:val="24"/>
        </w:rPr>
        <w:t xml:space="preserve">) </w:t>
      </w:r>
    </w:p>
    <w:p w:rsidR="00536EC9" w:rsidRPr="00D74FF1" w:rsidP="00536EC9">
      <w:pPr>
        <w:pStyle w:val="ListParagraph"/>
        <w:autoSpaceDE w:val="0"/>
        <w:autoSpaceDN w:val="0"/>
        <w:bidi w:val="0"/>
        <w:adjustRightInd w:val="0"/>
        <w:spacing w:after="0"/>
        <w:ind w:left="1413"/>
        <w:jc w:val="both"/>
        <w:rPr>
          <w:rFonts w:ascii="Times New Roman" w:hAnsi="Times New Roman" w:cs="Times New Roman"/>
          <w:sz w:val="24"/>
          <w:szCs w:val="24"/>
        </w:rPr>
      </w:pPr>
    </w:p>
    <w:p w:rsidR="00536EC9" w:rsidRPr="00D74FF1" w:rsidP="00536EC9">
      <w:pPr>
        <w:autoSpaceDE w:val="0"/>
        <w:autoSpaceDN w:val="0"/>
        <w:bidi w:val="0"/>
        <w:adjustRightInd w:val="0"/>
        <w:spacing w:after="0"/>
        <w:ind w:firstLine="708"/>
        <w:jc w:val="both"/>
        <w:rPr>
          <w:rFonts w:ascii="Times New Roman" w:hAnsi="Times New Roman" w:cs="Times New Roman"/>
          <w:sz w:val="24"/>
          <w:szCs w:val="24"/>
        </w:rPr>
      </w:pPr>
      <w:r w:rsidRPr="00D74FF1">
        <w:rPr>
          <w:rFonts w:ascii="Times New Roman" w:hAnsi="Times New Roman" w:cs="Times New Roman"/>
          <w:sz w:val="24"/>
          <w:szCs w:val="24"/>
        </w:rPr>
        <w:t>(5) Odňatím povolenia na činnosť podľa odseku 4 nie je dotknutá dôveryhodnosť  osôb podľa tohto zákona alebo osobitných</w:t>
      </w:r>
      <w:r w:rsidR="00344AD4">
        <w:rPr>
          <w:rFonts w:ascii="Times New Roman" w:hAnsi="Times New Roman" w:cs="Times New Roman"/>
          <w:sz w:val="24"/>
          <w:szCs w:val="24"/>
        </w:rPr>
        <w:t xml:space="preserve"> predpisov</w:t>
      </w:r>
      <w:r w:rsidRPr="00D74FF1">
        <w:rPr>
          <w:rFonts w:ascii="Times New Roman" w:hAnsi="Times New Roman" w:cs="Times New Roman"/>
          <w:sz w:val="24"/>
          <w:szCs w:val="24"/>
        </w:rPr>
        <w:t>.“.</w:t>
      </w:r>
    </w:p>
    <w:p w:rsidR="00536EC9" w:rsidRPr="00D74FF1" w:rsidP="00536EC9">
      <w:pPr>
        <w:autoSpaceDE w:val="0"/>
        <w:autoSpaceDN w:val="0"/>
        <w:bidi w:val="0"/>
        <w:adjustRightInd w:val="0"/>
        <w:spacing w:after="0"/>
        <w:jc w:val="both"/>
        <w:rPr>
          <w:rFonts w:ascii="Times New Roman" w:hAnsi="Times New Roman" w:cs="Times New Roman"/>
          <w:sz w:val="24"/>
          <w:szCs w:val="24"/>
        </w:rPr>
      </w:pPr>
    </w:p>
    <w:p w:rsidR="00536EC9" w:rsidRPr="00D74FF1" w:rsidP="00536EC9">
      <w:pPr>
        <w:bidi w:val="0"/>
        <w:spacing w:after="0"/>
        <w:rPr>
          <w:rFonts w:ascii="Times New Roman" w:hAnsi="Times New Roman" w:cs="Times New Roman"/>
          <w:sz w:val="24"/>
          <w:szCs w:val="24"/>
        </w:rPr>
      </w:pPr>
      <w:r w:rsidRPr="00D74FF1" w:rsidR="003D27D8">
        <w:rPr>
          <w:rFonts w:ascii="Times New Roman" w:hAnsi="Times New Roman" w:cs="Times New Roman"/>
          <w:sz w:val="24"/>
          <w:szCs w:val="24"/>
        </w:rPr>
        <w:tab/>
      </w:r>
      <w:r w:rsidRPr="00D74FF1">
        <w:rPr>
          <w:rFonts w:ascii="Times New Roman" w:hAnsi="Times New Roman" w:cs="Times New Roman"/>
          <w:sz w:val="24"/>
          <w:szCs w:val="24"/>
        </w:rPr>
        <w:t>Poznámky pod čiarou k odkazom 90ab a 90a</w:t>
      </w:r>
      <w:r w:rsidRPr="00D74FF1" w:rsidR="003D27D8">
        <w:rPr>
          <w:rFonts w:ascii="Times New Roman" w:hAnsi="Times New Roman" w:cs="Times New Roman"/>
          <w:sz w:val="24"/>
          <w:szCs w:val="24"/>
        </w:rPr>
        <w:t>c</w:t>
      </w:r>
      <w:r w:rsidRPr="00D74FF1">
        <w:rPr>
          <w:rFonts w:ascii="Times New Roman" w:hAnsi="Times New Roman" w:cs="Times New Roman"/>
          <w:sz w:val="24"/>
          <w:szCs w:val="24"/>
        </w:rPr>
        <w:t xml:space="preserve"> znejú:</w:t>
      </w:r>
    </w:p>
    <w:p w:rsidR="00536EC9" w:rsidRPr="00D74FF1" w:rsidP="00536EC9">
      <w:pPr>
        <w:bidi w:val="0"/>
        <w:spacing w:after="0"/>
        <w:ind w:left="284" w:hanging="142"/>
        <w:rPr>
          <w:rFonts w:ascii="Times New Roman" w:hAnsi="Times New Roman" w:cs="Times New Roman"/>
          <w:sz w:val="24"/>
          <w:szCs w:val="24"/>
        </w:rPr>
      </w:pPr>
      <w:r w:rsidRPr="00D74FF1" w:rsidR="003D27D8">
        <w:rPr>
          <w:rFonts w:ascii="Times New Roman" w:hAnsi="Times New Roman" w:cs="Times New Roman"/>
          <w:sz w:val="24"/>
          <w:szCs w:val="24"/>
        </w:rPr>
        <w:tab/>
        <w:tab/>
      </w:r>
      <w:r w:rsidRPr="00D74FF1">
        <w:rPr>
          <w:rFonts w:ascii="Times New Roman" w:hAnsi="Times New Roman" w:cs="Times New Roman"/>
          <w:sz w:val="24"/>
          <w:szCs w:val="24"/>
        </w:rPr>
        <w:t xml:space="preserve"> „ </w:t>
      </w:r>
      <w:r w:rsidRPr="00D74FF1">
        <w:rPr>
          <w:rFonts w:ascii="Times New Roman" w:hAnsi="Times New Roman" w:cs="Times New Roman"/>
          <w:sz w:val="24"/>
          <w:szCs w:val="24"/>
          <w:vertAlign w:val="superscript"/>
        </w:rPr>
        <w:t>90ab</w:t>
      </w:r>
      <w:r w:rsidRPr="00D74FF1">
        <w:rPr>
          <w:rFonts w:ascii="Times New Roman" w:hAnsi="Times New Roman" w:cs="Times New Roman"/>
          <w:sz w:val="24"/>
          <w:szCs w:val="24"/>
        </w:rPr>
        <w:t>) Čl. 20 ods. 1 písm. a) nariadenia (EÚ) č. 909/2014.</w:t>
      </w:r>
    </w:p>
    <w:p w:rsidR="00536EC9" w:rsidRPr="00D74FF1" w:rsidP="00536EC9">
      <w:pPr>
        <w:bidi w:val="0"/>
        <w:spacing w:after="0"/>
        <w:rPr>
          <w:rFonts w:ascii="Times New Roman" w:hAnsi="Times New Roman" w:cs="Times New Roman"/>
          <w:sz w:val="24"/>
          <w:szCs w:val="24"/>
        </w:rPr>
      </w:pPr>
      <w:r w:rsidRPr="00D74FF1" w:rsidR="003D27D8">
        <w:rPr>
          <w:rFonts w:ascii="Times New Roman" w:hAnsi="Times New Roman" w:cs="Times New Roman"/>
          <w:sz w:val="24"/>
          <w:szCs w:val="24"/>
        </w:rPr>
        <w:tab/>
        <w:t xml:space="preserve"> </w:t>
      </w:r>
      <w:r w:rsidRPr="00D74FF1">
        <w:rPr>
          <w:rFonts w:ascii="Times New Roman" w:hAnsi="Times New Roman" w:cs="Times New Roman"/>
          <w:sz w:val="24"/>
          <w:szCs w:val="24"/>
        </w:rPr>
        <w:t xml:space="preserve">   </w:t>
      </w:r>
      <w:r w:rsidRPr="00D74FF1">
        <w:rPr>
          <w:rFonts w:ascii="Times New Roman" w:hAnsi="Times New Roman" w:cs="Times New Roman"/>
          <w:sz w:val="24"/>
          <w:szCs w:val="24"/>
          <w:vertAlign w:val="superscript"/>
        </w:rPr>
        <w:t>90ac</w:t>
      </w:r>
      <w:r w:rsidRPr="00D74FF1">
        <w:rPr>
          <w:rFonts w:ascii="Times New Roman" w:hAnsi="Times New Roman" w:cs="Times New Roman"/>
          <w:sz w:val="24"/>
          <w:szCs w:val="24"/>
        </w:rPr>
        <w:t>) Čl. 20 ods. 5 nariadenia (EÚ) č. 909/2014.</w:t>
      </w:r>
      <w:r w:rsidRPr="00D74FF1" w:rsidR="003D27D8">
        <w:rPr>
          <w:rFonts w:ascii="Times New Roman" w:hAnsi="Times New Roman" w:cs="Times New Roman"/>
          <w:sz w:val="24"/>
          <w:szCs w:val="24"/>
        </w:rPr>
        <w:t>“.</w:t>
      </w:r>
    </w:p>
    <w:p w:rsidR="00536EC9" w:rsidRPr="00D74FF1" w:rsidP="003D27D8">
      <w:pPr>
        <w:bidi w:val="0"/>
        <w:spacing w:after="0"/>
        <w:rPr>
          <w:rFonts w:ascii="Times New Roman" w:hAnsi="Times New Roman" w:cs="Times New Roman"/>
          <w:sz w:val="24"/>
          <w:szCs w:val="24"/>
        </w:rPr>
      </w:pPr>
      <w:r w:rsidRPr="00D74FF1" w:rsidR="003D27D8">
        <w:rPr>
          <w:rFonts w:ascii="Times New Roman" w:hAnsi="Times New Roman" w:cs="Times New Roman"/>
          <w:sz w:val="24"/>
          <w:szCs w:val="24"/>
        </w:rPr>
        <w:tab/>
      </w:r>
      <w:r w:rsidRPr="00D74FF1">
        <w:rPr>
          <w:rFonts w:ascii="Times New Roman" w:hAnsi="Times New Roman" w:cs="Times New Roman"/>
          <w:sz w:val="24"/>
          <w:szCs w:val="24"/>
        </w:rPr>
        <w:t xml:space="preserve">    </w:t>
      </w:r>
    </w:p>
    <w:p w:rsidR="001E44F9" w:rsidRPr="00D74FF1" w:rsidP="003D27D8">
      <w:pPr>
        <w:bidi w:val="0"/>
        <w:spacing w:after="0"/>
        <w:rPr>
          <w:rFonts w:ascii="Times New Roman" w:hAnsi="Times New Roman" w:cs="Times New Roman"/>
          <w:sz w:val="24"/>
          <w:szCs w:val="24"/>
        </w:rPr>
      </w:pPr>
    </w:p>
    <w:p w:rsidR="001E44F9" w:rsidRPr="00D74FF1" w:rsidP="003D27D8">
      <w:pPr>
        <w:bidi w:val="0"/>
        <w:spacing w:after="0"/>
        <w:rPr>
          <w:rFonts w:ascii="Times New Roman" w:hAnsi="Times New Roman" w:cs="Times New Roman"/>
          <w:color w:val="FF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 102 sa vypúšťa. </w:t>
      </w:r>
    </w:p>
    <w:p w:rsidR="00536EC9" w:rsidRPr="00D74FF1" w:rsidP="00536EC9">
      <w:pPr>
        <w:pStyle w:val="ListParagraph"/>
        <w:bidi w:val="0"/>
        <w:spacing w:after="0"/>
        <w:ind w:left="786"/>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103 odseky 1 a 2 znejú:</w:t>
      </w:r>
    </w:p>
    <w:p w:rsidR="00536EC9" w:rsidRPr="00D74FF1" w:rsidP="00536EC9">
      <w:pPr>
        <w:bidi w:val="0"/>
        <w:spacing w:after="0"/>
        <w:ind w:left="72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„(1) Prevádzkový poriadok upravuje pravidlá a postupy pri vykonávaní činností a poskytovaní služieb centrálneho depozitára.</w:t>
      </w:r>
    </w:p>
    <w:p w:rsidR="00536EC9" w:rsidRPr="00D74FF1" w:rsidP="00536EC9">
      <w:pPr>
        <w:bidi w:val="0"/>
        <w:spacing w:after="0"/>
        <w:ind w:left="720"/>
        <w:jc w:val="both"/>
        <w:rPr>
          <w:rFonts w:ascii="Times New Roman" w:hAnsi="Times New Roman" w:cs="Times New Roman"/>
          <w:color w:val="000000"/>
          <w:sz w:val="24"/>
          <w:szCs w:val="24"/>
        </w:rPr>
      </w:pPr>
    </w:p>
    <w:p w:rsidR="00536EC9" w:rsidRPr="00D74FF1" w:rsidP="00536EC9">
      <w:pPr>
        <w:bidi w:val="0"/>
        <w:spacing w:after="0"/>
        <w:ind w:left="72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(2) Prevádzkový poriadok upravuje rozsah príkazov na iné zápisy, ktoré je člen oprávnený vykonávať vo vzťahu k nezaradenému účtu podľa § 173v ods. 2.“. </w:t>
      </w:r>
    </w:p>
    <w:p w:rsidR="00536EC9" w:rsidRPr="00D74FF1" w:rsidP="00536EC9">
      <w:pPr>
        <w:bidi w:val="0"/>
        <w:spacing w:after="0"/>
        <w:ind w:left="360"/>
        <w:jc w:val="both"/>
        <w:rPr>
          <w:rFonts w:ascii="Times New Roman" w:hAnsi="Times New Roman" w:cs="Times New Roman"/>
          <w:color w:val="000000"/>
          <w:sz w:val="24"/>
          <w:szCs w:val="24"/>
        </w:rPr>
      </w:pPr>
    </w:p>
    <w:p w:rsidR="00536EC9" w:rsidRPr="00D74FF1" w:rsidP="005B73E8">
      <w:pPr>
        <w:pStyle w:val="ListParagraph"/>
        <w:numPr>
          <w:numId w:val="29"/>
        </w:numPr>
        <w:autoSpaceDE w:val="0"/>
        <w:autoSpaceDN w:val="0"/>
        <w:bidi w:val="0"/>
        <w:adjustRightInd w:val="0"/>
        <w:spacing w:after="0"/>
        <w:contextualSpacing/>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V § 103 sa vypúšťajú odseky 3 a 4. </w:t>
      </w:r>
    </w:p>
    <w:p w:rsidR="00536EC9" w:rsidRPr="00D74FF1" w:rsidP="00536EC9">
      <w:pPr>
        <w:bidi w:val="0"/>
        <w:spacing w:after="0"/>
        <w:ind w:left="360"/>
        <w:jc w:val="both"/>
        <w:rPr>
          <w:rFonts w:ascii="Times New Roman" w:hAnsi="Times New Roman" w:cs="Times New Roman"/>
          <w:color w:val="000000"/>
          <w:sz w:val="24"/>
          <w:szCs w:val="24"/>
        </w:rPr>
      </w:pPr>
      <w:r w:rsidRPr="00D74FF1" w:rsidR="001E44F9">
        <w:rPr>
          <w:rFonts w:ascii="Times New Roman" w:hAnsi="Times New Roman" w:cs="Times New Roman"/>
          <w:color w:val="000000"/>
          <w:sz w:val="24"/>
          <w:szCs w:val="24"/>
        </w:rPr>
        <w:tab/>
        <w:t xml:space="preserve">  </w:t>
      </w:r>
      <w:r w:rsidRPr="00D74FF1">
        <w:rPr>
          <w:rFonts w:ascii="Times New Roman" w:hAnsi="Times New Roman" w:cs="Times New Roman"/>
          <w:color w:val="000000"/>
          <w:sz w:val="24"/>
          <w:szCs w:val="24"/>
        </w:rPr>
        <w:t>Doterajšie odseky 5 a 6 sa označujú ako odseky 3 a 4.</w:t>
      </w:r>
    </w:p>
    <w:p w:rsidR="00536EC9" w:rsidRPr="00D74FF1" w:rsidP="00536EC9">
      <w:pPr>
        <w:bidi w:val="0"/>
        <w:spacing w:after="0"/>
        <w:ind w:left="360"/>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103 ods. 4 sa slová „obchodníka s cennými papiermi, ktorému“ nahrádzajú slovami „subjektu, ktorému“ a na konci sa pripájajú tieto slová: „a ďalšie subjekty, ktorým centrálny depozitár poskytuje služby v súvislosti s výkonom svojich činností“.</w:t>
      </w:r>
    </w:p>
    <w:p w:rsidR="00536EC9" w:rsidRPr="00D74FF1" w:rsidP="00536EC9">
      <w:pPr>
        <w:autoSpaceDE w:val="0"/>
        <w:autoSpaceDN w:val="0"/>
        <w:bidi w:val="0"/>
        <w:adjustRightInd w:val="0"/>
        <w:spacing w:after="0"/>
        <w:ind w:left="780"/>
        <w:rPr>
          <w:rFonts w:ascii="Times New Roman" w:hAnsi="Times New Roman" w:cs="Times New Roman"/>
          <w:color w:val="000000"/>
          <w:sz w:val="24"/>
          <w:szCs w:val="24"/>
        </w:rPr>
      </w:pPr>
    </w:p>
    <w:p w:rsidR="00536EC9" w:rsidRPr="00D74FF1" w:rsidP="005B73E8">
      <w:pPr>
        <w:pStyle w:val="ListParagraph"/>
        <w:numPr>
          <w:numId w:val="29"/>
        </w:numPr>
        <w:autoSpaceDE w:val="0"/>
        <w:autoSpaceDN w:val="0"/>
        <w:bidi w:val="0"/>
        <w:adjustRightInd w:val="0"/>
        <w:spacing w:after="0"/>
        <w:contextualSpacing/>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V § 104 odsek 1 znie: </w:t>
      </w:r>
    </w:p>
    <w:p w:rsidR="00536EC9" w:rsidRPr="00D74FF1" w:rsidP="00536EC9">
      <w:pPr>
        <w:autoSpaceDE w:val="0"/>
        <w:autoSpaceDN w:val="0"/>
        <w:bidi w:val="0"/>
        <w:adjustRightInd w:val="0"/>
        <w:spacing w:after="0"/>
        <w:ind w:left="36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     „(1) Členom centrálneho depozitára môže byť len účastník systému vyrovnania prevádzkovaného centrálnym depozitárom a centrálny depozitár, ktorý sa stal účastníkom systému vyrovnania prevádzkovaného centrálnym depozitárom na základe osobitného predpisu.</w:t>
      </w:r>
      <w:r w:rsidRPr="00D74FF1">
        <w:rPr>
          <w:rFonts w:ascii="Times New Roman" w:hAnsi="Times New Roman" w:cs="Times New Roman"/>
          <w:color w:val="000000"/>
          <w:sz w:val="24"/>
          <w:szCs w:val="24"/>
          <w:vertAlign w:val="superscript"/>
        </w:rPr>
        <w:t>90</w:t>
      </w:r>
      <w:r w:rsidRPr="00D74FF1">
        <w:rPr>
          <w:rFonts w:ascii="Times New Roman" w:hAnsi="Times New Roman" w:cs="Times New Roman"/>
          <w:color w:val="000000"/>
          <w:sz w:val="24"/>
          <w:szCs w:val="24"/>
        </w:rPr>
        <w:t xml:space="preserve">)“. </w:t>
      </w:r>
    </w:p>
    <w:p w:rsidR="00536EC9" w:rsidRPr="00D74FF1" w:rsidP="00536EC9">
      <w:pPr>
        <w:autoSpaceDE w:val="0"/>
        <w:autoSpaceDN w:val="0"/>
        <w:bidi w:val="0"/>
        <w:adjustRightInd w:val="0"/>
        <w:spacing w:after="0"/>
        <w:jc w:val="both"/>
        <w:rPr>
          <w:rFonts w:ascii="Times New Roman" w:hAnsi="Times New Roman" w:cs="Times New Roman"/>
          <w:color w:val="000000"/>
          <w:sz w:val="24"/>
          <w:szCs w:val="24"/>
          <w:vertAlign w:val="superscript"/>
        </w:rPr>
      </w:pPr>
    </w:p>
    <w:p w:rsidR="00536EC9" w:rsidRPr="00D74FF1" w:rsidP="005B73E8">
      <w:pPr>
        <w:pStyle w:val="ListParagraph"/>
        <w:numPr>
          <w:numId w:val="29"/>
        </w:numPr>
        <w:autoSpaceDE w:val="0"/>
        <w:autoSpaceDN w:val="0"/>
        <w:bidi w:val="0"/>
        <w:adjustRightInd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104 ods. 2 písm. b) sa slová „§ 99 ods. 3 písm. d)“ nahrádzajú slovami „tohto zákona“.</w:t>
      </w:r>
    </w:p>
    <w:p w:rsidR="003D27D8" w:rsidRPr="00D74FF1" w:rsidP="003D27D8">
      <w:pPr>
        <w:pStyle w:val="ListParagraph"/>
        <w:autoSpaceDE w:val="0"/>
        <w:autoSpaceDN w:val="0"/>
        <w:bidi w:val="0"/>
        <w:adjustRightInd w:val="0"/>
        <w:spacing w:after="0"/>
        <w:ind w:left="786"/>
        <w:contextualSpacing/>
        <w:jc w:val="both"/>
        <w:rPr>
          <w:rFonts w:ascii="Times New Roman" w:hAnsi="Times New Roman" w:cs="Times New Roman"/>
          <w:color w:val="000000"/>
          <w:sz w:val="24"/>
          <w:szCs w:val="24"/>
        </w:rPr>
      </w:pPr>
    </w:p>
    <w:p w:rsidR="00536EC9" w:rsidRPr="00D74FF1" w:rsidP="005B73E8">
      <w:pPr>
        <w:pStyle w:val="ListParagraph"/>
        <w:numPr>
          <w:numId w:val="29"/>
        </w:numPr>
        <w:autoSpaceDE w:val="0"/>
        <w:autoSpaceDN w:val="0"/>
        <w:bidi w:val="0"/>
        <w:adjustRightInd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V § 104 ods. 2 sa vypúšťa sa písmeno f). </w:t>
      </w:r>
    </w:p>
    <w:p w:rsidR="00536EC9" w:rsidRPr="00D74FF1" w:rsidP="00536EC9">
      <w:pPr>
        <w:pStyle w:val="ListParagraph"/>
        <w:autoSpaceDE w:val="0"/>
        <w:autoSpaceDN w:val="0"/>
        <w:bidi w:val="0"/>
        <w:adjustRightInd w:val="0"/>
        <w:spacing w:after="0"/>
        <w:ind w:left="786"/>
        <w:jc w:val="both"/>
        <w:rPr>
          <w:rFonts w:ascii="Times New Roman" w:hAnsi="Times New Roman" w:cs="Times New Roman"/>
          <w:color w:val="000000"/>
          <w:sz w:val="24"/>
          <w:szCs w:val="24"/>
        </w:rPr>
      </w:pPr>
    </w:p>
    <w:p w:rsidR="00536EC9" w:rsidRPr="00D74FF1" w:rsidP="005B73E8">
      <w:pPr>
        <w:pStyle w:val="ListParagraph"/>
        <w:numPr>
          <w:numId w:val="29"/>
        </w:numPr>
        <w:autoSpaceDE w:val="0"/>
        <w:autoSpaceDN w:val="0"/>
        <w:bidi w:val="0"/>
        <w:adjustRightInd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104 sa vypúšťajú odseky 4 a 7 až 9.</w:t>
      </w:r>
    </w:p>
    <w:p w:rsidR="00536EC9" w:rsidRPr="00D74FF1" w:rsidP="00536EC9">
      <w:pPr>
        <w:autoSpaceDE w:val="0"/>
        <w:autoSpaceDN w:val="0"/>
        <w:bidi w:val="0"/>
        <w:adjustRightInd w:val="0"/>
        <w:spacing w:after="0"/>
        <w:jc w:val="both"/>
        <w:rPr>
          <w:rFonts w:ascii="Times New Roman" w:hAnsi="Times New Roman" w:cs="Times New Roman"/>
          <w:color w:val="000000"/>
          <w:sz w:val="24"/>
          <w:szCs w:val="24"/>
        </w:rPr>
      </w:pPr>
    </w:p>
    <w:p w:rsidR="00536EC9" w:rsidRPr="00D74FF1" w:rsidP="00536EC9">
      <w:pPr>
        <w:bidi w:val="0"/>
        <w:spacing w:after="0"/>
        <w:ind w:left="426"/>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 </w:t>
        <w:tab/>
        <w:t>Doterajšie odseky 5, 6 a 10 sa označujú ako odseky 4 až 6.</w:t>
      </w:r>
    </w:p>
    <w:p w:rsidR="00536EC9" w:rsidRPr="00D74FF1" w:rsidP="00536EC9">
      <w:pPr>
        <w:bidi w:val="0"/>
        <w:spacing w:after="0"/>
        <w:ind w:left="426"/>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105 ods. 2 sa slovo „depozitáru“ nahrádza slovami „depozitárovi, členovi,“.</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105 ods. 8  a § 105a ods. 8 sa slová „počtu kusov“ nahrádzajú slovami „množstva alebo objemu“, slová „počet kusov“ sa nahrádzajú slovami „množstvo alebo objem“ a vypúšťajú sa slová „vrátane ich podielu  z príslušnej emisie“.</w:t>
      </w:r>
    </w:p>
    <w:p w:rsidR="00536EC9" w:rsidRPr="00D74FF1" w:rsidP="00536EC9">
      <w:pPr>
        <w:pStyle w:val="ListParagraph"/>
        <w:bidi w:val="0"/>
        <w:spacing w:after="0"/>
        <w:ind w:left="786"/>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105a ods. 2 písm. c) treťom bode a § 105b ods. 2 písm. c) treťom bode sa slová „podľa § 28 ods. 3 písm. e) a f)“ nahrádzajú slovami „pre celú emisiu zaknihovaných cenných papierov“.</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105a ods. 3 prvej vete sa za slová „len pre“ vkladajú slová „Národnú banku Slovenska,“.</w:t>
      </w:r>
    </w:p>
    <w:p w:rsidR="00536EC9" w:rsidRPr="00D74FF1" w:rsidP="00536EC9">
      <w:pPr>
        <w:pStyle w:val="ListParagraph"/>
        <w:bidi w:val="0"/>
        <w:spacing w:after="0"/>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105a ods. 10 sa na konci pripája táto veta:</w:t>
      </w:r>
    </w:p>
    <w:p w:rsidR="00536EC9" w:rsidRPr="00D74FF1" w:rsidP="00536EC9">
      <w:pPr>
        <w:pStyle w:val="ListParagraph"/>
        <w:bidi w:val="0"/>
        <w:spacing w:after="0"/>
        <w:rPr>
          <w:rFonts w:ascii="Times New Roman" w:hAnsi="Times New Roman" w:cs="Times New Roman"/>
          <w:color w:val="000000"/>
          <w:sz w:val="24"/>
          <w:szCs w:val="24"/>
        </w:rPr>
      </w:pPr>
    </w:p>
    <w:p w:rsidR="00536EC9" w:rsidRPr="00D74FF1" w:rsidP="00536EC9">
      <w:pPr>
        <w:pStyle w:val="ListParagraph"/>
        <w:bidi w:val="0"/>
        <w:spacing w:after="0"/>
        <w:ind w:left="786"/>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„Ak ide o zahraničné cenné papiere je osoba, pre ktorú bol držiteľský účet zriadený, povinná poskytnúť centrálnemu depozitárovi údaje o majiteľovi cenných papierov v nevyhnutnom rozsahu za účelom plnenia informačných povinností centrálneho depozitára podľa právneho poriadku štátu, podľa ktorého boli zahraničné cenné papiere vydané.“.</w:t>
      </w:r>
    </w:p>
    <w:p w:rsidR="00536EC9" w:rsidRPr="00D74FF1" w:rsidP="00536EC9">
      <w:pPr>
        <w:pStyle w:val="ListParagraph"/>
        <w:bidi w:val="0"/>
        <w:spacing w:after="0"/>
        <w:ind w:left="786"/>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107 odsek 7 znie:</w:t>
      </w:r>
    </w:p>
    <w:p w:rsidR="00536EC9" w:rsidRPr="00D74FF1" w:rsidP="00536EC9">
      <w:pPr>
        <w:bidi w:val="0"/>
        <w:spacing w:after="0"/>
        <w:jc w:val="both"/>
        <w:rPr>
          <w:rFonts w:ascii="Times New Roman" w:hAnsi="Times New Roman" w:cs="Times New Roman"/>
          <w:color w:val="000000"/>
          <w:sz w:val="24"/>
          <w:szCs w:val="24"/>
        </w:rPr>
      </w:pPr>
      <w:r w:rsidRPr="00D74FF1" w:rsidR="004D6A68">
        <w:rPr>
          <w:rFonts w:ascii="Times New Roman" w:hAnsi="Times New Roman" w:cs="Times New Roman"/>
          <w:color w:val="000000"/>
          <w:sz w:val="24"/>
          <w:szCs w:val="24"/>
        </w:rPr>
        <w:t xml:space="preserve">              </w:t>
      </w:r>
      <w:r w:rsidRPr="00D74FF1">
        <w:rPr>
          <w:rFonts w:ascii="Times New Roman" w:hAnsi="Times New Roman" w:cs="Times New Roman"/>
          <w:color w:val="000000"/>
          <w:sz w:val="24"/>
          <w:szCs w:val="24"/>
        </w:rPr>
        <w:t>„(7) Vedenie osobitnej evidencie cenných papierov, ktoré centrálny depozitár neeviduje v registri emitenta, upravuje prevádzkový poriadok.“.</w:t>
      </w:r>
    </w:p>
    <w:p w:rsidR="00536EC9" w:rsidRPr="00D74FF1" w:rsidP="00536EC9">
      <w:pPr>
        <w:bidi w:val="0"/>
        <w:spacing w:after="0"/>
        <w:jc w:val="both"/>
        <w:rPr>
          <w:rFonts w:ascii="Times New Roman" w:hAnsi="Times New Roman" w:cs="Times New Roman"/>
          <w:color w:val="000000"/>
          <w:sz w:val="24"/>
          <w:szCs w:val="24"/>
        </w:rPr>
      </w:pPr>
      <w:r w:rsidRPr="00D74FF1" w:rsidR="003D27D8">
        <w:rPr>
          <w:rFonts w:ascii="Times New Roman" w:hAnsi="Times New Roman" w:cs="Times New Roman"/>
          <w:color w:val="000000"/>
          <w:sz w:val="24"/>
          <w:szCs w:val="24"/>
        </w:rPr>
        <w:t xml:space="preserve">        </w:t>
      </w:r>
    </w:p>
    <w:p w:rsidR="000D587E" w:rsidRPr="00D74FF1" w:rsidP="000D587E">
      <w:pPr>
        <w:numPr>
          <w:numId w:val="29"/>
        </w:numPr>
        <w:bidi w:val="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V § 107 odsek 9 znie: </w:t>
      </w:r>
    </w:p>
    <w:p w:rsidR="000D587E" w:rsidRPr="00D74FF1" w:rsidP="004D6A68">
      <w:pPr>
        <w:bidi w:val="0"/>
        <w:ind w:firstLine="426"/>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      „(9) Emitent listinných akcií na meno je povinný uzavrieť s centrálnym depozitárom zmluvu o vedení zoznamu akcionárov bezodkladne po vydaní listinných akcií na meno. Centrálny depozitár je povinný pri vedení zoznamu akcionárov listinných akcií na žiadosť emitenta vydať mu zoznam akcionárov</w:t>
      </w:r>
      <w:hyperlink r:id="rId5" w:anchor="f2705464" w:history="1">
        <w:r w:rsidRPr="00D74FF1">
          <w:rPr>
            <w:rFonts w:ascii="Times New Roman" w:hAnsi="Times New Roman" w:cs="Times New Roman"/>
            <w:sz w:val="24"/>
            <w:szCs w:val="24"/>
            <w:vertAlign w:val="superscript"/>
          </w:rPr>
          <w:t>89</w:t>
        </w:r>
        <w:r w:rsidRPr="00D74FF1">
          <w:rPr>
            <w:rFonts w:ascii="Times New Roman" w:hAnsi="Times New Roman" w:cs="Times New Roman"/>
            <w:sz w:val="24"/>
            <w:szCs w:val="24"/>
          </w:rPr>
          <w:t>)</w:t>
        </w:r>
      </w:hyperlink>
      <w:r w:rsidRPr="00D74FF1">
        <w:rPr>
          <w:rFonts w:ascii="Times New Roman" w:hAnsi="Times New Roman" w:cs="Times New Roman"/>
          <w:color w:val="000000"/>
          <w:sz w:val="24"/>
          <w:szCs w:val="24"/>
        </w:rPr>
        <w:t xml:space="preserve"> a na žiadosť akcionára vydať mu výpis zo zoznamu akcionárov v časti, ktorá sa ho týka.</w:t>
      </w:r>
      <w:r w:rsidRPr="00D74FF1">
        <w:rPr>
          <w:rFonts w:ascii="Times New Roman" w:hAnsi="Times New Roman" w:cs="Times New Roman"/>
          <w:sz w:val="24"/>
          <w:szCs w:val="24"/>
        </w:rPr>
        <w:t>“.</w:t>
      </w: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107 sa vypúšťa odsek 10.</w:t>
      </w:r>
    </w:p>
    <w:p w:rsidR="00536EC9" w:rsidRPr="00D74FF1" w:rsidP="00536EC9">
      <w:pPr>
        <w:pStyle w:val="ListParagraph"/>
        <w:bidi w:val="0"/>
        <w:spacing w:after="0"/>
        <w:rPr>
          <w:rFonts w:ascii="Times New Roman" w:hAnsi="Times New Roman" w:cs="Times New Roman"/>
          <w:color w:val="000000"/>
          <w:sz w:val="24"/>
          <w:szCs w:val="24"/>
        </w:rPr>
      </w:pPr>
    </w:p>
    <w:p w:rsidR="00536EC9" w:rsidRPr="00D74FF1" w:rsidP="00536EC9">
      <w:pPr>
        <w:bidi w:val="0"/>
        <w:spacing w:after="0"/>
        <w:jc w:val="both"/>
        <w:rPr>
          <w:rFonts w:ascii="Times New Roman" w:hAnsi="Times New Roman" w:cs="Times New Roman"/>
          <w:color w:val="000000"/>
          <w:sz w:val="24"/>
          <w:szCs w:val="24"/>
        </w:rPr>
      </w:pPr>
      <w:r w:rsidRPr="00D74FF1" w:rsidR="000D587E">
        <w:rPr>
          <w:rFonts w:ascii="Times New Roman" w:hAnsi="Times New Roman" w:cs="Times New Roman"/>
          <w:color w:val="000000"/>
          <w:sz w:val="24"/>
          <w:szCs w:val="24"/>
        </w:rPr>
        <w:tab/>
        <w:t xml:space="preserve"> </w:t>
      </w:r>
      <w:r w:rsidRPr="00D74FF1">
        <w:rPr>
          <w:rFonts w:ascii="Times New Roman" w:hAnsi="Times New Roman" w:cs="Times New Roman"/>
          <w:color w:val="000000"/>
          <w:sz w:val="24"/>
          <w:szCs w:val="24"/>
        </w:rPr>
        <w:t>Doterajšie odseky 11 až 19 sa označujú ako odseky 10 až 18.</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107 ods. 13 sa vypúšťajú slová „podľa § 99“.</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107 ods. 16 sa slová „odsek 16“ nahrádzajú slovami „odsek 15“.</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107a ods. 1 sa slová „prijatia príkazu na registráciu prevodu“ nahrádzajú slovami „určeného v prevádzkovom poriadku“.</w:t>
      </w:r>
    </w:p>
    <w:p w:rsidR="00536EC9" w:rsidRPr="00D74FF1" w:rsidP="00536EC9">
      <w:pPr>
        <w:tabs>
          <w:tab w:val="left" w:pos="1296"/>
        </w:tabs>
        <w:bidi w:val="0"/>
        <w:spacing w:after="0"/>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sz w:val="24"/>
          <w:szCs w:val="24"/>
        </w:rPr>
      </w:pPr>
      <w:r w:rsidRPr="00D74FF1">
        <w:rPr>
          <w:rFonts w:ascii="Times New Roman" w:hAnsi="Times New Roman" w:cs="Times New Roman"/>
          <w:sz w:val="24"/>
          <w:szCs w:val="24"/>
        </w:rPr>
        <w:t>V § 109 odsek 1 znie:</w:t>
      </w:r>
    </w:p>
    <w:p w:rsidR="00536EC9" w:rsidRPr="00D74FF1" w:rsidP="00536EC9">
      <w:pPr>
        <w:pStyle w:val="ListParagraph"/>
        <w:bidi w:val="0"/>
        <w:spacing w:after="0"/>
        <w:ind w:left="426" w:firstLine="283"/>
        <w:jc w:val="both"/>
        <w:rPr>
          <w:rFonts w:ascii="Times New Roman" w:hAnsi="Times New Roman" w:cs="Times New Roman"/>
          <w:sz w:val="24"/>
          <w:szCs w:val="24"/>
        </w:rPr>
      </w:pPr>
      <w:r w:rsidRPr="00D74FF1">
        <w:rPr>
          <w:rFonts w:ascii="Times New Roman" w:hAnsi="Times New Roman" w:cs="Times New Roman"/>
          <w:sz w:val="24"/>
          <w:szCs w:val="24"/>
        </w:rPr>
        <w:t xml:space="preserve"> „(1) Údaje o majiteľoch cenných papierov a akcionároch listinných akcií na meno, údaje o cenných papieroch, ktoré sú evidované na účte majiteľa, držiteľskom účte a klientskom účte a údaje evidované v registri záložných práv alebo inej osobitnej evidencii v súvislosti so zabezpečením pohľadávok cennými papiermi a registráciou pozastavenia práva nakladať sú centrálny depozitár, člen a obchodník s cennými papiermi povinní chrániť, ak § 110 neustanovuje inak.“.</w:t>
      </w:r>
    </w:p>
    <w:p w:rsidR="00536EC9" w:rsidRPr="00D74FF1" w:rsidP="00536EC9">
      <w:pPr>
        <w:pStyle w:val="ListParagraph"/>
        <w:bidi w:val="0"/>
        <w:spacing w:after="0"/>
        <w:rPr>
          <w:rFonts w:ascii="Times New Roman" w:hAnsi="Times New Roman" w:cs="Times New Roman"/>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sz w:val="24"/>
          <w:szCs w:val="24"/>
        </w:rPr>
      </w:pPr>
      <w:r w:rsidRPr="00D74FF1">
        <w:rPr>
          <w:rFonts w:ascii="Times New Roman" w:hAnsi="Times New Roman" w:cs="Times New Roman"/>
          <w:color w:val="000000"/>
          <w:sz w:val="24"/>
          <w:szCs w:val="24"/>
        </w:rPr>
        <w:t>V § 111 ods. 1 úvodná veta znie: „Centrálny depozitár je povinný bezodkladne zverejniť na svojom webovom sídle“.</w:t>
      </w:r>
    </w:p>
    <w:p w:rsidR="00536EC9" w:rsidRPr="00D74FF1" w:rsidP="00536EC9">
      <w:pPr>
        <w:pStyle w:val="ListParagraph"/>
        <w:bidi w:val="0"/>
        <w:spacing w:after="0"/>
        <w:ind w:left="786"/>
        <w:jc w:val="both"/>
        <w:rPr>
          <w:rFonts w:ascii="Times New Roman" w:hAnsi="Times New Roman" w:cs="Times New Roman"/>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sz w:val="24"/>
          <w:szCs w:val="24"/>
        </w:rPr>
      </w:pPr>
      <w:r w:rsidRPr="00D74FF1">
        <w:rPr>
          <w:rFonts w:ascii="Times New Roman" w:hAnsi="Times New Roman" w:cs="Times New Roman"/>
          <w:sz w:val="24"/>
          <w:szCs w:val="24"/>
        </w:rPr>
        <w:t>V § 118i ods. 3 sa slová „ods. 11“ nahrádzajú slovami „ods. 10“.</w:t>
      </w:r>
    </w:p>
    <w:p w:rsidR="00536EC9" w:rsidRPr="00D74FF1" w:rsidP="00536EC9">
      <w:pPr>
        <w:bidi w:val="0"/>
        <w:spacing w:after="0"/>
        <w:rPr>
          <w:rFonts w:ascii="Times New Roman" w:hAnsi="Times New Roman" w:cs="Times New Roman"/>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sz w:val="24"/>
          <w:szCs w:val="24"/>
        </w:rPr>
      </w:pPr>
      <w:r w:rsidRPr="00D74FF1">
        <w:rPr>
          <w:rFonts w:ascii="Times New Roman" w:hAnsi="Times New Roman" w:cs="Times New Roman"/>
          <w:sz w:val="24"/>
          <w:szCs w:val="24"/>
        </w:rPr>
        <w:t>V § 134 ods. 3 sa za písmeno h) vkladá nové písmeno i), ktoré znie:</w:t>
      </w:r>
    </w:p>
    <w:p w:rsidR="00536EC9" w:rsidRPr="00D74FF1" w:rsidP="00536EC9">
      <w:pPr>
        <w:pStyle w:val="ListParagraph"/>
        <w:bidi w:val="0"/>
        <w:spacing w:after="0"/>
        <w:ind w:left="786"/>
        <w:jc w:val="both"/>
        <w:rPr>
          <w:rFonts w:ascii="Times New Roman" w:hAnsi="Times New Roman" w:cs="Times New Roman"/>
          <w:sz w:val="24"/>
          <w:szCs w:val="24"/>
        </w:rPr>
      </w:pPr>
      <w:r w:rsidRPr="00D74FF1">
        <w:rPr>
          <w:rFonts w:ascii="Times New Roman" w:hAnsi="Times New Roman" w:cs="Times New Roman"/>
          <w:sz w:val="24"/>
          <w:szCs w:val="24"/>
        </w:rPr>
        <w:t>„i) Vojenskému spravodajstvu na účely plnenia úloh ustanovených osobitnými predpismi,</w:t>
      </w:r>
      <w:r w:rsidRPr="00D74FF1">
        <w:rPr>
          <w:rFonts w:ascii="Times New Roman" w:hAnsi="Times New Roman" w:cs="Times New Roman"/>
          <w:sz w:val="24"/>
          <w:szCs w:val="24"/>
          <w:vertAlign w:val="superscript"/>
        </w:rPr>
        <w:t>107f</w:t>
      </w:r>
      <w:r w:rsidRPr="00D74FF1">
        <w:rPr>
          <w:rFonts w:ascii="Times New Roman" w:hAnsi="Times New Roman" w:cs="Times New Roman"/>
          <w:sz w:val="24"/>
          <w:szCs w:val="24"/>
        </w:rPr>
        <w:t>)“.</w:t>
      </w:r>
    </w:p>
    <w:p w:rsidR="00536EC9" w:rsidRPr="00D74FF1" w:rsidP="00536EC9">
      <w:pPr>
        <w:pStyle w:val="ListParagraph"/>
        <w:bidi w:val="0"/>
        <w:spacing w:after="0"/>
        <w:ind w:left="786"/>
        <w:jc w:val="both"/>
        <w:rPr>
          <w:rFonts w:ascii="Times New Roman" w:hAnsi="Times New Roman" w:cs="Times New Roman"/>
          <w:sz w:val="24"/>
          <w:szCs w:val="24"/>
        </w:rPr>
      </w:pPr>
    </w:p>
    <w:p w:rsidR="00536EC9" w:rsidRPr="00D74FF1" w:rsidP="00536EC9">
      <w:pPr>
        <w:pStyle w:val="ListParagraph"/>
        <w:bidi w:val="0"/>
        <w:spacing w:after="0"/>
        <w:ind w:left="786"/>
        <w:jc w:val="both"/>
        <w:rPr>
          <w:rFonts w:ascii="Times New Roman" w:hAnsi="Times New Roman" w:cs="Times New Roman"/>
          <w:sz w:val="24"/>
          <w:szCs w:val="24"/>
        </w:rPr>
      </w:pPr>
      <w:r w:rsidRPr="00D74FF1">
        <w:rPr>
          <w:rFonts w:ascii="Times New Roman" w:hAnsi="Times New Roman" w:cs="Times New Roman"/>
          <w:sz w:val="24"/>
          <w:szCs w:val="24"/>
        </w:rPr>
        <w:t>Poznámka pod čiarou k odkazu 107f znie:</w:t>
      </w:r>
    </w:p>
    <w:p w:rsidR="00536EC9" w:rsidRPr="00D74FF1" w:rsidP="00536EC9">
      <w:pPr>
        <w:pStyle w:val="ListParagraph"/>
        <w:bidi w:val="0"/>
        <w:spacing w:after="0"/>
        <w:ind w:left="786"/>
        <w:jc w:val="both"/>
        <w:rPr>
          <w:rFonts w:ascii="Times New Roman" w:hAnsi="Times New Roman" w:cs="Times New Roman"/>
          <w:sz w:val="24"/>
          <w:szCs w:val="24"/>
        </w:rPr>
      </w:pPr>
      <w:r w:rsidRPr="00D74FF1">
        <w:rPr>
          <w:rFonts w:ascii="Times New Roman" w:hAnsi="Times New Roman" w:cs="Times New Roman"/>
          <w:sz w:val="24"/>
          <w:szCs w:val="24"/>
        </w:rPr>
        <w:t>„</w:t>
      </w:r>
      <w:r w:rsidRPr="00D74FF1">
        <w:rPr>
          <w:rFonts w:ascii="Times New Roman" w:hAnsi="Times New Roman" w:cs="Times New Roman"/>
          <w:sz w:val="24"/>
          <w:szCs w:val="24"/>
          <w:vertAlign w:val="superscript"/>
        </w:rPr>
        <w:t>107f</w:t>
      </w:r>
      <w:r w:rsidRPr="00D74FF1">
        <w:rPr>
          <w:rFonts w:ascii="Times New Roman" w:hAnsi="Times New Roman" w:cs="Times New Roman"/>
          <w:sz w:val="24"/>
          <w:szCs w:val="24"/>
        </w:rPr>
        <w:t>) § 2 zákona Národnej rady Slovenskej republiky č. 198/1994 Z. z. v znení neskorších predpisov.</w:t>
      </w:r>
    </w:p>
    <w:p w:rsidR="00536EC9" w:rsidRPr="00D74FF1" w:rsidP="00536EC9">
      <w:pPr>
        <w:pStyle w:val="ListParagraph"/>
        <w:bidi w:val="0"/>
        <w:spacing w:after="0"/>
        <w:ind w:left="786"/>
        <w:jc w:val="both"/>
        <w:rPr>
          <w:rFonts w:ascii="Times New Roman" w:hAnsi="Times New Roman" w:cs="Times New Roman"/>
          <w:sz w:val="24"/>
          <w:szCs w:val="24"/>
        </w:rPr>
      </w:pPr>
      <w:r w:rsidRPr="00D74FF1">
        <w:rPr>
          <w:rFonts w:ascii="Times New Roman" w:hAnsi="Times New Roman" w:cs="Times New Roman"/>
          <w:sz w:val="24"/>
          <w:szCs w:val="24"/>
        </w:rPr>
        <w:t>§ 75 zákona č. 215/2004 Z. z. v znení zákona č. 195/2014 Z. z.“.</w:t>
      </w:r>
    </w:p>
    <w:p w:rsidR="000D587E" w:rsidRPr="00D74FF1" w:rsidP="00536EC9">
      <w:pPr>
        <w:pStyle w:val="ListParagraph"/>
        <w:bidi w:val="0"/>
        <w:spacing w:after="0"/>
        <w:ind w:left="786"/>
        <w:jc w:val="both"/>
        <w:rPr>
          <w:rFonts w:ascii="Times New Roman" w:hAnsi="Times New Roman" w:cs="Times New Roman"/>
          <w:sz w:val="24"/>
          <w:szCs w:val="24"/>
        </w:rPr>
      </w:pPr>
    </w:p>
    <w:p w:rsidR="00536EC9" w:rsidRPr="00D74FF1" w:rsidP="00536EC9">
      <w:pPr>
        <w:pStyle w:val="ListParagraph"/>
        <w:bidi w:val="0"/>
        <w:spacing w:after="0"/>
        <w:ind w:left="786"/>
        <w:jc w:val="both"/>
        <w:rPr>
          <w:rFonts w:ascii="Times New Roman" w:hAnsi="Times New Roman" w:cs="Times New Roman"/>
          <w:sz w:val="24"/>
          <w:szCs w:val="24"/>
        </w:rPr>
      </w:pPr>
      <w:r w:rsidRPr="00D74FF1">
        <w:rPr>
          <w:rFonts w:ascii="Times New Roman" w:hAnsi="Times New Roman" w:cs="Times New Roman"/>
          <w:sz w:val="24"/>
          <w:szCs w:val="24"/>
        </w:rPr>
        <w:t>Doterajšie písmená i) a j) sa označujú ako písmená j) a k).</w:t>
      </w:r>
    </w:p>
    <w:p w:rsidR="00536EC9" w:rsidRPr="00D74FF1" w:rsidP="00536EC9">
      <w:pPr>
        <w:pStyle w:val="ListParagraph"/>
        <w:bidi w:val="0"/>
        <w:spacing w:after="0"/>
        <w:jc w:val="both"/>
        <w:rPr>
          <w:rFonts w:ascii="Times New Roman" w:hAnsi="Times New Roman" w:cs="Times New Roman"/>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V § 144 odsek 2 znie: </w:t>
      </w:r>
    </w:p>
    <w:p w:rsidR="00536EC9" w:rsidRPr="00D74FF1" w:rsidP="00536EC9">
      <w:pPr>
        <w:autoSpaceDE w:val="0"/>
        <w:autoSpaceDN w:val="0"/>
        <w:bidi w:val="0"/>
        <w:adjustRightInd w:val="0"/>
        <w:spacing w:after="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      </w:t>
        <w:tab/>
      </w:r>
      <w:r w:rsidR="00D77FFA">
        <w:rPr>
          <w:rFonts w:ascii="Times New Roman" w:hAnsi="Times New Roman" w:cs="Times New Roman"/>
          <w:color w:val="000000"/>
          <w:sz w:val="24"/>
          <w:szCs w:val="24"/>
        </w:rPr>
        <w:t xml:space="preserve"> </w:t>
      </w:r>
      <w:r w:rsidRPr="00D74FF1">
        <w:rPr>
          <w:rFonts w:ascii="Times New Roman" w:hAnsi="Times New Roman" w:cs="Times New Roman"/>
          <w:color w:val="000000"/>
          <w:sz w:val="24"/>
          <w:szCs w:val="24"/>
        </w:rPr>
        <w:t xml:space="preserve">„(2) </w:t>
      </w:r>
      <w:r w:rsidRPr="00D74FF1">
        <w:rPr>
          <w:rFonts w:ascii="Times New Roman" w:hAnsi="Times New Roman" w:cs="Times New Roman"/>
          <w:sz w:val="24"/>
          <w:szCs w:val="24"/>
        </w:rPr>
        <w:t xml:space="preserve">Ak Národná banka Slovenska zistí nedostatky v činnosti centrálneho depozitára spočívajúce v nedodržiavaní podmienok určených v povolení na činnosť, v nedodržiavaní podmienok alebo povinností vyplývajúcich z iných rozhodnutí Národnej banky Slovenska uložených centrálnemu depozitárovi, alebo v nedodržiavaní alebo v obchádzaní iných ustanovení tohto zákona, osobitných </w:t>
      </w:r>
      <w:r w:rsidRPr="00D74FF1" w:rsidR="000D587E">
        <w:rPr>
          <w:rFonts w:ascii="Times New Roman" w:hAnsi="Times New Roman" w:cs="Times New Roman"/>
          <w:sz w:val="24"/>
          <w:szCs w:val="24"/>
        </w:rPr>
        <w:t>predpisov</w:t>
      </w:r>
      <w:r w:rsidRPr="00D74FF1">
        <w:rPr>
          <w:rFonts w:ascii="Times New Roman" w:hAnsi="Times New Roman" w:cs="Times New Roman"/>
          <w:sz w:val="24"/>
          <w:szCs w:val="24"/>
          <w:vertAlign w:val="superscript"/>
        </w:rPr>
        <w:t>110e</w:t>
      </w:r>
      <w:r w:rsidRPr="00D74FF1">
        <w:rPr>
          <w:rFonts w:ascii="Times New Roman" w:hAnsi="Times New Roman" w:cs="Times New Roman"/>
          <w:sz w:val="24"/>
          <w:szCs w:val="24"/>
        </w:rPr>
        <w:t xml:space="preserve">) alebo iných všeobecne záväzných právnych predpisov a </w:t>
      </w:r>
      <w:r w:rsidRPr="00D74FF1">
        <w:rPr>
          <w:rFonts w:ascii="Times New Roman" w:hAnsi="Times New Roman" w:cs="Times New Roman"/>
          <w:color w:val="000000"/>
          <w:sz w:val="24"/>
          <w:szCs w:val="24"/>
        </w:rPr>
        <w:t>právne záväzných aktov Európskej únie,</w:t>
      </w:r>
      <w:r w:rsidRPr="00D74FF1">
        <w:rPr>
          <w:rFonts w:ascii="Times New Roman" w:hAnsi="Times New Roman" w:cs="Times New Roman"/>
          <w:sz w:val="24"/>
          <w:szCs w:val="24"/>
        </w:rPr>
        <w:t xml:space="preserve"> ktoré sa vzťahujú na výkon činností centrálneho depozitára, môže Národná banka Slovenska  </w:t>
      </w:r>
      <w:r w:rsidRPr="00D74FF1">
        <w:rPr>
          <w:rFonts w:ascii="Times New Roman" w:hAnsi="Times New Roman" w:cs="Times New Roman"/>
          <w:color w:val="000000"/>
          <w:sz w:val="24"/>
          <w:szCs w:val="24"/>
        </w:rPr>
        <w:t>uložiť sankcie podľa odseku 1 písm. a), c), h) až k) a podľa osobitného predpisu.</w:t>
      </w:r>
      <w:r w:rsidRPr="00D74FF1">
        <w:rPr>
          <w:rFonts w:ascii="Times New Roman" w:hAnsi="Times New Roman" w:cs="Times New Roman"/>
          <w:color w:val="000000"/>
          <w:sz w:val="24"/>
          <w:szCs w:val="24"/>
          <w:vertAlign w:val="superscript"/>
        </w:rPr>
        <w:t>110</w:t>
      </w:r>
      <w:r w:rsidR="006A1DA3">
        <w:rPr>
          <w:rFonts w:ascii="Times New Roman" w:hAnsi="Times New Roman" w:cs="Times New Roman"/>
          <w:color w:val="000000"/>
          <w:sz w:val="24"/>
          <w:szCs w:val="24"/>
          <w:vertAlign w:val="superscript"/>
        </w:rPr>
        <w:t>l</w:t>
      </w:r>
      <w:r w:rsidR="00144B63">
        <w:rPr>
          <w:rFonts w:ascii="Times New Roman" w:hAnsi="Times New Roman" w:cs="Times New Roman"/>
          <w:color w:val="000000"/>
          <w:sz w:val="24"/>
          <w:szCs w:val="24"/>
          <w:vertAlign w:val="superscript"/>
        </w:rPr>
        <w:t>a</w:t>
      </w:r>
      <w:r w:rsidRPr="00D74FF1">
        <w:rPr>
          <w:rFonts w:ascii="Times New Roman" w:hAnsi="Times New Roman" w:cs="Times New Roman"/>
          <w:color w:val="000000"/>
          <w:sz w:val="24"/>
          <w:szCs w:val="24"/>
        </w:rPr>
        <w:t xml:space="preserve">)“. </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36EC9">
      <w:pPr>
        <w:bidi w:val="0"/>
        <w:spacing w:after="0"/>
        <w:rPr>
          <w:rFonts w:ascii="Times New Roman" w:hAnsi="Times New Roman" w:cs="Times New Roman"/>
          <w:color w:val="000000"/>
          <w:sz w:val="24"/>
          <w:szCs w:val="24"/>
        </w:rPr>
      </w:pPr>
      <w:r w:rsidRPr="00D74FF1" w:rsidR="004D6A68">
        <w:rPr>
          <w:rFonts w:ascii="Times New Roman" w:hAnsi="Times New Roman" w:cs="Times New Roman"/>
          <w:color w:val="000000"/>
          <w:sz w:val="24"/>
          <w:szCs w:val="24"/>
        </w:rPr>
        <w:tab/>
      </w:r>
      <w:r w:rsidRPr="00D74FF1">
        <w:rPr>
          <w:rFonts w:ascii="Times New Roman" w:hAnsi="Times New Roman" w:cs="Times New Roman"/>
          <w:color w:val="000000"/>
          <w:sz w:val="24"/>
          <w:szCs w:val="24"/>
        </w:rPr>
        <w:t>Poznámka pod čiarou k odkazu 110</w:t>
      </w:r>
      <w:r w:rsidR="006A1DA3">
        <w:rPr>
          <w:rFonts w:ascii="Times New Roman" w:hAnsi="Times New Roman" w:cs="Times New Roman"/>
          <w:color w:val="000000"/>
          <w:sz w:val="24"/>
          <w:szCs w:val="24"/>
        </w:rPr>
        <w:t>l</w:t>
      </w:r>
      <w:r w:rsidR="00144B63">
        <w:rPr>
          <w:rFonts w:ascii="Times New Roman" w:hAnsi="Times New Roman" w:cs="Times New Roman"/>
          <w:color w:val="000000"/>
          <w:sz w:val="24"/>
          <w:szCs w:val="24"/>
        </w:rPr>
        <w:t>a</w:t>
      </w:r>
      <w:r w:rsidRPr="00D74FF1">
        <w:rPr>
          <w:rFonts w:ascii="Times New Roman" w:hAnsi="Times New Roman" w:cs="Times New Roman"/>
          <w:color w:val="000000"/>
          <w:sz w:val="24"/>
          <w:szCs w:val="24"/>
        </w:rPr>
        <w:t xml:space="preserve"> znie:</w:t>
      </w:r>
    </w:p>
    <w:p w:rsidR="00536EC9" w:rsidRPr="00D74FF1" w:rsidP="004D6A68">
      <w:pPr>
        <w:bidi w:val="0"/>
        <w:spacing w:after="0"/>
        <w:ind w:left="426"/>
        <w:jc w:val="both"/>
        <w:rPr>
          <w:rFonts w:ascii="Times New Roman" w:hAnsi="Times New Roman" w:cs="Times New Roman"/>
          <w:color w:val="000000"/>
          <w:sz w:val="24"/>
          <w:szCs w:val="24"/>
        </w:rPr>
      </w:pPr>
      <w:r w:rsidRPr="00D74FF1" w:rsidR="004D6A68">
        <w:rPr>
          <w:rFonts w:ascii="Times New Roman" w:hAnsi="Times New Roman" w:cs="Times New Roman"/>
          <w:color w:val="000000"/>
          <w:sz w:val="24"/>
          <w:szCs w:val="24"/>
        </w:rPr>
        <w:tab/>
      </w:r>
      <w:r w:rsidRPr="00D74FF1">
        <w:rPr>
          <w:rFonts w:ascii="Times New Roman" w:hAnsi="Times New Roman" w:cs="Times New Roman"/>
          <w:color w:val="000000"/>
          <w:sz w:val="24"/>
          <w:szCs w:val="24"/>
        </w:rPr>
        <w:t>„</w:t>
      </w:r>
      <w:r w:rsidRPr="00D74FF1">
        <w:rPr>
          <w:rFonts w:ascii="Times New Roman" w:hAnsi="Times New Roman" w:cs="Times New Roman"/>
          <w:color w:val="000000"/>
          <w:sz w:val="24"/>
          <w:szCs w:val="24"/>
          <w:vertAlign w:val="superscript"/>
        </w:rPr>
        <w:t>110</w:t>
      </w:r>
      <w:r w:rsidR="006A1DA3">
        <w:rPr>
          <w:rFonts w:ascii="Times New Roman" w:hAnsi="Times New Roman" w:cs="Times New Roman"/>
          <w:color w:val="000000"/>
          <w:sz w:val="24"/>
          <w:szCs w:val="24"/>
          <w:vertAlign w:val="superscript"/>
        </w:rPr>
        <w:t>l</w:t>
      </w:r>
      <w:r w:rsidR="00144B63">
        <w:rPr>
          <w:rFonts w:ascii="Times New Roman" w:hAnsi="Times New Roman" w:cs="Times New Roman"/>
          <w:color w:val="000000"/>
          <w:sz w:val="24"/>
          <w:szCs w:val="24"/>
          <w:vertAlign w:val="superscript"/>
        </w:rPr>
        <w:t>a</w:t>
      </w:r>
      <w:r w:rsidRPr="00D74FF1">
        <w:rPr>
          <w:rFonts w:ascii="Times New Roman" w:hAnsi="Times New Roman" w:cs="Times New Roman"/>
          <w:color w:val="000000"/>
          <w:sz w:val="24"/>
          <w:szCs w:val="24"/>
        </w:rPr>
        <w:t>) Čl. 63 ods. 2 nariadenia (EÚ) č. 909/2014.“.</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144 ods. 12 sa vypúšťajú slová „§ 99 ods. 10, § 102,“.</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144 ods. 16 sa slovo „rovnako“ nahrádza slovom „primerane“.</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V § 144 ods. 26 sa za slová „odsekov  1,“ vkladá číslo „2,“ a slová „bol obchodník s cennými papiermi, pobočka zahraničného obchodníka s cennými papiermi, zmiešaná finančná holdingová spoločnosť alebo“ sa nahrádzajú slovom „bola“.   </w:t>
      </w:r>
    </w:p>
    <w:p w:rsidR="00536EC9" w:rsidRPr="00D74FF1" w:rsidP="00536EC9">
      <w:pPr>
        <w:pStyle w:val="ListParagraph"/>
        <w:bidi w:val="0"/>
        <w:spacing w:after="0"/>
        <w:ind w:left="786"/>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V § 144 ods. 27 sa vypúšťajú slová „obchodné meno, sídlo a identifikačné číslo obchodníka s cennými papiermi, pobočky zahraničného obchodníka s cennými papiermi, zmiešanej finančnej holdingovej spoločnosti,“. </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 144 sa dopĺňa odsekom 31, ktorý znie: </w:t>
      </w:r>
    </w:p>
    <w:p w:rsidR="00536EC9" w:rsidRPr="00D74FF1" w:rsidP="00D77FFA">
      <w:pPr>
        <w:bidi w:val="0"/>
        <w:spacing w:after="0"/>
        <w:ind w:left="426" w:hanging="426"/>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           „(31) Národná banka Slovenska postupuje pri odložení zverejňovania </w:t>
      </w:r>
      <w:r w:rsidR="00D77FFA">
        <w:rPr>
          <w:rFonts w:ascii="Times New Roman" w:hAnsi="Times New Roman" w:cs="Times New Roman"/>
          <w:color w:val="000000"/>
          <w:sz w:val="24"/>
          <w:szCs w:val="24"/>
        </w:rPr>
        <w:t xml:space="preserve">   </w:t>
      </w:r>
      <w:r w:rsidRPr="00D74FF1">
        <w:rPr>
          <w:rFonts w:ascii="Times New Roman" w:hAnsi="Times New Roman" w:cs="Times New Roman"/>
          <w:color w:val="000000"/>
          <w:sz w:val="24"/>
          <w:szCs w:val="24"/>
        </w:rPr>
        <w:t>a nezverejňovania informácii o sankciách podľa osobitného predpisu.</w:t>
      </w:r>
      <w:r w:rsidRPr="00D74FF1">
        <w:rPr>
          <w:rFonts w:ascii="Times New Roman" w:hAnsi="Times New Roman" w:cs="Times New Roman"/>
          <w:color w:val="000000"/>
          <w:sz w:val="24"/>
          <w:szCs w:val="24"/>
          <w:vertAlign w:val="superscript"/>
        </w:rPr>
        <w:t>114h</w:t>
      </w:r>
      <w:r w:rsidRPr="00D74FF1">
        <w:rPr>
          <w:rFonts w:ascii="Times New Roman" w:hAnsi="Times New Roman" w:cs="Times New Roman"/>
          <w:color w:val="000000"/>
          <w:sz w:val="24"/>
          <w:szCs w:val="24"/>
        </w:rPr>
        <w:t>)“.</w:t>
      </w:r>
    </w:p>
    <w:p w:rsidR="004D6A68" w:rsidRPr="00D74FF1" w:rsidP="00536EC9">
      <w:pPr>
        <w:bidi w:val="0"/>
        <w:spacing w:after="0"/>
        <w:jc w:val="both"/>
        <w:rPr>
          <w:rFonts w:ascii="Times New Roman" w:hAnsi="Times New Roman" w:cs="Times New Roman"/>
          <w:color w:val="000000"/>
          <w:sz w:val="24"/>
          <w:szCs w:val="24"/>
        </w:rPr>
      </w:pPr>
    </w:p>
    <w:p w:rsidR="00536EC9" w:rsidRPr="00D74FF1" w:rsidP="00536EC9">
      <w:pPr>
        <w:bidi w:val="0"/>
        <w:spacing w:after="0"/>
        <w:jc w:val="both"/>
        <w:rPr>
          <w:rFonts w:ascii="Times New Roman" w:hAnsi="Times New Roman" w:cs="Times New Roman"/>
          <w:color w:val="000000"/>
          <w:sz w:val="24"/>
          <w:szCs w:val="24"/>
        </w:rPr>
      </w:pPr>
      <w:r w:rsidRPr="00D74FF1" w:rsidR="004D6A68">
        <w:rPr>
          <w:rFonts w:ascii="Times New Roman" w:hAnsi="Times New Roman" w:cs="Times New Roman"/>
          <w:color w:val="000000"/>
          <w:sz w:val="24"/>
          <w:szCs w:val="24"/>
        </w:rPr>
        <w:tab/>
      </w:r>
      <w:r w:rsidRPr="00D74FF1">
        <w:rPr>
          <w:rFonts w:ascii="Times New Roman" w:hAnsi="Times New Roman" w:cs="Times New Roman"/>
          <w:color w:val="000000"/>
          <w:sz w:val="24"/>
          <w:szCs w:val="24"/>
        </w:rPr>
        <w:t>Poznámka pod čiarou k odkazu 114h znie:</w:t>
      </w:r>
    </w:p>
    <w:p w:rsidR="00536EC9" w:rsidRPr="00D74FF1" w:rsidP="00536EC9">
      <w:pPr>
        <w:bidi w:val="0"/>
        <w:spacing w:after="0"/>
        <w:jc w:val="both"/>
        <w:rPr>
          <w:rFonts w:ascii="Times New Roman" w:hAnsi="Times New Roman" w:cs="Times New Roman"/>
          <w:color w:val="000000"/>
          <w:sz w:val="24"/>
          <w:szCs w:val="24"/>
        </w:rPr>
      </w:pPr>
      <w:r w:rsidRPr="00D74FF1" w:rsidR="004D6A68">
        <w:rPr>
          <w:rFonts w:ascii="Times New Roman" w:hAnsi="Times New Roman" w:cs="Times New Roman"/>
          <w:color w:val="000000"/>
          <w:sz w:val="24"/>
          <w:szCs w:val="24"/>
        </w:rPr>
        <w:tab/>
      </w:r>
      <w:r w:rsidRPr="00D74FF1">
        <w:rPr>
          <w:rFonts w:ascii="Times New Roman" w:hAnsi="Times New Roman" w:cs="Times New Roman"/>
          <w:color w:val="000000"/>
          <w:sz w:val="24"/>
          <w:szCs w:val="24"/>
        </w:rPr>
        <w:t>„</w:t>
      </w:r>
      <w:r w:rsidRPr="00D74FF1">
        <w:rPr>
          <w:rFonts w:ascii="Times New Roman" w:hAnsi="Times New Roman" w:cs="Times New Roman"/>
          <w:color w:val="000000"/>
          <w:sz w:val="24"/>
          <w:szCs w:val="24"/>
          <w:vertAlign w:val="superscript"/>
        </w:rPr>
        <w:t>114h</w:t>
      </w:r>
      <w:r w:rsidRPr="00D74FF1">
        <w:rPr>
          <w:rFonts w:ascii="Times New Roman" w:hAnsi="Times New Roman" w:cs="Times New Roman"/>
          <w:color w:val="000000"/>
          <w:sz w:val="24"/>
          <w:szCs w:val="24"/>
        </w:rPr>
        <w:t>) Čl. 62 nariadenia (EÚ) č. 909/2014.“.</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line="240" w:lineRule="auto"/>
        <w:contextualSpacing/>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V § 146 sa vypúšťajú slová „alebo centrálny depozitár“ vo všetkých gramatických tvaroch. </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146 ods. 1 sa vypúšťajú slová „§ 102 ods. 1 písm. a)“ a  slová „alebo § 102 ods. 1 písm. a)“.</w:t>
      </w:r>
    </w:p>
    <w:p w:rsidR="00536EC9" w:rsidRPr="00D74FF1" w:rsidP="00536EC9">
      <w:pPr>
        <w:pStyle w:val="ListParagraph"/>
        <w:bidi w:val="0"/>
        <w:spacing w:after="0"/>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146 sa vypúšťa odsek 2.</w:t>
      </w:r>
    </w:p>
    <w:p w:rsidR="00536EC9" w:rsidRPr="00D74FF1" w:rsidP="00536EC9">
      <w:pPr>
        <w:pStyle w:val="ListParagraph"/>
        <w:bidi w:val="0"/>
        <w:spacing w:after="0"/>
        <w:rPr>
          <w:rFonts w:ascii="Times New Roman" w:hAnsi="Times New Roman" w:cs="Times New Roman"/>
          <w:color w:val="000000"/>
          <w:sz w:val="24"/>
          <w:szCs w:val="24"/>
        </w:rPr>
      </w:pPr>
    </w:p>
    <w:p w:rsidR="00536EC9" w:rsidRPr="00D74FF1" w:rsidP="00536EC9">
      <w:pPr>
        <w:pStyle w:val="ListParagraph"/>
        <w:bidi w:val="0"/>
        <w:spacing w:after="0"/>
        <w:ind w:left="786"/>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Doterajšie odseky 3 až 9 sa označujú ako odseky 2 až 8.</w:t>
      </w:r>
    </w:p>
    <w:p w:rsidR="004D6A68" w:rsidRPr="00D74FF1" w:rsidP="00536EC9">
      <w:pPr>
        <w:pStyle w:val="ListParagraph"/>
        <w:bidi w:val="0"/>
        <w:spacing w:after="0"/>
        <w:ind w:left="786"/>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146 odsek 2 znie:</w:t>
      </w:r>
    </w:p>
    <w:p w:rsidR="00536EC9" w:rsidRPr="00D74FF1" w:rsidP="00536EC9">
      <w:pPr>
        <w:pStyle w:val="ListParagraph"/>
        <w:bidi w:val="0"/>
        <w:spacing w:after="0"/>
        <w:ind w:left="426"/>
        <w:jc w:val="both"/>
        <w:rPr>
          <w:rFonts w:ascii="Times New Roman" w:hAnsi="Times New Roman" w:cs="Times New Roman"/>
          <w:sz w:val="24"/>
          <w:szCs w:val="24"/>
        </w:rPr>
      </w:pPr>
      <w:r w:rsidRPr="00D74FF1" w:rsidR="004D6A68">
        <w:rPr>
          <w:rFonts w:ascii="Times New Roman" w:hAnsi="Times New Roman" w:cs="Times New Roman"/>
          <w:color w:val="000000"/>
          <w:sz w:val="24"/>
          <w:szCs w:val="24"/>
        </w:rPr>
        <w:t xml:space="preserve">       </w:t>
      </w:r>
      <w:r w:rsidRPr="00D74FF1">
        <w:rPr>
          <w:rFonts w:ascii="Times New Roman" w:hAnsi="Times New Roman" w:cs="Times New Roman"/>
          <w:color w:val="000000"/>
          <w:sz w:val="24"/>
          <w:szCs w:val="24"/>
        </w:rPr>
        <w:t xml:space="preserve">„(2) </w:t>
      </w:r>
      <w:r w:rsidRPr="00D74FF1">
        <w:rPr>
          <w:rFonts w:ascii="Times New Roman" w:hAnsi="Times New Roman" w:cs="Times New Roman"/>
          <w:sz w:val="24"/>
          <w:szCs w:val="24"/>
        </w:rPr>
        <w:t xml:space="preserve">Obchodník s cennými papiermi je povinný predložiť Národnej banke Slovenska výpis z jeho registra emitenta a z jeho zoznamu akcionárov vyhotovený k rozhodujúcemu dňu, </w:t>
      </w:r>
      <w:r w:rsidRPr="00D74FF1">
        <w:rPr>
          <w:rFonts w:ascii="Times New Roman" w:hAnsi="Times New Roman" w:cs="Times New Roman"/>
          <w:sz w:val="24"/>
          <w:szCs w:val="24"/>
          <w:vertAlign w:val="superscript"/>
        </w:rPr>
        <w:t>114i</w:t>
      </w:r>
      <w:r w:rsidRPr="00D74FF1">
        <w:rPr>
          <w:rFonts w:ascii="Times New Roman" w:hAnsi="Times New Roman" w:cs="Times New Roman"/>
          <w:sz w:val="24"/>
          <w:szCs w:val="24"/>
        </w:rPr>
        <w:t>) ktorý je určený najmenej päť pracovných dní pred dňom konania valného zhromaždenia. Tento výpis je obchodník s cennými papiermi povinný doručiť Národnej banke Slovenska v  deň jeho vyhotovenia. Národná banka Slovenska bezodkladne na tomto výpise písomne označí osobu, ktorej pozastavila výkon práv uvedených v odseku 1, a doručí ho obchodníkovi s cennými papiermi najneskôr v deň predchádzajúci konaniu valného zhromaždenia obchodníka s cennými papiermi.“.</w:t>
      </w:r>
    </w:p>
    <w:p w:rsidR="00536EC9" w:rsidRPr="00D74FF1" w:rsidP="00536EC9">
      <w:pPr>
        <w:pStyle w:val="ListParagraph"/>
        <w:bidi w:val="0"/>
        <w:spacing w:after="0"/>
        <w:ind w:left="426"/>
        <w:jc w:val="both"/>
        <w:rPr>
          <w:rFonts w:ascii="Times New Roman" w:hAnsi="Times New Roman" w:cs="Times New Roman"/>
          <w:sz w:val="24"/>
          <w:szCs w:val="24"/>
        </w:rPr>
      </w:pPr>
    </w:p>
    <w:p w:rsidR="00536EC9" w:rsidRPr="00D74FF1" w:rsidP="00536EC9">
      <w:pPr>
        <w:pStyle w:val="ListParagraph"/>
        <w:bidi w:val="0"/>
        <w:spacing w:after="0"/>
        <w:ind w:left="786"/>
        <w:jc w:val="both"/>
        <w:rPr>
          <w:rFonts w:ascii="Times New Roman" w:hAnsi="Times New Roman" w:cs="Times New Roman"/>
          <w:sz w:val="24"/>
          <w:szCs w:val="24"/>
        </w:rPr>
      </w:pPr>
      <w:r w:rsidRPr="00D74FF1">
        <w:rPr>
          <w:rFonts w:ascii="Times New Roman" w:hAnsi="Times New Roman" w:cs="Times New Roman"/>
          <w:sz w:val="24"/>
          <w:szCs w:val="24"/>
        </w:rPr>
        <w:t>Poznámka pod čiarou k odkazu 114i znie:</w:t>
      </w:r>
    </w:p>
    <w:p w:rsidR="00536EC9" w:rsidRPr="00D74FF1" w:rsidP="00536EC9">
      <w:pPr>
        <w:pStyle w:val="ListParagraph"/>
        <w:bidi w:val="0"/>
        <w:spacing w:after="0"/>
        <w:ind w:left="786"/>
        <w:jc w:val="both"/>
        <w:rPr>
          <w:rFonts w:ascii="Times New Roman" w:hAnsi="Times New Roman" w:cs="Times New Roman"/>
          <w:sz w:val="24"/>
          <w:szCs w:val="24"/>
        </w:rPr>
      </w:pPr>
      <w:r w:rsidRPr="00D74FF1">
        <w:rPr>
          <w:rFonts w:ascii="Times New Roman" w:hAnsi="Times New Roman" w:cs="Times New Roman"/>
          <w:sz w:val="24"/>
          <w:szCs w:val="24"/>
        </w:rPr>
        <w:t>„</w:t>
      </w:r>
      <w:r w:rsidRPr="00D74FF1">
        <w:rPr>
          <w:rFonts w:ascii="Times New Roman" w:hAnsi="Times New Roman" w:cs="Times New Roman"/>
          <w:sz w:val="24"/>
          <w:szCs w:val="24"/>
          <w:vertAlign w:val="superscript"/>
        </w:rPr>
        <w:t>114i</w:t>
      </w:r>
      <w:r w:rsidRPr="00D74FF1">
        <w:rPr>
          <w:rFonts w:ascii="Times New Roman" w:hAnsi="Times New Roman" w:cs="Times New Roman"/>
          <w:sz w:val="24"/>
          <w:szCs w:val="24"/>
        </w:rPr>
        <w:t>) § 156a Obchodného zákonníka v znení neskorších predpisov.“.</w:t>
      </w:r>
    </w:p>
    <w:p w:rsidR="00536EC9" w:rsidRPr="00D74FF1" w:rsidP="00536EC9">
      <w:pPr>
        <w:pStyle w:val="ListParagraph"/>
        <w:bidi w:val="0"/>
        <w:spacing w:after="0"/>
        <w:ind w:left="786"/>
        <w:jc w:val="both"/>
        <w:rPr>
          <w:rFonts w:ascii="Times New Roman" w:hAnsi="Times New Roman" w:cs="Times New Roman"/>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sz w:val="24"/>
          <w:szCs w:val="24"/>
        </w:rPr>
      </w:pPr>
      <w:r w:rsidRPr="00D74FF1">
        <w:rPr>
          <w:rFonts w:ascii="Times New Roman" w:hAnsi="Times New Roman" w:cs="Times New Roman"/>
          <w:sz w:val="24"/>
          <w:szCs w:val="24"/>
        </w:rPr>
        <w:t>V § 146 ods. 5 a 6 sa slová „odseku 3“ nahrádzajú slovami „odseku 2“.</w:t>
      </w:r>
    </w:p>
    <w:p w:rsidR="00536EC9" w:rsidRPr="00D74FF1" w:rsidP="00536EC9">
      <w:pPr>
        <w:pStyle w:val="ListParagraph"/>
        <w:bidi w:val="0"/>
        <w:spacing w:after="0"/>
        <w:ind w:left="786"/>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146 ods. 6 sa vypúšťajú slová „alebo centrálnym depozitárom“ a slová „alebo § 102 ods. 1 písm. a)“.</w:t>
      </w:r>
    </w:p>
    <w:p w:rsidR="00536EC9" w:rsidRPr="00D74FF1" w:rsidP="00536EC9">
      <w:pPr>
        <w:pStyle w:val="ListParagraph"/>
        <w:bidi w:val="0"/>
        <w:spacing w:after="0"/>
        <w:ind w:left="0"/>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146a znie:</w:t>
      </w:r>
    </w:p>
    <w:p w:rsidR="00536EC9" w:rsidRPr="00D74FF1" w:rsidP="00536EC9">
      <w:pPr>
        <w:pStyle w:val="ListParagraph"/>
        <w:bidi w:val="0"/>
        <w:spacing w:after="0"/>
        <w:ind w:left="0"/>
        <w:jc w:val="both"/>
        <w:rPr>
          <w:rFonts w:ascii="Times New Roman" w:hAnsi="Times New Roman" w:cs="Times New Roman"/>
          <w:color w:val="000000"/>
          <w:sz w:val="24"/>
          <w:szCs w:val="24"/>
        </w:rPr>
      </w:pPr>
    </w:p>
    <w:p w:rsidR="00536EC9" w:rsidRPr="00D74FF1" w:rsidP="00536EC9">
      <w:pPr>
        <w:pStyle w:val="ListParagraph"/>
        <w:bidi w:val="0"/>
        <w:spacing w:after="0"/>
        <w:jc w:val="center"/>
        <w:rPr>
          <w:rFonts w:ascii="Times New Roman" w:hAnsi="Times New Roman" w:cs="Times New Roman"/>
          <w:color w:val="000000"/>
          <w:sz w:val="24"/>
          <w:szCs w:val="24"/>
        </w:rPr>
      </w:pPr>
      <w:r w:rsidRPr="00D74FF1">
        <w:rPr>
          <w:rFonts w:ascii="Times New Roman" w:hAnsi="Times New Roman" w:cs="Times New Roman"/>
          <w:color w:val="000000"/>
          <w:sz w:val="24"/>
          <w:szCs w:val="24"/>
        </w:rPr>
        <w:t>„§ 146a</w:t>
      </w:r>
    </w:p>
    <w:p w:rsidR="00536EC9" w:rsidRPr="00D74FF1" w:rsidP="00536EC9">
      <w:pPr>
        <w:bidi w:val="0"/>
        <w:spacing w:after="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(1) Národná banka Slovenska je povinná zachovať anonymitu zamestnanca, vedúceho zamestnanca, člena štatutárneho orgánu alebo člena dozornej rady, osoby podliehajúcej dohľadu podľa § 135 ods. 1, ako aj zamestnanca alebo vedúceho zamestnanca pobočky tejto osoby, ktorý poskytol Národnej banke Slovenska akúkoľvek informáciu o nedostatkoch v činnosti tejto osoby alebo jej pobočky.</w:t>
      </w:r>
    </w:p>
    <w:p w:rsidR="00536EC9" w:rsidRPr="00D74FF1" w:rsidP="00536EC9">
      <w:pPr>
        <w:bidi w:val="0"/>
        <w:spacing w:after="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(2) Finančná inštitúcia podliehajúca dohľadu podľa § 135 ods. 1 je povinná upraviť vo vnútorných aktoch riadenia postupy pre svojich zamestnancov na interné nahlasovanie nedostatkov a určené spôsoby tohto nahlasovania.“.</w:t>
      </w:r>
    </w:p>
    <w:p w:rsidR="00536EC9" w:rsidP="00536EC9">
      <w:pPr>
        <w:pStyle w:val="ListParagraph"/>
        <w:bidi w:val="0"/>
        <w:spacing w:after="0"/>
        <w:rPr>
          <w:rFonts w:ascii="Times New Roman" w:hAnsi="Times New Roman" w:cs="Times New Roman"/>
          <w:color w:val="000000"/>
          <w:sz w:val="24"/>
          <w:szCs w:val="24"/>
        </w:rPr>
      </w:pPr>
    </w:p>
    <w:p w:rsidR="00D77FFA" w:rsidP="00536EC9">
      <w:pPr>
        <w:pStyle w:val="ListParagraph"/>
        <w:bidi w:val="0"/>
        <w:spacing w:after="0"/>
        <w:rPr>
          <w:rFonts w:ascii="Times New Roman" w:hAnsi="Times New Roman" w:cs="Times New Roman"/>
          <w:color w:val="000000"/>
          <w:sz w:val="24"/>
          <w:szCs w:val="24"/>
        </w:rPr>
      </w:pPr>
    </w:p>
    <w:p w:rsidR="00D77FFA" w:rsidRPr="00D74FF1" w:rsidP="00536EC9">
      <w:pPr>
        <w:pStyle w:val="ListParagraph"/>
        <w:bidi w:val="0"/>
        <w:spacing w:after="0"/>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156 sa vypúšťa odsek 3.</w:t>
      </w:r>
    </w:p>
    <w:p w:rsidR="00536EC9" w:rsidRPr="00D74FF1" w:rsidP="00536EC9">
      <w:pPr>
        <w:pStyle w:val="ListParagraph"/>
        <w:bidi w:val="0"/>
        <w:spacing w:after="0"/>
        <w:ind w:left="786"/>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159 ods. 2 sa vypúšťajú slová „podľa § 99 ods. 3“.</w:t>
      </w:r>
    </w:p>
    <w:p w:rsidR="00536EC9" w:rsidRPr="00D74FF1" w:rsidP="00536EC9">
      <w:pPr>
        <w:bidi w:val="0"/>
        <w:spacing w:after="0"/>
        <w:ind w:firstLine="708"/>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159 ods. 3 sa vypúšťajú slová „a 102“.</w:t>
      </w:r>
    </w:p>
    <w:p w:rsidR="00536EC9" w:rsidRPr="00D74FF1" w:rsidP="00536EC9">
      <w:pPr>
        <w:pStyle w:val="ListParagraph"/>
        <w:bidi w:val="0"/>
        <w:spacing w:after="0"/>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Za § 173x sa vkladá § 173y, ktorý vrátane nadpisu znie:</w:t>
      </w:r>
    </w:p>
    <w:p w:rsidR="0068147B" w:rsidRPr="00D74FF1" w:rsidP="00536EC9">
      <w:pPr>
        <w:pStyle w:val="ListParagraph"/>
        <w:bidi w:val="0"/>
        <w:spacing w:after="0"/>
        <w:rPr>
          <w:rFonts w:ascii="Times New Roman" w:hAnsi="Times New Roman" w:cs="Times New Roman"/>
          <w:color w:val="000000"/>
          <w:sz w:val="24"/>
          <w:szCs w:val="24"/>
        </w:rPr>
      </w:pPr>
    </w:p>
    <w:p w:rsidR="00536EC9" w:rsidRPr="00D74FF1" w:rsidP="00536EC9">
      <w:pPr>
        <w:bidi w:val="0"/>
        <w:spacing w:after="0"/>
        <w:jc w:val="center"/>
        <w:rPr>
          <w:rFonts w:ascii="Times New Roman" w:hAnsi="Times New Roman" w:cs="Times New Roman"/>
          <w:color w:val="000000"/>
          <w:sz w:val="24"/>
          <w:szCs w:val="24"/>
        </w:rPr>
      </w:pPr>
      <w:r w:rsidRPr="00D74FF1">
        <w:rPr>
          <w:rFonts w:ascii="Times New Roman" w:hAnsi="Times New Roman" w:cs="Times New Roman"/>
          <w:color w:val="000000"/>
          <w:sz w:val="24"/>
          <w:szCs w:val="24"/>
        </w:rPr>
        <w:t>„§ 173y</w:t>
      </w:r>
    </w:p>
    <w:p w:rsidR="00536EC9" w:rsidP="00536EC9">
      <w:pPr>
        <w:bidi w:val="0"/>
        <w:spacing w:after="0"/>
        <w:jc w:val="center"/>
        <w:rPr>
          <w:rFonts w:ascii="Times New Roman" w:hAnsi="Times New Roman" w:cs="Times New Roman"/>
          <w:color w:val="000000"/>
          <w:sz w:val="24"/>
          <w:szCs w:val="24"/>
        </w:rPr>
      </w:pPr>
      <w:r w:rsidRPr="00D74FF1">
        <w:rPr>
          <w:rFonts w:ascii="Times New Roman" w:hAnsi="Times New Roman" w:cs="Times New Roman"/>
          <w:color w:val="000000"/>
          <w:sz w:val="24"/>
          <w:szCs w:val="24"/>
        </w:rPr>
        <w:t>Prechodné ustanovenia k úpravám účinným od 1. decembra 2016</w:t>
      </w:r>
    </w:p>
    <w:p w:rsidR="00D77FFA" w:rsidRPr="00D74FF1" w:rsidP="00536EC9">
      <w:pPr>
        <w:bidi w:val="0"/>
        <w:spacing w:after="0"/>
        <w:jc w:val="center"/>
        <w:rPr>
          <w:rFonts w:ascii="Times New Roman" w:hAnsi="Times New Roman" w:cs="Times New Roman"/>
          <w:color w:val="000000"/>
          <w:sz w:val="24"/>
          <w:szCs w:val="24"/>
        </w:rPr>
      </w:pPr>
    </w:p>
    <w:p w:rsidR="00536EC9" w:rsidRPr="00D74FF1" w:rsidP="004D6A68">
      <w:pPr>
        <w:pStyle w:val="ListParagraph"/>
        <w:numPr>
          <w:numId w:val="24"/>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Pri právnych vzťahov, ktoré vznikli do 30. novembra 2016, na základe ktorých centrálny depozitár vykonával činnosti podľa </w:t>
      </w:r>
      <w:r w:rsidRPr="00D74FF1" w:rsidR="0068147B">
        <w:rPr>
          <w:rFonts w:ascii="Times New Roman" w:hAnsi="Times New Roman" w:cs="Times New Roman"/>
          <w:color w:val="000000"/>
          <w:sz w:val="24"/>
          <w:szCs w:val="24"/>
        </w:rPr>
        <w:t>tohto zákona</w:t>
      </w:r>
      <w:r w:rsidRPr="00D74FF1">
        <w:rPr>
          <w:rFonts w:ascii="Times New Roman" w:hAnsi="Times New Roman" w:cs="Times New Roman"/>
          <w:color w:val="000000"/>
          <w:sz w:val="24"/>
          <w:szCs w:val="24"/>
        </w:rPr>
        <w:t xml:space="preserve"> účinného do 30. novembra 2016 za odplatu, patrí centrálnemu depozitárovi odplata za výkon týchto činností.</w:t>
      </w:r>
    </w:p>
    <w:p w:rsidR="00536EC9" w:rsidRPr="00D74FF1" w:rsidP="004D6A68">
      <w:pPr>
        <w:pStyle w:val="ListParagraph"/>
        <w:bidi w:val="0"/>
        <w:spacing w:after="0"/>
        <w:jc w:val="both"/>
        <w:rPr>
          <w:rFonts w:ascii="Times New Roman" w:hAnsi="Times New Roman" w:cs="Times New Roman"/>
          <w:color w:val="000000"/>
          <w:sz w:val="24"/>
          <w:szCs w:val="24"/>
        </w:rPr>
      </w:pPr>
    </w:p>
    <w:p w:rsidR="00536EC9" w:rsidRPr="00D74FF1" w:rsidP="004D6A68">
      <w:pPr>
        <w:pStyle w:val="ListParagraph"/>
        <w:numPr>
          <w:numId w:val="24"/>
        </w:numPr>
        <w:bidi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Do právoplatnosti povolenia na činnosť podľa osobitného predpisu</w:t>
      </w:r>
      <w:r w:rsidRPr="00D74FF1">
        <w:rPr>
          <w:rFonts w:ascii="Times New Roman" w:hAnsi="Times New Roman" w:cs="Times New Roman"/>
          <w:color w:val="000000"/>
          <w:sz w:val="24"/>
          <w:szCs w:val="24"/>
          <w:vertAlign w:val="superscript"/>
        </w:rPr>
        <w:t>90</w:t>
      </w:r>
      <w:r w:rsidRPr="00D74FF1">
        <w:rPr>
          <w:rFonts w:ascii="Times New Roman" w:hAnsi="Times New Roman" w:cs="Times New Roman"/>
          <w:color w:val="000000"/>
          <w:sz w:val="24"/>
          <w:szCs w:val="24"/>
        </w:rPr>
        <w:t xml:space="preserve">) sa na </w:t>
      </w:r>
      <w:r w:rsidRPr="00D74FF1" w:rsidR="0068147B">
        <w:rPr>
          <w:rFonts w:ascii="Times New Roman" w:hAnsi="Times New Roman" w:cs="Times New Roman"/>
          <w:color w:val="000000"/>
          <w:sz w:val="24"/>
          <w:szCs w:val="24"/>
        </w:rPr>
        <w:t xml:space="preserve">výkon činnosti </w:t>
      </w:r>
      <w:r w:rsidRPr="00D74FF1">
        <w:rPr>
          <w:rFonts w:ascii="Times New Roman" w:hAnsi="Times New Roman" w:cs="Times New Roman"/>
          <w:color w:val="000000"/>
          <w:sz w:val="24"/>
          <w:szCs w:val="24"/>
        </w:rPr>
        <w:t xml:space="preserve">centrálneho depozitára vzťahuje </w:t>
      </w:r>
      <w:r w:rsidRPr="00D74FF1" w:rsidR="0068147B">
        <w:rPr>
          <w:rFonts w:ascii="Times New Roman" w:hAnsi="Times New Roman" w:cs="Times New Roman"/>
          <w:color w:val="000000"/>
          <w:sz w:val="24"/>
          <w:szCs w:val="24"/>
        </w:rPr>
        <w:t>tento zákon</w:t>
      </w:r>
      <w:r w:rsidRPr="00D74FF1">
        <w:rPr>
          <w:rFonts w:ascii="Times New Roman" w:hAnsi="Times New Roman" w:cs="Times New Roman"/>
          <w:color w:val="000000"/>
          <w:sz w:val="24"/>
          <w:szCs w:val="24"/>
        </w:rPr>
        <w:t xml:space="preserve"> účinný do 30. novembra 2016.“.</w:t>
      </w:r>
    </w:p>
    <w:p w:rsidR="0068147B" w:rsidRPr="00D74FF1" w:rsidP="0068147B">
      <w:pPr>
        <w:pStyle w:val="ListParagraph"/>
        <w:bidi w:val="0"/>
        <w:spacing w:after="0" w:line="240" w:lineRule="auto"/>
        <w:ind w:left="786"/>
        <w:contextualSpacing/>
        <w:rPr>
          <w:rFonts w:ascii="Times New Roman" w:hAnsi="Times New Roman" w:cs="Times New Roman"/>
          <w:color w:val="000000"/>
          <w:sz w:val="24"/>
          <w:szCs w:val="24"/>
        </w:rPr>
      </w:pPr>
    </w:p>
    <w:p w:rsidR="00536EC9" w:rsidRPr="00D74FF1" w:rsidP="00536EC9">
      <w:pPr>
        <w:pStyle w:val="ListParagraph"/>
        <w:bidi w:val="0"/>
        <w:spacing w:after="0"/>
        <w:jc w:val="both"/>
        <w:rPr>
          <w:rFonts w:ascii="Times New Roman" w:hAnsi="Times New Roman" w:cs="Times New Roman"/>
          <w:color w:val="000000"/>
          <w:sz w:val="24"/>
          <w:szCs w:val="24"/>
        </w:rPr>
      </w:pPr>
    </w:p>
    <w:p w:rsidR="00536EC9" w:rsidRPr="00D74FF1" w:rsidP="005B73E8">
      <w:pPr>
        <w:pStyle w:val="ListParagraph"/>
        <w:numPr>
          <w:numId w:val="29"/>
        </w:numPr>
        <w:bidi w:val="0"/>
        <w:spacing w:after="0"/>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Za § 174a sa dopĺňa § 174b, ktorý vrátane nadpisu znie:</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36EC9">
      <w:pPr>
        <w:bidi w:val="0"/>
        <w:spacing w:after="0"/>
        <w:jc w:val="center"/>
        <w:rPr>
          <w:rFonts w:ascii="Times New Roman" w:hAnsi="Times New Roman" w:cs="Times New Roman"/>
          <w:color w:val="000000"/>
          <w:sz w:val="24"/>
          <w:szCs w:val="24"/>
        </w:rPr>
      </w:pPr>
      <w:r w:rsidRPr="00D74FF1">
        <w:rPr>
          <w:rFonts w:ascii="Times New Roman" w:hAnsi="Times New Roman" w:cs="Times New Roman"/>
          <w:color w:val="000000"/>
          <w:sz w:val="24"/>
          <w:szCs w:val="24"/>
        </w:rPr>
        <w:t>„§ 174b</w:t>
      </w:r>
    </w:p>
    <w:p w:rsidR="00536EC9" w:rsidRPr="00D74FF1" w:rsidP="00536EC9">
      <w:pPr>
        <w:bidi w:val="0"/>
        <w:spacing w:after="0"/>
        <w:jc w:val="center"/>
        <w:rPr>
          <w:rFonts w:ascii="Times New Roman" w:hAnsi="Times New Roman" w:cs="Times New Roman"/>
          <w:color w:val="000000"/>
          <w:sz w:val="24"/>
          <w:szCs w:val="24"/>
        </w:rPr>
      </w:pPr>
      <w:r w:rsidRPr="00D74FF1">
        <w:rPr>
          <w:rFonts w:ascii="Times New Roman" w:hAnsi="Times New Roman" w:cs="Times New Roman"/>
          <w:color w:val="000000"/>
          <w:sz w:val="24"/>
          <w:szCs w:val="24"/>
        </w:rPr>
        <w:t>Zrušovacie ustanovenia k úpravám účinným od 1. decembra 2016</w:t>
      </w:r>
    </w:p>
    <w:p w:rsidR="00536EC9" w:rsidRPr="00D74FF1" w:rsidP="00536EC9">
      <w:pPr>
        <w:bidi w:val="0"/>
        <w:spacing w:after="0"/>
        <w:rPr>
          <w:rFonts w:ascii="Times New Roman" w:hAnsi="Times New Roman" w:cs="Times New Roman"/>
          <w:color w:val="000000"/>
          <w:sz w:val="24"/>
          <w:szCs w:val="24"/>
        </w:rPr>
      </w:pPr>
    </w:p>
    <w:p w:rsidR="00536EC9" w:rsidRPr="00D74FF1" w:rsidP="00536EC9">
      <w:pPr>
        <w:pStyle w:val="ListParagraph"/>
        <w:bidi w:val="0"/>
        <w:spacing w:after="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Zrušujú sa:  </w:t>
      </w:r>
    </w:p>
    <w:p w:rsidR="00536EC9" w:rsidRPr="00D74FF1" w:rsidP="00536EC9">
      <w:pPr>
        <w:bidi w:val="0"/>
        <w:spacing w:after="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      1. vyhláška Ministerstva financií Slovenskej republiky č. 92/2002 Z. z., ktorou sa ustanovujú podrobnosti a spôsob preukazovania splnenia podmienok na udelenie povolenia na vznik a činnosť centrálneho depozitára cenných papierov,</w:t>
      </w:r>
    </w:p>
    <w:p w:rsidR="00536EC9" w:rsidRPr="00D74FF1" w:rsidP="00536EC9">
      <w:pPr>
        <w:bidi w:val="0"/>
        <w:spacing w:after="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      2.  opatrenie Národnej banky Slovenska č. 1/2013 z 19. marca 2013, ktorým sa ustanovujú náležitosti žiadosti o udelenie predchádzajúceho súhlasu Národnej banky Slovenska podľa § 102 ods. 1 zákona č. 566/2001 Z. z. o cenných papieroch a investičných službách a o zmene a doplnení niektorých zákonov (zákon o cenných papieroch).“.</w:t>
      </w:r>
    </w:p>
    <w:p w:rsidR="0068147B" w:rsidRPr="00D74FF1" w:rsidP="0068147B">
      <w:pPr>
        <w:tabs>
          <w:tab w:val="left" w:pos="0"/>
        </w:tabs>
        <w:bidi w:val="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      </w:t>
      </w:r>
    </w:p>
    <w:p w:rsidR="00955BD5" w:rsidRPr="00D74FF1" w:rsidP="00955BD5">
      <w:pPr>
        <w:numPr>
          <w:numId w:val="29"/>
        </w:numPr>
        <w:tabs>
          <w:tab w:val="left" w:pos="0"/>
        </w:tabs>
        <w:bidi w:val="0"/>
        <w:jc w:val="both"/>
        <w:rPr>
          <w:rFonts w:ascii="Times New Roman" w:hAnsi="Times New Roman" w:cs="Times New Roman"/>
          <w:color w:val="000000"/>
          <w:sz w:val="24"/>
          <w:szCs w:val="24"/>
        </w:rPr>
      </w:pPr>
      <w:r w:rsidRPr="00D74FF1" w:rsidR="004D6A68">
        <w:rPr>
          <w:rFonts w:ascii="Times New Roman" w:hAnsi="Times New Roman" w:cs="Times New Roman"/>
          <w:bCs/>
          <w:color w:val="000000"/>
          <w:sz w:val="24"/>
          <w:szCs w:val="24"/>
        </w:rPr>
        <w:t xml:space="preserve"> </w:t>
      </w:r>
      <w:r w:rsidRPr="00D74FF1" w:rsidR="0068147B">
        <w:rPr>
          <w:rFonts w:ascii="Times New Roman" w:hAnsi="Times New Roman" w:cs="Times New Roman"/>
          <w:bCs/>
          <w:color w:val="000000"/>
          <w:sz w:val="24"/>
          <w:szCs w:val="24"/>
        </w:rPr>
        <w:t>Príloha sa dopĺňa bodom 30, ktorý znie:</w:t>
      </w:r>
    </w:p>
    <w:p w:rsidR="0068147B" w:rsidRPr="00D74FF1" w:rsidP="00D77FFA">
      <w:pPr>
        <w:tabs>
          <w:tab w:val="left" w:pos="0"/>
        </w:tabs>
        <w:bidi w:val="0"/>
        <w:ind w:firstLine="786"/>
        <w:jc w:val="both"/>
        <w:rPr>
          <w:rFonts w:ascii="Times New Roman" w:hAnsi="Times New Roman" w:cs="Times New Roman"/>
          <w:color w:val="000000"/>
          <w:sz w:val="24"/>
          <w:szCs w:val="24"/>
        </w:rPr>
      </w:pPr>
      <w:r w:rsidRPr="00D74FF1">
        <w:rPr>
          <w:rFonts w:ascii="Times New Roman" w:hAnsi="Times New Roman" w:cs="Times New Roman"/>
          <w:bCs/>
          <w:color w:val="000000"/>
          <w:sz w:val="24"/>
          <w:szCs w:val="24"/>
        </w:rPr>
        <w:t xml:space="preserve">„30. Vykonávacia smernica Komisie (EÚ) 2015/2392 zo 17. decembra 2015 o nariadení Európskeho parlamentu a Rady (EÚ) č. 596/2014, pokiaľ ide o nahlasovanie skutočných alebo možných porušení daného nariadenia príslušným </w:t>
      </w:r>
      <w:r w:rsidRPr="00D74FF1">
        <w:rPr>
          <w:rFonts w:ascii="Times New Roman" w:hAnsi="Times New Roman" w:cs="Times New Roman"/>
          <w:bCs/>
          <w:sz w:val="24"/>
          <w:szCs w:val="24"/>
        </w:rPr>
        <w:t>orgánom (</w:t>
      </w:r>
      <w:r w:rsidRPr="00D74FF1">
        <w:rPr>
          <w:rFonts w:ascii="Times New Roman" w:hAnsi="Times New Roman" w:cs="Times New Roman"/>
          <w:iCs/>
          <w:sz w:val="24"/>
          <w:szCs w:val="24"/>
        </w:rPr>
        <w:t>Ú. v. EÚ L 332, 18. 12. 2015).“.</w:t>
      </w:r>
    </w:p>
    <w:p w:rsidR="00536EC9" w:rsidRPr="00D74FF1" w:rsidP="00536EC9">
      <w:pPr>
        <w:bidi w:val="0"/>
        <w:spacing w:after="0"/>
        <w:rPr>
          <w:rFonts w:ascii="Times New Roman" w:hAnsi="Times New Roman" w:cs="Times New Roman"/>
          <w:b/>
          <w:bCs/>
          <w:color w:val="000000"/>
          <w:sz w:val="24"/>
          <w:szCs w:val="24"/>
        </w:rPr>
      </w:pPr>
    </w:p>
    <w:p w:rsidR="004D6A68" w:rsidRPr="00D74FF1" w:rsidP="00536EC9">
      <w:pPr>
        <w:bidi w:val="0"/>
        <w:spacing w:after="0"/>
        <w:rPr>
          <w:rFonts w:ascii="Times New Roman" w:hAnsi="Times New Roman" w:cs="Times New Roman"/>
          <w:b/>
          <w:bCs/>
          <w:color w:val="000000"/>
          <w:sz w:val="24"/>
          <w:szCs w:val="24"/>
        </w:rPr>
      </w:pPr>
    </w:p>
    <w:p w:rsidR="004D6A68" w:rsidRPr="00D74FF1" w:rsidP="00536EC9">
      <w:pPr>
        <w:bidi w:val="0"/>
        <w:spacing w:after="0"/>
        <w:rPr>
          <w:rFonts w:ascii="Times New Roman" w:hAnsi="Times New Roman" w:cs="Times New Roman"/>
          <w:b/>
          <w:bCs/>
          <w:color w:val="000000"/>
          <w:sz w:val="24"/>
          <w:szCs w:val="24"/>
        </w:rPr>
      </w:pPr>
    </w:p>
    <w:p w:rsidR="00536EC9" w:rsidRPr="00D74FF1" w:rsidP="00536EC9">
      <w:pPr>
        <w:bidi w:val="0"/>
        <w:spacing w:after="0"/>
        <w:ind w:left="426" w:hanging="426"/>
        <w:jc w:val="center"/>
        <w:rPr>
          <w:rFonts w:ascii="Times New Roman" w:hAnsi="Times New Roman" w:cs="Times New Roman"/>
          <w:b/>
          <w:bCs/>
          <w:color w:val="000000"/>
          <w:sz w:val="24"/>
          <w:szCs w:val="24"/>
        </w:rPr>
      </w:pPr>
      <w:r w:rsidRPr="00D74FF1">
        <w:rPr>
          <w:rFonts w:ascii="Times New Roman" w:hAnsi="Times New Roman" w:cs="Times New Roman"/>
          <w:b/>
          <w:bCs/>
          <w:color w:val="000000"/>
          <w:sz w:val="24"/>
          <w:szCs w:val="24"/>
        </w:rPr>
        <w:t>Čl. II</w:t>
      </w:r>
    </w:p>
    <w:p w:rsidR="00536EC9" w:rsidRPr="00D74FF1" w:rsidP="00536EC9">
      <w:pPr>
        <w:bidi w:val="0"/>
        <w:spacing w:after="0"/>
        <w:ind w:left="426" w:hanging="426"/>
        <w:jc w:val="center"/>
        <w:rPr>
          <w:rFonts w:ascii="Times New Roman" w:hAnsi="Times New Roman" w:cs="Times New Roman"/>
          <w:b/>
          <w:bCs/>
          <w:color w:val="000000"/>
          <w:sz w:val="24"/>
          <w:szCs w:val="24"/>
        </w:rPr>
      </w:pPr>
    </w:p>
    <w:p w:rsidR="00536EC9" w:rsidRPr="00D74FF1" w:rsidP="00536EC9">
      <w:pPr>
        <w:pStyle w:val="Default"/>
        <w:bidi w:val="0"/>
        <w:jc w:val="both"/>
        <w:rPr>
          <w:rFonts w:ascii="Times New Roman" w:hAnsi="Times New Roman" w:cs="Times New Roman"/>
          <w:bCs/>
          <w:kern w:val="28"/>
        </w:rPr>
      </w:pPr>
      <w:r w:rsidRPr="00D74FF1">
        <w:rPr>
          <w:rFonts w:ascii="Times New Roman" w:hAnsi="Times New Roman" w:cs="Times New Roman"/>
          <w:bCs/>
          <w:kern w:val="28"/>
        </w:rPr>
        <w:t xml:space="preserve">Zákon č. </w:t>
      </w:r>
      <w:hyperlink r:id="rId6" w:tooltip="Odkaz na predpis alebo ustanovenie" w:history="1">
        <w:r w:rsidRPr="00D74FF1">
          <w:rPr>
            <w:rFonts w:ascii="Times New Roman" w:hAnsi="Times New Roman" w:cs="Times New Roman"/>
            <w:bCs/>
            <w:kern w:val="28"/>
          </w:rPr>
          <w:t>483/2001 Z. z.</w:t>
        </w:r>
      </w:hyperlink>
      <w:r w:rsidRPr="00D74FF1">
        <w:rPr>
          <w:rFonts w:ascii="Times New Roman" w:hAnsi="Times New Roman" w:cs="Times New Roman"/>
          <w:bCs/>
          <w:kern w:val="28"/>
        </w:rPr>
        <w:t xml:space="preserve"> o bankách a o zmene a doplnení niektorých zákonov v znení zákona </w:t>
        <w:br/>
        <w:t>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w:t>
      </w:r>
      <w:r w:rsidR="006A1DA3">
        <w:rPr>
          <w:rFonts w:ascii="Times New Roman" w:hAnsi="Times New Roman" w:cs="Times New Roman"/>
          <w:bCs/>
          <w:kern w:val="28"/>
        </w:rPr>
        <w:t>,</w:t>
      </w:r>
      <w:r w:rsidRPr="00D74FF1">
        <w:rPr>
          <w:rFonts w:ascii="Times New Roman" w:hAnsi="Times New Roman" w:cs="Times New Roman"/>
          <w:bCs/>
          <w:kern w:val="28"/>
        </w:rPr>
        <w:t xml:space="preserve"> zákona č. 125/2016 Z. z. </w:t>
      </w:r>
      <w:r w:rsidR="006A1DA3">
        <w:rPr>
          <w:rFonts w:ascii="Times New Roman" w:hAnsi="Times New Roman" w:cs="Times New Roman"/>
          <w:bCs/>
          <w:kern w:val="28"/>
        </w:rPr>
        <w:t xml:space="preserve">a zákona č. .../2016 Z. z. </w:t>
      </w:r>
      <w:r w:rsidRPr="00D74FF1">
        <w:rPr>
          <w:rFonts w:ascii="Times New Roman" w:hAnsi="Times New Roman" w:cs="Times New Roman"/>
          <w:bCs/>
          <w:kern w:val="28"/>
        </w:rPr>
        <w:t>sa mení takto:</w:t>
      </w:r>
    </w:p>
    <w:p w:rsidR="00536EC9" w:rsidRPr="00D74FF1" w:rsidP="00536EC9">
      <w:pPr>
        <w:pStyle w:val="Default"/>
        <w:bidi w:val="0"/>
        <w:jc w:val="both"/>
        <w:rPr>
          <w:rFonts w:ascii="Times New Roman" w:hAnsi="Times New Roman" w:cs="Times New Roman"/>
          <w:bCs/>
          <w:kern w:val="28"/>
        </w:rPr>
      </w:pPr>
    </w:p>
    <w:p w:rsidR="00536EC9" w:rsidRPr="00D74FF1" w:rsidP="00536EC9">
      <w:pPr>
        <w:pStyle w:val="ListParagraph"/>
        <w:numPr>
          <w:numId w:val="19"/>
        </w:numPr>
        <w:bidi w:val="0"/>
        <w:spacing w:after="0" w:line="240" w:lineRule="auto"/>
        <w:contextualSpacing/>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V § 52 sa vypúšťa odsek 2.</w:t>
      </w:r>
    </w:p>
    <w:p w:rsidR="00536EC9" w:rsidRPr="00D74FF1" w:rsidP="00536EC9">
      <w:pPr>
        <w:bidi w:val="0"/>
        <w:spacing w:after="0"/>
        <w:jc w:val="both"/>
        <w:rPr>
          <w:rFonts w:ascii="Times New Roman" w:hAnsi="Times New Roman" w:cs="Times New Roman"/>
          <w:bCs/>
          <w:color w:val="000000"/>
          <w:sz w:val="24"/>
          <w:szCs w:val="24"/>
        </w:rPr>
      </w:pPr>
    </w:p>
    <w:p w:rsidR="00536EC9" w:rsidRPr="00D74FF1" w:rsidP="00536EC9">
      <w:pPr>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Doterajšie odseky 3 až 9 sa označujú ako odseky 2 až 8.</w:t>
      </w:r>
    </w:p>
    <w:p w:rsidR="00536EC9" w:rsidRPr="00D74FF1" w:rsidP="00536EC9">
      <w:pPr>
        <w:bidi w:val="0"/>
        <w:spacing w:after="0"/>
        <w:jc w:val="both"/>
        <w:rPr>
          <w:rFonts w:ascii="Times New Roman" w:hAnsi="Times New Roman" w:cs="Times New Roman"/>
          <w:bCs/>
          <w:color w:val="000000"/>
          <w:sz w:val="24"/>
          <w:szCs w:val="24"/>
        </w:rPr>
      </w:pPr>
    </w:p>
    <w:p w:rsidR="00536EC9" w:rsidRPr="00D74FF1" w:rsidP="00536EC9">
      <w:pPr>
        <w:pStyle w:val="ListParagraph"/>
        <w:numPr>
          <w:numId w:val="19"/>
        </w:numPr>
        <w:bidi w:val="0"/>
        <w:spacing w:after="0" w:line="240" w:lineRule="auto"/>
        <w:contextualSpacing/>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V § 52 odsek 2 znie:</w:t>
      </w:r>
    </w:p>
    <w:p w:rsidR="00536EC9" w:rsidRPr="00D74FF1" w:rsidP="00536EC9">
      <w:pPr>
        <w:bidi w:val="0"/>
        <w:spacing w:after="0"/>
        <w:jc w:val="both"/>
        <w:rPr>
          <w:rFonts w:ascii="Times New Roman" w:hAnsi="Times New Roman" w:cs="Times New Roman"/>
          <w:sz w:val="24"/>
          <w:szCs w:val="24"/>
        </w:rPr>
      </w:pPr>
      <w:r w:rsidR="00D77FFA">
        <w:rPr>
          <w:rFonts w:ascii="Times New Roman" w:hAnsi="Times New Roman" w:cs="Times New Roman"/>
          <w:bCs/>
          <w:color w:val="000000"/>
          <w:sz w:val="24"/>
          <w:szCs w:val="24"/>
        </w:rPr>
        <w:t xml:space="preserve">             </w:t>
      </w:r>
      <w:r w:rsidRPr="00D74FF1">
        <w:rPr>
          <w:rFonts w:ascii="Times New Roman" w:hAnsi="Times New Roman" w:cs="Times New Roman"/>
          <w:bCs/>
          <w:color w:val="000000"/>
          <w:sz w:val="24"/>
          <w:szCs w:val="24"/>
        </w:rPr>
        <w:t>„(2) Banka</w:t>
      </w:r>
      <w:r w:rsidRPr="00D74FF1">
        <w:rPr>
          <w:rFonts w:ascii="Times New Roman" w:hAnsi="Times New Roman" w:cs="Times New Roman"/>
          <w:sz w:val="24"/>
          <w:szCs w:val="24"/>
        </w:rPr>
        <w:t xml:space="preserve"> je povinná predložiť Národnej banke Slovenska výpis z jej registra emitenta a z jej zoznamu akcionárov vyhotovený k rozhodujúcemu dňu,</w:t>
      </w:r>
      <w:r w:rsidRPr="00D74FF1">
        <w:rPr>
          <w:rFonts w:ascii="Times New Roman" w:hAnsi="Times New Roman" w:cs="Times New Roman"/>
          <w:sz w:val="24"/>
          <w:szCs w:val="24"/>
          <w:vertAlign w:val="superscript"/>
        </w:rPr>
        <w:t>49a</w:t>
      </w:r>
      <w:r w:rsidRPr="00D74FF1">
        <w:rPr>
          <w:rFonts w:ascii="Times New Roman" w:hAnsi="Times New Roman" w:cs="Times New Roman"/>
          <w:sz w:val="24"/>
          <w:szCs w:val="24"/>
        </w:rPr>
        <w:t>) ktorý je určený najmenej päť pracovných dní pred dňom valného zhromaždenia. Tento výpis je banka povinná doručiť Národnej banke Slovenska v deň jeho vyhotovenia. Národná banka Slovenska bezodkladne na tomto výpise písomne označí osobu, ktorej pozastavila výkon práv uvedených v odseku 1, a doručí ho banke najneskôr v deň predchádzajúci konaniu valného zhromaždenia banky.“.</w:t>
      </w:r>
    </w:p>
    <w:p w:rsidR="00955BD5" w:rsidRPr="00D74FF1" w:rsidP="00536EC9">
      <w:pPr>
        <w:bidi w:val="0"/>
        <w:spacing w:after="0"/>
        <w:jc w:val="both"/>
        <w:rPr>
          <w:rFonts w:ascii="Times New Roman" w:hAnsi="Times New Roman" w:cs="Times New Roman"/>
          <w:sz w:val="24"/>
          <w:szCs w:val="24"/>
        </w:rPr>
      </w:pPr>
    </w:p>
    <w:p w:rsidR="00536EC9" w:rsidRPr="00D74FF1" w:rsidP="00536EC9">
      <w:pPr>
        <w:bidi w:val="0"/>
        <w:spacing w:after="0"/>
        <w:jc w:val="both"/>
        <w:rPr>
          <w:rFonts w:ascii="Times New Roman" w:hAnsi="Times New Roman" w:cs="Times New Roman"/>
          <w:sz w:val="24"/>
          <w:szCs w:val="24"/>
        </w:rPr>
      </w:pPr>
      <w:r w:rsidRPr="00D74FF1" w:rsidR="004D6A68">
        <w:rPr>
          <w:rFonts w:ascii="Times New Roman" w:hAnsi="Times New Roman" w:cs="Times New Roman"/>
          <w:sz w:val="24"/>
          <w:szCs w:val="24"/>
        </w:rPr>
        <w:tab/>
      </w:r>
      <w:r w:rsidRPr="00D74FF1">
        <w:rPr>
          <w:rFonts w:ascii="Times New Roman" w:hAnsi="Times New Roman" w:cs="Times New Roman"/>
          <w:sz w:val="24"/>
          <w:szCs w:val="24"/>
        </w:rPr>
        <w:t>Poznámka pod čiarou k odkazu 49a znie:</w:t>
      </w:r>
    </w:p>
    <w:p w:rsidR="00536EC9" w:rsidRPr="00D74FF1" w:rsidP="00536EC9">
      <w:pPr>
        <w:bidi w:val="0"/>
        <w:spacing w:after="0"/>
        <w:jc w:val="both"/>
        <w:rPr>
          <w:rFonts w:ascii="Times New Roman" w:hAnsi="Times New Roman" w:cs="Times New Roman"/>
          <w:sz w:val="24"/>
          <w:szCs w:val="24"/>
        </w:rPr>
      </w:pPr>
      <w:r w:rsidRPr="00D74FF1" w:rsidR="004D6A68">
        <w:rPr>
          <w:rFonts w:ascii="Times New Roman" w:hAnsi="Times New Roman" w:cs="Times New Roman"/>
          <w:sz w:val="24"/>
          <w:szCs w:val="24"/>
        </w:rPr>
        <w:tab/>
      </w:r>
      <w:r w:rsidRPr="00D74FF1">
        <w:rPr>
          <w:rFonts w:ascii="Times New Roman" w:hAnsi="Times New Roman" w:cs="Times New Roman"/>
          <w:sz w:val="24"/>
          <w:szCs w:val="24"/>
        </w:rPr>
        <w:t>„</w:t>
      </w:r>
      <w:r w:rsidRPr="00D74FF1">
        <w:rPr>
          <w:rFonts w:ascii="Times New Roman" w:hAnsi="Times New Roman" w:cs="Times New Roman"/>
          <w:sz w:val="24"/>
          <w:szCs w:val="24"/>
          <w:vertAlign w:val="superscript"/>
        </w:rPr>
        <w:t>49a</w:t>
      </w:r>
      <w:r w:rsidRPr="00D74FF1">
        <w:rPr>
          <w:rFonts w:ascii="Times New Roman" w:hAnsi="Times New Roman" w:cs="Times New Roman"/>
          <w:sz w:val="24"/>
          <w:szCs w:val="24"/>
        </w:rPr>
        <w:t>) § 156a Obchodného zákonníka v znení neskorších predpisov.“.</w:t>
      </w:r>
    </w:p>
    <w:p w:rsidR="00536EC9" w:rsidRPr="00D74FF1" w:rsidP="00536EC9">
      <w:pPr>
        <w:bidi w:val="0"/>
        <w:spacing w:after="0"/>
        <w:rPr>
          <w:rFonts w:ascii="Times New Roman" w:hAnsi="Times New Roman" w:cs="Times New Roman"/>
          <w:b/>
          <w:bCs/>
          <w:color w:val="000000"/>
          <w:sz w:val="24"/>
          <w:szCs w:val="24"/>
        </w:rPr>
      </w:pPr>
    </w:p>
    <w:p w:rsidR="004D6A68" w:rsidRPr="00D74FF1" w:rsidP="00536EC9">
      <w:pPr>
        <w:bidi w:val="0"/>
        <w:spacing w:after="0"/>
        <w:rPr>
          <w:rFonts w:ascii="Times New Roman" w:hAnsi="Times New Roman" w:cs="Times New Roman"/>
          <w:b/>
          <w:bCs/>
          <w:color w:val="000000"/>
          <w:sz w:val="24"/>
          <w:szCs w:val="24"/>
        </w:rPr>
      </w:pPr>
    </w:p>
    <w:p w:rsidR="00536EC9" w:rsidRPr="00D74FF1" w:rsidP="00536EC9">
      <w:pPr>
        <w:bidi w:val="0"/>
        <w:spacing w:after="0"/>
        <w:ind w:left="426" w:hanging="426"/>
        <w:jc w:val="center"/>
        <w:rPr>
          <w:rFonts w:ascii="Times New Roman" w:hAnsi="Times New Roman" w:cs="Times New Roman"/>
          <w:b/>
          <w:bCs/>
          <w:color w:val="000000"/>
          <w:sz w:val="24"/>
          <w:szCs w:val="24"/>
        </w:rPr>
      </w:pPr>
      <w:r w:rsidRPr="00D74FF1">
        <w:rPr>
          <w:rFonts w:ascii="Times New Roman" w:hAnsi="Times New Roman" w:cs="Times New Roman"/>
          <w:b/>
          <w:bCs/>
          <w:color w:val="000000"/>
          <w:sz w:val="24"/>
          <w:szCs w:val="24"/>
        </w:rPr>
        <w:t>Čl. III</w:t>
      </w:r>
    </w:p>
    <w:p w:rsidR="00536EC9" w:rsidRPr="00D74FF1" w:rsidP="00536EC9">
      <w:pPr>
        <w:bidi w:val="0"/>
        <w:spacing w:after="0"/>
        <w:ind w:left="426" w:hanging="426"/>
        <w:jc w:val="center"/>
        <w:rPr>
          <w:rFonts w:ascii="Times New Roman" w:hAnsi="Times New Roman" w:cs="Times New Roman"/>
          <w:b/>
          <w:bCs/>
          <w:color w:val="000000"/>
          <w:sz w:val="24"/>
          <w:szCs w:val="24"/>
        </w:rPr>
      </w:pPr>
    </w:p>
    <w:p w:rsidR="00536EC9" w:rsidRPr="00D74FF1" w:rsidP="00536EC9">
      <w:pPr>
        <w:bidi w:val="0"/>
        <w:spacing w:after="0"/>
        <w:jc w:val="both"/>
        <w:rPr>
          <w:rFonts w:ascii="Times New Roman" w:hAnsi="Times New Roman" w:cs="Times New Roman"/>
          <w:sz w:val="24"/>
          <w:szCs w:val="24"/>
        </w:rPr>
      </w:pPr>
      <w:r w:rsidRPr="00D74FF1">
        <w:rPr>
          <w:rFonts w:ascii="Times New Roman" w:hAnsi="Times New Roman" w:cs="Times New Roman"/>
          <w:bCs/>
          <w:sz w:val="24"/>
          <w:szCs w:val="24"/>
        </w:rPr>
        <w:t xml:space="preserve">Zákon č. 429/2002 Z. z. o burze cenných papierov v znení zákona č. </w:t>
      </w:r>
      <w:hyperlink r:id="rId7" w:history="1">
        <w:r w:rsidRPr="00D74FF1">
          <w:rPr>
            <w:rStyle w:val="Hyperlink"/>
            <w:rFonts w:ascii="Times New Roman" w:hAnsi="Times New Roman"/>
            <w:color w:val="auto"/>
            <w:sz w:val="24"/>
            <w:szCs w:val="24"/>
            <w:u w:val="none"/>
            <w:effect w:val="none"/>
          </w:rPr>
          <w:t>594/2003 Z. z.</w:t>
        </w:r>
      </w:hyperlink>
      <w:r w:rsidRPr="00D74FF1">
        <w:rPr>
          <w:rFonts w:ascii="Times New Roman" w:hAnsi="Times New Roman" w:cs="Times New Roman"/>
          <w:sz w:val="24"/>
          <w:szCs w:val="24"/>
        </w:rPr>
        <w:t>, zákona</w:t>
      </w:r>
    </w:p>
    <w:p w:rsidR="00536EC9" w:rsidRPr="00D74FF1" w:rsidP="00536EC9">
      <w:pPr>
        <w:bidi w:val="0"/>
        <w:spacing w:after="0"/>
        <w:jc w:val="both"/>
        <w:rPr>
          <w:rFonts w:ascii="Times New Roman" w:hAnsi="Times New Roman" w:cs="Times New Roman"/>
          <w:sz w:val="24"/>
          <w:szCs w:val="24"/>
        </w:rPr>
      </w:pPr>
      <w:r w:rsidRPr="00D74FF1">
        <w:rPr>
          <w:rFonts w:ascii="Times New Roman" w:hAnsi="Times New Roman" w:cs="Times New Roman"/>
          <w:sz w:val="24"/>
          <w:szCs w:val="24"/>
        </w:rPr>
        <w:t xml:space="preserve">č. </w:t>
      </w:r>
      <w:hyperlink r:id="rId8" w:history="1">
        <w:r w:rsidRPr="00D74FF1">
          <w:rPr>
            <w:rStyle w:val="Hyperlink"/>
            <w:rFonts w:ascii="Times New Roman" w:hAnsi="Times New Roman"/>
            <w:color w:val="auto"/>
            <w:sz w:val="24"/>
            <w:szCs w:val="24"/>
            <w:u w:val="none"/>
            <w:effect w:val="none"/>
          </w:rPr>
          <w:t>43/2004 Z. z.</w:t>
        </w:r>
      </w:hyperlink>
      <w:r w:rsidRPr="00D74FF1">
        <w:rPr>
          <w:rFonts w:ascii="Times New Roman" w:hAnsi="Times New Roman" w:cs="Times New Roman"/>
          <w:sz w:val="24"/>
          <w:szCs w:val="24"/>
        </w:rPr>
        <w:t xml:space="preserve">, zákona č. </w:t>
      </w:r>
      <w:hyperlink r:id="rId9" w:history="1">
        <w:r w:rsidRPr="00D74FF1">
          <w:rPr>
            <w:rStyle w:val="Hyperlink"/>
            <w:rFonts w:ascii="Times New Roman" w:hAnsi="Times New Roman"/>
            <w:color w:val="auto"/>
            <w:sz w:val="24"/>
            <w:szCs w:val="24"/>
            <w:u w:val="none"/>
            <w:effect w:val="none"/>
          </w:rPr>
          <w:t>635/2004 Z. z.</w:t>
        </w:r>
      </w:hyperlink>
      <w:r w:rsidRPr="00D74FF1">
        <w:rPr>
          <w:rFonts w:ascii="Times New Roman" w:hAnsi="Times New Roman" w:cs="Times New Roman"/>
          <w:sz w:val="24"/>
          <w:szCs w:val="24"/>
        </w:rPr>
        <w:t xml:space="preserve">, zákona č. </w:t>
      </w:r>
      <w:hyperlink r:id="rId10" w:history="1">
        <w:r w:rsidRPr="00D74FF1">
          <w:rPr>
            <w:rStyle w:val="Hyperlink"/>
            <w:rFonts w:ascii="Times New Roman" w:hAnsi="Times New Roman"/>
            <w:color w:val="auto"/>
            <w:sz w:val="24"/>
            <w:szCs w:val="24"/>
            <w:u w:val="none"/>
            <w:effect w:val="none"/>
          </w:rPr>
          <w:t>747/2004 Z. z.</w:t>
        </w:r>
      </w:hyperlink>
      <w:r w:rsidRPr="00D74FF1">
        <w:rPr>
          <w:rFonts w:ascii="Times New Roman" w:hAnsi="Times New Roman" w:cs="Times New Roman"/>
          <w:sz w:val="24"/>
          <w:szCs w:val="24"/>
        </w:rPr>
        <w:t xml:space="preserve">, zákona č. </w:t>
      </w:r>
      <w:hyperlink r:id="rId11" w:history="1">
        <w:r w:rsidRPr="00D74FF1">
          <w:rPr>
            <w:rStyle w:val="Hyperlink"/>
            <w:rFonts w:ascii="Times New Roman" w:hAnsi="Times New Roman"/>
            <w:color w:val="auto"/>
            <w:sz w:val="24"/>
            <w:szCs w:val="24"/>
            <w:u w:val="none"/>
            <w:effect w:val="none"/>
          </w:rPr>
          <w:t>336/2005 Z. z.</w:t>
        </w:r>
      </w:hyperlink>
      <w:r w:rsidRPr="00D74FF1">
        <w:rPr>
          <w:rFonts w:ascii="Times New Roman" w:hAnsi="Times New Roman" w:cs="Times New Roman"/>
          <w:sz w:val="24"/>
          <w:szCs w:val="24"/>
        </w:rPr>
        <w:t xml:space="preserve">, zákona č. </w:t>
      </w:r>
      <w:hyperlink r:id="rId12" w:history="1">
        <w:r w:rsidRPr="00D74FF1">
          <w:rPr>
            <w:rStyle w:val="Hyperlink"/>
            <w:rFonts w:ascii="Times New Roman" w:hAnsi="Times New Roman"/>
            <w:color w:val="auto"/>
            <w:sz w:val="24"/>
            <w:szCs w:val="24"/>
            <w:u w:val="none"/>
            <w:effect w:val="none"/>
          </w:rPr>
          <w:t>209/2007 Z. z.</w:t>
        </w:r>
      </w:hyperlink>
      <w:r w:rsidRPr="00D74FF1">
        <w:rPr>
          <w:rFonts w:ascii="Times New Roman" w:hAnsi="Times New Roman" w:cs="Times New Roman"/>
          <w:sz w:val="24"/>
          <w:szCs w:val="24"/>
        </w:rPr>
        <w:t xml:space="preserve">, zákona č. </w:t>
      </w:r>
      <w:hyperlink r:id="rId13" w:history="1">
        <w:r w:rsidRPr="00D74FF1">
          <w:rPr>
            <w:rStyle w:val="Hyperlink"/>
            <w:rFonts w:ascii="Times New Roman" w:hAnsi="Times New Roman"/>
            <w:color w:val="auto"/>
            <w:sz w:val="24"/>
            <w:szCs w:val="24"/>
            <w:u w:val="none"/>
            <w:effect w:val="none"/>
          </w:rPr>
          <w:t>8/2008 Z. z.</w:t>
        </w:r>
      </w:hyperlink>
      <w:r w:rsidRPr="00D74FF1">
        <w:rPr>
          <w:rFonts w:ascii="Times New Roman" w:hAnsi="Times New Roman" w:cs="Times New Roman"/>
          <w:sz w:val="24"/>
          <w:szCs w:val="24"/>
        </w:rPr>
        <w:t xml:space="preserve">, zákona č. </w:t>
      </w:r>
      <w:hyperlink r:id="rId14" w:history="1">
        <w:r w:rsidRPr="00D74FF1">
          <w:rPr>
            <w:rStyle w:val="Hyperlink"/>
            <w:rFonts w:ascii="Times New Roman" w:hAnsi="Times New Roman"/>
            <w:color w:val="auto"/>
            <w:sz w:val="24"/>
            <w:szCs w:val="24"/>
            <w:u w:val="none"/>
            <w:effect w:val="none"/>
          </w:rPr>
          <w:t>297/2008 Z. z.</w:t>
        </w:r>
      </w:hyperlink>
      <w:r w:rsidRPr="00D74FF1">
        <w:rPr>
          <w:rFonts w:ascii="Times New Roman" w:hAnsi="Times New Roman" w:cs="Times New Roman"/>
          <w:sz w:val="24"/>
          <w:szCs w:val="24"/>
        </w:rPr>
        <w:t xml:space="preserve">, zákona č. </w:t>
      </w:r>
      <w:hyperlink r:id="rId15" w:history="1">
        <w:r w:rsidRPr="00D74FF1">
          <w:rPr>
            <w:rStyle w:val="Hyperlink"/>
            <w:rFonts w:ascii="Times New Roman" w:hAnsi="Times New Roman"/>
            <w:color w:val="auto"/>
            <w:sz w:val="24"/>
            <w:szCs w:val="24"/>
            <w:u w:val="none"/>
            <w:effect w:val="none"/>
          </w:rPr>
          <w:t>552/2008 Z. z.</w:t>
        </w:r>
      </w:hyperlink>
      <w:r w:rsidRPr="00D74FF1">
        <w:rPr>
          <w:rFonts w:ascii="Times New Roman" w:hAnsi="Times New Roman" w:cs="Times New Roman"/>
          <w:sz w:val="24"/>
          <w:szCs w:val="24"/>
        </w:rPr>
        <w:t xml:space="preserve">, zákona č. </w:t>
      </w:r>
      <w:hyperlink r:id="rId16" w:history="1">
        <w:r w:rsidRPr="00D74FF1">
          <w:rPr>
            <w:rStyle w:val="Hyperlink"/>
            <w:rFonts w:ascii="Times New Roman" w:hAnsi="Times New Roman"/>
            <w:color w:val="auto"/>
            <w:sz w:val="24"/>
            <w:szCs w:val="24"/>
            <w:u w:val="none"/>
            <w:effect w:val="none"/>
          </w:rPr>
          <w:t>487/2009 Z. z.</w:t>
        </w:r>
      </w:hyperlink>
      <w:r w:rsidRPr="00D74FF1">
        <w:rPr>
          <w:rFonts w:ascii="Times New Roman" w:hAnsi="Times New Roman" w:cs="Times New Roman"/>
          <w:sz w:val="24"/>
          <w:szCs w:val="24"/>
        </w:rPr>
        <w:t xml:space="preserve">, zákona č. </w:t>
      </w:r>
      <w:hyperlink r:id="rId17" w:history="1">
        <w:r w:rsidRPr="00D74FF1">
          <w:rPr>
            <w:rStyle w:val="Hyperlink"/>
            <w:rFonts w:ascii="Times New Roman" w:hAnsi="Times New Roman"/>
            <w:color w:val="auto"/>
            <w:sz w:val="24"/>
            <w:szCs w:val="24"/>
            <w:u w:val="none"/>
            <w:effect w:val="none"/>
          </w:rPr>
          <w:t>520/2011 Z. z.</w:t>
        </w:r>
      </w:hyperlink>
      <w:r w:rsidRPr="00D74FF1">
        <w:rPr>
          <w:rFonts w:ascii="Times New Roman" w:hAnsi="Times New Roman" w:cs="Times New Roman"/>
          <w:sz w:val="24"/>
          <w:szCs w:val="24"/>
        </w:rPr>
        <w:t xml:space="preserve">, zákona č. </w:t>
      </w:r>
      <w:hyperlink r:id="rId18" w:history="1">
        <w:r w:rsidRPr="00D74FF1">
          <w:rPr>
            <w:rStyle w:val="Hyperlink"/>
            <w:rFonts w:ascii="Times New Roman" w:hAnsi="Times New Roman"/>
            <w:color w:val="auto"/>
            <w:sz w:val="24"/>
            <w:szCs w:val="24"/>
            <w:u w:val="none"/>
            <w:effect w:val="none"/>
          </w:rPr>
          <w:t>547/2011 Z. z.</w:t>
        </w:r>
      </w:hyperlink>
      <w:r w:rsidRPr="00D74FF1">
        <w:rPr>
          <w:rFonts w:ascii="Times New Roman" w:hAnsi="Times New Roman" w:cs="Times New Roman"/>
          <w:sz w:val="24"/>
          <w:szCs w:val="24"/>
        </w:rPr>
        <w:t xml:space="preserve">, zákona č. </w:t>
      </w:r>
      <w:hyperlink r:id="rId19" w:history="1">
        <w:r w:rsidRPr="00D74FF1">
          <w:rPr>
            <w:rStyle w:val="Hyperlink"/>
            <w:rFonts w:ascii="Times New Roman" w:hAnsi="Times New Roman"/>
            <w:color w:val="auto"/>
            <w:sz w:val="24"/>
            <w:szCs w:val="24"/>
            <w:u w:val="none"/>
            <w:effect w:val="none"/>
          </w:rPr>
          <w:t>352/2013 Z. z.</w:t>
        </w:r>
      </w:hyperlink>
      <w:r w:rsidRPr="00D74FF1">
        <w:rPr>
          <w:rFonts w:ascii="Times New Roman" w:hAnsi="Times New Roman" w:cs="Times New Roman"/>
          <w:sz w:val="24"/>
          <w:szCs w:val="24"/>
        </w:rPr>
        <w:t xml:space="preserve">, zákona č. 206/2014 Z. z., zákona č. </w:t>
      </w:r>
      <w:hyperlink r:id="rId20" w:history="1">
        <w:r w:rsidRPr="00D74FF1">
          <w:rPr>
            <w:rStyle w:val="Hyperlink"/>
            <w:rFonts w:ascii="Times New Roman" w:hAnsi="Times New Roman"/>
            <w:color w:val="auto"/>
            <w:sz w:val="24"/>
            <w:szCs w:val="24"/>
            <w:u w:val="none"/>
            <w:effect w:val="none"/>
          </w:rPr>
          <w:t>388/2015 Z. z.</w:t>
        </w:r>
      </w:hyperlink>
      <w:r w:rsidRPr="00D74FF1">
        <w:rPr>
          <w:rFonts w:ascii="Times New Roman" w:hAnsi="Times New Roman" w:cs="Times New Roman"/>
          <w:sz w:val="24"/>
          <w:szCs w:val="24"/>
        </w:rPr>
        <w:t>, zákona č. 91/2016 Z. z. a zákona č. 125/2016 Z. z. sa mení a dopĺňa takto:</w:t>
      </w:r>
    </w:p>
    <w:p w:rsidR="00536EC9" w:rsidRPr="00D74FF1" w:rsidP="00536EC9">
      <w:pPr>
        <w:bidi w:val="0"/>
        <w:spacing w:after="0"/>
        <w:jc w:val="both"/>
        <w:rPr>
          <w:rFonts w:ascii="Times New Roman" w:hAnsi="Times New Roman" w:cs="Times New Roman"/>
          <w:sz w:val="24"/>
          <w:szCs w:val="24"/>
        </w:rPr>
      </w:pPr>
    </w:p>
    <w:p w:rsidR="00536EC9" w:rsidRPr="00D74FF1" w:rsidP="00536EC9">
      <w:pPr>
        <w:pStyle w:val="ListParagraph"/>
        <w:numPr>
          <w:numId w:val="20"/>
        </w:numPr>
        <w:bidi w:val="0"/>
        <w:spacing w:after="0" w:line="240" w:lineRule="auto"/>
        <w:contextualSpacing/>
        <w:jc w:val="both"/>
        <w:rPr>
          <w:rFonts w:ascii="Times New Roman" w:hAnsi="Times New Roman" w:cs="Times New Roman"/>
          <w:sz w:val="24"/>
          <w:szCs w:val="24"/>
        </w:rPr>
      </w:pPr>
      <w:r w:rsidRPr="00D74FF1">
        <w:rPr>
          <w:rFonts w:ascii="Times New Roman" w:hAnsi="Times New Roman" w:cs="Times New Roman"/>
          <w:sz w:val="24"/>
          <w:szCs w:val="24"/>
        </w:rPr>
        <w:t>V § 25 ods. 2 prvej vete sa slovo „obchodované“ nahrádza slovom „prijaté“.</w:t>
      </w:r>
    </w:p>
    <w:p w:rsidR="00536EC9" w:rsidRPr="00D74FF1" w:rsidP="00536EC9">
      <w:pPr>
        <w:bidi w:val="0"/>
        <w:spacing w:after="0"/>
        <w:jc w:val="both"/>
        <w:rPr>
          <w:rFonts w:ascii="Times New Roman" w:hAnsi="Times New Roman" w:cs="Times New Roman"/>
          <w:sz w:val="24"/>
          <w:szCs w:val="24"/>
        </w:rPr>
      </w:pPr>
    </w:p>
    <w:p w:rsidR="00536EC9" w:rsidRPr="00D74FF1" w:rsidP="00536EC9">
      <w:pPr>
        <w:pStyle w:val="ListParagraph"/>
        <w:numPr>
          <w:numId w:val="20"/>
        </w:numPr>
        <w:bidi w:val="0"/>
        <w:spacing w:after="0" w:line="240" w:lineRule="auto"/>
        <w:contextualSpacing/>
        <w:jc w:val="both"/>
        <w:rPr>
          <w:rFonts w:ascii="Times New Roman" w:hAnsi="Times New Roman" w:cs="Times New Roman"/>
          <w:sz w:val="24"/>
          <w:szCs w:val="24"/>
        </w:rPr>
      </w:pPr>
      <w:r w:rsidRPr="00D74FF1">
        <w:rPr>
          <w:rFonts w:ascii="Times New Roman" w:hAnsi="Times New Roman" w:cs="Times New Roman"/>
          <w:sz w:val="24"/>
          <w:szCs w:val="24"/>
        </w:rPr>
        <w:t>V § 26 ods. 5 sa vypúšťajú slová „za podmienok stanovených burzovými pravidlami“.</w:t>
      </w:r>
    </w:p>
    <w:p w:rsidR="00536EC9" w:rsidRPr="00D74FF1" w:rsidP="00536EC9">
      <w:pPr>
        <w:bidi w:val="0"/>
        <w:spacing w:after="0"/>
        <w:jc w:val="both"/>
        <w:rPr>
          <w:rFonts w:ascii="Times New Roman" w:hAnsi="Times New Roman" w:cs="Times New Roman"/>
          <w:sz w:val="24"/>
          <w:szCs w:val="24"/>
        </w:rPr>
      </w:pPr>
    </w:p>
    <w:p w:rsidR="00536EC9" w:rsidRPr="00D74FF1" w:rsidP="00536EC9">
      <w:pPr>
        <w:pStyle w:val="ListParagraph"/>
        <w:numPr>
          <w:numId w:val="20"/>
        </w:numPr>
        <w:bidi w:val="0"/>
        <w:spacing w:after="0" w:line="240" w:lineRule="auto"/>
        <w:contextualSpacing/>
        <w:jc w:val="both"/>
        <w:rPr>
          <w:rFonts w:ascii="Times New Roman" w:hAnsi="Times New Roman" w:cs="Times New Roman"/>
          <w:sz w:val="24"/>
          <w:szCs w:val="24"/>
        </w:rPr>
      </w:pPr>
      <w:r w:rsidRPr="00D74FF1">
        <w:rPr>
          <w:rFonts w:ascii="Times New Roman" w:hAnsi="Times New Roman" w:cs="Times New Roman"/>
          <w:sz w:val="24"/>
          <w:szCs w:val="24"/>
        </w:rPr>
        <w:t>V § 30 ods. 5 písm. a) sa na konci pripája toto slovo: „alebo“.</w:t>
      </w:r>
    </w:p>
    <w:p w:rsidR="00536EC9" w:rsidRPr="00D74FF1" w:rsidP="00536EC9">
      <w:pPr>
        <w:bidi w:val="0"/>
        <w:spacing w:after="0"/>
        <w:jc w:val="both"/>
        <w:rPr>
          <w:rFonts w:ascii="Times New Roman" w:hAnsi="Times New Roman" w:cs="Times New Roman"/>
          <w:sz w:val="24"/>
          <w:szCs w:val="24"/>
        </w:rPr>
      </w:pPr>
    </w:p>
    <w:p w:rsidR="00536EC9" w:rsidRPr="00D74FF1" w:rsidP="00536EC9">
      <w:pPr>
        <w:pStyle w:val="ListParagraph"/>
        <w:numPr>
          <w:numId w:val="20"/>
        </w:numPr>
        <w:bidi w:val="0"/>
        <w:spacing w:after="0" w:line="240" w:lineRule="auto"/>
        <w:contextualSpacing/>
        <w:jc w:val="both"/>
        <w:rPr>
          <w:rFonts w:ascii="Times New Roman" w:hAnsi="Times New Roman" w:cs="Times New Roman"/>
          <w:sz w:val="24"/>
          <w:szCs w:val="24"/>
        </w:rPr>
      </w:pPr>
      <w:r w:rsidRPr="00D74FF1">
        <w:rPr>
          <w:rFonts w:ascii="Times New Roman" w:hAnsi="Times New Roman" w:cs="Times New Roman"/>
          <w:sz w:val="24"/>
          <w:szCs w:val="24"/>
        </w:rPr>
        <w:t>V § 38 ods. 2 sa vypúšťa písmeno c).</w:t>
      </w:r>
    </w:p>
    <w:p w:rsidR="00536EC9" w:rsidRPr="00D74FF1" w:rsidP="00536EC9">
      <w:pPr>
        <w:pStyle w:val="ListParagraph"/>
        <w:bidi w:val="0"/>
        <w:spacing w:after="0"/>
        <w:rPr>
          <w:rFonts w:ascii="Times New Roman" w:hAnsi="Times New Roman" w:cs="Times New Roman"/>
          <w:sz w:val="24"/>
          <w:szCs w:val="24"/>
        </w:rPr>
      </w:pPr>
    </w:p>
    <w:p w:rsidR="00536EC9" w:rsidRPr="00D74FF1" w:rsidP="00536EC9">
      <w:pPr>
        <w:bidi w:val="0"/>
        <w:spacing w:after="0"/>
        <w:jc w:val="both"/>
        <w:rPr>
          <w:rFonts w:ascii="Times New Roman" w:hAnsi="Times New Roman" w:cs="Times New Roman"/>
          <w:sz w:val="24"/>
          <w:szCs w:val="24"/>
        </w:rPr>
      </w:pPr>
      <w:r w:rsidRPr="00D74FF1" w:rsidR="004D6A68">
        <w:rPr>
          <w:rFonts w:ascii="Times New Roman" w:hAnsi="Times New Roman" w:cs="Times New Roman"/>
          <w:sz w:val="24"/>
          <w:szCs w:val="24"/>
        </w:rPr>
        <w:tab/>
      </w:r>
      <w:r w:rsidRPr="00D74FF1">
        <w:rPr>
          <w:rFonts w:ascii="Times New Roman" w:hAnsi="Times New Roman" w:cs="Times New Roman"/>
          <w:sz w:val="24"/>
          <w:szCs w:val="24"/>
        </w:rPr>
        <w:t>Doterajšie písmeno d) sa označuje ako písmeno c).</w:t>
      </w:r>
    </w:p>
    <w:p w:rsidR="00536EC9" w:rsidRPr="00D74FF1" w:rsidP="00536EC9">
      <w:pPr>
        <w:pStyle w:val="ListParagraph"/>
        <w:bidi w:val="0"/>
        <w:spacing w:after="0"/>
        <w:rPr>
          <w:rFonts w:ascii="Times New Roman" w:hAnsi="Times New Roman" w:cs="Times New Roman"/>
          <w:sz w:val="24"/>
          <w:szCs w:val="24"/>
        </w:rPr>
      </w:pPr>
    </w:p>
    <w:p w:rsidR="00536EC9" w:rsidRPr="00D74FF1" w:rsidP="00536EC9">
      <w:pPr>
        <w:pStyle w:val="ListParagraph"/>
        <w:numPr>
          <w:numId w:val="20"/>
        </w:numPr>
        <w:bidi w:val="0"/>
        <w:spacing w:after="0" w:line="240" w:lineRule="auto"/>
        <w:contextualSpacing/>
        <w:jc w:val="both"/>
        <w:rPr>
          <w:rFonts w:ascii="Times New Roman" w:hAnsi="Times New Roman" w:cs="Times New Roman"/>
          <w:sz w:val="24"/>
          <w:szCs w:val="24"/>
        </w:rPr>
      </w:pPr>
      <w:r w:rsidRPr="00D74FF1">
        <w:rPr>
          <w:rFonts w:ascii="Times New Roman" w:hAnsi="Times New Roman" w:cs="Times New Roman"/>
          <w:sz w:val="24"/>
          <w:szCs w:val="24"/>
        </w:rPr>
        <w:t>V § 40 ods. 6 sa vypúšťajú slová „ods. 13“.</w:t>
      </w:r>
    </w:p>
    <w:p w:rsidR="00536EC9" w:rsidRPr="00D74FF1" w:rsidP="00536EC9">
      <w:pPr>
        <w:bidi w:val="0"/>
        <w:spacing w:after="0"/>
        <w:jc w:val="both"/>
        <w:rPr>
          <w:rFonts w:ascii="Times New Roman" w:hAnsi="Times New Roman" w:cs="Times New Roman"/>
          <w:sz w:val="24"/>
          <w:szCs w:val="24"/>
        </w:rPr>
      </w:pPr>
    </w:p>
    <w:p w:rsidR="00536EC9" w:rsidRPr="00D74FF1" w:rsidP="00536EC9">
      <w:pPr>
        <w:pStyle w:val="ListParagraph"/>
        <w:numPr>
          <w:numId w:val="20"/>
        </w:numPr>
        <w:bidi w:val="0"/>
        <w:spacing w:after="0" w:line="240" w:lineRule="auto"/>
        <w:contextualSpacing/>
        <w:jc w:val="both"/>
        <w:rPr>
          <w:rFonts w:ascii="Times New Roman" w:hAnsi="Times New Roman" w:cs="Times New Roman"/>
          <w:sz w:val="24"/>
          <w:szCs w:val="24"/>
        </w:rPr>
      </w:pPr>
      <w:r w:rsidRPr="00D74FF1">
        <w:rPr>
          <w:rFonts w:ascii="Times New Roman" w:hAnsi="Times New Roman" w:cs="Times New Roman"/>
          <w:sz w:val="24"/>
          <w:szCs w:val="24"/>
        </w:rPr>
        <w:t>V § 62 sa vypúšťa odsek 2.</w:t>
      </w:r>
    </w:p>
    <w:p w:rsidR="00536EC9" w:rsidRPr="00D74FF1" w:rsidP="00536EC9">
      <w:pPr>
        <w:bidi w:val="0"/>
        <w:spacing w:after="0"/>
        <w:jc w:val="both"/>
        <w:rPr>
          <w:rFonts w:ascii="Times New Roman" w:hAnsi="Times New Roman" w:cs="Times New Roman"/>
          <w:sz w:val="24"/>
          <w:szCs w:val="24"/>
        </w:rPr>
      </w:pPr>
    </w:p>
    <w:p w:rsidR="00536EC9" w:rsidRPr="00D74FF1" w:rsidP="00536EC9">
      <w:pPr>
        <w:bidi w:val="0"/>
        <w:spacing w:after="0"/>
        <w:jc w:val="both"/>
        <w:rPr>
          <w:rFonts w:ascii="Times New Roman" w:hAnsi="Times New Roman" w:cs="Times New Roman"/>
          <w:sz w:val="24"/>
          <w:szCs w:val="24"/>
        </w:rPr>
      </w:pPr>
      <w:r w:rsidRPr="00D74FF1" w:rsidR="0078155E">
        <w:rPr>
          <w:rFonts w:ascii="Times New Roman" w:hAnsi="Times New Roman" w:cs="Times New Roman"/>
          <w:sz w:val="24"/>
          <w:szCs w:val="24"/>
        </w:rPr>
        <w:tab/>
      </w:r>
      <w:r w:rsidRPr="00D74FF1">
        <w:rPr>
          <w:rFonts w:ascii="Times New Roman" w:hAnsi="Times New Roman" w:cs="Times New Roman"/>
          <w:sz w:val="24"/>
          <w:szCs w:val="24"/>
        </w:rPr>
        <w:t>Doterajšie odseky 3 až 9 sa označujú ako odseky 2 až 8.</w:t>
      </w:r>
    </w:p>
    <w:p w:rsidR="00955BD5" w:rsidRPr="00D74FF1" w:rsidP="00536EC9">
      <w:pPr>
        <w:bidi w:val="0"/>
        <w:spacing w:after="0"/>
        <w:jc w:val="both"/>
        <w:rPr>
          <w:rFonts w:ascii="Times New Roman" w:hAnsi="Times New Roman" w:cs="Times New Roman"/>
          <w:sz w:val="24"/>
          <w:szCs w:val="24"/>
        </w:rPr>
      </w:pPr>
    </w:p>
    <w:p w:rsidR="00536EC9" w:rsidRPr="00D74FF1" w:rsidP="00536EC9">
      <w:pPr>
        <w:pStyle w:val="ListParagraph"/>
        <w:numPr>
          <w:numId w:val="20"/>
        </w:numPr>
        <w:bidi w:val="0"/>
        <w:spacing w:after="0" w:line="240" w:lineRule="auto"/>
        <w:contextualSpacing/>
        <w:jc w:val="both"/>
        <w:rPr>
          <w:rFonts w:ascii="Times New Roman" w:hAnsi="Times New Roman" w:cs="Times New Roman"/>
          <w:sz w:val="24"/>
          <w:szCs w:val="24"/>
        </w:rPr>
      </w:pPr>
      <w:r w:rsidRPr="00D74FF1">
        <w:rPr>
          <w:rFonts w:ascii="Times New Roman" w:hAnsi="Times New Roman" w:cs="Times New Roman"/>
          <w:sz w:val="24"/>
          <w:szCs w:val="24"/>
        </w:rPr>
        <w:t>V § 62 odsek 2 znie:</w:t>
      </w:r>
    </w:p>
    <w:p w:rsidR="00536EC9" w:rsidRPr="00D74FF1" w:rsidP="00536EC9">
      <w:pPr>
        <w:bidi w:val="0"/>
        <w:spacing w:after="0"/>
        <w:jc w:val="both"/>
        <w:rPr>
          <w:rFonts w:ascii="Times New Roman" w:hAnsi="Times New Roman" w:cs="Times New Roman"/>
          <w:sz w:val="24"/>
          <w:szCs w:val="24"/>
        </w:rPr>
      </w:pPr>
      <w:r w:rsidRPr="00D74FF1" w:rsidR="0078155E">
        <w:rPr>
          <w:rFonts w:ascii="Times New Roman" w:hAnsi="Times New Roman" w:cs="Times New Roman"/>
          <w:bCs/>
          <w:color w:val="000000"/>
          <w:sz w:val="24"/>
          <w:szCs w:val="24"/>
        </w:rPr>
        <w:t xml:space="preserve">            </w:t>
      </w:r>
      <w:r w:rsidRPr="00D74FF1">
        <w:rPr>
          <w:rFonts w:ascii="Times New Roman" w:hAnsi="Times New Roman" w:cs="Times New Roman"/>
          <w:bCs/>
          <w:color w:val="000000"/>
          <w:sz w:val="24"/>
          <w:szCs w:val="24"/>
        </w:rPr>
        <w:t>„(2) Burza</w:t>
      </w:r>
      <w:r w:rsidRPr="00D74FF1">
        <w:rPr>
          <w:rFonts w:ascii="Times New Roman" w:hAnsi="Times New Roman" w:cs="Times New Roman"/>
          <w:sz w:val="24"/>
          <w:szCs w:val="24"/>
        </w:rPr>
        <w:t xml:space="preserve"> je povinná predložiť Národnej banke Slovenska výpis z jej registra emitenta a z jej zoznamu akcionárov vyhotovený k rozhodujúcemu dňu,</w:t>
      </w:r>
      <w:r w:rsidRPr="00D74FF1">
        <w:rPr>
          <w:rFonts w:ascii="Times New Roman" w:hAnsi="Times New Roman" w:cs="Times New Roman"/>
          <w:sz w:val="24"/>
          <w:szCs w:val="24"/>
          <w:vertAlign w:val="superscript"/>
        </w:rPr>
        <w:t>70a</w:t>
      </w:r>
      <w:r w:rsidRPr="00D74FF1">
        <w:rPr>
          <w:rFonts w:ascii="Times New Roman" w:hAnsi="Times New Roman" w:cs="Times New Roman"/>
          <w:sz w:val="24"/>
          <w:szCs w:val="24"/>
        </w:rPr>
        <w:t>) ktorý je určený najmenej päť pracovných dní pred dňom konania valného zhromaždenia. Tento výpis je burza povinná doručiť Národnej banke Slovenska v  deň jeho vyhotovenia. Národná banka Slovenska bezodkladne na tomto výpise písomne označí osobu, ktorej pozastavila výkon práv uvedených v odseku 1, a doručí ho burze najneskôr v deň predchádzajúci konaniu valného zhromaždenia burzy.“.</w:t>
      </w:r>
    </w:p>
    <w:p w:rsidR="00536EC9" w:rsidRPr="00D74FF1" w:rsidP="00536EC9">
      <w:pPr>
        <w:bidi w:val="0"/>
        <w:spacing w:after="0"/>
        <w:jc w:val="both"/>
        <w:rPr>
          <w:rFonts w:ascii="Times New Roman" w:hAnsi="Times New Roman" w:cs="Times New Roman"/>
          <w:sz w:val="24"/>
          <w:szCs w:val="24"/>
        </w:rPr>
      </w:pPr>
    </w:p>
    <w:p w:rsidR="00536EC9" w:rsidRPr="00D74FF1" w:rsidP="00536EC9">
      <w:pPr>
        <w:bidi w:val="0"/>
        <w:spacing w:after="0"/>
        <w:jc w:val="both"/>
        <w:rPr>
          <w:rFonts w:ascii="Times New Roman" w:hAnsi="Times New Roman" w:cs="Times New Roman"/>
          <w:sz w:val="24"/>
          <w:szCs w:val="24"/>
        </w:rPr>
      </w:pPr>
      <w:r w:rsidRPr="00D74FF1" w:rsidR="0078155E">
        <w:rPr>
          <w:rFonts w:ascii="Times New Roman" w:hAnsi="Times New Roman" w:cs="Times New Roman"/>
          <w:sz w:val="24"/>
          <w:szCs w:val="24"/>
        </w:rPr>
        <w:tab/>
      </w:r>
      <w:r w:rsidRPr="00D74FF1">
        <w:rPr>
          <w:rFonts w:ascii="Times New Roman" w:hAnsi="Times New Roman" w:cs="Times New Roman"/>
          <w:sz w:val="24"/>
          <w:szCs w:val="24"/>
        </w:rPr>
        <w:t>Poznámka pod čiarou k odkazu 70a znie:</w:t>
      </w:r>
    </w:p>
    <w:p w:rsidR="00536EC9" w:rsidRPr="00D74FF1" w:rsidP="00536EC9">
      <w:pPr>
        <w:bidi w:val="0"/>
        <w:spacing w:after="0"/>
        <w:jc w:val="both"/>
        <w:rPr>
          <w:rFonts w:ascii="Times New Roman" w:hAnsi="Times New Roman" w:cs="Times New Roman"/>
          <w:sz w:val="24"/>
          <w:szCs w:val="24"/>
        </w:rPr>
      </w:pPr>
      <w:r w:rsidRPr="00D74FF1" w:rsidR="0078155E">
        <w:rPr>
          <w:rFonts w:ascii="Times New Roman" w:hAnsi="Times New Roman" w:cs="Times New Roman"/>
          <w:sz w:val="24"/>
          <w:szCs w:val="24"/>
        </w:rPr>
        <w:tab/>
      </w:r>
      <w:r w:rsidRPr="00D74FF1">
        <w:rPr>
          <w:rFonts w:ascii="Times New Roman" w:hAnsi="Times New Roman" w:cs="Times New Roman"/>
          <w:sz w:val="24"/>
          <w:szCs w:val="24"/>
        </w:rPr>
        <w:t>„</w:t>
      </w:r>
      <w:r w:rsidRPr="00D74FF1">
        <w:rPr>
          <w:rFonts w:ascii="Times New Roman" w:hAnsi="Times New Roman" w:cs="Times New Roman"/>
          <w:sz w:val="24"/>
          <w:szCs w:val="24"/>
          <w:vertAlign w:val="superscript"/>
        </w:rPr>
        <w:t>70a</w:t>
      </w:r>
      <w:r w:rsidRPr="00D74FF1">
        <w:rPr>
          <w:rFonts w:ascii="Times New Roman" w:hAnsi="Times New Roman" w:cs="Times New Roman"/>
          <w:sz w:val="24"/>
          <w:szCs w:val="24"/>
        </w:rPr>
        <w:t>) § 156a Obchodného zákonníka v znení neskorších predpisov.“.</w:t>
      </w:r>
    </w:p>
    <w:p w:rsidR="00536EC9" w:rsidRPr="00D74FF1" w:rsidP="00536EC9">
      <w:pPr>
        <w:bidi w:val="0"/>
        <w:spacing w:after="0"/>
        <w:jc w:val="both"/>
        <w:rPr>
          <w:rFonts w:ascii="Times New Roman" w:hAnsi="Times New Roman" w:cs="Times New Roman"/>
          <w:sz w:val="24"/>
          <w:szCs w:val="24"/>
        </w:rPr>
      </w:pPr>
    </w:p>
    <w:p w:rsidR="00536EC9" w:rsidRPr="00D74FF1" w:rsidP="00536EC9">
      <w:pPr>
        <w:pStyle w:val="ListParagraph"/>
        <w:numPr>
          <w:numId w:val="20"/>
        </w:numPr>
        <w:bidi w:val="0"/>
        <w:spacing w:after="0" w:line="240" w:lineRule="auto"/>
        <w:contextualSpacing/>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Za § 65 sa vkladá § 65a, ktorý znie:</w:t>
      </w:r>
    </w:p>
    <w:p w:rsidR="00536EC9" w:rsidRPr="00D74FF1" w:rsidP="00536EC9">
      <w:pPr>
        <w:bidi w:val="0"/>
        <w:spacing w:after="0"/>
        <w:jc w:val="both"/>
        <w:rPr>
          <w:rFonts w:ascii="Times New Roman" w:hAnsi="Times New Roman" w:cs="Times New Roman"/>
          <w:bCs/>
          <w:color w:val="000000"/>
          <w:sz w:val="24"/>
          <w:szCs w:val="24"/>
        </w:rPr>
      </w:pPr>
    </w:p>
    <w:p w:rsidR="00536EC9" w:rsidRPr="00D74FF1" w:rsidP="00536EC9">
      <w:pPr>
        <w:bidi w:val="0"/>
        <w:spacing w:after="0"/>
        <w:jc w:val="center"/>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65a</w:t>
      </w:r>
    </w:p>
    <w:p w:rsidR="00536EC9" w:rsidRPr="00D74FF1" w:rsidP="00536EC9">
      <w:pPr>
        <w:bidi w:val="0"/>
        <w:spacing w:after="0"/>
        <w:jc w:val="both"/>
        <w:rPr>
          <w:rFonts w:ascii="Times New Roman" w:hAnsi="Times New Roman" w:cs="Times New Roman"/>
          <w:bCs/>
          <w:color w:val="000000"/>
          <w:sz w:val="24"/>
          <w:szCs w:val="24"/>
        </w:rPr>
      </w:pPr>
      <w:r w:rsidR="00D77FFA">
        <w:rPr>
          <w:rFonts w:ascii="Times New Roman" w:hAnsi="Times New Roman" w:cs="Times New Roman"/>
          <w:bCs/>
          <w:color w:val="000000"/>
          <w:sz w:val="24"/>
          <w:szCs w:val="24"/>
        </w:rPr>
        <w:tab/>
      </w:r>
      <w:r w:rsidRPr="00D74FF1">
        <w:rPr>
          <w:rFonts w:ascii="Times New Roman" w:hAnsi="Times New Roman" w:cs="Times New Roman"/>
          <w:bCs/>
          <w:color w:val="000000"/>
          <w:sz w:val="24"/>
          <w:szCs w:val="24"/>
        </w:rPr>
        <w:t>Na rozhodovanie podľa tohto zákona okrem § 65 sa použijú ustanovenia tohto zákona a ustanovenia burzových pravidiel.“.</w:t>
      </w:r>
    </w:p>
    <w:p w:rsidR="00536EC9" w:rsidRPr="00D74FF1" w:rsidP="00536EC9">
      <w:pPr>
        <w:bidi w:val="0"/>
        <w:spacing w:after="0"/>
        <w:rPr>
          <w:rFonts w:ascii="Times New Roman" w:hAnsi="Times New Roman" w:cs="Times New Roman"/>
          <w:b/>
          <w:sz w:val="24"/>
          <w:szCs w:val="24"/>
        </w:rPr>
      </w:pPr>
    </w:p>
    <w:p w:rsidR="00536EC9" w:rsidRPr="00D74FF1" w:rsidP="00536EC9">
      <w:pPr>
        <w:bidi w:val="0"/>
        <w:spacing w:after="0"/>
        <w:jc w:val="center"/>
        <w:rPr>
          <w:rFonts w:ascii="Times New Roman" w:hAnsi="Times New Roman" w:cs="Times New Roman"/>
          <w:b/>
          <w:sz w:val="24"/>
          <w:szCs w:val="24"/>
        </w:rPr>
      </w:pPr>
      <w:r w:rsidRPr="00D74FF1">
        <w:rPr>
          <w:rFonts w:ascii="Times New Roman" w:hAnsi="Times New Roman" w:cs="Times New Roman"/>
          <w:b/>
          <w:sz w:val="24"/>
          <w:szCs w:val="24"/>
        </w:rPr>
        <w:t>Čl. IV</w:t>
      </w:r>
    </w:p>
    <w:p w:rsidR="00536EC9" w:rsidRPr="00D74FF1" w:rsidP="00536EC9">
      <w:pPr>
        <w:bidi w:val="0"/>
        <w:spacing w:after="0"/>
        <w:ind w:left="426" w:hanging="426"/>
        <w:jc w:val="center"/>
        <w:rPr>
          <w:rFonts w:ascii="Times New Roman" w:hAnsi="Times New Roman" w:cs="Times New Roman"/>
          <w:b/>
          <w:bCs/>
          <w:sz w:val="24"/>
          <w:szCs w:val="24"/>
        </w:rPr>
      </w:pPr>
    </w:p>
    <w:p w:rsidR="00536EC9" w:rsidRPr="00D74FF1" w:rsidP="00536EC9">
      <w:pPr>
        <w:autoSpaceDE w:val="0"/>
        <w:autoSpaceDN w:val="0"/>
        <w:bidi w:val="0"/>
        <w:adjustRightInd w:val="0"/>
        <w:spacing w:after="0"/>
        <w:jc w:val="both"/>
        <w:rPr>
          <w:rFonts w:ascii="Times New Roman" w:hAnsi="Times New Roman" w:cs="Times New Roman"/>
          <w:sz w:val="24"/>
          <w:szCs w:val="24"/>
        </w:rPr>
      </w:pPr>
      <w:r w:rsidRPr="00D74FF1">
        <w:rPr>
          <w:rFonts w:ascii="Times New Roman" w:hAnsi="Times New Roman" w:cs="Times New Roman"/>
          <w:sz w:val="24"/>
          <w:szCs w:val="24"/>
        </w:rPr>
        <w:t xml:space="preserve">Zákon č. </w:t>
      </w:r>
      <w:hyperlink r:id="rId21" w:tooltip="Odkaz na predpis alebo ustanovenie" w:history="1">
        <w:r w:rsidRPr="00D74FF1">
          <w:rPr>
            <w:rFonts w:ascii="Times New Roman" w:hAnsi="Times New Roman" w:cs="Times New Roman"/>
            <w:bCs/>
            <w:sz w:val="24"/>
            <w:szCs w:val="24"/>
          </w:rPr>
          <w:t>43/2004 Z. z.</w:t>
        </w:r>
      </w:hyperlink>
      <w:r w:rsidRPr="00D74FF1">
        <w:rPr>
          <w:rFonts w:ascii="Times New Roman" w:hAnsi="Times New Roman" w:cs="Times New Roman"/>
          <w:sz w:val="24"/>
          <w:szCs w:val="24"/>
        </w:rPr>
        <w:t xml:space="preserve">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a zákona č. 125/2016 Z. z. sa mení takto:</w:t>
      </w:r>
    </w:p>
    <w:p w:rsidR="00536EC9" w:rsidRPr="00D74FF1" w:rsidP="00536EC9">
      <w:pPr>
        <w:autoSpaceDE w:val="0"/>
        <w:autoSpaceDN w:val="0"/>
        <w:bidi w:val="0"/>
        <w:adjustRightInd w:val="0"/>
        <w:spacing w:after="0"/>
        <w:jc w:val="both"/>
        <w:rPr>
          <w:rFonts w:ascii="Times New Roman" w:hAnsi="Times New Roman" w:cs="Times New Roman"/>
          <w:sz w:val="24"/>
          <w:szCs w:val="24"/>
        </w:rPr>
      </w:pPr>
    </w:p>
    <w:p w:rsidR="00536EC9" w:rsidRPr="00D74FF1" w:rsidP="00536EC9">
      <w:pPr>
        <w:pStyle w:val="ListParagraph"/>
        <w:numPr>
          <w:numId w:val="21"/>
        </w:numPr>
        <w:autoSpaceDE w:val="0"/>
        <w:autoSpaceDN w:val="0"/>
        <w:bidi w:val="0"/>
        <w:adjustRightInd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117 sa vypúšťa odsek 2.</w:t>
      </w:r>
    </w:p>
    <w:p w:rsidR="00536EC9" w:rsidRPr="00D74FF1" w:rsidP="00536EC9">
      <w:pPr>
        <w:autoSpaceDE w:val="0"/>
        <w:autoSpaceDN w:val="0"/>
        <w:bidi w:val="0"/>
        <w:adjustRightInd w:val="0"/>
        <w:spacing w:after="0"/>
        <w:jc w:val="both"/>
        <w:rPr>
          <w:rFonts w:ascii="Times New Roman" w:hAnsi="Times New Roman" w:cs="Times New Roman"/>
          <w:color w:val="000000"/>
          <w:sz w:val="24"/>
          <w:szCs w:val="24"/>
        </w:rPr>
      </w:pPr>
    </w:p>
    <w:p w:rsidR="00536EC9" w:rsidRPr="00D74FF1" w:rsidP="00536EC9">
      <w:pPr>
        <w:autoSpaceDE w:val="0"/>
        <w:autoSpaceDN w:val="0"/>
        <w:bidi w:val="0"/>
        <w:adjustRightInd w:val="0"/>
        <w:spacing w:after="0"/>
        <w:jc w:val="both"/>
        <w:rPr>
          <w:rFonts w:ascii="Times New Roman" w:hAnsi="Times New Roman" w:cs="Times New Roman"/>
          <w:color w:val="000000"/>
          <w:sz w:val="24"/>
          <w:szCs w:val="24"/>
        </w:rPr>
      </w:pPr>
      <w:r w:rsidRPr="00D74FF1" w:rsidR="0078155E">
        <w:rPr>
          <w:rFonts w:ascii="Times New Roman" w:hAnsi="Times New Roman" w:cs="Times New Roman"/>
          <w:color w:val="000000"/>
          <w:sz w:val="24"/>
          <w:szCs w:val="24"/>
        </w:rPr>
        <w:tab/>
      </w:r>
      <w:r w:rsidRPr="00D74FF1">
        <w:rPr>
          <w:rFonts w:ascii="Times New Roman" w:hAnsi="Times New Roman" w:cs="Times New Roman"/>
          <w:color w:val="000000"/>
          <w:sz w:val="24"/>
          <w:szCs w:val="24"/>
        </w:rPr>
        <w:t>Doterajšie odseky 3 až 9 sa označujú ako odseky 2 až 8.</w:t>
      </w:r>
    </w:p>
    <w:p w:rsidR="00536EC9" w:rsidRPr="00D74FF1" w:rsidP="00536EC9">
      <w:pPr>
        <w:autoSpaceDE w:val="0"/>
        <w:autoSpaceDN w:val="0"/>
        <w:bidi w:val="0"/>
        <w:adjustRightInd w:val="0"/>
        <w:spacing w:after="0"/>
        <w:jc w:val="both"/>
        <w:rPr>
          <w:rFonts w:ascii="Times New Roman" w:hAnsi="Times New Roman" w:cs="Times New Roman"/>
          <w:color w:val="000000"/>
          <w:sz w:val="24"/>
          <w:szCs w:val="24"/>
        </w:rPr>
      </w:pPr>
    </w:p>
    <w:p w:rsidR="00536EC9" w:rsidRPr="00D74FF1" w:rsidP="00536EC9">
      <w:pPr>
        <w:pStyle w:val="ListParagraph"/>
        <w:numPr>
          <w:numId w:val="21"/>
        </w:numPr>
        <w:autoSpaceDE w:val="0"/>
        <w:autoSpaceDN w:val="0"/>
        <w:bidi w:val="0"/>
        <w:adjustRightInd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117 odsek 2 znie:</w:t>
      </w:r>
    </w:p>
    <w:p w:rsidR="00536EC9" w:rsidRPr="00D74FF1" w:rsidP="00536EC9">
      <w:pPr>
        <w:bidi w:val="0"/>
        <w:spacing w:after="0"/>
        <w:jc w:val="both"/>
        <w:rPr>
          <w:rFonts w:ascii="Times New Roman" w:hAnsi="Times New Roman" w:cs="Times New Roman"/>
          <w:sz w:val="24"/>
          <w:szCs w:val="24"/>
        </w:rPr>
      </w:pPr>
      <w:r w:rsidRPr="00D74FF1" w:rsidR="0078155E">
        <w:rPr>
          <w:rFonts w:ascii="Times New Roman" w:hAnsi="Times New Roman" w:cs="Times New Roman"/>
          <w:bCs/>
          <w:color w:val="000000"/>
          <w:sz w:val="24"/>
          <w:szCs w:val="24"/>
        </w:rPr>
        <w:t xml:space="preserve">             </w:t>
      </w:r>
      <w:r w:rsidRPr="00D74FF1">
        <w:rPr>
          <w:rFonts w:ascii="Times New Roman" w:hAnsi="Times New Roman" w:cs="Times New Roman"/>
          <w:bCs/>
          <w:color w:val="000000"/>
          <w:sz w:val="24"/>
          <w:szCs w:val="24"/>
        </w:rPr>
        <w:t>„(2) Dôchodková správcovská spoločnosť</w:t>
      </w:r>
      <w:r w:rsidRPr="00D74FF1">
        <w:rPr>
          <w:rFonts w:ascii="Times New Roman" w:hAnsi="Times New Roman" w:cs="Times New Roman"/>
          <w:sz w:val="24"/>
          <w:szCs w:val="24"/>
        </w:rPr>
        <w:t xml:space="preserve"> je povinná predložiť Národnej banke Slovenska výpis z jej registra emitenta a z jej zoznamu akcionárov vyhotovený k rozhodujúcemu dňu,</w:t>
      </w:r>
      <w:r w:rsidRPr="00D74FF1">
        <w:rPr>
          <w:rFonts w:ascii="Times New Roman" w:hAnsi="Times New Roman" w:cs="Times New Roman"/>
          <w:sz w:val="24"/>
          <w:szCs w:val="24"/>
          <w:vertAlign w:val="superscript"/>
        </w:rPr>
        <w:t>97</w:t>
      </w:r>
      <w:r w:rsidRPr="00D74FF1">
        <w:rPr>
          <w:rFonts w:ascii="Times New Roman" w:hAnsi="Times New Roman" w:cs="Times New Roman"/>
          <w:sz w:val="24"/>
          <w:szCs w:val="24"/>
        </w:rPr>
        <w:t>) ktorý je určený najmenej päť pracovných dní pred dňom konania valného zhromaždenia. Tento výpis je dôchodková správcovská spoločnosť povinná doručiť Národnej banke Slovenska v deň jeho vyhotovenia. Národná banka Slovenska bezodkladne na tomto výpise písomne označí osobu, ktorej pozastavila výkon práv uvedených v odseku 1, a doručí ho dôchodkovej správcovskej spoločnosti najneskôr v deň predchádzajúci konaniu valného zhromaždenia dôchodkovej správcovskej spoločnosti.“.</w:t>
      </w:r>
    </w:p>
    <w:p w:rsidR="00536EC9" w:rsidRPr="00D74FF1" w:rsidP="00536EC9">
      <w:pPr>
        <w:bidi w:val="0"/>
        <w:spacing w:after="0"/>
        <w:jc w:val="both"/>
        <w:rPr>
          <w:rFonts w:ascii="Times New Roman" w:hAnsi="Times New Roman" w:cs="Times New Roman"/>
          <w:sz w:val="24"/>
          <w:szCs w:val="24"/>
        </w:rPr>
      </w:pPr>
    </w:p>
    <w:p w:rsidR="00536EC9" w:rsidRPr="00D74FF1" w:rsidP="00536EC9">
      <w:pPr>
        <w:bidi w:val="0"/>
        <w:spacing w:after="0"/>
        <w:jc w:val="both"/>
        <w:rPr>
          <w:rFonts w:ascii="Times New Roman" w:hAnsi="Times New Roman" w:cs="Times New Roman"/>
          <w:sz w:val="24"/>
          <w:szCs w:val="24"/>
        </w:rPr>
      </w:pPr>
      <w:r w:rsidRPr="00D74FF1" w:rsidR="0078155E">
        <w:rPr>
          <w:rFonts w:ascii="Times New Roman" w:hAnsi="Times New Roman" w:cs="Times New Roman"/>
          <w:sz w:val="24"/>
          <w:szCs w:val="24"/>
        </w:rPr>
        <w:tab/>
      </w:r>
      <w:r w:rsidRPr="00D74FF1">
        <w:rPr>
          <w:rFonts w:ascii="Times New Roman" w:hAnsi="Times New Roman" w:cs="Times New Roman"/>
          <w:sz w:val="24"/>
          <w:szCs w:val="24"/>
        </w:rPr>
        <w:t>Poznámka pod čiarou k odkazu 97 znie:</w:t>
      </w:r>
    </w:p>
    <w:p w:rsidR="00536EC9" w:rsidRPr="00D74FF1" w:rsidP="00536EC9">
      <w:pPr>
        <w:bidi w:val="0"/>
        <w:spacing w:after="0"/>
        <w:jc w:val="both"/>
        <w:rPr>
          <w:rFonts w:ascii="Times New Roman" w:hAnsi="Times New Roman" w:cs="Times New Roman"/>
          <w:sz w:val="24"/>
          <w:szCs w:val="24"/>
        </w:rPr>
      </w:pPr>
      <w:r w:rsidRPr="00D74FF1" w:rsidR="0078155E">
        <w:rPr>
          <w:rFonts w:ascii="Times New Roman" w:hAnsi="Times New Roman" w:cs="Times New Roman"/>
          <w:sz w:val="24"/>
          <w:szCs w:val="24"/>
        </w:rPr>
        <w:tab/>
      </w:r>
      <w:r w:rsidRPr="00D74FF1">
        <w:rPr>
          <w:rFonts w:ascii="Times New Roman" w:hAnsi="Times New Roman" w:cs="Times New Roman"/>
          <w:sz w:val="24"/>
          <w:szCs w:val="24"/>
        </w:rPr>
        <w:t>„</w:t>
      </w:r>
      <w:r w:rsidRPr="00D74FF1">
        <w:rPr>
          <w:rFonts w:ascii="Times New Roman" w:hAnsi="Times New Roman" w:cs="Times New Roman"/>
          <w:sz w:val="24"/>
          <w:szCs w:val="24"/>
          <w:vertAlign w:val="superscript"/>
        </w:rPr>
        <w:t>97</w:t>
      </w:r>
      <w:r w:rsidRPr="00D74FF1">
        <w:rPr>
          <w:rFonts w:ascii="Times New Roman" w:hAnsi="Times New Roman" w:cs="Times New Roman"/>
          <w:sz w:val="24"/>
          <w:szCs w:val="24"/>
        </w:rPr>
        <w:t>) § 156a Obchodného zákonníka v znení neskorších predpisov.“.</w:t>
      </w:r>
    </w:p>
    <w:p w:rsidR="00536EC9" w:rsidRPr="00D74FF1" w:rsidP="00536EC9">
      <w:pPr>
        <w:bidi w:val="0"/>
        <w:spacing w:after="0"/>
        <w:jc w:val="both"/>
        <w:rPr>
          <w:rFonts w:ascii="Times New Roman" w:hAnsi="Times New Roman" w:cs="Times New Roman"/>
          <w:sz w:val="24"/>
          <w:szCs w:val="24"/>
        </w:rPr>
      </w:pPr>
    </w:p>
    <w:p w:rsidR="00536EC9" w:rsidRPr="00D74FF1" w:rsidP="00536EC9">
      <w:pPr>
        <w:pStyle w:val="ListParagraph"/>
        <w:numPr>
          <w:numId w:val="21"/>
        </w:numPr>
        <w:bidi w:val="0"/>
        <w:spacing w:after="0" w:line="240" w:lineRule="auto"/>
        <w:contextualSpacing/>
        <w:jc w:val="both"/>
        <w:rPr>
          <w:rFonts w:ascii="Times New Roman" w:hAnsi="Times New Roman" w:cs="Times New Roman"/>
          <w:sz w:val="24"/>
          <w:szCs w:val="24"/>
        </w:rPr>
      </w:pPr>
      <w:r w:rsidRPr="00D74FF1">
        <w:rPr>
          <w:rFonts w:ascii="Times New Roman" w:hAnsi="Times New Roman" w:cs="Times New Roman"/>
          <w:sz w:val="24"/>
          <w:szCs w:val="24"/>
        </w:rPr>
        <w:t>V § 117 ods. 3 a 6 sa slová „odseku 3“ nahrádzajú slovami „odseku 2“.</w:t>
      </w:r>
    </w:p>
    <w:p w:rsidR="00536EC9" w:rsidRPr="00D74FF1" w:rsidP="00536EC9">
      <w:pPr>
        <w:bidi w:val="0"/>
        <w:spacing w:after="0"/>
        <w:jc w:val="both"/>
        <w:rPr>
          <w:rFonts w:ascii="Times New Roman" w:hAnsi="Times New Roman" w:cs="Times New Roman"/>
          <w:sz w:val="24"/>
          <w:szCs w:val="24"/>
        </w:rPr>
      </w:pPr>
    </w:p>
    <w:p w:rsidR="00536EC9" w:rsidRPr="00D74FF1" w:rsidP="00536EC9">
      <w:pPr>
        <w:pStyle w:val="ListParagraph"/>
        <w:numPr>
          <w:numId w:val="21"/>
        </w:numPr>
        <w:bidi w:val="0"/>
        <w:spacing w:after="0" w:line="240" w:lineRule="auto"/>
        <w:contextualSpacing/>
        <w:jc w:val="both"/>
        <w:rPr>
          <w:rFonts w:ascii="Times New Roman" w:hAnsi="Times New Roman" w:cs="Times New Roman"/>
          <w:sz w:val="24"/>
          <w:szCs w:val="24"/>
        </w:rPr>
      </w:pPr>
      <w:r w:rsidRPr="00D74FF1">
        <w:rPr>
          <w:rFonts w:ascii="Times New Roman" w:hAnsi="Times New Roman" w:cs="Times New Roman"/>
          <w:sz w:val="24"/>
          <w:szCs w:val="24"/>
        </w:rPr>
        <w:t>V § 117 ods. 5 sa slová „odseku 3 alebo odseku 4“ nahrádzajú slovami „odseku 2 alebo odseku 3“.</w:t>
      </w:r>
    </w:p>
    <w:p w:rsidR="00536EC9" w:rsidRPr="00D74FF1" w:rsidP="00536EC9">
      <w:pPr>
        <w:autoSpaceDE w:val="0"/>
        <w:autoSpaceDN w:val="0"/>
        <w:bidi w:val="0"/>
        <w:adjustRightInd w:val="0"/>
        <w:spacing w:after="0"/>
        <w:jc w:val="both"/>
        <w:rPr>
          <w:rFonts w:ascii="Times New Roman" w:hAnsi="Times New Roman" w:cs="Times New Roman"/>
          <w:color w:val="000000"/>
          <w:sz w:val="24"/>
          <w:szCs w:val="24"/>
        </w:rPr>
      </w:pPr>
    </w:p>
    <w:p w:rsidR="00536EC9" w:rsidRPr="00D74FF1" w:rsidP="00536EC9">
      <w:pPr>
        <w:bidi w:val="0"/>
        <w:spacing w:after="0"/>
        <w:ind w:left="426" w:hanging="426"/>
        <w:jc w:val="center"/>
        <w:rPr>
          <w:rFonts w:ascii="Times New Roman" w:hAnsi="Times New Roman" w:cs="Times New Roman"/>
          <w:b/>
          <w:bCs/>
          <w:color w:val="000000"/>
          <w:sz w:val="24"/>
          <w:szCs w:val="24"/>
        </w:rPr>
      </w:pPr>
      <w:r w:rsidRPr="00D74FF1">
        <w:rPr>
          <w:rFonts w:ascii="Times New Roman" w:hAnsi="Times New Roman" w:cs="Times New Roman"/>
          <w:b/>
          <w:bCs/>
          <w:color w:val="000000"/>
          <w:sz w:val="24"/>
          <w:szCs w:val="24"/>
        </w:rPr>
        <w:t>Čl. V</w:t>
      </w:r>
    </w:p>
    <w:p w:rsidR="00536EC9" w:rsidRPr="00D74FF1" w:rsidP="00536EC9">
      <w:pPr>
        <w:bidi w:val="0"/>
        <w:spacing w:after="0"/>
        <w:ind w:left="426" w:hanging="426"/>
        <w:jc w:val="center"/>
        <w:rPr>
          <w:rFonts w:ascii="Times New Roman" w:hAnsi="Times New Roman" w:cs="Times New Roman"/>
          <w:bCs/>
          <w:color w:val="000000"/>
          <w:sz w:val="24"/>
          <w:szCs w:val="24"/>
        </w:rPr>
      </w:pPr>
    </w:p>
    <w:p w:rsidR="00536EC9" w:rsidRPr="00D74FF1" w:rsidP="00536EC9">
      <w:pPr>
        <w:bidi w:val="0"/>
        <w:spacing w:after="0"/>
        <w:jc w:val="both"/>
        <w:rPr>
          <w:rFonts w:ascii="Times New Roman" w:hAnsi="Times New Roman" w:cs="Times New Roman"/>
          <w:sz w:val="24"/>
          <w:szCs w:val="24"/>
        </w:rPr>
      </w:pPr>
      <w:r w:rsidRPr="00D74FF1">
        <w:rPr>
          <w:rFonts w:ascii="Times New Roman" w:hAnsi="Times New Roman" w:cs="Times New Roman"/>
          <w:sz w:val="24"/>
          <w:szCs w:val="24"/>
        </w:rPr>
        <w:t xml:space="preserve">Zákon č. </w:t>
      </w:r>
      <w:hyperlink r:id="rId22" w:tooltip="Odkaz na predpis alebo ustanovenie" w:history="1">
        <w:r w:rsidRPr="00D74FF1">
          <w:rPr>
            <w:rFonts w:ascii="Times New Roman" w:hAnsi="Times New Roman" w:cs="Times New Roman"/>
            <w:bCs/>
            <w:sz w:val="24"/>
            <w:szCs w:val="24"/>
          </w:rPr>
          <w:t>650/2004 Z. z.</w:t>
        </w:r>
      </w:hyperlink>
      <w:r w:rsidRPr="00D74FF1">
        <w:rPr>
          <w:rFonts w:ascii="Times New Roman" w:hAnsi="Times New Roman" w:cs="Times New Roman"/>
          <w:sz w:val="24"/>
          <w:szCs w:val="24"/>
        </w:rPr>
        <w:t xml:space="preserve"> o doplnkovom dôchodkovom sporení a o zmene a doplnení niektorých zákonov v znení zákona č. 747/2004 Z. z., zákona č. 584/2005 Z. z., zákona č. 310/2006 Z. z., zákona č. 209/2007 Z. z., zákona č. 555/2007 Z. z., zákona č. 659/2007 Z. z., zákona č. 449/2008 Z. z., zákona č. 186/2009 Z. z., zákona č. 557/2009 Z. z., zákona č. 520/2011 Z. z., zákona č. 318/2013 Z. z., zákona č. 352/2013 Z. z., zákona č. 301/2014 Z. z., zákona č. 375/2015 Z. z., zákona č. 91/2016 Z. z. a zákona č. 125/2016 Z. z. sa mení takto:</w:t>
      </w:r>
    </w:p>
    <w:p w:rsidR="00536EC9" w:rsidRPr="00D74FF1" w:rsidP="00536EC9">
      <w:pPr>
        <w:bidi w:val="0"/>
        <w:spacing w:after="0"/>
        <w:jc w:val="both"/>
        <w:rPr>
          <w:rFonts w:ascii="Times New Roman" w:hAnsi="Times New Roman" w:cs="Times New Roman"/>
          <w:sz w:val="24"/>
          <w:szCs w:val="24"/>
        </w:rPr>
      </w:pPr>
    </w:p>
    <w:p w:rsidR="00536EC9" w:rsidRPr="00D74FF1" w:rsidP="00536EC9">
      <w:pPr>
        <w:pStyle w:val="ListParagraph"/>
        <w:numPr>
          <w:numId w:val="22"/>
        </w:numPr>
        <w:bidi w:val="0"/>
        <w:spacing w:after="0" w:line="240" w:lineRule="auto"/>
        <w:contextualSpacing/>
        <w:jc w:val="both"/>
        <w:rPr>
          <w:rFonts w:ascii="Times New Roman" w:hAnsi="Times New Roman" w:cs="Times New Roman"/>
          <w:sz w:val="24"/>
          <w:szCs w:val="24"/>
        </w:rPr>
      </w:pPr>
      <w:r w:rsidRPr="00D74FF1">
        <w:rPr>
          <w:rFonts w:ascii="Times New Roman" w:hAnsi="Times New Roman" w:cs="Times New Roman"/>
          <w:sz w:val="24"/>
          <w:szCs w:val="24"/>
        </w:rPr>
        <w:t>V § 73 sa vypúšťa odsek 2.</w:t>
      </w:r>
    </w:p>
    <w:p w:rsidR="00536EC9" w:rsidRPr="00D74FF1" w:rsidP="00536EC9">
      <w:pPr>
        <w:bidi w:val="0"/>
        <w:spacing w:after="0"/>
        <w:jc w:val="both"/>
        <w:rPr>
          <w:rFonts w:ascii="Times New Roman" w:hAnsi="Times New Roman" w:cs="Times New Roman"/>
          <w:sz w:val="24"/>
          <w:szCs w:val="24"/>
        </w:rPr>
      </w:pPr>
    </w:p>
    <w:p w:rsidR="00536EC9" w:rsidRPr="00D74FF1" w:rsidP="00536EC9">
      <w:pPr>
        <w:bidi w:val="0"/>
        <w:spacing w:after="0"/>
        <w:jc w:val="both"/>
        <w:rPr>
          <w:rFonts w:ascii="Times New Roman" w:hAnsi="Times New Roman" w:cs="Times New Roman"/>
          <w:sz w:val="24"/>
          <w:szCs w:val="24"/>
        </w:rPr>
      </w:pPr>
      <w:r w:rsidRPr="00D74FF1" w:rsidR="0078155E">
        <w:rPr>
          <w:rFonts w:ascii="Times New Roman" w:hAnsi="Times New Roman" w:cs="Times New Roman"/>
          <w:sz w:val="24"/>
          <w:szCs w:val="24"/>
        </w:rPr>
        <w:tab/>
      </w:r>
      <w:r w:rsidRPr="00D74FF1">
        <w:rPr>
          <w:rFonts w:ascii="Times New Roman" w:hAnsi="Times New Roman" w:cs="Times New Roman"/>
          <w:sz w:val="24"/>
          <w:szCs w:val="24"/>
        </w:rPr>
        <w:t>Doterajšie odseky 3 až 9 sa označujú ako odseky 2 až 8.</w:t>
      </w:r>
    </w:p>
    <w:p w:rsidR="00536EC9" w:rsidRPr="00D74FF1" w:rsidP="00536EC9">
      <w:pPr>
        <w:bidi w:val="0"/>
        <w:spacing w:after="0"/>
        <w:jc w:val="both"/>
        <w:rPr>
          <w:rFonts w:ascii="Times New Roman" w:hAnsi="Times New Roman" w:cs="Times New Roman"/>
          <w:sz w:val="24"/>
          <w:szCs w:val="24"/>
        </w:rPr>
      </w:pPr>
    </w:p>
    <w:p w:rsidR="00536EC9" w:rsidRPr="00D74FF1" w:rsidP="00536EC9">
      <w:pPr>
        <w:bidi w:val="0"/>
        <w:spacing w:after="0"/>
        <w:jc w:val="both"/>
        <w:rPr>
          <w:rFonts w:ascii="Times New Roman" w:hAnsi="Times New Roman" w:cs="Times New Roman"/>
          <w:sz w:val="24"/>
          <w:szCs w:val="24"/>
        </w:rPr>
      </w:pPr>
      <w:r w:rsidRPr="00D74FF1" w:rsidR="0078155E">
        <w:rPr>
          <w:rFonts w:ascii="Times New Roman" w:hAnsi="Times New Roman" w:cs="Times New Roman"/>
          <w:sz w:val="24"/>
          <w:szCs w:val="24"/>
        </w:rPr>
        <w:tab/>
      </w:r>
      <w:r w:rsidRPr="00D74FF1">
        <w:rPr>
          <w:rFonts w:ascii="Times New Roman" w:hAnsi="Times New Roman" w:cs="Times New Roman"/>
          <w:sz w:val="24"/>
          <w:szCs w:val="24"/>
        </w:rPr>
        <w:t>Poznámka pod čiarou k odkazu 48 sa vypúšťa.</w:t>
      </w:r>
    </w:p>
    <w:p w:rsidR="00536EC9" w:rsidRPr="00D74FF1" w:rsidP="00536EC9">
      <w:pPr>
        <w:bidi w:val="0"/>
        <w:spacing w:after="0"/>
        <w:jc w:val="both"/>
        <w:rPr>
          <w:rFonts w:ascii="Times New Roman" w:hAnsi="Times New Roman" w:cs="Times New Roman"/>
          <w:sz w:val="24"/>
          <w:szCs w:val="24"/>
        </w:rPr>
      </w:pPr>
    </w:p>
    <w:p w:rsidR="00536EC9" w:rsidRPr="00D74FF1" w:rsidP="00536EC9">
      <w:pPr>
        <w:pStyle w:val="ListParagraph"/>
        <w:numPr>
          <w:numId w:val="22"/>
        </w:numPr>
        <w:bidi w:val="0"/>
        <w:spacing w:after="0" w:line="240" w:lineRule="auto"/>
        <w:contextualSpacing/>
        <w:jc w:val="both"/>
        <w:rPr>
          <w:rFonts w:ascii="Times New Roman" w:hAnsi="Times New Roman" w:cs="Times New Roman"/>
          <w:sz w:val="24"/>
          <w:szCs w:val="24"/>
        </w:rPr>
      </w:pPr>
      <w:r w:rsidRPr="00D74FF1">
        <w:rPr>
          <w:rFonts w:ascii="Times New Roman" w:hAnsi="Times New Roman" w:cs="Times New Roman"/>
          <w:sz w:val="24"/>
          <w:szCs w:val="24"/>
        </w:rPr>
        <w:t>V § 73 odsek 2 znie:</w:t>
      </w:r>
    </w:p>
    <w:p w:rsidR="00536EC9" w:rsidRPr="00D74FF1" w:rsidP="00536EC9">
      <w:pPr>
        <w:bidi w:val="0"/>
        <w:spacing w:after="0"/>
        <w:jc w:val="both"/>
        <w:rPr>
          <w:rFonts w:ascii="Times New Roman" w:hAnsi="Times New Roman" w:cs="Times New Roman"/>
          <w:sz w:val="24"/>
          <w:szCs w:val="24"/>
        </w:rPr>
      </w:pPr>
      <w:r w:rsidRPr="00D74FF1" w:rsidR="0078155E">
        <w:rPr>
          <w:rFonts w:ascii="Times New Roman" w:hAnsi="Times New Roman" w:cs="Times New Roman"/>
          <w:bCs/>
          <w:color w:val="000000"/>
          <w:sz w:val="24"/>
          <w:szCs w:val="24"/>
        </w:rPr>
        <w:t xml:space="preserve">            </w:t>
      </w:r>
      <w:r w:rsidRPr="00D74FF1">
        <w:rPr>
          <w:rFonts w:ascii="Times New Roman" w:hAnsi="Times New Roman" w:cs="Times New Roman"/>
          <w:bCs/>
          <w:color w:val="000000"/>
          <w:sz w:val="24"/>
          <w:szCs w:val="24"/>
        </w:rPr>
        <w:t>„(2) Doplnková dôchodková spoločnosť</w:t>
      </w:r>
      <w:r w:rsidRPr="00D74FF1">
        <w:rPr>
          <w:rFonts w:ascii="Times New Roman" w:hAnsi="Times New Roman" w:cs="Times New Roman"/>
          <w:sz w:val="24"/>
          <w:szCs w:val="24"/>
        </w:rPr>
        <w:t xml:space="preserve"> je povinná predložiť Národnej banke Slovenska výpis z jej registra emitenta a z jej zoznamu akcionárov vyhotovený k rozhodujúcemu dňu, ktorý je určený najmenej päť pracovných dní pred dňom konania valného zhromaždenia. Tento výpis je doplnková dôchodková spoločnosť povinná doručiť Národnej banke Slovenska v deň jeho vyhotovenia. Národná banka Slovenska bezodkladne na tomto výpise písomne označí osobu, ktorej pozastavila výkon práv uvedených v odseku 1, a doručí ho doplnkovej dôchodkovej spoločnosti najneskôr v deň predchádzajúci konaniu valného zhromaždenia doplnkovej dôchodkovej spoločnosti.“.</w:t>
      </w:r>
    </w:p>
    <w:p w:rsidR="00536EC9" w:rsidRPr="00D74FF1" w:rsidP="00536EC9">
      <w:pPr>
        <w:bidi w:val="0"/>
        <w:spacing w:after="0"/>
        <w:jc w:val="both"/>
        <w:rPr>
          <w:rFonts w:ascii="Times New Roman" w:hAnsi="Times New Roman" w:cs="Times New Roman"/>
          <w:sz w:val="24"/>
          <w:szCs w:val="24"/>
        </w:rPr>
      </w:pPr>
    </w:p>
    <w:p w:rsidR="00536EC9" w:rsidRPr="00D74FF1" w:rsidP="00536EC9">
      <w:pPr>
        <w:pStyle w:val="ListParagraph"/>
        <w:numPr>
          <w:numId w:val="22"/>
        </w:numPr>
        <w:bidi w:val="0"/>
        <w:spacing w:after="0" w:line="240" w:lineRule="auto"/>
        <w:contextualSpacing/>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V § 73 ods. 3 a 6 sa slová „odseku 3“ nahrádzajú slovami „odseku 2“.</w:t>
      </w:r>
    </w:p>
    <w:p w:rsidR="00536EC9" w:rsidRPr="00D74FF1" w:rsidP="00536EC9">
      <w:pPr>
        <w:bidi w:val="0"/>
        <w:spacing w:after="0"/>
        <w:jc w:val="both"/>
        <w:rPr>
          <w:rFonts w:ascii="Times New Roman" w:hAnsi="Times New Roman" w:cs="Times New Roman"/>
          <w:bCs/>
          <w:color w:val="000000"/>
          <w:sz w:val="24"/>
          <w:szCs w:val="24"/>
        </w:rPr>
      </w:pPr>
    </w:p>
    <w:p w:rsidR="00536EC9" w:rsidRPr="00D74FF1" w:rsidP="00536EC9">
      <w:pPr>
        <w:pStyle w:val="ListParagraph"/>
        <w:numPr>
          <w:numId w:val="22"/>
        </w:numPr>
        <w:bidi w:val="0"/>
        <w:spacing w:after="0" w:line="240" w:lineRule="auto"/>
        <w:contextualSpacing/>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V § 73 ods. 5 sa slová „odseku 3 alebo 4“ nahrádzajú slovami „odseku 2 alebo odseku 3“.</w:t>
      </w:r>
    </w:p>
    <w:p w:rsidR="00955BD5" w:rsidRPr="00D74FF1" w:rsidP="00536EC9">
      <w:pPr>
        <w:pStyle w:val="ListParagraph"/>
        <w:bidi w:val="0"/>
        <w:spacing w:after="0"/>
        <w:rPr>
          <w:rFonts w:ascii="Times New Roman" w:hAnsi="Times New Roman" w:cs="Times New Roman"/>
          <w:bCs/>
          <w:color w:val="000000"/>
          <w:sz w:val="24"/>
          <w:szCs w:val="24"/>
        </w:rPr>
      </w:pPr>
    </w:p>
    <w:p w:rsidR="00536EC9" w:rsidRPr="00D74FF1" w:rsidP="00536EC9">
      <w:pPr>
        <w:bidi w:val="0"/>
        <w:spacing w:after="0"/>
        <w:ind w:left="426" w:hanging="426"/>
        <w:jc w:val="center"/>
        <w:rPr>
          <w:rFonts w:ascii="Times New Roman" w:hAnsi="Times New Roman" w:cs="Times New Roman"/>
          <w:b/>
          <w:bCs/>
          <w:color w:val="000000"/>
          <w:sz w:val="24"/>
          <w:szCs w:val="24"/>
        </w:rPr>
      </w:pPr>
      <w:r w:rsidRPr="00D74FF1">
        <w:rPr>
          <w:rFonts w:ascii="Times New Roman" w:hAnsi="Times New Roman" w:cs="Times New Roman"/>
          <w:b/>
          <w:bCs/>
          <w:color w:val="000000"/>
          <w:sz w:val="24"/>
          <w:szCs w:val="24"/>
        </w:rPr>
        <w:t>Čl. VI</w:t>
      </w:r>
    </w:p>
    <w:p w:rsidR="0078155E" w:rsidRPr="00D74FF1" w:rsidP="00536EC9">
      <w:pPr>
        <w:bidi w:val="0"/>
        <w:spacing w:after="0"/>
        <w:ind w:left="426" w:hanging="426"/>
        <w:jc w:val="center"/>
        <w:rPr>
          <w:rFonts w:ascii="Times New Roman" w:hAnsi="Times New Roman" w:cs="Times New Roman"/>
          <w:b/>
          <w:bCs/>
          <w:color w:val="000000"/>
          <w:sz w:val="24"/>
          <w:szCs w:val="24"/>
        </w:rPr>
      </w:pPr>
    </w:p>
    <w:p w:rsidR="00536EC9" w:rsidRPr="00D74FF1" w:rsidP="00536EC9">
      <w:pPr>
        <w:autoSpaceDE w:val="0"/>
        <w:autoSpaceDN w:val="0"/>
        <w:bidi w:val="0"/>
        <w:adjustRightInd w:val="0"/>
        <w:spacing w:after="0"/>
        <w:jc w:val="both"/>
        <w:rPr>
          <w:rFonts w:ascii="Times New Roman" w:hAnsi="Times New Roman" w:cs="Times New Roman"/>
          <w:color w:val="000000"/>
          <w:sz w:val="24"/>
          <w:szCs w:val="24"/>
        </w:rPr>
      </w:pPr>
      <w:r w:rsidRPr="00D74FF1" w:rsidR="0078155E">
        <w:rPr>
          <w:rFonts w:ascii="Times New Roman" w:hAnsi="Times New Roman" w:cs="Times New Roman"/>
          <w:bCs/>
          <w:color w:val="000000"/>
          <w:sz w:val="24"/>
          <w:szCs w:val="24"/>
        </w:rPr>
        <w:t>Z</w:t>
      </w:r>
      <w:r w:rsidRPr="00D74FF1">
        <w:rPr>
          <w:rFonts w:ascii="Times New Roman" w:hAnsi="Times New Roman" w:cs="Times New Roman"/>
          <w:bCs/>
          <w:color w:val="000000"/>
          <w:sz w:val="24"/>
          <w:szCs w:val="24"/>
        </w:rPr>
        <w:t xml:space="preserve">ákon č. 747/2004 Z. z. </w:t>
      </w:r>
      <w:r w:rsidRPr="00D74FF1">
        <w:rPr>
          <w:rFonts w:ascii="Times New Roman" w:hAnsi="Times New Roman" w:cs="Times New Roman"/>
          <w:color w:val="000000"/>
          <w:sz w:val="24"/>
          <w:szCs w:val="24"/>
        </w:rPr>
        <w:t xml:space="preserve">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w:t>
      </w:r>
      <w:r w:rsidRPr="00D74FF1">
        <w:rPr>
          <w:rFonts w:ascii="Times New Roman" w:hAnsi="Times New Roman" w:cs="Times New Roman"/>
          <w:bCs/>
          <w:sz w:val="24"/>
          <w:szCs w:val="24"/>
        </w:rPr>
        <w:t xml:space="preserve">zákona č. 129/2010 Z. z., zákona č. 394/2011 Z. z., zákona č. 547/2011 Z. z., zákona č. 132/2013 Z. z., zákona č. 352/2013 Z. z., zákona č. 213/2014 Z. z., zákona č. 373/2014 Z. z., zákona č. 374/2014 Z. z. a zákona č. 90/2016 Z. z. </w:t>
      </w:r>
      <w:r w:rsidRPr="00D74FF1">
        <w:rPr>
          <w:rFonts w:ascii="Times New Roman" w:hAnsi="Times New Roman" w:cs="Times New Roman"/>
          <w:color w:val="000000"/>
          <w:sz w:val="24"/>
          <w:szCs w:val="24"/>
        </w:rPr>
        <w:t>sa mení a dopĺňa takto:</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36EC9">
      <w:pPr>
        <w:pStyle w:val="ListParagraph"/>
        <w:numPr>
          <w:numId w:val="7"/>
        </w:numPr>
        <w:bidi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poznámke pod čiarou k odkazu 1 sa na konci pripájajú tieto citácie :</w:t>
      </w:r>
    </w:p>
    <w:p w:rsidR="00536EC9" w:rsidRPr="00D74FF1" w:rsidP="00536EC9">
      <w:pPr>
        <w:bidi w:val="0"/>
        <w:spacing w:after="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„nariadenie Európskeho parlamentu a Rady (EÚ) č. 596/2014 zo 16. apríla 2014 o zneužívaní trhu (nariadenie o zneužívaní trhu) a o zrušení smernice Európskeho parlamentu a Rady 2003/6/ES a smerníc Komisie 2003/124/ES, 2003/125/ES a 2004/72/ES (Ú. v. EÚ L 173, 12.6.2014)</w:t>
      </w:r>
      <w:r w:rsidRPr="00D74FF1" w:rsidR="00955BD5">
        <w:rPr>
          <w:rFonts w:ascii="Times New Roman" w:hAnsi="Times New Roman" w:cs="Times New Roman"/>
          <w:color w:val="000000"/>
          <w:sz w:val="24"/>
          <w:szCs w:val="24"/>
        </w:rPr>
        <w:t xml:space="preserve"> v platnom znení,</w:t>
      </w:r>
    </w:p>
    <w:p w:rsidR="00536EC9" w:rsidRPr="00D74FF1" w:rsidP="00536EC9">
      <w:pPr>
        <w:bidi w:val="0"/>
        <w:spacing w:after="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nariadenie Európskeho parlamentu a Rady (EÚ) č. 1286/2014 z 26.</w:t>
      </w:r>
      <w:r w:rsidRPr="00D74FF1" w:rsidR="00955BD5">
        <w:rPr>
          <w:rFonts w:ascii="Times New Roman" w:hAnsi="Times New Roman" w:cs="Times New Roman"/>
          <w:color w:val="000000"/>
          <w:sz w:val="24"/>
          <w:szCs w:val="24"/>
        </w:rPr>
        <w:t xml:space="preserve"> </w:t>
      </w:r>
      <w:r w:rsidRPr="00D74FF1">
        <w:rPr>
          <w:rFonts w:ascii="Times New Roman" w:hAnsi="Times New Roman" w:cs="Times New Roman"/>
          <w:color w:val="000000"/>
          <w:sz w:val="24"/>
          <w:szCs w:val="24"/>
        </w:rPr>
        <w:t xml:space="preserve">novembra 2014 o dokumentoch s kľúčovými informáciami pre štrukturalizované retailové investičné produkty </w:t>
      </w:r>
      <w:r w:rsidRPr="00D74FF1" w:rsidR="00955BD5">
        <w:rPr>
          <w:rFonts w:ascii="Times New Roman" w:hAnsi="Times New Roman" w:cs="Times New Roman"/>
          <w:color w:val="000000"/>
          <w:sz w:val="24"/>
          <w:szCs w:val="24"/>
        </w:rPr>
        <w:t xml:space="preserve">a investičné produkty </w:t>
      </w:r>
      <w:r w:rsidRPr="00D74FF1">
        <w:rPr>
          <w:rFonts w:ascii="Times New Roman" w:hAnsi="Times New Roman" w:cs="Times New Roman"/>
          <w:color w:val="000000"/>
          <w:sz w:val="24"/>
          <w:szCs w:val="24"/>
        </w:rPr>
        <w:t>založené na poistení (PRIIP) (</w:t>
      </w:r>
      <w:r w:rsidRPr="00D74FF1">
        <w:rPr>
          <w:rFonts w:ascii="Times New Roman" w:hAnsi="Times New Roman" w:cs="Times New Roman"/>
          <w:iCs/>
          <w:sz w:val="24"/>
          <w:szCs w:val="24"/>
        </w:rPr>
        <w:t>Ú. v. EÚ L 352, 9.12.2014</w:t>
      </w:r>
      <w:r w:rsidRPr="00D74FF1">
        <w:rPr>
          <w:rFonts w:ascii="Times New Roman" w:hAnsi="Times New Roman" w:cs="Times New Roman"/>
          <w:color w:val="000000"/>
          <w:sz w:val="24"/>
          <w:szCs w:val="24"/>
        </w:rPr>
        <w:t>)</w:t>
      </w:r>
      <w:r w:rsidR="006A1DA3">
        <w:rPr>
          <w:rFonts w:ascii="Times New Roman" w:hAnsi="Times New Roman" w:cs="Times New Roman"/>
          <w:color w:val="000000"/>
          <w:sz w:val="24"/>
          <w:szCs w:val="24"/>
        </w:rPr>
        <w:t>.</w:t>
      </w:r>
      <w:r w:rsidRPr="00D74FF1">
        <w:rPr>
          <w:rFonts w:ascii="Times New Roman" w:hAnsi="Times New Roman" w:cs="Times New Roman"/>
          <w:color w:val="000000"/>
          <w:sz w:val="24"/>
          <w:szCs w:val="24"/>
        </w:rPr>
        <w:t>“.</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36EC9">
      <w:pPr>
        <w:pStyle w:val="ListParagraph"/>
        <w:numPr>
          <w:numId w:val="7"/>
        </w:numPr>
        <w:bidi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 ods. 3 písm. a) sa za slová „podielovými fondmi“ vkladajú slová „investičnými fondmi s premenlivým základným imaním,“.</w:t>
      </w:r>
    </w:p>
    <w:p w:rsidR="00955BD5" w:rsidRPr="00D74FF1" w:rsidP="00955BD5">
      <w:pPr>
        <w:pStyle w:val="ListParagraph"/>
        <w:bidi w:val="0"/>
        <w:spacing w:after="0" w:line="240" w:lineRule="auto"/>
        <w:ind w:left="360"/>
        <w:contextualSpacing/>
        <w:jc w:val="both"/>
        <w:rPr>
          <w:rFonts w:ascii="Times New Roman" w:hAnsi="Times New Roman" w:cs="Times New Roman"/>
          <w:color w:val="000000"/>
          <w:sz w:val="24"/>
          <w:szCs w:val="24"/>
        </w:rPr>
      </w:pPr>
    </w:p>
    <w:p w:rsidR="00955BD5" w:rsidRPr="00D74FF1" w:rsidP="00536EC9">
      <w:pPr>
        <w:pStyle w:val="ListParagraph"/>
        <w:numPr>
          <w:numId w:val="7"/>
        </w:numPr>
        <w:bidi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sz w:val="24"/>
          <w:szCs w:val="24"/>
        </w:rPr>
        <w:t>V § 8 ods. 3 písm. b) sa slová „osobitného zákona,“ nahrádzajú slovami „osobitného predpisu,</w:t>
      </w:r>
      <w:r w:rsidRPr="00D74FF1">
        <w:rPr>
          <w:rFonts w:ascii="Times New Roman" w:hAnsi="Times New Roman" w:cs="Times New Roman"/>
          <w:sz w:val="24"/>
          <w:szCs w:val="24"/>
          <w:vertAlign w:val="superscript"/>
        </w:rPr>
        <w:t>1</w:t>
      </w:r>
      <w:r w:rsidRPr="00D74FF1">
        <w:rPr>
          <w:rFonts w:ascii="Times New Roman" w:hAnsi="Times New Roman" w:cs="Times New Roman"/>
          <w:sz w:val="24"/>
          <w:szCs w:val="24"/>
        </w:rPr>
        <w:t>)“.</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36EC9">
      <w:pPr>
        <w:pStyle w:val="ListParagraph"/>
        <w:numPr>
          <w:numId w:val="7"/>
        </w:numPr>
        <w:bidi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25 ods. 2 sa za slovom „opatrenie“ bodkočiarka nahrádza čiarkou a vkladajú sa slová „ak osobitný predpis neustanovuje inak;</w:t>
      </w:r>
      <w:r w:rsidRPr="00D74FF1">
        <w:rPr>
          <w:rFonts w:ascii="Times New Roman" w:hAnsi="Times New Roman" w:cs="Times New Roman"/>
          <w:color w:val="000000"/>
          <w:sz w:val="24"/>
          <w:szCs w:val="24"/>
          <w:vertAlign w:val="superscript"/>
        </w:rPr>
        <w:t>36a</w:t>
      </w:r>
      <w:r w:rsidRPr="00D74FF1">
        <w:rPr>
          <w:rFonts w:ascii="Times New Roman" w:hAnsi="Times New Roman" w:cs="Times New Roman"/>
          <w:color w:val="000000"/>
          <w:sz w:val="24"/>
          <w:szCs w:val="24"/>
        </w:rPr>
        <w:t>)“.</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36EC9">
      <w:pPr>
        <w:bidi w:val="0"/>
        <w:spacing w:after="0"/>
        <w:jc w:val="both"/>
        <w:rPr>
          <w:rFonts w:ascii="Times New Roman" w:hAnsi="Times New Roman" w:cs="Times New Roman"/>
          <w:color w:val="000000"/>
          <w:sz w:val="24"/>
          <w:szCs w:val="24"/>
        </w:rPr>
      </w:pPr>
      <w:r w:rsidRPr="00D74FF1" w:rsidR="0078155E">
        <w:rPr>
          <w:rFonts w:ascii="Times New Roman" w:hAnsi="Times New Roman" w:cs="Times New Roman"/>
          <w:color w:val="000000"/>
          <w:sz w:val="24"/>
          <w:szCs w:val="24"/>
        </w:rPr>
        <w:tab/>
      </w:r>
      <w:r w:rsidRPr="00D74FF1">
        <w:rPr>
          <w:rFonts w:ascii="Times New Roman" w:hAnsi="Times New Roman" w:cs="Times New Roman"/>
          <w:color w:val="000000"/>
          <w:sz w:val="24"/>
          <w:szCs w:val="24"/>
        </w:rPr>
        <w:t>Poznámka pod čiarou k odkazu 36a znie:</w:t>
      </w:r>
    </w:p>
    <w:p w:rsidR="00536EC9" w:rsidRPr="00D74FF1" w:rsidP="00536EC9">
      <w:pPr>
        <w:bidi w:val="0"/>
        <w:spacing w:after="0"/>
        <w:jc w:val="both"/>
        <w:rPr>
          <w:rFonts w:ascii="Times New Roman" w:hAnsi="Times New Roman" w:cs="Times New Roman"/>
          <w:color w:val="000000"/>
          <w:sz w:val="24"/>
          <w:szCs w:val="24"/>
        </w:rPr>
      </w:pPr>
      <w:r w:rsidRPr="00D74FF1" w:rsidR="0078155E">
        <w:rPr>
          <w:rFonts w:ascii="Times New Roman" w:hAnsi="Times New Roman" w:cs="Times New Roman"/>
          <w:color w:val="000000"/>
          <w:sz w:val="24"/>
          <w:szCs w:val="24"/>
        </w:rPr>
        <w:tab/>
      </w:r>
      <w:r w:rsidRPr="00D74FF1">
        <w:rPr>
          <w:rFonts w:ascii="Times New Roman" w:hAnsi="Times New Roman" w:cs="Times New Roman"/>
          <w:color w:val="000000"/>
          <w:sz w:val="24"/>
          <w:szCs w:val="24"/>
        </w:rPr>
        <w:t>„</w:t>
      </w:r>
      <w:r w:rsidRPr="00D74FF1">
        <w:rPr>
          <w:rFonts w:ascii="Times New Roman" w:hAnsi="Times New Roman" w:cs="Times New Roman"/>
          <w:color w:val="000000"/>
          <w:sz w:val="24"/>
          <w:szCs w:val="24"/>
          <w:vertAlign w:val="superscript"/>
        </w:rPr>
        <w:t>36a</w:t>
      </w:r>
      <w:r w:rsidRPr="00D74FF1">
        <w:rPr>
          <w:rFonts w:ascii="Times New Roman" w:hAnsi="Times New Roman" w:cs="Times New Roman"/>
          <w:color w:val="000000"/>
          <w:sz w:val="24"/>
          <w:szCs w:val="24"/>
        </w:rPr>
        <w:t>) Zákon č. 483/2001 Z. z. v znení neskorších predpisov.</w:t>
      </w:r>
    </w:p>
    <w:p w:rsidR="00536EC9" w:rsidRPr="00D74FF1" w:rsidP="00536EC9">
      <w:pPr>
        <w:bidi w:val="0"/>
        <w:spacing w:after="0"/>
        <w:jc w:val="both"/>
        <w:rPr>
          <w:rFonts w:ascii="Times New Roman" w:hAnsi="Times New Roman" w:cs="Times New Roman"/>
          <w:color w:val="000000"/>
          <w:sz w:val="24"/>
          <w:szCs w:val="24"/>
        </w:rPr>
      </w:pPr>
      <w:r w:rsidRPr="00D74FF1" w:rsidR="0078155E">
        <w:rPr>
          <w:rFonts w:ascii="Times New Roman" w:hAnsi="Times New Roman" w:cs="Times New Roman"/>
          <w:color w:val="000000"/>
          <w:sz w:val="24"/>
          <w:szCs w:val="24"/>
        </w:rPr>
        <w:tab/>
      </w:r>
      <w:r w:rsidRPr="00D74FF1">
        <w:rPr>
          <w:rFonts w:ascii="Times New Roman" w:hAnsi="Times New Roman" w:cs="Times New Roman"/>
          <w:color w:val="000000"/>
          <w:sz w:val="24"/>
          <w:szCs w:val="24"/>
        </w:rPr>
        <w:t>Zákon č. 566/2001 Z. z. v znení neskorších predpisov.</w:t>
      </w:r>
    </w:p>
    <w:p w:rsidR="00536EC9" w:rsidRPr="00D74FF1" w:rsidP="00536EC9">
      <w:pPr>
        <w:bidi w:val="0"/>
        <w:spacing w:after="0"/>
        <w:jc w:val="both"/>
        <w:rPr>
          <w:rFonts w:ascii="Times New Roman" w:hAnsi="Times New Roman" w:cs="Times New Roman"/>
          <w:color w:val="000000"/>
          <w:sz w:val="24"/>
          <w:szCs w:val="24"/>
        </w:rPr>
      </w:pPr>
      <w:r w:rsidRPr="00D74FF1" w:rsidR="0078155E">
        <w:rPr>
          <w:rFonts w:ascii="Times New Roman" w:hAnsi="Times New Roman" w:cs="Times New Roman"/>
          <w:color w:val="000000"/>
          <w:sz w:val="24"/>
          <w:szCs w:val="24"/>
        </w:rPr>
        <w:tab/>
      </w:r>
      <w:r w:rsidRPr="00D74FF1">
        <w:rPr>
          <w:rFonts w:ascii="Times New Roman" w:hAnsi="Times New Roman" w:cs="Times New Roman"/>
          <w:color w:val="000000"/>
          <w:sz w:val="24"/>
          <w:szCs w:val="24"/>
        </w:rPr>
        <w:t>Zákon č. 429/2002 Z. z. v znení neskorších predpisov.</w:t>
      </w:r>
    </w:p>
    <w:p w:rsidR="00536EC9" w:rsidRPr="00D74FF1" w:rsidP="00536EC9">
      <w:pPr>
        <w:bidi w:val="0"/>
        <w:spacing w:after="0"/>
        <w:jc w:val="both"/>
        <w:rPr>
          <w:rFonts w:ascii="Times New Roman" w:hAnsi="Times New Roman" w:cs="Times New Roman"/>
          <w:color w:val="000000"/>
          <w:sz w:val="24"/>
          <w:szCs w:val="24"/>
        </w:rPr>
      </w:pPr>
      <w:r w:rsidRPr="00D74FF1" w:rsidR="0078155E">
        <w:rPr>
          <w:rFonts w:ascii="Times New Roman" w:hAnsi="Times New Roman" w:cs="Times New Roman"/>
          <w:color w:val="000000"/>
          <w:sz w:val="24"/>
          <w:szCs w:val="24"/>
        </w:rPr>
        <w:tab/>
      </w:r>
      <w:r w:rsidRPr="00D74FF1">
        <w:rPr>
          <w:rFonts w:ascii="Times New Roman" w:hAnsi="Times New Roman" w:cs="Times New Roman"/>
          <w:color w:val="000000"/>
          <w:sz w:val="24"/>
          <w:szCs w:val="24"/>
        </w:rPr>
        <w:t>Zákon č. 43/2004 Z. z. v znení neskorších predpisov.</w:t>
      </w:r>
    </w:p>
    <w:p w:rsidR="00536EC9" w:rsidRPr="00D74FF1" w:rsidP="00536EC9">
      <w:pPr>
        <w:bidi w:val="0"/>
        <w:spacing w:after="0"/>
        <w:jc w:val="both"/>
        <w:rPr>
          <w:rFonts w:ascii="Times New Roman" w:hAnsi="Times New Roman" w:cs="Times New Roman"/>
          <w:color w:val="000000"/>
          <w:sz w:val="24"/>
          <w:szCs w:val="24"/>
        </w:rPr>
      </w:pPr>
      <w:r w:rsidRPr="00D74FF1" w:rsidR="0078155E">
        <w:rPr>
          <w:rFonts w:ascii="Times New Roman" w:hAnsi="Times New Roman" w:cs="Times New Roman"/>
          <w:color w:val="000000"/>
          <w:sz w:val="24"/>
          <w:szCs w:val="24"/>
        </w:rPr>
        <w:tab/>
      </w:r>
      <w:r w:rsidRPr="00D74FF1">
        <w:rPr>
          <w:rFonts w:ascii="Times New Roman" w:hAnsi="Times New Roman" w:cs="Times New Roman"/>
          <w:color w:val="000000"/>
          <w:sz w:val="24"/>
          <w:szCs w:val="24"/>
        </w:rPr>
        <w:t>Zákon č. 650/2004 Z. z. v znení neskorších predpisov.</w:t>
      </w:r>
    </w:p>
    <w:p w:rsidR="00536EC9" w:rsidRPr="00D74FF1" w:rsidP="00536EC9">
      <w:pPr>
        <w:bidi w:val="0"/>
        <w:spacing w:after="0"/>
        <w:jc w:val="both"/>
        <w:rPr>
          <w:rFonts w:ascii="Times New Roman" w:hAnsi="Times New Roman" w:cs="Times New Roman"/>
          <w:color w:val="000000"/>
          <w:sz w:val="24"/>
          <w:szCs w:val="24"/>
        </w:rPr>
      </w:pPr>
      <w:r w:rsidRPr="00D74FF1" w:rsidR="0078155E">
        <w:rPr>
          <w:rFonts w:ascii="Times New Roman" w:hAnsi="Times New Roman" w:cs="Times New Roman"/>
          <w:color w:val="000000"/>
          <w:sz w:val="24"/>
          <w:szCs w:val="24"/>
        </w:rPr>
        <w:tab/>
      </w:r>
      <w:r w:rsidRPr="00D74FF1">
        <w:rPr>
          <w:rFonts w:ascii="Times New Roman" w:hAnsi="Times New Roman" w:cs="Times New Roman"/>
          <w:color w:val="000000"/>
          <w:sz w:val="24"/>
          <w:szCs w:val="24"/>
        </w:rPr>
        <w:t>Zákon č. 203/2011 Z. z v znení neskorších predpisov.</w:t>
      </w:r>
    </w:p>
    <w:p w:rsidR="00536EC9" w:rsidRPr="00D74FF1" w:rsidP="00536EC9">
      <w:pPr>
        <w:bidi w:val="0"/>
        <w:spacing w:after="0"/>
        <w:jc w:val="both"/>
        <w:rPr>
          <w:rFonts w:ascii="Times New Roman" w:hAnsi="Times New Roman" w:cs="Times New Roman"/>
          <w:color w:val="000000"/>
          <w:sz w:val="24"/>
          <w:szCs w:val="24"/>
        </w:rPr>
      </w:pPr>
      <w:r w:rsidRPr="00D74FF1" w:rsidR="0078155E">
        <w:rPr>
          <w:rFonts w:ascii="Times New Roman" w:hAnsi="Times New Roman" w:cs="Times New Roman"/>
          <w:color w:val="000000"/>
          <w:sz w:val="24"/>
          <w:szCs w:val="24"/>
        </w:rPr>
        <w:tab/>
      </w:r>
      <w:r w:rsidRPr="00D74FF1">
        <w:rPr>
          <w:rFonts w:ascii="Times New Roman" w:hAnsi="Times New Roman" w:cs="Times New Roman"/>
          <w:color w:val="000000"/>
          <w:sz w:val="24"/>
          <w:szCs w:val="24"/>
        </w:rPr>
        <w:t xml:space="preserve">Zákon č. 39/2015 Z. z. o poisťovníctve a o zmene a doplnení niektorých zákonov </w:t>
      </w:r>
      <w:r w:rsidRPr="00D74FF1" w:rsidR="0078155E">
        <w:rPr>
          <w:rFonts w:ascii="Times New Roman" w:hAnsi="Times New Roman" w:cs="Times New Roman"/>
          <w:color w:val="000000"/>
          <w:sz w:val="24"/>
          <w:szCs w:val="24"/>
        </w:rPr>
        <w:tab/>
      </w:r>
      <w:r w:rsidRPr="00D74FF1">
        <w:rPr>
          <w:rFonts w:ascii="Times New Roman" w:hAnsi="Times New Roman" w:cs="Times New Roman"/>
          <w:color w:val="000000"/>
          <w:sz w:val="24"/>
          <w:szCs w:val="24"/>
        </w:rPr>
        <w:t>v znení neskorších predpisov.“.</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36EC9">
      <w:pPr>
        <w:pStyle w:val="ListParagraph"/>
        <w:numPr>
          <w:numId w:val="7"/>
        </w:numPr>
        <w:bidi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37 ods. 2 písm. e) sa slová „v podielovom fonde</w:t>
      </w:r>
      <w:r w:rsidRPr="00D74FF1">
        <w:rPr>
          <w:rFonts w:ascii="Times New Roman" w:hAnsi="Times New Roman" w:cs="Times New Roman"/>
          <w:color w:val="000000"/>
          <w:sz w:val="24"/>
          <w:szCs w:val="24"/>
          <w:vertAlign w:val="superscript"/>
        </w:rPr>
        <w:t>46</w:t>
      </w:r>
      <w:r w:rsidRPr="00D74FF1">
        <w:rPr>
          <w:rFonts w:ascii="Times New Roman" w:hAnsi="Times New Roman" w:cs="Times New Roman"/>
          <w:color w:val="000000"/>
          <w:sz w:val="24"/>
          <w:szCs w:val="24"/>
        </w:rPr>
        <w:t>)“ nahrádzajú slovami „vo fonde</w:t>
      </w:r>
      <w:r w:rsidRPr="00D74FF1">
        <w:rPr>
          <w:rFonts w:ascii="Times New Roman" w:hAnsi="Times New Roman" w:cs="Times New Roman"/>
          <w:color w:val="000000"/>
          <w:sz w:val="24"/>
          <w:szCs w:val="24"/>
          <w:vertAlign w:val="superscript"/>
        </w:rPr>
        <w:t>46</w:t>
      </w:r>
      <w:r w:rsidRPr="00D74FF1">
        <w:rPr>
          <w:rFonts w:ascii="Times New Roman" w:hAnsi="Times New Roman" w:cs="Times New Roman"/>
          <w:color w:val="000000"/>
          <w:sz w:val="24"/>
          <w:szCs w:val="24"/>
        </w:rPr>
        <w:t>),“.</w:t>
      </w:r>
    </w:p>
    <w:p w:rsidR="00536EC9" w:rsidRPr="00D74FF1" w:rsidP="00536EC9">
      <w:pPr>
        <w:bidi w:val="0"/>
        <w:spacing w:after="0"/>
        <w:jc w:val="both"/>
        <w:rPr>
          <w:rFonts w:ascii="Times New Roman" w:hAnsi="Times New Roman" w:cs="Times New Roman"/>
          <w:color w:val="000000"/>
          <w:sz w:val="24"/>
          <w:szCs w:val="24"/>
        </w:rPr>
      </w:pPr>
    </w:p>
    <w:p w:rsidR="00536EC9" w:rsidRPr="00D74FF1" w:rsidP="00536EC9">
      <w:pPr>
        <w:numPr>
          <w:numId w:val="7"/>
        </w:numPr>
        <w:tabs>
          <w:tab w:val="left" w:pos="0"/>
        </w:tabs>
        <w:bidi w:val="0"/>
        <w:spacing w:after="0" w:line="240" w:lineRule="auto"/>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37 sa dopĺňa odsekmi 4 až 7, ktoré znejú:</w:t>
      </w:r>
    </w:p>
    <w:p w:rsidR="00536EC9" w:rsidRPr="00D74FF1" w:rsidP="00536EC9">
      <w:pPr>
        <w:tabs>
          <w:tab w:val="left" w:pos="0"/>
        </w:tabs>
        <w:bidi w:val="0"/>
        <w:spacing w:after="0"/>
        <w:ind w:firstLine="36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„(4)   Národná banka Slovenska na svojom webovom sídle zverejňuje v osobitnej a užívateľsky ľahko prístupnej časti informácie týkajúce sa prijímania správ o porušeniach, a to najmenej v rozsahu: </w:t>
      </w:r>
    </w:p>
    <w:p w:rsidR="00536EC9" w:rsidRPr="00D74FF1" w:rsidP="00536EC9">
      <w:pPr>
        <w:pStyle w:val="ListParagraph"/>
        <w:numPr>
          <w:numId w:val="18"/>
        </w:numPr>
        <w:bidi w:val="0"/>
        <w:spacing w:after="0" w:line="240" w:lineRule="auto"/>
        <w:contextualSpacing/>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informácií o osobitných prostriedkoch komunikácie určených na prijímanie a skúmanie správ o porušeniach,</w:t>
      </w:r>
    </w:p>
    <w:p w:rsidR="00536EC9" w:rsidRPr="00D74FF1" w:rsidP="00536EC9">
      <w:pPr>
        <w:pStyle w:val="ListParagraph"/>
        <w:numPr>
          <w:numId w:val="18"/>
        </w:numPr>
        <w:bidi w:val="0"/>
        <w:spacing w:after="0" w:line="240" w:lineRule="auto"/>
        <w:contextualSpacing/>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 kontaktu na špecializovaného zamestnanca na spracovanie správ o porušeniach (ďalej len „špecializovaný zamestnanec“), vrátane uvedenia </w:t>
      </w:r>
    </w:p>
    <w:p w:rsidR="00536EC9" w:rsidRPr="00D74FF1" w:rsidP="00536EC9">
      <w:pPr>
        <w:bidi w:val="0"/>
        <w:spacing w:after="0"/>
        <w:ind w:left="993" w:hanging="284"/>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1. telefónneho čísla, pričom sa uvedie, či sa pri použití tejto telefónnej linky rozhovor zaznamenáva alebo nezaznamenáva,</w:t>
      </w:r>
    </w:p>
    <w:p w:rsidR="00536EC9" w:rsidRPr="00D74FF1" w:rsidP="00536EC9">
      <w:pPr>
        <w:bidi w:val="0"/>
        <w:spacing w:after="0"/>
        <w:ind w:left="851" w:hanging="567"/>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       2. osobitných prostriedkov komunikácie podľa § 38b a poštových adries, ktoré sú bezpečné a zaručujú dôvernosť údajov,   </w:t>
      </w:r>
    </w:p>
    <w:p w:rsidR="00536EC9" w:rsidRPr="00D74FF1" w:rsidP="00536EC9">
      <w:pPr>
        <w:tabs>
          <w:tab w:val="left" w:pos="-709"/>
        </w:tabs>
        <w:bidi w:val="0"/>
        <w:spacing w:after="0"/>
        <w:ind w:left="709" w:hanging="283"/>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c)  postupov pri podávaní správ o porušeniach, vrátane informácie, že správu možno podať aj anonymne,</w:t>
      </w:r>
    </w:p>
    <w:p w:rsidR="00536EC9" w:rsidRPr="00D74FF1" w:rsidP="00536EC9">
      <w:pPr>
        <w:tabs>
          <w:tab w:val="left" w:pos="709"/>
        </w:tabs>
        <w:bidi w:val="0"/>
        <w:spacing w:after="0"/>
        <w:ind w:left="709" w:hanging="349"/>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 d)  režimu dôvernosti údajov, ktorý sa vzťahuje na správy o porušeniach, </w:t>
      </w:r>
    </w:p>
    <w:p w:rsidR="00536EC9" w:rsidRPr="00D74FF1" w:rsidP="00536EC9">
      <w:pPr>
        <w:tabs>
          <w:tab w:val="left" w:pos="0"/>
        </w:tabs>
        <w:bidi w:val="0"/>
        <w:spacing w:after="0"/>
        <w:ind w:firstLine="36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 e)  postupov na ochranu osôb pracujúcich na základe pracovnej zmluvy,</w:t>
      </w:r>
    </w:p>
    <w:p w:rsidR="00536EC9" w:rsidRPr="00D74FF1" w:rsidP="00536EC9">
      <w:pPr>
        <w:tabs>
          <w:tab w:val="left" w:pos="709"/>
        </w:tabs>
        <w:bidi w:val="0"/>
        <w:spacing w:after="0"/>
        <w:ind w:left="709" w:hanging="283"/>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f)  vyhlásenia o tom, že </w:t>
      </w:r>
      <w:r w:rsidRPr="00D74FF1" w:rsidR="00955BD5">
        <w:rPr>
          <w:rFonts w:ascii="Times New Roman" w:hAnsi="Times New Roman" w:cs="Times New Roman"/>
          <w:bCs/>
          <w:color w:val="000000"/>
          <w:sz w:val="24"/>
          <w:szCs w:val="24"/>
        </w:rPr>
        <w:t xml:space="preserve">nahlasujúce </w:t>
      </w:r>
      <w:r w:rsidRPr="00D74FF1">
        <w:rPr>
          <w:rFonts w:ascii="Times New Roman" w:hAnsi="Times New Roman" w:cs="Times New Roman"/>
          <w:bCs/>
          <w:color w:val="000000"/>
          <w:sz w:val="24"/>
          <w:szCs w:val="24"/>
        </w:rPr>
        <w:t>osoby, ktoré sprístupnia informácie Národnej banke Slovenska v súlade s týmto zákonom a osobitnými predpismi</w:t>
      </w:r>
      <w:r w:rsidRPr="00D74FF1">
        <w:rPr>
          <w:rFonts w:ascii="Times New Roman" w:hAnsi="Times New Roman" w:cs="Times New Roman"/>
          <w:bCs/>
          <w:color w:val="000000"/>
          <w:sz w:val="24"/>
          <w:szCs w:val="24"/>
          <w:vertAlign w:val="superscript"/>
        </w:rPr>
        <w:t>1</w:t>
      </w:r>
      <w:r w:rsidRPr="00D74FF1">
        <w:rPr>
          <w:rFonts w:ascii="Times New Roman" w:hAnsi="Times New Roman" w:cs="Times New Roman"/>
          <w:bCs/>
          <w:color w:val="000000"/>
          <w:sz w:val="24"/>
          <w:szCs w:val="24"/>
        </w:rPr>
        <w:t>), ktoré sa vzťahujú na dohliadané subjekty, sa nepovažujú za osoby porušujúce obmedzenia týkajúce sa zverejňovania informácií uložené zmluvou alebo všeobecne záväznými právnymi predpismi a nenesú žiadnu zodpovednosť spojenú s takýmto oznámením.</w:t>
      </w:r>
    </w:p>
    <w:p w:rsidR="00536EC9" w:rsidRPr="00D74FF1" w:rsidP="00536EC9">
      <w:pPr>
        <w:tabs>
          <w:tab w:val="left" w:pos="709"/>
        </w:tabs>
        <w:bidi w:val="0"/>
        <w:spacing w:after="0"/>
        <w:ind w:left="709" w:hanging="283"/>
        <w:jc w:val="both"/>
        <w:rPr>
          <w:rFonts w:ascii="Times New Roman" w:hAnsi="Times New Roman" w:cs="Times New Roman"/>
          <w:bCs/>
          <w:color w:val="000000"/>
          <w:sz w:val="24"/>
          <w:szCs w:val="24"/>
        </w:rPr>
      </w:pPr>
    </w:p>
    <w:p w:rsidR="00536EC9" w:rsidRPr="00D74FF1" w:rsidP="00536EC9">
      <w:pPr>
        <w:pStyle w:val="ListParagraph"/>
        <w:tabs>
          <w:tab w:val="left" w:pos="0"/>
        </w:tabs>
        <w:bidi w:val="0"/>
        <w:spacing w:after="0"/>
        <w:ind w:left="36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(5) Nahlasujúcou osobou sa rozumie fyzická osoba alebo právnická osoba, ktorá nahlasuje porušenie alebo možné porušenie osobitných predpisov.</w:t>
      </w:r>
      <w:r w:rsidRPr="00D74FF1">
        <w:rPr>
          <w:rFonts w:ascii="Times New Roman" w:hAnsi="Times New Roman" w:cs="Times New Roman"/>
          <w:bCs/>
          <w:color w:val="000000"/>
          <w:sz w:val="24"/>
          <w:szCs w:val="24"/>
          <w:vertAlign w:val="superscript"/>
        </w:rPr>
        <w:t>1</w:t>
      </w:r>
      <w:r w:rsidRPr="00D74FF1">
        <w:rPr>
          <w:rFonts w:ascii="Times New Roman" w:hAnsi="Times New Roman" w:cs="Times New Roman"/>
          <w:bCs/>
          <w:color w:val="000000"/>
          <w:sz w:val="24"/>
          <w:szCs w:val="24"/>
        </w:rPr>
        <w:t xml:space="preserve">)   </w:t>
      </w:r>
    </w:p>
    <w:p w:rsidR="00536EC9" w:rsidRPr="00D74FF1" w:rsidP="00536EC9">
      <w:pPr>
        <w:pStyle w:val="ListParagraph"/>
        <w:tabs>
          <w:tab w:val="left" w:pos="0"/>
        </w:tabs>
        <w:bidi w:val="0"/>
        <w:spacing w:after="0"/>
        <w:ind w:left="360"/>
        <w:jc w:val="both"/>
        <w:rPr>
          <w:rFonts w:ascii="Times New Roman" w:hAnsi="Times New Roman" w:cs="Times New Roman"/>
          <w:bCs/>
          <w:color w:val="000000"/>
          <w:sz w:val="24"/>
          <w:szCs w:val="24"/>
        </w:rPr>
      </w:pPr>
    </w:p>
    <w:p w:rsidR="00536EC9" w:rsidRPr="00D74FF1" w:rsidP="00536EC9">
      <w:pPr>
        <w:pStyle w:val="ListParagraph"/>
        <w:tabs>
          <w:tab w:val="left" w:pos="0"/>
        </w:tabs>
        <w:bidi w:val="0"/>
        <w:spacing w:after="0"/>
        <w:ind w:left="36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(6) Nahlásenou osobou sa rozumie dohliadaný subjekt a osoba, na ktorú sa vzťahuje osobitný predpis,</w:t>
      </w:r>
      <w:r w:rsidRPr="00D74FF1">
        <w:rPr>
          <w:rFonts w:ascii="Times New Roman" w:hAnsi="Times New Roman" w:cs="Times New Roman"/>
          <w:bCs/>
          <w:color w:val="000000"/>
          <w:sz w:val="24"/>
          <w:szCs w:val="24"/>
          <w:vertAlign w:val="superscript"/>
        </w:rPr>
        <w:t>47a</w:t>
      </w:r>
      <w:r w:rsidRPr="00D74FF1">
        <w:rPr>
          <w:rFonts w:ascii="Times New Roman" w:hAnsi="Times New Roman" w:cs="Times New Roman"/>
          <w:bCs/>
          <w:color w:val="000000"/>
          <w:sz w:val="24"/>
          <w:szCs w:val="24"/>
        </w:rPr>
        <w:t>) o ktorom podala správu  o porušení nahlasujúca osoba, že sa tento subjekt dopustil alebo má úmysel dopustiť porušenia osobitných predpisov</w:t>
      </w:r>
      <w:r w:rsidRPr="00D74FF1">
        <w:rPr>
          <w:rFonts w:ascii="Times New Roman" w:hAnsi="Times New Roman" w:cs="Times New Roman"/>
          <w:bCs/>
          <w:color w:val="000000"/>
          <w:sz w:val="24"/>
          <w:szCs w:val="24"/>
          <w:vertAlign w:val="superscript"/>
        </w:rPr>
        <w:t>1</w:t>
      </w:r>
      <w:r w:rsidRPr="00D74FF1">
        <w:rPr>
          <w:rFonts w:ascii="Times New Roman" w:hAnsi="Times New Roman" w:cs="Times New Roman"/>
          <w:bCs/>
          <w:color w:val="000000"/>
          <w:sz w:val="24"/>
          <w:szCs w:val="24"/>
        </w:rPr>
        <w:t xml:space="preserve">) alebo osobitných predpisov, ktoré sa vzťahujú na dohliadané subjekty alebo na ich činnosti.  </w:t>
      </w:r>
    </w:p>
    <w:p w:rsidR="00536EC9" w:rsidRPr="00D74FF1" w:rsidP="00536EC9">
      <w:pPr>
        <w:pStyle w:val="ListParagraph"/>
        <w:tabs>
          <w:tab w:val="left" w:pos="0"/>
        </w:tabs>
        <w:bidi w:val="0"/>
        <w:spacing w:after="0"/>
        <w:ind w:left="360"/>
        <w:jc w:val="both"/>
        <w:rPr>
          <w:rFonts w:ascii="Times New Roman" w:hAnsi="Times New Roman" w:cs="Times New Roman"/>
          <w:bCs/>
          <w:color w:val="000000"/>
          <w:sz w:val="24"/>
          <w:szCs w:val="24"/>
        </w:rPr>
      </w:pPr>
    </w:p>
    <w:p w:rsidR="00536EC9" w:rsidRPr="00D74FF1" w:rsidP="00536EC9">
      <w:pPr>
        <w:pStyle w:val="ListParagraph"/>
        <w:tabs>
          <w:tab w:val="left" w:pos="0"/>
        </w:tabs>
        <w:bidi w:val="0"/>
        <w:spacing w:after="0"/>
        <w:ind w:left="36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(7) Správou o porušení sa rozumie správa o porušení povinností dohliadaných subjektov týkajúca sa skutočného alebo možného porušenia osobitných predpisov</w:t>
      </w:r>
      <w:r w:rsidRPr="00D74FF1">
        <w:rPr>
          <w:rFonts w:ascii="Times New Roman" w:hAnsi="Times New Roman" w:cs="Times New Roman"/>
          <w:bCs/>
          <w:color w:val="000000"/>
          <w:sz w:val="24"/>
          <w:szCs w:val="24"/>
          <w:vertAlign w:val="superscript"/>
        </w:rPr>
        <w:t>1</w:t>
      </w:r>
      <w:r w:rsidRPr="00D74FF1">
        <w:rPr>
          <w:rFonts w:ascii="Times New Roman" w:hAnsi="Times New Roman" w:cs="Times New Roman"/>
          <w:bCs/>
          <w:color w:val="000000"/>
          <w:sz w:val="24"/>
          <w:szCs w:val="24"/>
        </w:rPr>
        <w:t xml:space="preserve">) alebo osobitných predpisov, ktoré sa vzťahujú na dohliadané subjekty alebo na ich činnosti predložená Národnej banke Slovenska nahlasujúcou osobou.“. </w:t>
      </w:r>
    </w:p>
    <w:p w:rsidR="00536EC9" w:rsidRPr="00D74FF1" w:rsidP="00536EC9">
      <w:pPr>
        <w:tabs>
          <w:tab w:val="left" w:pos="0"/>
        </w:tabs>
        <w:bidi w:val="0"/>
        <w:spacing w:after="0"/>
        <w:rPr>
          <w:rFonts w:ascii="Times New Roman" w:hAnsi="Times New Roman" w:cs="Times New Roman"/>
          <w:bCs/>
          <w:color w:val="000000"/>
          <w:sz w:val="24"/>
          <w:szCs w:val="24"/>
        </w:rPr>
      </w:pPr>
    </w:p>
    <w:p w:rsidR="0078155E" w:rsidRPr="00D74FF1" w:rsidP="00536EC9">
      <w:pPr>
        <w:tabs>
          <w:tab w:val="left" w:pos="0"/>
        </w:tabs>
        <w:bidi w:val="0"/>
        <w:spacing w:after="0"/>
        <w:rPr>
          <w:rFonts w:ascii="Times New Roman" w:hAnsi="Times New Roman" w:cs="Times New Roman"/>
          <w:bCs/>
          <w:color w:val="000000"/>
          <w:sz w:val="24"/>
          <w:szCs w:val="24"/>
        </w:rPr>
      </w:pPr>
    </w:p>
    <w:p w:rsidR="0078155E" w:rsidRPr="00D74FF1" w:rsidP="00536EC9">
      <w:pPr>
        <w:tabs>
          <w:tab w:val="left" w:pos="0"/>
        </w:tabs>
        <w:bidi w:val="0"/>
        <w:spacing w:after="0"/>
        <w:rPr>
          <w:rFonts w:ascii="Times New Roman" w:hAnsi="Times New Roman" w:cs="Times New Roman"/>
          <w:bCs/>
          <w:color w:val="000000"/>
          <w:sz w:val="24"/>
          <w:szCs w:val="24"/>
        </w:rPr>
      </w:pPr>
    </w:p>
    <w:p w:rsidR="0078155E" w:rsidRPr="00D74FF1" w:rsidP="00536EC9">
      <w:pPr>
        <w:tabs>
          <w:tab w:val="left" w:pos="0"/>
        </w:tabs>
        <w:bidi w:val="0"/>
        <w:spacing w:after="0"/>
        <w:rPr>
          <w:rFonts w:ascii="Times New Roman" w:hAnsi="Times New Roman" w:cs="Times New Roman"/>
          <w:bCs/>
          <w:color w:val="000000"/>
          <w:sz w:val="24"/>
          <w:szCs w:val="24"/>
        </w:rPr>
      </w:pPr>
    </w:p>
    <w:p w:rsidR="00536EC9" w:rsidRPr="00D74FF1" w:rsidP="00536EC9">
      <w:pPr>
        <w:numPr>
          <w:numId w:val="7"/>
        </w:numPr>
        <w:tabs>
          <w:tab w:val="left" w:pos="0"/>
        </w:tabs>
        <w:bidi w:val="0"/>
        <w:spacing w:after="0" w:line="240" w:lineRule="auto"/>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Za § 38 sa vkladajú § 38a až 38f, ktoré vrátane nadpisov znejú: </w:t>
      </w:r>
    </w:p>
    <w:p w:rsidR="00536EC9" w:rsidRPr="00D74FF1" w:rsidP="00536EC9">
      <w:pPr>
        <w:tabs>
          <w:tab w:val="left" w:pos="0"/>
          <w:tab w:val="left" w:pos="1140"/>
        </w:tabs>
        <w:bidi w:val="0"/>
        <w:spacing w:after="0"/>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ab/>
      </w:r>
    </w:p>
    <w:p w:rsidR="00536EC9" w:rsidRPr="00D74FF1" w:rsidP="00536EC9">
      <w:pPr>
        <w:tabs>
          <w:tab w:val="left" w:pos="0"/>
        </w:tabs>
        <w:bidi w:val="0"/>
        <w:spacing w:after="0"/>
        <w:jc w:val="center"/>
        <w:rPr>
          <w:rFonts w:ascii="Times New Roman" w:hAnsi="Times New Roman" w:cs="Times New Roman"/>
          <w:b/>
          <w:bCs/>
          <w:color w:val="000000"/>
          <w:sz w:val="24"/>
          <w:szCs w:val="24"/>
        </w:rPr>
      </w:pPr>
      <w:r w:rsidRPr="00D74FF1">
        <w:rPr>
          <w:rFonts w:ascii="Times New Roman" w:hAnsi="Times New Roman" w:cs="Times New Roman"/>
          <w:b/>
          <w:bCs/>
          <w:color w:val="000000"/>
          <w:sz w:val="24"/>
          <w:szCs w:val="24"/>
        </w:rPr>
        <w:t>„§ 38a</w:t>
      </w:r>
    </w:p>
    <w:p w:rsidR="00536EC9" w:rsidRPr="00D74FF1" w:rsidP="00536EC9">
      <w:pPr>
        <w:tabs>
          <w:tab w:val="left" w:pos="0"/>
        </w:tabs>
        <w:bidi w:val="0"/>
        <w:spacing w:after="0"/>
        <w:jc w:val="center"/>
        <w:rPr>
          <w:rFonts w:ascii="Times New Roman" w:hAnsi="Times New Roman" w:cs="Times New Roman"/>
          <w:b/>
          <w:bCs/>
          <w:color w:val="000000"/>
          <w:sz w:val="24"/>
          <w:szCs w:val="24"/>
        </w:rPr>
      </w:pPr>
      <w:r w:rsidRPr="00D74FF1">
        <w:rPr>
          <w:rFonts w:ascii="Times New Roman" w:hAnsi="Times New Roman" w:cs="Times New Roman"/>
          <w:b/>
          <w:bCs/>
          <w:color w:val="000000"/>
          <w:sz w:val="24"/>
          <w:szCs w:val="24"/>
        </w:rPr>
        <w:t>Postupy prijímania správ o porušeniach</w:t>
      </w:r>
    </w:p>
    <w:p w:rsidR="00536EC9" w:rsidRPr="00D74FF1" w:rsidP="00536EC9">
      <w:pPr>
        <w:tabs>
          <w:tab w:val="left" w:pos="0"/>
        </w:tabs>
        <w:bidi w:val="0"/>
        <w:spacing w:after="0"/>
        <w:rPr>
          <w:rFonts w:ascii="Times New Roman" w:hAnsi="Times New Roman" w:cs="Times New Roman"/>
          <w:bCs/>
          <w:color w:val="000000"/>
          <w:sz w:val="24"/>
          <w:szCs w:val="24"/>
        </w:rPr>
      </w:pP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            (1) Národná banka Slovenska zavedie postupy na umožnenie nahlasovania správ o porušeniach, ktoré upravia</w:t>
      </w:r>
    </w:p>
    <w:p w:rsidR="00536EC9" w:rsidRPr="00D74FF1" w:rsidP="00536EC9">
      <w:pPr>
        <w:tabs>
          <w:tab w:val="left" w:pos="-709"/>
        </w:tabs>
        <w:bidi w:val="0"/>
        <w:spacing w:after="0"/>
        <w:ind w:left="-567" w:firstLine="567"/>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            a)  spôsob podávania správ o porušeniach, vrátane možnosti podať ich aj anonymne,</w:t>
      </w:r>
    </w:p>
    <w:p w:rsidR="00536EC9" w:rsidRPr="00D74FF1" w:rsidP="00536EC9">
      <w:pPr>
        <w:tabs>
          <w:tab w:val="left" w:pos="993"/>
        </w:tabs>
        <w:bidi w:val="0"/>
        <w:spacing w:after="0"/>
        <w:ind w:left="993" w:hanging="851"/>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          b) spôsob, akým môže Národná banka Slovenska požadovať od nahlasujúcej osoby, aby objasnila nahlásené informácie alebo poskytla doplňujúce informácie, ktoré má nahlasujúca osoba k dispozícii,</w:t>
      </w:r>
    </w:p>
    <w:p w:rsidR="00536EC9" w:rsidRPr="00D74FF1" w:rsidP="00536EC9">
      <w:pPr>
        <w:tabs>
          <w:tab w:val="left" w:pos="993"/>
        </w:tabs>
        <w:bidi w:val="0"/>
        <w:spacing w:after="0"/>
        <w:ind w:left="993" w:hanging="993"/>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            c) druh, obsah a časový harmonogram spätnej väzby týkajúcej sa výsledku správy o porušeniach, ktorú môže nahlasujúca osoba očakávať po nahlásení, </w:t>
      </w:r>
    </w:p>
    <w:p w:rsidR="00536EC9" w:rsidRPr="00D74FF1" w:rsidP="00536EC9">
      <w:pPr>
        <w:tabs>
          <w:tab w:val="left" w:pos="1134"/>
        </w:tabs>
        <w:bidi w:val="0"/>
        <w:spacing w:after="0"/>
        <w:ind w:left="993" w:hanging="567"/>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     d) režim dôvernosti údajov a ochrany osobných údajov,</w:t>
      </w:r>
      <w:r w:rsidRPr="00D74FF1">
        <w:rPr>
          <w:rFonts w:ascii="Times New Roman" w:hAnsi="Times New Roman" w:cs="Times New Roman"/>
          <w:bCs/>
          <w:color w:val="000000"/>
          <w:sz w:val="24"/>
          <w:szCs w:val="24"/>
          <w:vertAlign w:val="superscript"/>
        </w:rPr>
        <w:t>47c</w:t>
      </w:r>
      <w:r w:rsidRPr="00D74FF1">
        <w:rPr>
          <w:rFonts w:ascii="Times New Roman" w:hAnsi="Times New Roman" w:cs="Times New Roman"/>
          <w:bCs/>
          <w:color w:val="000000"/>
          <w:sz w:val="24"/>
          <w:szCs w:val="24"/>
        </w:rPr>
        <w:t>) ktorý sa vzťahuje na správy o porušeniach, vrátane podrobného opisu okolností, za ktorých sa môžu dôverné údaje nahlasujúcej osoby sprístupniť podľa osobitného predpisu</w:t>
      </w:r>
      <w:r w:rsidRPr="00D74FF1">
        <w:rPr>
          <w:rFonts w:ascii="Times New Roman" w:hAnsi="Times New Roman" w:cs="Times New Roman"/>
          <w:bCs/>
          <w:color w:val="000000"/>
          <w:sz w:val="24"/>
          <w:szCs w:val="24"/>
          <w:vertAlign w:val="superscript"/>
        </w:rPr>
        <w:t>47b</w:t>
      </w:r>
      <w:r w:rsidRPr="00D74FF1">
        <w:rPr>
          <w:rFonts w:ascii="Times New Roman" w:hAnsi="Times New Roman" w:cs="Times New Roman"/>
          <w:bCs/>
          <w:color w:val="000000"/>
          <w:sz w:val="24"/>
          <w:szCs w:val="24"/>
        </w:rPr>
        <w:t xml:space="preserve">) a informovanie nahlasujúcej osoby o výnimočných okolnostiach, pri ktorých nemôže byť zabezpečená dôvernosť údajov vrátane okolností, keď je zverejnenie údajov nevyhnutnou a primeranou povinnosťou, ktorá sa vyžaduje podľa osobitných predpisov v súvislosti s vyšetrovaním, konaním pred súdom alebo v záujme ochrany slobôd iných vrátane práva na obhajobu nahlásenej osoby, pričom sa uplatňujú ochranné opatrenia podľa týchto osobitných predpisov. </w:t>
      </w:r>
    </w:p>
    <w:p w:rsidR="00536EC9" w:rsidRPr="00D74FF1" w:rsidP="00536EC9">
      <w:pPr>
        <w:tabs>
          <w:tab w:val="left" w:pos="0"/>
        </w:tabs>
        <w:bidi w:val="0"/>
        <w:spacing w:after="0"/>
        <w:rPr>
          <w:rFonts w:ascii="Times New Roman" w:hAnsi="Times New Roman" w:cs="Times New Roman"/>
          <w:bCs/>
          <w:color w:val="000000"/>
          <w:sz w:val="24"/>
          <w:szCs w:val="24"/>
        </w:rPr>
      </w:pP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           (2) Národná banka Slovenska určí jedného špecializovaného zamestnanca alebo viacerých špecializovaných zamestnancov. Špecializovaný zamestnanec absolvuje odbornú prípravu na účely spracovania správ o porušeniach. </w:t>
      </w:r>
    </w:p>
    <w:p w:rsidR="00536EC9" w:rsidRPr="00D74FF1" w:rsidP="00536EC9">
      <w:pPr>
        <w:tabs>
          <w:tab w:val="left" w:pos="0"/>
        </w:tabs>
        <w:bidi w:val="0"/>
        <w:spacing w:after="0"/>
        <w:jc w:val="both"/>
        <w:rPr>
          <w:rFonts w:ascii="Times New Roman" w:hAnsi="Times New Roman" w:cs="Times New Roman"/>
          <w:bCs/>
          <w:color w:val="000000"/>
          <w:sz w:val="24"/>
          <w:szCs w:val="24"/>
        </w:rPr>
      </w:pP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ab/>
        <w:t xml:space="preserve">(3) Špecializovaný zamestnanec </w:t>
      </w:r>
    </w:p>
    <w:p w:rsidR="00536EC9" w:rsidRPr="00D74FF1" w:rsidP="00536EC9">
      <w:pPr>
        <w:tabs>
          <w:tab w:val="left" w:pos="284"/>
        </w:tabs>
        <w:bidi w:val="0"/>
        <w:spacing w:after="0"/>
        <w:ind w:left="284" w:hanging="284"/>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a) poskytuje všetkým zainteresovaným osobám informácie o postupoch na nahlasovanie porušení,</w:t>
      </w: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b) prijíma a preskúmava správy o porušeniach,</w:t>
      </w: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c) udržiava kontakt s nahlasujúcou osobou, ak sa táto osoba identifikovala. </w:t>
      </w:r>
    </w:p>
    <w:p w:rsidR="00536EC9" w:rsidRPr="00D74FF1" w:rsidP="00536EC9">
      <w:pPr>
        <w:tabs>
          <w:tab w:val="left" w:pos="0"/>
        </w:tabs>
        <w:bidi w:val="0"/>
        <w:spacing w:after="0"/>
        <w:rPr>
          <w:rFonts w:ascii="Times New Roman" w:hAnsi="Times New Roman" w:cs="Times New Roman"/>
          <w:bCs/>
          <w:color w:val="000000"/>
          <w:sz w:val="24"/>
          <w:szCs w:val="24"/>
        </w:rPr>
      </w:pPr>
    </w:p>
    <w:p w:rsidR="00536EC9" w:rsidRPr="00D74FF1" w:rsidP="00536EC9">
      <w:pPr>
        <w:tabs>
          <w:tab w:val="left" w:pos="0"/>
        </w:tabs>
        <w:bidi w:val="0"/>
        <w:spacing w:after="0"/>
        <w:jc w:val="center"/>
        <w:rPr>
          <w:rFonts w:ascii="Times New Roman" w:hAnsi="Times New Roman" w:cs="Times New Roman"/>
          <w:b/>
          <w:bCs/>
          <w:color w:val="000000"/>
          <w:sz w:val="24"/>
          <w:szCs w:val="24"/>
        </w:rPr>
      </w:pPr>
      <w:r w:rsidRPr="00D74FF1">
        <w:rPr>
          <w:rFonts w:ascii="Times New Roman" w:hAnsi="Times New Roman" w:cs="Times New Roman"/>
          <w:b/>
          <w:bCs/>
          <w:color w:val="000000"/>
          <w:sz w:val="24"/>
          <w:szCs w:val="24"/>
        </w:rPr>
        <w:t>§ 38b</w:t>
      </w:r>
    </w:p>
    <w:p w:rsidR="00536EC9" w:rsidRPr="00D74FF1" w:rsidP="00536EC9">
      <w:pPr>
        <w:tabs>
          <w:tab w:val="left" w:pos="709"/>
        </w:tabs>
        <w:bidi w:val="0"/>
        <w:spacing w:after="0"/>
        <w:ind w:left="709" w:hanging="283"/>
        <w:jc w:val="center"/>
        <w:rPr>
          <w:rFonts w:ascii="Times New Roman" w:hAnsi="Times New Roman" w:cs="Times New Roman"/>
          <w:b/>
          <w:bCs/>
          <w:color w:val="000000"/>
          <w:sz w:val="24"/>
          <w:szCs w:val="24"/>
        </w:rPr>
      </w:pPr>
      <w:r w:rsidRPr="00D74FF1">
        <w:rPr>
          <w:rFonts w:ascii="Times New Roman" w:hAnsi="Times New Roman" w:cs="Times New Roman"/>
          <w:b/>
          <w:bCs/>
          <w:color w:val="000000"/>
          <w:sz w:val="24"/>
          <w:szCs w:val="24"/>
        </w:rPr>
        <w:t>Osobitné prostriedky komunikácie</w:t>
      </w:r>
    </w:p>
    <w:p w:rsidR="00536EC9" w:rsidRPr="00D74FF1" w:rsidP="00536EC9">
      <w:pPr>
        <w:tabs>
          <w:tab w:val="left" w:pos="0"/>
        </w:tabs>
        <w:bidi w:val="0"/>
        <w:spacing w:after="0"/>
        <w:jc w:val="both"/>
        <w:rPr>
          <w:rFonts w:ascii="Times New Roman" w:hAnsi="Times New Roman" w:cs="Times New Roman"/>
          <w:bCs/>
          <w:color w:val="000000"/>
          <w:sz w:val="24"/>
          <w:szCs w:val="24"/>
        </w:rPr>
      </w:pP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ab/>
        <w:t>(1) Národná banka Slovenska určí na prijímanie a skúmanie správ o porušeniach osobitné</w:t>
      </w:r>
      <w:r w:rsidRPr="00D74FF1">
        <w:rPr>
          <w:rFonts w:ascii="Times New Roman" w:hAnsi="Times New Roman" w:cs="Times New Roman"/>
          <w:b/>
          <w:bCs/>
          <w:color w:val="000000"/>
          <w:sz w:val="24"/>
          <w:szCs w:val="24"/>
        </w:rPr>
        <w:t xml:space="preserve"> </w:t>
      </w:r>
      <w:r w:rsidRPr="00D74FF1">
        <w:rPr>
          <w:rFonts w:ascii="Times New Roman" w:hAnsi="Times New Roman" w:cs="Times New Roman"/>
          <w:bCs/>
          <w:color w:val="000000"/>
          <w:sz w:val="24"/>
          <w:szCs w:val="24"/>
        </w:rPr>
        <w:t xml:space="preserve">prostriedky komunikácie, ktoré sú nezávislé, autonómne,  bezpečné a zaručia dôvernosť nimi prenášaných údajov. </w:t>
      </w:r>
    </w:p>
    <w:p w:rsidR="00536EC9" w:rsidRPr="00D74FF1" w:rsidP="00536EC9">
      <w:pPr>
        <w:tabs>
          <w:tab w:val="left" w:pos="0"/>
        </w:tabs>
        <w:bidi w:val="0"/>
        <w:spacing w:after="0"/>
        <w:jc w:val="both"/>
        <w:rPr>
          <w:rFonts w:ascii="Times New Roman" w:hAnsi="Times New Roman" w:cs="Times New Roman"/>
          <w:bCs/>
          <w:color w:val="000000"/>
          <w:sz w:val="24"/>
          <w:szCs w:val="24"/>
        </w:rPr>
      </w:pP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ab/>
        <w:t>(2) Osobitné prostriedky komunikácie sa považujú za nezávislé a autonómne, ak spĺňajú tieto podmienky:</w:t>
      </w:r>
    </w:p>
    <w:p w:rsidR="00536EC9" w:rsidRPr="00D74FF1" w:rsidP="00536EC9">
      <w:pPr>
        <w:tabs>
          <w:tab w:val="left" w:pos="284"/>
        </w:tabs>
        <w:bidi w:val="0"/>
        <w:spacing w:after="0"/>
        <w:ind w:left="284" w:hanging="284"/>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a) sú oddelené od bežných prostriedkov komunikácie Národnej banky Slovenska vrátane tých, prostredníctvom ktorých Národná banka Slovenska komunikuje interne a s tretími stranami pri svojej bežnej činnosti,</w:t>
      </w:r>
    </w:p>
    <w:p w:rsidR="00536EC9" w:rsidRPr="00D74FF1" w:rsidP="00536EC9">
      <w:pPr>
        <w:tabs>
          <w:tab w:val="left" w:pos="284"/>
        </w:tabs>
        <w:bidi w:val="0"/>
        <w:spacing w:after="0"/>
        <w:ind w:left="284" w:hanging="284"/>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b) sú navrhnuté, zriadené a prevádzkované takým spôsobom, ktorý zabezpečí úplnosť, integritu a dôvernosť informácií a bráni v prístupe neoprávnených zamestnancov Národnej banky Slovenska,</w:t>
      </w: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c) umožňujú uchovávanie informácií podľa § 38c a ich ďalšie využitie pre výkon dohľadu. </w:t>
      </w:r>
    </w:p>
    <w:p w:rsidR="00536EC9" w:rsidRPr="00D74FF1" w:rsidP="00536EC9">
      <w:pPr>
        <w:tabs>
          <w:tab w:val="left" w:pos="0"/>
        </w:tabs>
        <w:bidi w:val="0"/>
        <w:spacing w:after="0"/>
        <w:jc w:val="both"/>
        <w:rPr>
          <w:rFonts w:ascii="Times New Roman" w:hAnsi="Times New Roman" w:cs="Times New Roman"/>
          <w:bCs/>
          <w:color w:val="000000"/>
          <w:sz w:val="24"/>
          <w:szCs w:val="24"/>
        </w:rPr>
      </w:pP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ab/>
        <w:t xml:space="preserve">(3) Osobitné prostriedky komunikácie musia umožniť nahlasovanie skutočných  porušení povinností alebo možných porušení povinností dohliadaných subjektov najmenej týmito spôsobmi: </w:t>
      </w: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a) písomnou správou o porušení v elektronickej podobe alebo v listinnej podobe,</w:t>
      </w:r>
    </w:p>
    <w:p w:rsidR="00536EC9" w:rsidRPr="00D74FF1" w:rsidP="00536EC9">
      <w:pPr>
        <w:bidi w:val="0"/>
        <w:spacing w:after="0"/>
        <w:ind w:left="284" w:hanging="284"/>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b) ústnou správou o porušení prostredníctvom telefónnych liniek, či už zaznamenanou alebo nezaznamenanou,</w:t>
      </w: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c) osobným stretnutím so špecializovaným zamestnancom.</w:t>
      </w:r>
    </w:p>
    <w:p w:rsidR="00536EC9" w:rsidRPr="00D74FF1" w:rsidP="00536EC9">
      <w:pPr>
        <w:tabs>
          <w:tab w:val="left" w:pos="0"/>
        </w:tabs>
        <w:bidi w:val="0"/>
        <w:spacing w:after="0"/>
        <w:jc w:val="both"/>
        <w:rPr>
          <w:rFonts w:ascii="Times New Roman" w:hAnsi="Times New Roman" w:cs="Times New Roman"/>
          <w:bCs/>
          <w:color w:val="000000"/>
          <w:sz w:val="24"/>
          <w:szCs w:val="24"/>
        </w:rPr>
      </w:pP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ab/>
        <w:t xml:space="preserve">(4) Národná banka Slovenska poskytne informácie podľa § 37 ods. 4 nahlasujúcej osobe pred prijatím správy o porušeniach alebo najneskôr v čase jej prijatia. </w:t>
      </w:r>
    </w:p>
    <w:p w:rsidR="00536EC9" w:rsidRPr="00D74FF1" w:rsidP="00536EC9">
      <w:pPr>
        <w:tabs>
          <w:tab w:val="left" w:pos="0"/>
        </w:tabs>
        <w:bidi w:val="0"/>
        <w:spacing w:after="0"/>
        <w:jc w:val="both"/>
        <w:rPr>
          <w:rFonts w:ascii="Times New Roman" w:hAnsi="Times New Roman" w:cs="Times New Roman"/>
          <w:bCs/>
          <w:color w:val="000000"/>
          <w:sz w:val="24"/>
          <w:szCs w:val="24"/>
        </w:rPr>
      </w:pP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ab/>
        <w:t xml:space="preserve">(5) Národná banka Slovenska zabezpečí, aby sa správa o porušení prijatá inak ako prostredníctvom osobitných prostriedkov komunikácie bezodkladne a bez zmeny zaslala prostredníctvom osobitných prostriedkov komunikácie špecializovanému zamestnancovi. </w:t>
      </w:r>
    </w:p>
    <w:p w:rsidR="00536EC9" w:rsidRPr="00D74FF1" w:rsidP="00536EC9">
      <w:pPr>
        <w:tabs>
          <w:tab w:val="left" w:pos="0"/>
        </w:tabs>
        <w:bidi w:val="0"/>
        <w:spacing w:after="0"/>
        <w:jc w:val="both"/>
        <w:rPr>
          <w:rFonts w:ascii="Times New Roman" w:hAnsi="Times New Roman" w:cs="Times New Roman"/>
          <w:bCs/>
          <w:color w:val="000000"/>
          <w:sz w:val="24"/>
          <w:szCs w:val="24"/>
        </w:rPr>
      </w:pPr>
    </w:p>
    <w:p w:rsidR="00536EC9" w:rsidRPr="00D74FF1" w:rsidP="00536EC9">
      <w:pPr>
        <w:tabs>
          <w:tab w:val="left" w:pos="0"/>
        </w:tabs>
        <w:bidi w:val="0"/>
        <w:spacing w:after="0"/>
        <w:jc w:val="center"/>
        <w:rPr>
          <w:rFonts w:ascii="Times New Roman" w:hAnsi="Times New Roman" w:cs="Times New Roman"/>
          <w:b/>
          <w:bCs/>
          <w:color w:val="000000"/>
          <w:sz w:val="24"/>
          <w:szCs w:val="24"/>
        </w:rPr>
      </w:pPr>
      <w:r w:rsidRPr="00D74FF1">
        <w:rPr>
          <w:rFonts w:ascii="Times New Roman" w:hAnsi="Times New Roman" w:cs="Times New Roman"/>
          <w:b/>
          <w:bCs/>
          <w:color w:val="000000"/>
          <w:sz w:val="24"/>
          <w:szCs w:val="24"/>
        </w:rPr>
        <w:t>§ 38c</w:t>
      </w:r>
    </w:p>
    <w:p w:rsidR="00536EC9" w:rsidRPr="00D74FF1" w:rsidP="00536EC9">
      <w:pPr>
        <w:tabs>
          <w:tab w:val="left" w:pos="0"/>
        </w:tabs>
        <w:bidi w:val="0"/>
        <w:spacing w:after="0"/>
        <w:jc w:val="center"/>
        <w:rPr>
          <w:rFonts w:ascii="Times New Roman" w:hAnsi="Times New Roman" w:cs="Times New Roman"/>
          <w:b/>
          <w:bCs/>
          <w:color w:val="000000"/>
          <w:sz w:val="24"/>
          <w:szCs w:val="24"/>
        </w:rPr>
      </w:pPr>
      <w:r w:rsidRPr="00D74FF1">
        <w:rPr>
          <w:rFonts w:ascii="Times New Roman" w:hAnsi="Times New Roman" w:cs="Times New Roman"/>
          <w:b/>
          <w:bCs/>
          <w:color w:val="000000"/>
          <w:sz w:val="24"/>
          <w:szCs w:val="24"/>
        </w:rPr>
        <w:t>Uchovávanie záznamov o prijatých správach</w:t>
      </w:r>
    </w:p>
    <w:p w:rsidR="00536EC9" w:rsidRPr="00D74FF1" w:rsidP="00536EC9">
      <w:pPr>
        <w:tabs>
          <w:tab w:val="left" w:pos="0"/>
        </w:tabs>
        <w:bidi w:val="0"/>
        <w:spacing w:after="0"/>
        <w:jc w:val="both"/>
        <w:rPr>
          <w:rFonts w:ascii="Times New Roman" w:hAnsi="Times New Roman" w:cs="Times New Roman"/>
          <w:b/>
          <w:bCs/>
          <w:color w:val="000000"/>
          <w:sz w:val="24"/>
          <w:szCs w:val="24"/>
        </w:rPr>
      </w:pP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ab/>
        <w:t>(1) Národná banka Slovenska zabezpečí uchovávanie záznamov</w:t>
      </w:r>
      <w:r w:rsidRPr="00D74FF1">
        <w:rPr>
          <w:rFonts w:ascii="Times New Roman" w:hAnsi="Times New Roman" w:cs="Times New Roman"/>
          <w:bCs/>
          <w:color w:val="000000"/>
          <w:sz w:val="24"/>
          <w:szCs w:val="24"/>
          <w:vertAlign w:val="superscript"/>
        </w:rPr>
        <w:t>47d</w:t>
      </w:r>
      <w:r w:rsidRPr="00D74FF1">
        <w:rPr>
          <w:rFonts w:ascii="Times New Roman" w:hAnsi="Times New Roman" w:cs="Times New Roman"/>
          <w:bCs/>
          <w:color w:val="000000"/>
          <w:sz w:val="24"/>
          <w:szCs w:val="24"/>
        </w:rPr>
        <w:t>) o prijatých správach o porušeniach.</w:t>
      </w:r>
    </w:p>
    <w:p w:rsidR="00536EC9" w:rsidRPr="00D74FF1" w:rsidP="00536EC9">
      <w:pPr>
        <w:tabs>
          <w:tab w:val="left" w:pos="0"/>
        </w:tabs>
        <w:bidi w:val="0"/>
        <w:spacing w:after="0"/>
        <w:jc w:val="both"/>
        <w:rPr>
          <w:rFonts w:ascii="Times New Roman" w:hAnsi="Times New Roman" w:cs="Times New Roman"/>
          <w:bCs/>
          <w:color w:val="000000"/>
          <w:sz w:val="24"/>
          <w:szCs w:val="24"/>
        </w:rPr>
      </w:pP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ab/>
        <w:t>(2) Národná banka Slovenska bezodkladne potvrdí prijatie písomnej správy o porušení na poštovú adresu alebo na elektronickú adresu uvedenú nahlasujúcou osobou; to neplatí, ak  nahlasujúca osoba výslovne požiadala o iný postup alebo ak sa Národná banka Slovenska odôvodnene domnieva, že potvrdenie prijatia písomnej správy by ohrozilo ochranu totožnosti nahlasujúcej osoby.</w:t>
      </w:r>
    </w:p>
    <w:p w:rsidR="00536EC9" w:rsidRPr="00D74FF1" w:rsidP="00536EC9">
      <w:pPr>
        <w:tabs>
          <w:tab w:val="left" w:pos="0"/>
        </w:tabs>
        <w:bidi w:val="0"/>
        <w:spacing w:after="0"/>
        <w:jc w:val="both"/>
        <w:rPr>
          <w:rFonts w:ascii="Times New Roman" w:hAnsi="Times New Roman" w:cs="Times New Roman"/>
          <w:bCs/>
          <w:color w:val="000000"/>
          <w:sz w:val="24"/>
          <w:szCs w:val="24"/>
        </w:rPr>
      </w:pP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ab/>
        <w:t>(3) Ak sa na nahlasovanie porušení používa zaznamenávaná telefónna linka, Národná banka Slovenska je oprávnená zdokumentovať ústne podanú správu o porušení vo forme</w:t>
      </w: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a) zvukovej nahrávky rozhovoru v trvalom a vyhľadateľnom formáte alebo </w:t>
      </w: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b) úplného a presného prepisu rozhovoru vypracovaného špecializovanými zamestnancami; ak nahlasujúca osoba odhalila svoju totožnosť, Národná banka Slovenska ponúkne nahlasujúcej osobe možnosť skontrolovať a opraviť prepis hovoru a potvrdiť ho svojím podpisom. </w:t>
      </w:r>
    </w:p>
    <w:p w:rsidR="00536EC9" w:rsidRPr="00D74FF1" w:rsidP="00536EC9">
      <w:pPr>
        <w:tabs>
          <w:tab w:val="left" w:pos="0"/>
        </w:tabs>
        <w:bidi w:val="0"/>
        <w:spacing w:after="0"/>
        <w:jc w:val="both"/>
        <w:rPr>
          <w:rFonts w:ascii="Times New Roman" w:hAnsi="Times New Roman" w:cs="Times New Roman"/>
          <w:bCs/>
          <w:color w:val="000000"/>
          <w:sz w:val="24"/>
          <w:szCs w:val="24"/>
        </w:rPr>
      </w:pP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ab/>
        <w:t xml:space="preserve">(4) Ak sa na nahlasovanie porušení používa nezaznamenávaná telefónna linka, Národná banka Slovenska je oprávnená zdokumentovať ústne podanú správu o porušení vo forme presnej zápisnice z rozhovoru vypracovanej špecializovaným zamestnancom. Ak nahlasujúca osoba odhalila svoju totožnosť, Národná banka Slovenska ponúkne nahlasujúcej osobe možnosť skontrolovať a opraviť zápisnicu z rozhovoru a potvrdiť ju svojím podpisom. </w:t>
      </w:r>
    </w:p>
    <w:p w:rsidR="00536EC9" w:rsidRPr="00D74FF1" w:rsidP="00536EC9">
      <w:pPr>
        <w:tabs>
          <w:tab w:val="left" w:pos="0"/>
        </w:tabs>
        <w:bidi w:val="0"/>
        <w:spacing w:after="0"/>
        <w:jc w:val="both"/>
        <w:rPr>
          <w:rFonts w:ascii="Times New Roman" w:hAnsi="Times New Roman" w:cs="Times New Roman"/>
          <w:bCs/>
          <w:color w:val="000000"/>
          <w:sz w:val="24"/>
          <w:szCs w:val="24"/>
        </w:rPr>
      </w:pP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ab/>
        <w:t xml:space="preserve">(5) Ak nahlasujúca osoba požaduje osobné stretnutie so špecializovaným zamestnancom, aby nahlásila porušenie spôsobom podľa § 38b ods. 3 písm. c), Národná banka Slovenska zabezpečí, aby sa uchovali úplné a presné záznamy zo stretnutia v trvalom a vyhľadateľnom formáte. Národná banka Slovenska je oprávnená zdokumentovať záznamy o osobnom stretnutí vo forme </w:t>
      </w: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a) zvukovej nahrávky rozhovoru v trvalom a vyhľadateľnom formáte alebo </w:t>
      </w: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b) úplnej zápisnice zo stretnutia vypracovanej špecializovaným zamestnancom; ak nahlasujúca osoba odhalila svoju totožnosť, Národná banka Slovenska ponúkne nahlasujúcej osobe možnosť skontrolovať a opraviť zápisnicu zo stretnutia a potvrdiť ju svojím podpisom. </w:t>
      </w:r>
    </w:p>
    <w:p w:rsidR="00536EC9" w:rsidRPr="00D74FF1" w:rsidP="00536EC9">
      <w:pPr>
        <w:tabs>
          <w:tab w:val="left" w:pos="0"/>
        </w:tabs>
        <w:bidi w:val="0"/>
        <w:spacing w:after="0"/>
        <w:jc w:val="both"/>
        <w:rPr>
          <w:rFonts w:ascii="Times New Roman" w:hAnsi="Times New Roman" w:cs="Times New Roman"/>
          <w:bCs/>
          <w:color w:val="000000"/>
          <w:sz w:val="24"/>
          <w:szCs w:val="24"/>
        </w:rPr>
      </w:pPr>
    </w:p>
    <w:p w:rsidR="00536EC9" w:rsidRPr="00D74FF1" w:rsidP="00536EC9">
      <w:pPr>
        <w:bidi w:val="0"/>
        <w:spacing w:after="0"/>
        <w:ind w:hanging="142"/>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ab/>
        <w:t xml:space="preserve">         (6)  Národná banka Slovenska uchováva záznamy podľa odsekov 1 až 5 prostredníctvom dôverného a zabezpečeného systému, ktorý zaručí, že údaje v ňom uložené sú dostupné len zamestnancom Národnej banky Slovenska, pre ktorých je prístup k týmto údajom nevyhnutný na plnenie služobných povinností.</w:t>
      </w:r>
    </w:p>
    <w:p w:rsidR="00536EC9" w:rsidRPr="00D74FF1" w:rsidP="00536EC9">
      <w:pPr>
        <w:tabs>
          <w:tab w:val="left" w:pos="0"/>
        </w:tabs>
        <w:bidi w:val="0"/>
        <w:spacing w:after="0"/>
        <w:ind w:firstLine="709"/>
        <w:jc w:val="both"/>
        <w:rPr>
          <w:rFonts w:ascii="Times New Roman" w:hAnsi="Times New Roman" w:cs="Times New Roman"/>
          <w:bCs/>
          <w:color w:val="000000"/>
          <w:sz w:val="24"/>
          <w:szCs w:val="24"/>
        </w:rPr>
      </w:pPr>
    </w:p>
    <w:p w:rsidR="00536EC9" w:rsidRPr="00D74FF1" w:rsidP="00536EC9">
      <w:pPr>
        <w:bidi w:val="0"/>
        <w:spacing w:after="0"/>
        <w:ind w:hanging="142"/>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           (7)  Národná banka Slovenska zavedie primerané bezpečnostné postupy na prenos osobných údajov nahlasujúcej osoby a nahlásenej osoby v rámci Národnej banky Slovenska aj mimo nej tak, aby bola zabezpečená anonymizácia osobných údajov</w:t>
      </w:r>
      <w:r w:rsidRPr="00D74FF1">
        <w:rPr>
          <w:rFonts w:ascii="Times New Roman" w:hAnsi="Times New Roman" w:cs="Times New Roman"/>
          <w:bCs/>
          <w:color w:val="000000"/>
          <w:sz w:val="24"/>
          <w:szCs w:val="24"/>
          <w:vertAlign w:val="superscript"/>
        </w:rPr>
        <w:t>47e</w:t>
      </w:r>
      <w:r w:rsidRPr="00D74FF1">
        <w:rPr>
          <w:rFonts w:ascii="Times New Roman" w:hAnsi="Times New Roman" w:cs="Times New Roman"/>
          <w:bCs/>
          <w:color w:val="000000"/>
          <w:sz w:val="24"/>
          <w:szCs w:val="24"/>
        </w:rPr>
        <w:t xml:space="preserve">) obsiahnutých v správe o porušení, ak takýto prenos nezodpovedá režimu dôvernosti údajov podľa § 38a ods. 1 písm. d).  </w:t>
      </w:r>
    </w:p>
    <w:p w:rsidR="00536EC9" w:rsidRPr="00D74FF1" w:rsidP="00536EC9">
      <w:pPr>
        <w:tabs>
          <w:tab w:val="left" w:pos="0"/>
        </w:tabs>
        <w:bidi w:val="0"/>
        <w:spacing w:after="0"/>
        <w:jc w:val="both"/>
        <w:rPr>
          <w:rFonts w:ascii="Times New Roman" w:hAnsi="Times New Roman" w:cs="Times New Roman"/>
          <w:bCs/>
          <w:color w:val="000000"/>
          <w:sz w:val="24"/>
          <w:szCs w:val="24"/>
        </w:rPr>
      </w:pPr>
    </w:p>
    <w:p w:rsidR="00536EC9" w:rsidRPr="00D74FF1" w:rsidP="00536EC9">
      <w:pPr>
        <w:tabs>
          <w:tab w:val="left" w:pos="0"/>
        </w:tabs>
        <w:bidi w:val="0"/>
        <w:spacing w:after="0"/>
        <w:jc w:val="center"/>
        <w:rPr>
          <w:rFonts w:ascii="Times New Roman" w:hAnsi="Times New Roman" w:cs="Times New Roman"/>
          <w:b/>
          <w:bCs/>
          <w:color w:val="000000"/>
          <w:sz w:val="24"/>
          <w:szCs w:val="24"/>
        </w:rPr>
      </w:pPr>
      <w:r w:rsidRPr="00D74FF1">
        <w:rPr>
          <w:rFonts w:ascii="Times New Roman" w:hAnsi="Times New Roman" w:cs="Times New Roman"/>
          <w:b/>
          <w:bCs/>
          <w:color w:val="000000"/>
          <w:sz w:val="24"/>
          <w:szCs w:val="24"/>
        </w:rPr>
        <w:t>§ 38d</w:t>
      </w:r>
    </w:p>
    <w:p w:rsidR="00536EC9" w:rsidRPr="00D74FF1" w:rsidP="00536EC9">
      <w:pPr>
        <w:tabs>
          <w:tab w:val="left" w:pos="0"/>
        </w:tabs>
        <w:bidi w:val="0"/>
        <w:spacing w:after="0"/>
        <w:jc w:val="center"/>
        <w:rPr>
          <w:rFonts w:ascii="Times New Roman" w:hAnsi="Times New Roman" w:cs="Times New Roman"/>
          <w:b/>
          <w:bCs/>
          <w:color w:val="000000"/>
          <w:sz w:val="24"/>
          <w:szCs w:val="24"/>
        </w:rPr>
      </w:pPr>
      <w:r w:rsidRPr="00D74FF1">
        <w:rPr>
          <w:rFonts w:ascii="Times New Roman" w:hAnsi="Times New Roman" w:cs="Times New Roman"/>
          <w:b/>
          <w:bCs/>
          <w:color w:val="000000"/>
          <w:sz w:val="24"/>
          <w:szCs w:val="24"/>
        </w:rPr>
        <w:t>Ochrana nahlasujúcich osôb</w:t>
      </w:r>
    </w:p>
    <w:p w:rsidR="00536EC9" w:rsidRPr="00D74FF1" w:rsidP="00536EC9">
      <w:pPr>
        <w:tabs>
          <w:tab w:val="left" w:pos="0"/>
        </w:tabs>
        <w:bidi w:val="0"/>
        <w:spacing w:after="0"/>
        <w:jc w:val="both"/>
        <w:rPr>
          <w:rFonts w:ascii="Times New Roman" w:hAnsi="Times New Roman" w:cs="Times New Roman"/>
          <w:b/>
          <w:bCs/>
          <w:color w:val="000000"/>
          <w:sz w:val="24"/>
          <w:szCs w:val="24"/>
        </w:rPr>
      </w:pPr>
    </w:p>
    <w:p w:rsidR="00536EC9" w:rsidRPr="00D74FF1" w:rsidP="00536EC9">
      <w:pPr>
        <w:tabs>
          <w:tab w:val="left" w:pos="0"/>
        </w:tabs>
        <w:bidi w:val="0"/>
        <w:spacing w:after="0"/>
        <w:jc w:val="both"/>
        <w:rPr>
          <w:rFonts w:ascii="Times New Roman" w:hAnsi="Times New Roman" w:cs="Times New Roman"/>
          <w:color w:val="000000"/>
          <w:sz w:val="24"/>
          <w:szCs w:val="24"/>
        </w:rPr>
      </w:pPr>
      <w:r w:rsidRPr="00D74FF1">
        <w:rPr>
          <w:rFonts w:ascii="Times New Roman" w:hAnsi="Times New Roman" w:cs="Times New Roman"/>
          <w:bCs/>
          <w:color w:val="000000"/>
          <w:sz w:val="24"/>
          <w:szCs w:val="24"/>
        </w:rPr>
        <w:t xml:space="preserve">        (1)  </w:t>
      </w:r>
      <w:r w:rsidRPr="00D74FF1">
        <w:rPr>
          <w:rFonts w:ascii="Times New Roman" w:hAnsi="Times New Roman" w:cs="Times New Roman"/>
          <w:color w:val="000000"/>
          <w:sz w:val="24"/>
          <w:szCs w:val="24"/>
        </w:rPr>
        <w:t>Dohliadaný subjekt nesmie uplatňovať voči svojmu zamestnancovi, ktorý nahlásil  Národnej banke Slovenska správu o porušeniach žiadne postihy za nahlásenie správy o porušeniach a ani iným spôsobom porušovať princíp rovnakého zaobchádzania vo vzťahu k tomuto zamestnancovi.</w:t>
      </w:r>
    </w:p>
    <w:p w:rsidR="00536EC9" w:rsidRPr="00D74FF1" w:rsidP="00536EC9">
      <w:pPr>
        <w:tabs>
          <w:tab w:val="left" w:pos="0"/>
        </w:tabs>
        <w:bidi w:val="0"/>
        <w:spacing w:after="0"/>
        <w:jc w:val="both"/>
        <w:rPr>
          <w:rFonts w:ascii="Times New Roman" w:hAnsi="Times New Roman" w:cs="Times New Roman"/>
          <w:bCs/>
          <w:color w:val="000000"/>
          <w:sz w:val="24"/>
          <w:szCs w:val="24"/>
        </w:rPr>
      </w:pPr>
    </w:p>
    <w:p w:rsidR="00536EC9" w:rsidRPr="00D74FF1" w:rsidP="00536EC9">
      <w:pPr>
        <w:tabs>
          <w:tab w:val="left" w:pos="0"/>
        </w:tabs>
        <w:bidi w:val="0"/>
        <w:spacing w:after="0"/>
        <w:jc w:val="both"/>
        <w:rPr>
          <w:rFonts w:ascii="Times New Roman" w:hAnsi="Times New Roman" w:cs="Times New Roman"/>
          <w:color w:val="000000"/>
          <w:sz w:val="24"/>
          <w:szCs w:val="24"/>
        </w:rPr>
      </w:pPr>
      <w:r w:rsidRPr="00D74FF1">
        <w:rPr>
          <w:rFonts w:ascii="Times New Roman" w:hAnsi="Times New Roman" w:cs="Times New Roman"/>
          <w:bCs/>
          <w:color w:val="000000"/>
          <w:sz w:val="24"/>
          <w:szCs w:val="24"/>
        </w:rPr>
        <w:t xml:space="preserve">      (2) Národná banka Slovenska, príslušné orgány štátnej správy a iné právnické osoby podľa osobitných predpisov</w:t>
      </w:r>
      <w:r w:rsidRPr="00D74FF1">
        <w:rPr>
          <w:rFonts w:ascii="Times New Roman" w:hAnsi="Times New Roman" w:cs="Times New Roman"/>
          <w:bCs/>
          <w:sz w:val="24"/>
          <w:szCs w:val="24"/>
          <w:vertAlign w:val="superscript"/>
        </w:rPr>
        <w:t>47f</w:t>
      </w:r>
      <w:r w:rsidRPr="00D74FF1">
        <w:rPr>
          <w:rFonts w:ascii="Times New Roman" w:hAnsi="Times New Roman" w:cs="Times New Roman"/>
          <w:bCs/>
          <w:sz w:val="24"/>
          <w:szCs w:val="24"/>
        </w:rPr>
        <w:t>)</w:t>
      </w:r>
      <w:r w:rsidRPr="00D74FF1">
        <w:rPr>
          <w:rFonts w:ascii="Times New Roman" w:hAnsi="Times New Roman" w:cs="Times New Roman"/>
          <w:bCs/>
          <w:color w:val="000000"/>
          <w:sz w:val="24"/>
          <w:szCs w:val="24"/>
        </w:rPr>
        <w:t xml:space="preserve"> si poskytujú súčinnosť a vymieňajú si informácie na účely ochrany nahlasujúcich osôb pred </w:t>
      </w:r>
      <w:r w:rsidRPr="00D74FF1">
        <w:rPr>
          <w:rFonts w:ascii="Times New Roman" w:hAnsi="Times New Roman" w:cs="Times New Roman"/>
          <w:color w:val="000000"/>
          <w:sz w:val="24"/>
          <w:szCs w:val="24"/>
        </w:rPr>
        <w:t xml:space="preserve">postihmi za nahlásenie správy o porušeniach zo strany zamestnávateľa a pred porušovaním princípu rovnakého zaobchádzania vo vzťahu k tomuto zamestnancovi. </w:t>
      </w:r>
    </w:p>
    <w:p w:rsidR="00536EC9" w:rsidRPr="00D74FF1" w:rsidP="00536EC9">
      <w:pPr>
        <w:tabs>
          <w:tab w:val="left" w:pos="0"/>
        </w:tabs>
        <w:bidi w:val="0"/>
        <w:spacing w:after="0"/>
        <w:jc w:val="both"/>
        <w:rPr>
          <w:rFonts w:ascii="Times New Roman" w:hAnsi="Times New Roman" w:cs="Times New Roman"/>
          <w:color w:val="000000"/>
          <w:sz w:val="24"/>
          <w:szCs w:val="24"/>
        </w:rPr>
      </w:pPr>
    </w:p>
    <w:p w:rsidR="00536EC9" w:rsidRPr="00D74FF1" w:rsidP="00536EC9">
      <w:pPr>
        <w:tabs>
          <w:tab w:val="left" w:pos="284"/>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ab/>
        <w:t>(3) Národná banka Slovenska zabezpečí v súčinnosti s príslušnými orgánmi štátnej správy a inými právnickými osobami podľa osobitných predpisov</w:t>
      </w:r>
      <w:r w:rsidRPr="00D74FF1">
        <w:rPr>
          <w:rFonts w:ascii="Times New Roman" w:hAnsi="Times New Roman" w:cs="Times New Roman"/>
          <w:bCs/>
          <w:sz w:val="24"/>
          <w:szCs w:val="24"/>
          <w:vertAlign w:val="superscript"/>
        </w:rPr>
        <w:t>47f</w:t>
      </w:r>
      <w:r w:rsidRPr="00D74FF1">
        <w:rPr>
          <w:rFonts w:ascii="Times New Roman" w:hAnsi="Times New Roman" w:cs="Times New Roman"/>
          <w:bCs/>
          <w:sz w:val="24"/>
          <w:szCs w:val="24"/>
        </w:rPr>
        <w:t>),</w:t>
      </w:r>
      <w:r w:rsidRPr="00D74FF1">
        <w:rPr>
          <w:rFonts w:ascii="Times New Roman" w:hAnsi="Times New Roman" w:cs="Times New Roman"/>
          <w:bCs/>
          <w:color w:val="000000"/>
          <w:sz w:val="24"/>
          <w:szCs w:val="24"/>
        </w:rPr>
        <w:t xml:space="preserve"> aby nahlasujúca osoba mala prístup ku komplexným informáciám a poradenstvu o prostriedkoch nápravy a postupoch v súlade s ustanoveniami právnych predpisov s cieľom jej ochrany pred nespravodlivým zaobchádzaním, a to vrátane postupov podávania žiadosti o náhradu škody.</w:t>
      </w:r>
    </w:p>
    <w:p w:rsidR="00536EC9" w:rsidRPr="00D74FF1" w:rsidP="00536EC9">
      <w:pPr>
        <w:tabs>
          <w:tab w:val="left" w:pos="284"/>
        </w:tabs>
        <w:bidi w:val="0"/>
        <w:spacing w:after="0"/>
        <w:jc w:val="both"/>
        <w:rPr>
          <w:rFonts w:ascii="Times New Roman" w:hAnsi="Times New Roman" w:cs="Times New Roman"/>
          <w:bCs/>
          <w:color w:val="000000"/>
          <w:sz w:val="24"/>
          <w:szCs w:val="24"/>
        </w:rPr>
      </w:pPr>
    </w:p>
    <w:p w:rsidR="00536EC9" w:rsidRPr="00D74FF1" w:rsidP="00536EC9">
      <w:pPr>
        <w:tabs>
          <w:tab w:val="left" w:pos="284"/>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xml:space="preserve">     (4)  Národná banka Slovenska ponúkne nahlasujúcej osobe pomoc alebo poradenstvo v konaní pred orgánmi podieľajúcimi sa na jej ochrane proti nespravodlivému zaobchádzaniu, a to aj pri potvrdení postavenia nahlasujúcej osoby ako informátora v zamestnaneckých sporoch.</w:t>
      </w:r>
    </w:p>
    <w:p w:rsidR="00784646" w:rsidRPr="00D74FF1" w:rsidP="00536EC9">
      <w:pPr>
        <w:tabs>
          <w:tab w:val="left" w:pos="0"/>
        </w:tabs>
        <w:bidi w:val="0"/>
        <w:spacing w:after="0"/>
        <w:jc w:val="both"/>
        <w:rPr>
          <w:rFonts w:ascii="Times New Roman" w:hAnsi="Times New Roman" w:cs="Times New Roman"/>
          <w:bCs/>
          <w:color w:val="000000"/>
          <w:sz w:val="24"/>
          <w:szCs w:val="24"/>
        </w:rPr>
      </w:pPr>
    </w:p>
    <w:p w:rsidR="00536EC9" w:rsidRPr="00D74FF1" w:rsidP="00536EC9">
      <w:pPr>
        <w:tabs>
          <w:tab w:val="left" w:pos="0"/>
        </w:tabs>
        <w:bidi w:val="0"/>
        <w:spacing w:after="0"/>
        <w:jc w:val="center"/>
        <w:rPr>
          <w:rFonts w:ascii="Times New Roman" w:hAnsi="Times New Roman" w:cs="Times New Roman"/>
          <w:b/>
          <w:bCs/>
          <w:color w:val="000000"/>
          <w:sz w:val="24"/>
          <w:szCs w:val="24"/>
        </w:rPr>
      </w:pPr>
      <w:r w:rsidRPr="00D74FF1">
        <w:rPr>
          <w:rFonts w:ascii="Times New Roman" w:hAnsi="Times New Roman" w:cs="Times New Roman"/>
          <w:b/>
          <w:bCs/>
          <w:color w:val="000000"/>
          <w:sz w:val="24"/>
          <w:szCs w:val="24"/>
        </w:rPr>
        <w:t>§ 38e</w:t>
      </w:r>
    </w:p>
    <w:p w:rsidR="00536EC9" w:rsidRPr="00D74FF1" w:rsidP="00536EC9">
      <w:pPr>
        <w:tabs>
          <w:tab w:val="left" w:pos="0"/>
        </w:tabs>
        <w:bidi w:val="0"/>
        <w:spacing w:after="0"/>
        <w:jc w:val="center"/>
        <w:rPr>
          <w:rFonts w:ascii="Times New Roman" w:hAnsi="Times New Roman" w:cs="Times New Roman"/>
          <w:b/>
          <w:bCs/>
          <w:color w:val="000000"/>
          <w:sz w:val="24"/>
          <w:szCs w:val="24"/>
        </w:rPr>
      </w:pPr>
      <w:r w:rsidRPr="00D74FF1">
        <w:rPr>
          <w:rFonts w:ascii="Times New Roman" w:hAnsi="Times New Roman" w:cs="Times New Roman"/>
          <w:b/>
          <w:bCs/>
          <w:color w:val="000000"/>
          <w:sz w:val="24"/>
          <w:szCs w:val="24"/>
        </w:rPr>
        <w:t>Ochrana nahlásených osôb</w:t>
      </w:r>
    </w:p>
    <w:p w:rsidR="00536EC9" w:rsidRPr="00D74FF1" w:rsidP="00536EC9">
      <w:pPr>
        <w:tabs>
          <w:tab w:val="left" w:pos="0"/>
        </w:tabs>
        <w:bidi w:val="0"/>
        <w:spacing w:after="0"/>
        <w:jc w:val="both"/>
        <w:rPr>
          <w:rFonts w:ascii="Times New Roman" w:hAnsi="Times New Roman" w:cs="Times New Roman"/>
          <w:bCs/>
          <w:color w:val="000000"/>
          <w:sz w:val="24"/>
          <w:szCs w:val="24"/>
        </w:rPr>
      </w:pP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ab/>
        <w:t xml:space="preserve">Ak nie je verejne známa totožnosť nahlásených osôb, Národná banka Slovenska chráni ich totožnosť rovnakým spôsobom, ako pri osobách, u ktorých Národná banka Slovenska vykonáva dohľad. Na ochranu totožnosti nahlásených osôb sa použijú ustanovenia § 38c ods. 6. </w:t>
      </w:r>
    </w:p>
    <w:p w:rsidR="00536EC9" w:rsidRPr="00D74FF1" w:rsidP="00536EC9">
      <w:pPr>
        <w:tabs>
          <w:tab w:val="left" w:pos="0"/>
        </w:tabs>
        <w:bidi w:val="0"/>
        <w:spacing w:after="0"/>
        <w:jc w:val="center"/>
        <w:rPr>
          <w:rFonts w:ascii="Times New Roman" w:hAnsi="Times New Roman" w:cs="Times New Roman"/>
          <w:b/>
          <w:bCs/>
          <w:color w:val="000000"/>
          <w:sz w:val="24"/>
          <w:szCs w:val="24"/>
        </w:rPr>
      </w:pPr>
      <w:r w:rsidRPr="00D74FF1">
        <w:rPr>
          <w:rFonts w:ascii="Times New Roman" w:hAnsi="Times New Roman" w:cs="Times New Roman"/>
          <w:b/>
          <w:bCs/>
          <w:color w:val="000000"/>
          <w:sz w:val="24"/>
          <w:szCs w:val="24"/>
        </w:rPr>
        <w:t>§ 38f</w:t>
      </w:r>
    </w:p>
    <w:p w:rsidR="00536EC9" w:rsidRPr="00D74FF1" w:rsidP="00536EC9">
      <w:pPr>
        <w:tabs>
          <w:tab w:val="left" w:pos="0"/>
        </w:tabs>
        <w:bidi w:val="0"/>
        <w:spacing w:after="0"/>
        <w:jc w:val="both"/>
        <w:rPr>
          <w:rFonts w:ascii="Times New Roman" w:hAnsi="Times New Roman" w:cs="Times New Roman"/>
          <w:bCs/>
          <w:color w:val="000000"/>
          <w:sz w:val="24"/>
          <w:szCs w:val="24"/>
        </w:rPr>
      </w:pPr>
    </w:p>
    <w:p w:rsidR="00536EC9" w:rsidRPr="00D74FF1" w:rsidP="00536EC9">
      <w:pPr>
        <w:tabs>
          <w:tab w:val="left" w:pos="0"/>
        </w:tabs>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ab/>
        <w:t xml:space="preserve"> Národná banka Slovenska  pravidelne, najmenej však raz za dva roky, preskúma svoje postupy na prijímanie správ o porušeniach a ich preverovanie. Pri tomto preskúmaní Národná banka Slovenska zohľadní svoje skúsenosti a aj skúsenosti iných príslušných orgánov a prispôsobí svoje postupy zodpovedajúcim spôsobom a v súlade s vývojom trhu a technologickým vývojom.“. </w:t>
      </w:r>
    </w:p>
    <w:p w:rsidR="00536EC9" w:rsidRPr="00D74FF1" w:rsidP="00536EC9">
      <w:pPr>
        <w:tabs>
          <w:tab w:val="left" w:pos="0"/>
        </w:tabs>
        <w:bidi w:val="0"/>
        <w:spacing w:after="0"/>
        <w:jc w:val="both"/>
        <w:rPr>
          <w:rFonts w:ascii="Times New Roman" w:hAnsi="Times New Roman" w:cs="Times New Roman"/>
          <w:bCs/>
          <w:color w:val="000000"/>
          <w:sz w:val="24"/>
          <w:szCs w:val="24"/>
        </w:rPr>
      </w:pPr>
    </w:p>
    <w:p w:rsidR="00536EC9" w:rsidRPr="00D74FF1" w:rsidP="00536EC9">
      <w:pPr>
        <w:autoSpaceDE w:val="0"/>
        <w:autoSpaceDN w:val="0"/>
        <w:bidi w:val="0"/>
        <w:adjustRightInd w:val="0"/>
        <w:spacing w:after="0"/>
        <w:jc w:val="both"/>
        <w:rPr>
          <w:rFonts w:ascii="Times New Roman" w:hAnsi="Times New Roman" w:cs="Times New Roman"/>
          <w:color w:val="000000"/>
          <w:sz w:val="24"/>
          <w:szCs w:val="24"/>
        </w:rPr>
      </w:pPr>
      <w:r w:rsidR="00D77FFA">
        <w:rPr>
          <w:rFonts w:ascii="Times New Roman" w:hAnsi="Times New Roman" w:cs="Times New Roman"/>
          <w:color w:val="000000"/>
          <w:sz w:val="24"/>
          <w:szCs w:val="24"/>
        </w:rPr>
        <w:tab/>
      </w:r>
      <w:r w:rsidRPr="00D74FF1">
        <w:rPr>
          <w:rFonts w:ascii="Times New Roman" w:hAnsi="Times New Roman" w:cs="Times New Roman"/>
          <w:color w:val="000000"/>
          <w:sz w:val="24"/>
          <w:szCs w:val="24"/>
        </w:rPr>
        <w:t xml:space="preserve">Poznámky pod čiarou k odkazom 47a až 47f znejú:  </w:t>
      </w:r>
    </w:p>
    <w:p w:rsidR="00536EC9" w:rsidRPr="00D74FF1" w:rsidP="00536EC9">
      <w:pPr>
        <w:autoSpaceDE w:val="0"/>
        <w:autoSpaceDN w:val="0"/>
        <w:bidi w:val="0"/>
        <w:adjustRightInd w:val="0"/>
        <w:spacing w:after="0"/>
        <w:jc w:val="both"/>
        <w:rPr>
          <w:rFonts w:ascii="Times New Roman" w:hAnsi="Times New Roman" w:cs="Times New Roman"/>
          <w:bCs/>
          <w:sz w:val="24"/>
          <w:szCs w:val="24"/>
        </w:rPr>
      </w:pPr>
      <w:r w:rsidR="00D77FFA">
        <w:rPr>
          <w:rFonts w:ascii="Times New Roman" w:hAnsi="Times New Roman" w:cs="Times New Roman"/>
          <w:bCs/>
          <w:color w:val="000000"/>
          <w:sz w:val="24"/>
          <w:szCs w:val="24"/>
        </w:rPr>
        <w:tab/>
      </w:r>
      <w:r w:rsidRPr="00D74FF1">
        <w:rPr>
          <w:rFonts w:ascii="Times New Roman" w:hAnsi="Times New Roman" w:cs="Times New Roman"/>
          <w:bCs/>
          <w:color w:val="000000"/>
          <w:sz w:val="24"/>
          <w:szCs w:val="24"/>
        </w:rPr>
        <w:t>„</w:t>
      </w:r>
      <w:r w:rsidRPr="00D74FF1">
        <w:rPr>
          <w:rFonts w:ascii="Times New Roman" w:hAnsi="Times New Roman" w:cs="Times New Roman"/>
          <w:bCs/>
          <w:color w:val="000000"/>
          <w:sz w:val="24"/>
          <w:szCs w:val="24"/>
          <w:vertAlign w:val="superscript"/>
        </w:rPr>
        <w:t>47a</w:t>
      </w:r>
      <w:r w:rsidRPr="00D74FF1">
        <w:rPr>
          <w:rFonts w:ascii="Times New Roman" w:hAnsi="Times New Roman" w:cs="Times New Roman"/>
          <w:bCs/>
          <w:color w:val="000000"/>
          <w:sz w:val="24"/>
          <w:szCs w:val="24"/>
        </w:rPr>
        <w:t>) Nariadenie (EÚ) č. 596/2014</w:t>
      </w:r>
      <w:r w:rsidRPr="00D74FF1">
        <w:rPr>
          <w:rFonts w:ascii="Times New Roman" w:hAnsi="Times New Roman" w:cs="Times New Roman"/>
          <w:iCs/>
          <w:sz w:val="24"/>
          <w:szCs w:val="24"/>
        </w:rPr>
        <w:t>.</w:t>
      </w:r>
    </w:p>
    <w:p w:rsidR="00536EC9" w:rsidRPr="00D74FF1" w:rsidP="00536EC9">
      <w:pPr>
        <w:autoSpaceDE w:val="0"/>
        <w:autoSpaceDN w:val="0"/>
        <w:bidi w:val="0"/>
        <w:adjustRightInd w:val="0"/>
        <w:spacing w:after="0"/>
        <w:jc w:val="both"/>
        <w:rPr>
          <w:rFonts w:ascii="Times New Roman" w:hAnsi="Times New Roman" w:cs="Times New Roman"/>
          <w:bCs/>
          <w:color w:val="000000"/>
          <w:sz w:val="24"/>
          <w:szCs w:val="24"/>
        </w:rPr>
      </w:pPr>
      <w:r w:rsidR="00D77FFA">
        <w:rPr>
          <w:rFonts w:ascii="Times New Roman" w:hAnsi="Times New Roman" w:cs="Times New Roman"/>
          <w:bCs/>
          <w:color w:val="000000"/>
          <w:sz w:val="24"/>
          <w:szCs w:val="24"/>
          <w:vertAlign w:val="superscript"/>
        </w:rPr>
        <w:tab/>
      </w:r>
      <w:r w:rsidRPr="00D74FF1">
        <w:rPr>
          <w:rFonts w:ascii="Times New Roman" w:hAnsi="Times New Roman" w:cs="Times New Roman"/>
          <w:bCs/>
          <w:color w:val="000000"/>
          <w:sz w:val="24"/>
          <w:szCs w:val="24"/>
          <w:vertAlign w:val="superscript"/>
        </w:rPr>
        <w:t>47b</w:t>
      </w:r>
      <w:r w:rsidRPr="00D74FF1">
        <w:rPr>
          <w:rFonts w:ascii="Times New Roman" w:hAnsi="Times New Roman" w:cs="Times New Roman"/>
          <w:bCs/>
          <w:color w:val="000000"/>
          <w:sz w:val="24"/>
          <w:szCs w:val="24"/>
        </w:rPr>
        <w:t xml:space="preserve">) Čl. 27 až 29 nariadenia  (EÚ) č. 596/2014. </w:t>
      </w:r>
    </w:p>
    <w:p w:rsidR="00536EC9" w:rsidRPr="00D74FF1" w:rsidP="00536EC9">
      <w:pPr>
        <w:tabs>
          <w:tab w:val="left" w:pos="0"/>
        </w:tabs>
        <w:bidi w:val="0"/>
        <w:spacing w:after="0"/>
        <w:jc w:val="both"/>
        <w:rPr>
          <w:rFonts w:ascii="Times New Roman" w:hAnsi="Times New Roman" w:cs="Times New Roman"/>
          <w:bCs/>
          <w:color w:val="000000"/>
          <w:sz w:val="24"/>
          <w:szCs w:val="24"/>
        </w:rPr>
      </w:pPr>
      <w:r w:rsidR="00D77FFA">
        <w:rPr>
          <w:rFonts w:ascii="Times New Roman" w:hAnsi="Times New Roman" w:cs="Times New Roman"/>
          <w:bCs/>
          <w:color w:val="000000"/>
          <w:sz w:val="24"/>
          <w:szCs w:val="24"/>
          <w:vertAlign w:val="superscript"/>
        </w:rPr>
        <w:tab/>
      </w:r>
      <w:r w:rsidRPr="00D74FF1">
        <w:rPr>
          <w:rFonts w:ascii="Times New Roman" w:hAnsi="Times New Roman" w:cs="Times New Roman"/>
          <w:bCs/>
          <w:color w:val="000000"/>
          <w:sz w:val="24"/>
          <w:szCs w:val="24"/>
          <w:vertAlign w:val="superscript"/>
        </w:rPr>
        <w:t>47c</w:t>
      </w:r>
      <w:r w:rsidRPr="00D74FF1">
        <w:rPr>
          <w:rFonts w:ascii="Times New Roman" w:hAnsi="Times New Roman" w:cs="Times New Roman"/>
          <w:bCs/>
          <w:color w:val="000000"/>
          <w:sz w:val="24"/>
          <w:szCs w:val="24"/>
        </w:rPr>
        <w:t xml:space="preserve">) Zákon č. 122/2013 Z. z. o ochrane osobných údajov a o zmene a doplnení </w:t>
      </w:r>
      <w:r w:rsidR="00D77FFA">
        <w:rPr>
          <w:rFonts w:ascii="Times New Roman" w:hAnsi="Times New Roman" w:cs="Times New Roman"/>
          <w:bCs/>
          <w:color w:val="000000"/>
          <w:sz w:val="24"/>
          <w:szCs w:val="24"/>
        </w:rPr>
        <w:tab/>
      </w:r>
      <w:r w:rsidRPr="00D74FF1">
        <w:rPr>
          <w:rFonts w:ascii="Times New Roman" w:hAnsi="Times New Roman" w:cs="Times New Roman"/>
          <w:bCs/>
          <w:color w:val="000000"/>
          <w:sz w:val="24"/>
          <w:szCs w:val="24"/>
        </w:rPr>
        <w:t>niektorých zákonov v znení zákona č. 84/2014 Z. z.</w:t>
      </w:r>
    </w:p>
    <w:p w:rsidR="00536EC9" w:rsidRPr="00D74FF1" w:rsidP="00536EC9">
      <w:pPr>
        <w:tabs>
          <w:tab w:val="left" w:pos="0"/>
        </w:tabs>
        <w:bidi w:val="0"/>
        <w:spacing w:after="0"/>
        <w:jc w:val="both"/>
        <w:rPr>
          <w:rFonts w:ascii="Times New Roman" w:hAnsi="Times New Roman" w:cs="Times New Roman"/>
          <w:bCs/>
          <w:color w:val="000000"/>
          <w:sz w:val="24"/>
          <w:szCs w:val="24"/>
        </w:rPr>
      </w:pPr>
      <w:r w:rsidR="00D77FFA">
        <w:rPr>
          <w:rFonts w:ascii="Times New Roman" w:hAnsi="Times New Roman" w:cs="Times New Roman"/>
          <w:bCs/>
          <w:color w:val="000000"/>
          <w:sz w:val="24"/>
          <w:szCs w:val="24"/>
          <w:vertAlign w:val="superscript"/>
        </w:rPr>
        <w:tab/>
      </w:r>
      <w:r w:rsidRPr="00D74FF1">
        <w:rPr>
          <w:rFonts w:ascii="Times New Roman" w:hAnsi="Times New Roman" w:cs="Times New Roman"/>
          <w:bCs/>
          <w:color w:val="000000"/>
          <w:sz w:val="24"/>
          <w:szCs w:val="24"/>
          <w:vertAlign w:val="superscript"/>
        </w:rPr>
        <w:t>47d</w:t>
      </w:r>
      <w:r w:rsidRPr="00D74FF1">
        <w:rPr>
          <w:rFonts w:ascii="Times New Roman" w:hAnsi="Times New Roman" w:cs="Times New Roman"/>
          <w:bCs/>
          <w:color w:val="000000"/>
          <w:sz w:val="24"/>
          <w:szCs w:val="24"/>
        </w:rPr>
        <w:t>) Zákon č. 395/2002 Z. z. v znení neskorších predpisov.</w:t>
      </w:r>
    </w:p>
    <w:p w:rsidR="00536EC9" w:rsidRPr="00D74FF1" w:rsidP="00536EC9">
      <w:pPr>
        <w:tabs>
          <w:tab w:val="left" w:pos="0"/>
        </w:tabs>
        <w:bidi w:val="0"/>
        <w:spacing w:after="0"/>
        <w:jc w:val="both"/>
        <w:rPr>
          <w:rFonts w:ascii="Times New Roman" w:hAnsi="Times New Roman" w:cs="Times New Roman"/>
          <w:bCs/>
          <w:color w:val="000000"/>
          <w:sz w:val="24"/>
          <w:szCs w:val="24"/>
        </w:rPr>
      </w:pPr>
      <w:r w:rsidR="00D77FFA">
        <w:rPr>
          <w:rFonts w:ascii="Times New Roman" w:hAnsi="Times New Roman" w:cs="Times New Roman"/>
          <w:bCs/>
          <w:color w:val="000000"/>
          <w:sz w:val="24"/>
          <w:szCs w:val="24"/>
        </w:rPr>
        <w:tab/>
      </w:r>
      <w:r w:rsidRPr="00D74FF1">
        <w:rPr>
          <w:rFonts w:ascii="Times New Roman" w:hAnsi="Times New Roman" w:cs="Times New Roman"/>
          <w:bCs/>
          <w:color w:val="000000"/>
          <w:sz w:val="24"/>
          <w:szCs w:val="24"/>
        </w:rPr>
        <w:t xml:space="preserve">Zákon č. 122/2013 Z. z. v znení zákona č. 84/2014 Z. z. </w:t>
      </w:r>
    </w:p>
    <w:p w:rsidR="00536EC9" w:rsidRPr="00D74FF1" w:rsidP="00536EC9">
      <w:pPr>
        <w:tabs>
          <w:tab w:val="left" w:pos="0"/>
        </w:tabs>
        <w:bidi w:val="0"/>
        <w:spacing w:after="0"/>
        <w:jc w:val="both"/>
        <w:rPr>
          <w:rFonts w:ascii="Times New Roman" w:hAnsi="Times New Roman" w:cs="Times New Roman"/>
          <w:bCs/>
          <w:color w:val="000000"/>
          <w:sz w:val="24"/>
          <w:szCs w:val="24"/>
        </w:rPr>
      </w:pPr>
      <w:r w:rsidR="00D77FFA">
        <w:rPr>
          <w:rFonts w:ascii="Times New Roman" w:hAnsi="Times New Roman" w:cs="Times New Roman"/>
          <w:bCs/>
          <w:color w:val="000000"/>
          <w:sz w:val="24"/>
          <w:szCs w:val="24"/>
          <w:vertAlign w:val="superscript"/>
        </w:rPr>
        <w:tab/>
      </w:r>
      <w:r w:rsidRPr="00D74FF1">
        <w:rPr>
          <w:rFonts w:ascii="Times New Roman" w:hAnsi="Times New Roman" w:cs="Times New Roman"/>
          <w:bCs/>
          <w:color w:val="000000"/>
          <w:sz w:val="24"/>
          <w:szCs w:val="24"/>
          <w:vertAlign w:val="superscript"/>
        </w:rPr>
        <w:t>47e</w:t>
      </w:r>
      <w:r w:rsidRPr="00D74FF1">
        <w:rPr>
          <w:rFonts w:ascii="Times New Roman" w:hAnsi="Times New Roman" w:cs="Times New Roman"/>
          <w:bCs/>
          <w:color w:val="000000"/>
          <w:sz w:val="24"/>
          <w:szCs w:val="24"/>
        </w:rPr>
        <w:t>) § 4 ods. 3 písm. i) a § 6 ods. 2 písm. b) a d) zákona č. 122/2013 Z. z.</w:t>
      </w:r>
    </w:p>
    <w:p w:rsidR="00536EC9" w:rsidRPr="00D74FF1" w:rsidP="00536EC9">
      <w:pPr>
        <w:tabs>
          <w:tab w:val="left" w:pos="0"/>
        </w:tabs>
        <w:bidi w:val="0"/>
        <w:spacing w:after="0"/>
        <w:jc w:val="both"/>
        <w:rPr>
          <w:rFonts w:ascii="Times New Roman" w:hAnsi="Times New Roman" w:cs="Times New Roman"/>
          <w:bCs/>
          <w:color w:val="000000"/>
          <w:sz w:val="24"/>
          <w:szCs w:val="24"/>
        </w:rPr>
      </w:pPr>
      <w:r w:rsidR="00D77FFA">
        <w:rPr>
          <w:rFonts w:ascii="Times New Roman" w:hAnsi="Times New Roman" w:cs="Times New Roman"/>
          <w:bCs/>
          <w:color w:val="000000"/>
          <w:sz w:val="24"/>
          <w:szCs w:val="24"/>
          <w:vertAlign w:val="superscript"/>
        </w:rPr>
        <w:tab/>
      </w:r>
      <w:r w:rsidRPr="00D74FF1">
        <w:rPr>
          <w:rFonts w:ascii="Times New Roman" w:hAnsi="Times New Roman" w:cs="Times New Roman"/>
          <w:bCs/>
          <w:color w:val="000000"/>
          <w:sz w:val="24"/>
          <w:szCs w:val="24"/>
          <w:vertAlign w:val="superscript"/>
        </w:rPr>
        <w:t>47f</w:t>
      </w:r>
      <w:r w:rsidRPr="00D74FF1">
        <w:rPr>
          <w:rFonts w:ascii="Times New Roman" w:hAnsi="Times New Roman" w:cs="Times New Roman"/>
          <w:bCs/>
          <w:color w:val="000000"/>
          <w:sz w:val="24"/>
          <w:szCs w:val="24"/>
        </w:rPr>
        <w:t xml:space="preserve">) Napríklad zákon Národnej rady Slovenskej republiky č. 308/1993 Z. z. o zriadení </w:t>
      </w:r>
      <w:r w:rsidR="00D77FFA">
        <w:rPr>
          <w:rFonts w:ascii="Times New Roman" w:hAnsi="Times New Roman" w:cs="Times New Roman"/>
          <w:bCs/>
          <w:color w:val="000000"/>
          <w:sz w:val="24"/>
          <w:szCs w:val="24"/>
        </w:rPr>
        <w:tab/>
      </w:r>
      <w:r w:rsidRPr="00D74FF1">
        <w:rPr>
          <w:rFonts w:ascii="Times New Roman" w:hAnsi="Times New Roman" w:cs="Times New Roman"/>
          <w:bCs/>
          <w:color w:val="000000"/>
          <w:sz w:val="24"/>
          <w:szCs w:val="24"/>
        </w:rPr>
        <w:t xml:space="preserve">Slovenského národného strediska pre ľudské práva v znení neskorších predpisov, </w:t>
      </w:r>
      <w:r w:rsidR="00D77FFA">
        <w:rPr>
          <w:rFonts w:ascii="Times New Roman" w:hAnsi="Times New Roman" w:cs="Times New Roman"/>
          <w:bCs/>
          <w:color w:val="000000"/>
          <w:sz w:val="24"/>
          <w:szCs w:val="24"/>
        </w:rPr>
        <w:tab/>
      </w:r>
      <w:r w:rsidRPr="00D74FF1">
        <w:rPr>
          <w:rFonts w:ascii="Times New Roman" w:hAnsi="Times New Roman" w:cs="Times New Roman"/>
          <w:bCs/>
          <w:color w:val="000000"/>
          <w:sz w:val="24"/>
          <w:szCs w:val="24"/>
        </w:rPr>
        <w:t xml:space="preserve">zákon č. 125/2006 Z. z. o inšpekcii práce a o zmene a doplnení zákona č. 82/2005 Z. z. </w:t>
      </w:r>
      <w:r w:rsidR="00D77FFA">
        <w:rPr>
          <w:rFonts w:ascii="Times New Roman" w:hAnsi="Times New Roman" w:cs="Times New Roman"/>
          <w:bCs/>
          <w:color w:val="000000"/>
          <w:sz w:val="24"/>
          <w:szCs w:val="24"/>
        </w:rPr>
        <w:tab/>
      </w:r>
      <w:r w:rsidRPr="00D74FF1">
        <w:rPr>
          <w:rFonts w:ascii="Times New Roman" w:hAnsi="Times New Roman" w:cs="Times New Roman"/>
          <w:bCs/>
          <w:color w:val="000000"/>
          <w:sz w:val="24"/>
          <w:szCs w:val="24"/>
        </w:rPr>
        <w:t xml:space="preserve">o nelegálnej práci a o nelegálnom zamestnávaní a o zmene a doplnení niektorých </w:t>
      </w:r>
      <w:r w:rsidR="00D77FFA">
        <w:rPr>
          <w:rFonts w:ascii="Times New Roman" w:hAnsi="Times New Roman" w:cs="Times New Roman"/>
          <w:bCs/>
          <w:color w:val="000000"/>
          <w:sz w:val="24"/>
          <w:szCs w:val="24"/>
        </w:rPr>
        <w:tab/>
      </w:r>
      <w:r w:rsidRPr="00D74FF1">
        <w:rPr>
          <w:rFonts w:ascii="Times New Roman" w:hAnsi="Times New Roman" w:cs="Times New Roman"/>
          <w:bCs/>
          <w:color w:val="000000"/>
          <w:sz w:val="24"/>
          <w:szCs w:val="24"/>
        </w:rPr>
        <w:t>zákonov v znení neskorších predpisov.“.</w:t>
      </w:r>
    </w:p>
    <w:p w:rsidR="00536EC9" w:rsidRPr="00D74FF1" w:rsidP="00536EC9">
      <w:pPr>
        <w:tabs>
          <w:tab w:val="left" w:pos="0"/>
        </w:tabs>
        <w:bidi w:val="0"/>
        <w:spacing w:after="0"/>
        <w:jc w:val="both"/>
        <w:rPr>
          <w:rFonts w:ascii="Times New Roman" w:hAnsi="Times New Roman" w:cs="Times New Roman"/>
          <w:bCs/>
          <w:color w:val="000000"/>
          <w:sz w:val="24"/>
          <w:szCs w:val="24"/>
        </w:rPr>
      </w:pPr>
    </w:p>
    <w:p w:rsidR="00536EC9" w:rsidRPr="00D74FF1" w:rsidP="00536EC9">
      <w:pPr>
        <w:pStyle w:val="ListParagraph"/>
        <w:numPr>
          <w:numId w:val="7"/>
        </w:numPr>
        <w:tabs>
          <w:tab w:val="left" w:pos="0"/>
        </w:tabs>
        <w:bidi w:val="0"/>
        <w:spacing w:after="0" w:line="240" w:lineRule="auto"/>
        <w:contextualSpacing/>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Príloha sa dopĺňa bodom 15, ktorý znie:</w:t>
      </w:r>
    </w:p>
    <w:p w:rsidR="00536EC9" w:rsidRPr="00D74FF1" w:rsidP="00536EC9">
      <w:pPr>
        <w:pStyle w:val="ListParagraph"/>
        <w:tabs>
          <w:tab w:val="left" w:pos="0"/>
        </w:tabs>
        <w:bidi w:val="0"/>
        <w:spacing w:after="0"/>
        <w:ind w:left="360"/>
        <w:jc w:val="both"/>
        <w:rPr>
          <w:rFonts w:ascii="Times New Roman" w:hAnsi="Times New Roman" w:cs="Times New Roman"/>
          <w:iCs/>
          <w:color w:val="444444"/>
          <w:sz w:val="24"/>
          <w:szCs w:val="24"/>
        </w:rPr>
      </w:pPr>
      <w:r w:rsidRPr="00D74FF1">
        <w:rPr>
          <w:rFonts w:ascii="Times New Roman" w:hAnsi="Times New Roman" w:cs="Times New Roman"/>
          <w:bCs/>
          <w:color w:val="000000"/>
          <w:sz w:val="24"/>
          <w:szCs w:val="24"/>
        </w:rPr>
        <w:t>„15. Vykonávacia smernica Komisie (EÚ) 2015/2392 zo 17. decembra 2015 o nariadení Európskeho parlamentu a Rady (EÚ) č. 596/2014, pokiaľ ide o nahlasovanie skutočných alebo možných porušení daného nariadenia príslušným orgánom (</w:t>
      </w:r>
      <w:r w:rsidRPr="00D74FF1">
        <w:rPr>
          <w:rFonts w:ascii="Times New Roman" w:hAnsi="Times New Roman" w:cs="Times New Roman"/>
          <w:iCs/>
          <w:color w:val="444444"/>
          <w:sz w:val="24"/>
          <w:szCs w:val="24"/>
        </w:rPr>
        <w:t>Ú. v. EÚ L 332, 18.12.2015).“.</w:t>
      </w:r>
    </w:p>
    <w:p w:rsidR="00536EC9" w:rsidRPr="00D74FF1" w:rsidP="00536EC9">
      <w:pPr>
        <w:bidi w:val="0"/>
        <w:spacing w:after="0"/>
        <w:jc w:val="center"/>
        <w:rPr>
          <w:rFonts w:ascii="Times New Roman" w:hAnsi="Times New Roman" w:cs="Times New Roman"/>
          <w:b/>
          <w:bCs/>
          <w:sz w:val="24"/>
          <w:szCs w:val="24"/>
        </w:rPr>
      </w:pPr>
    </w:p>
    <w:p w:rsidR="00536EC9" w:rsidRPr="00D74FF1" w:rsidP="00536EC9">
      <w:pPr>
        <w:bidi w:val="0"/>
        <w:spacing w:after="0"/>
        <w:jc w:val="center"/>
        <w:rPr>
          <w:rFonts w:ascii="Times New Roman" w:hAnsi="Times New Roman" w:cs="Times New Roman"/>
          <w:b/>
          <w:bCs/>
          <w:sz w:val="24"/>
          <w:szCs w:val="24"/>
        </w:rPr>
      </w:pPr>
      <w:r w:rsidRPr="00D74FF1">
        <w:rPr>
          <w:rFonts w:ascii="Times New Roman" w:hAnsi="Times New Roman" w:cs="Times New Roman"/>
          <w:b/>
          <w:bCs/>
          <w:sz w:val="24"/>
          <w:szCs w:val="24"/>
        </w:rPr>
        <w:t>Čl. VII</w:t>
      </w:r>
    </w:p>
    <w:p w:rsidR="00536EC9" w:rsidRPr="00D74FF1" w:rsidP="00536EC9">
      <w:pPr>
        <w:bidi w:val="0"/>
        <w:spacing w:after="0"/>
        <w:jc w:val="center"/>
        <w:rPr>
          <w:rFonts w:ascii="Times New Roman" w:hAnsi="Times New Roman" w:cs="Times New Roman"/>
          <w:b/>
          <w:bCs/>
          <w:sz w:val="24"/>
          <w:szCs w:val="24"/>
        </w:rPr>
      </w:pPr>
    </w:p>
    <w:p w:rsidR="00536EC9" w:rsidRPr="00D74FF1" w:rsidP="00536EC9">
      <w:pPr>
        <w:bidi w:val="0"/>
        <w:spacing w:after="0"/>
        <w:jc w:val="both"/>
        <w:rPr>
          <w:rFonts w:ascii="Times New Roman" w:hAnsi="Times New Roman" w:cs="Times New Roman"/>
          <w:sz w:val="24"/>
          <w:szCs w:val="24"/>
        </w:rPr>
      </w:pPr>
      <w:r w:rsidRPr="00D74FF1">
        <w:rPr>
          <w:rFonts w:ascii="Times New Roman" w:hAnsi="Times New Roman" w:cs="Times New Roman"/>
          <w:sz w:val="24"/>
          <w:szCs w:val="24"/>
        </w:rPr>
        <w:t>Zákon č. 203/2011 Z. z. o kolektívnom investovaní v znení zákona  č. 547/2011 Z. z.,  zákona č. 206/2013 Z. z., zákona  č. 352/2013 Z. z.,  zákona  č. 213/2014 Z. z., zákona č. 323/2015 Z. z., zákona č. 359/2015 Z. z., zákona č. 361/2015 Z. z., zákona č. 91/2016 Z. z. a zákona č. 125/2016 Z. z. sa mení a dopĺňa takto:</w:t>
      </w:r>
    </w:p>
    <w:p w:rsidR="00784646" w:rsidRPr="00D74FF1" w:rsidP="00536EC9">
      <w:pPr>
        <w:widowControl w:val="0"/>
        <w:overflowPunct w:val="0"/>
        <w:bidi w:val="0"/>
        <w:adjustRightInd w:val="0"/>
        <w:spacing w:after="0"/>
        <w:jc w:val="both"/>
        <w:rPr>
          <w:rFonts w:ascii="Times New Roman" w:hAnsi="Times New Roman" w:cs="Times New Roman"/>
          <w:color w:val="000000"/>
          <w:sz w:val="24"/>
          <w:szCs w:val="24"/>
        </w:rPr>
      </w:pPr>
    </w:p>
    <w:p w:rsidR="00536EC9" w:rsidRPr="00D74FF1" w:rsidP="00536EC9">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31a odsek 4 znie:</w:t>
      </w:r>
    </w:p>
    <w:p w:rsidR="00536EC9" w:rsidRPr="00D74FF1" w:rsidP="00536EC9">
      <w:pPr>
        <w:widowControl w:val="0"/>
        <w:overflowPunct w:val="0"/>
        <w:bidi w:val="0"/>
        <w:adjustRightInd w:val="0"/>
        <w:spacing w:after="0"/>
        <w:jc w:val="both"/>
        <w:rPr>
          <w:rFonts w:ascii="Times New Roman" w:hAnsi="Times New Roman" w:cs="Times New Roman"/>
          <w:color w:val="000000"/>
          <w:sz w:val="24"/>
          <w:szCs w:val="24"/>
        </w:rPr>
      </w:pPr>
      <w:r w:rsidRPr="00D74FF1" w:rsidR="0078155E">
        <w:rPr>
          <w:rFonts w:ascii="Times New Roman" w:hAnsi="Times New Roman" w:cs="Times New Roman"/>
          <w:color w:val="000000"/>
          <w:sz w:val="24"/>
          <w:szCs w:val="24"/>
        </w:rPr>
        <w:t xml:space="preserve">            </w:t>
      </w:r>
      <w:r w:rsidRPr="00D74FF1">
        <w:rPr>
          <w:rFonts w:ascii="Times New Roman" w:hAnsi="Times New Roman" w:cs="Times New Roman"/>
          <w:color w:val="000000"/>
          <w:sz w:val="24"/>
          <w:szCs w:val="24"/>
        </w:rPr>
        <w:t xml:space="preserve">„(4) </w:t>
      </w:r>
      <w:r w:rsidRPr="00D74FF1" w:rsidR="00784646">
        <w:rPr>
          <w:rFonts w:ascii="Times New Roman" w:hAnsi="Times New Roman" w:cs="Times New Roman"/>
          <w:color w:val="000000"/>
          <w:sz w:val="24"/>
          <w:szCs w:val="24"/>
        </w:rPr>
        <w:t>N</w:t>
      </w:r>
      <w:r w:rsidRPr="00D74FF1">
        <w:rPr>
          <w:rFonts w:ascii="Times New Roman" w:hAnsi="Times New Roman" w:cs="Times New Roman"/>
          <w:color w:val="000000"/>
          <w:sz w:val="24"/>
          <w:szCs w:val="24"/>
        </w:rPr>
        <w:t>a spravovanie verejných špeciálnych fondov a špeciálnych podielových fondov kvalifikovaných investorov vytvorených podľa tohto zákona</w:t>
      </w:r>
      <w:r w:rsidRPr="00D74FF1" w:rsidR="00784646">
        <w:rPr>
          <w:rFonts w:ascii="Times New Roman" w:hAnsi="Times New Roman" w:cs="Times New Roman"/>
          <w:color w:val="000000"/>
          <w:sz w:val="24"/>
          <w:szCs w:val="24"/>
        </w:rPr>
        <w:t xml:space="preserve"> sa odsek 1 nevzťahuje</w:t>
      </w:r>
      <w:r w:rsidRPr="00D74FF1">
        <w:rPr>
          <w:rFonts w:ascii="Times New Roman" w:hAnsi="Times New Roman" w:cs="Times New Roman"/>
          <w:color w:val="000000"/>
          <w:sz w:val="24"/>
          <w:szCs w:val="24"/>
        </w:rPr>
        <w:t>.“.</w:t>
      </w:r>
    </w:p>
    <w:p w:rsidR="00536EC9" w:rsidRPr="00D74FF1" w:rsidP="00536EC9">
      <w:pPr>
        <w:widowControl w:val="0"/>
        <w:overflowPunct w:val="0"/>
        <w:bidi w:val="0"/>
        <w:adjustRightInd w:val="0"/>
        <w:spacing w:after="0"/>
        <w:jc w:val="both"/>
        <w:rPr>
          <w:rFonts w:ascii="Times New Roman" w:hAnsi="Times New Roman" w:cs="Times New Roman"/>
          <w:color w:val="000000"/>
          <w:sz w:val="24"/>
          <w:szCs w:val="24"/>
        </w:rPr>
      </w:pPr>
    </w:p>
    <w:p w:rsidR="00536EC9" w:rsidRPr="00D74FF1" w:rsidP="00536EC9">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31a odsek 6 znie:</w:t>
      </w:r>
    </w:p>
    <w:p w:rsidR="00536EC9" w:rsidRPr="00D74FF1" w:rsidP="00536EC9">
      <w:pPr>
        <w:widowControl w:val="0"/>
        <w:overflowPunct w:val="0"/>
        <w:bidi w:val="0"/>
        <w:adjustRightInd w:val="0"/>
        <w:spacing w:after="0"/>
        <w:jc w:val="both"/>
        <w:rPr>
          <w:rFonts w:ascii="Times New Roman" w:hAnsi="Times New Roman" w:cs="Times New Roman"/>
          <w:color w:val="000000"/>
          <w:sz w:val="24"/>
          <w:szCs w:val="24"/>
        </w:rPr>
      </w:pPr>
      <w:r w:rsidRPr="00D74FF1" w:rsidR="0078155E">
        <w:rPr>
          <w:rFonts w:ascii="Times New Roman" w:hAnsi="Times New Roman" w:cs="Times New Roman"/>
          <w:color w:val="000000"/>
          <w:sz w:val="24"/>
          <w:szCs w:val="24"/>
        </w:rPr>
        <w:t xml:space="preserve">            </w:t>
      </w:r>
      <w:r w:rsidRPr="00D74FF1">
        <w:rPr>
          <w:rFonts w:ascii="Times New Roman" w:hAnsi="Times New Roman" w:cs="Times New Roman"/>
          <w:color w:val="000000"/>
          <w:sz w:val="24"/>
          <w:szCs w:val="24"/>
        </w:rPr>
        <w:t>„(6) Na osoby spravujúce alternatívne investičné fondy a na subjekty kolektívneho investovania, ktoré spĺňajú podmienky podľa odseku 1, sa vzťahujú ustanovenia § 31b a 189a.“.</w:t>
      </w:r>
    </w:p>
    <w:p w:rsidR="00536EC9" w:rsidRPr="00D74FF1" w:rsidP="00536EC9">
      <w:pPr>
        <w:pStyle w:val="ListParagraph"/>
        <w:widowControl w:val="0"/>
        <w:overflowPunct w:val="0"/>
        <w:bidi w:val="0"/>
        <w:adjustRightInd w:val="0"/>
        <w:spacing w:after="0"/>
        <w:jc w:val="both"/>
        <w:rPr>
          <w:rFonts w:ascii="Times New Roman" w:hAnsi="Times New Roman" w:cs="Times New Roman"/>
          <w:color w:val="000000"/>
          <w:sz w:val="24"/>
          <w:szCs w:val="24"/>
        </w:rPr>
      </w:pPr>
    </w:p>
    <w:p w:rsidR="00536EC9" w:rsidRPr="00D74FF1" w:rsidP="00536EC9">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 xml:space="preserve">V § 33 ods. 8 sa slová „alternatívnych investičných fondov a zahraničných alternatívnych investičných“ nahrádzajú slovom „spravovaných“. </w:t>
      </w:r>
    </w:p>
    <w:p w:rsidR="00536EC9" w:rsidRPr="00D74FF1" w:rsidP="00536EC9">
      <w:pPr>
        <w:pStyle w:val="ListParagraph"/>
        <w:bidi w:val="0"/>
        <w:spacing w:after="0"/>
        <w:rPr>
          <w:rFonts w:ascii="Times New Roman" w:hAnsi="Times New Roman" w:cs="Times New Roman"/>
          <w:color w:val="000000"/>
          <w:sz w:val="24"/>
          <w:szCs w:val="24"/>
        </w:rPr>
      </w:pPr>
    </w:p>
    <w:p w:rsidR="00536EC9" w:rsidRPr="00D74FF1" w:rsidP="00536EC9">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82 ods. 10 druhá veta znie:</w:t>
      </w:r>
    </w:p>
    <w:p w:rsidR="00536EC9" w:rsidRPr="00D74FF1" w:rsidP="00536EC9">
      <w:pPr>
        <w:pStyle w:val="ListParagraph"/>
        <w:bidi w:val="0"/>
        <w:spacing w:after="0"/>
        <w:rPr>
          <w:rFonts w:ascii="Times New Roman" w:hAnsi="Times New Roman" w:cs="Times New Roman"/>
          <w:color w:val="000000"/>
          <w:sz w:val="24"/>
          <w:szCs w:val="24"/>
        </w:rPr>
      </w:pPr>
    </w:p>
    <w:p w:rsidR="00536EC9" w:rsidRPr="00D74FF1" w:rsidP="00536EC9">
      <w:pPr>
        <w:widowControl w:val="0"/>
        <w:overflowPunct w:val="0"/>
        <w:bidi w:val="0"/>
        <w:adjustRightInd w:val="0"/>
        <w:spacing w:after="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„Každé ustanovenie zmluvy, ktoré je v rozpore s prvou vetou, je neplatné.“.</w:t>
      </w:r>
    </w:p>
    <w:p w:rsidR="00536EC9" w:rsidRPr="00D74FF1" w:rsidP="00536EC9">
      <w:pPr>
        <w:widowControl w:val="0"/>
        <w:overflowPunct w:val="0"/>
        <w:bidi w:val="0"/>
        <w:adjustRightInd w:val="0"/>
        <w:spacing w:after="0"/>
        <w:jc w:val="both"/>
        <w:rPr>
          <w:rFonts w:ascii="Times New Roman" w:hAnsi="Times New Roman" w:cs="Times New Roman"/>
          <w:color w:val="000000"/>
          <w:sz w:val="24"/>
          <w:szCs w:val="24"/>
        </w:rPr>
      </w:pPr>
    </w:p>
    <w:p w:rsidR="00536EC9" w:rsidRPr="00D74FF1" w:rsidP="00536EC9">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153 ods. 10 sa slovo „ich“ nahrádza slovom „im“.</w:t>
      </w:r>
    </w:p>
    <w:p w:rsidR="00536EC9" w:rsidRPr="00D74FF1" w:rsidP="00536EC9">
      <w:pPr>
        <w:widowControl w:val="0"/>
        <w:overflowPunct w:val="0"/>
        <w:bidi w:val="0"/>
        <w:adjustRightInd w:val="0"/>
        <w:spacing w:after="0"/>
        <w:jc w:val="both"/>
        <w:rPr>
          <w:rFonts w:ascii="Times New Roman" w:hAnsi="Times New Roman" w:cs="Times New Roman"/>
          <w:color w:val="000000"/>
          <w:sz w:val="24"/>
          <w:szCs w:val="24"/>
        </w:rPr>
      </w:pPr>
    </w:p>
    <w:p w:rsidR="00536EC9" w:rsidRPr="00D74FF1" w:rsidP="00536EC9">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179 sa za odsek 2 vkladá nový odsek 3, ktorý znie:</w:t>
      </w:r>
    </w:p>
    <w:p w:rsidR="00536EC9" w:rsidRPr="00D74FF1" w:rsidP="00536EC9">
      <w:pPr>
        <w:pStyle w:val="ListParagraph"/>
        <w:bidi w:val="0"/>
        <w:spacing w:after="0"/>
        <w:rPr>
          <w:rFonts w:ascii="Times New Roman" w:hAnsi="Times New Roman" w:cs="Times New Roman"/>
          <w:color w:val="000000"/>
          <w:sz w:val="24"/>
          <w:szCs w:val="24"/>
        </w:rPr>
      </w:pPr>
    </w:p>
    <w:p w:rsidR="00536EC9" w:rsidRPr="00D74FF1" w:rsidP="00536EC9">
      <w:pPr>
        <w:widowControl w:val="0"/>
        <w:overflowPunct w:val="0"/>
        <w:bidi w:val="0"/>
        <w:adjustRightInd w:val="0"/>
        <w:spacing w:after="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„(3) Súčasťou rozhodnutia, ktorým sa udeľuje predchádzajúci súhlas podľa § 163 ods. 1 písm. p), je aj schválenie zmeny štatútu špeciálneho podielového fondu.“.</w:t>
      </w:r>
    </w:p>
    <w:p w:rsidR="00536EC9" w:rsidRPr="00D74FF1" w:rsidP="00536EC9">
      <w:pPr>
        <w:widowControl w:val="0"/>
        <w:overflowPunct w:val="0"/>
        <w:bidi w:val="0"/>
        <w:adjustRightInd w:val="0"/>
        <w:spacing w:after="0"/>
        <w:jc w:val="both"/>
        <w:rPr>
          <w:rFonts w:ascii="Times New Roman" w:hAnsi="Times New Roman" w:cs="Times New Roman"/>
          <w:color w:val="000000"/>
          <w:sz w:val="24"/>
          <w:szCs w:val="24"/>
        </w:rPr>
      </w:pPr>
    </w:p>
    <w:p w:rsidR="00536EC9" w:rsidRPr="00D74FF1" w:rsidP="00536EC9">
      <w:pPr>
        <w:widowControl w:val="0"/>
        <w:overflowPunct w:val="0"/>
        <w:bidi w:val="0"/>
        <w:adjustRightInd w:val="0"/>
        <w:spacing w:after="0"/>
        <w:jc w:val="both"/>
        <w:rPr>
          <w:rFonts w:ascii="Times New Roman" w:hAnsi="Times New Roman" w:cs="Times New Roman"/>
          <w:color w:val="000000"/>
          <w:sz w:val="24"/>
          <w:szCs w:val="24"/>
        </w:rPr>
      </w:pPr>
      <w:r w:rsidRPr="00D74FF1" w:rsidR="00784646">
        <w:rPr>
          <w:rFonts w:ascii="Times New Roman" w:hAnsi="Times New Roman" w:cs="Times New Roman"/>
          <w:color w:val="000000"/>
          <w:sz w:val="24"/>
          <w:szCs w:val="24"/>
        </w:rPr>
        <w:tab/>
      </w:r>
      <w:r w:rsidRPr="00D74FF1">
        <w:rPr>
          <w:rFonts w:ascii="Times New Roman" w:hAnsi="Times New Roman" w:cs="Times New Roman"/>
          <w:color w:val="000000"/>
          <w:sz w:val="24"/>
          <w:szCs w:val="24"/>
        </w:rPr>
        <w:t>Doterajší odsek 3 sa označuje ako odsek 4.</w:t>
      </w:r>
    </w:p>
    <w:p w:rsidR="00536EC9" w:rsidRPr="00D74FF1" w:rsidP="00536EC9">
      <w:pPr>
        <w:widowControl w:val="0"/>
        <w:overflowPunct w:val="0"/>
        <w:bidi w:val="0"/>
        <w:adjustRightInd w:val="0"/>
        <w:spacing w:after="0"/>
        <w:jc w:val="both"/>
        <w:rPr>
          <w:rFonts w:ascii="Times New Roman" w:hAnsi="Times New Roman" w:cs="Times New Roman"/>
          <w:color w:val="000000"/>
          <w:sz w:val="24"/>
          <w:szCs w:val="24"/>
        </w:rPr>
      </w:pPr>
    </w:p>
    <w:p w:rsidR="00536EC9" w:rsidRPr="00D74FF1" w:rsidP="00536EC9">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180 ods. 7 písm. c) sa za slovo „verejné“ vkladá slovo „špeciálne“</w:t>
      </w:r>
    </w:p>
    <w:p w:rsidR="00536EC9" w:rsidRPr="00D74FF1" w:rsidP="00536EC9">
      <w:pPr>
        <w:pStyle w:val="ListParagraph"/>
        <w:bidi w:val="0"/>
        <w:spacing w:after="0"/>
        <w:rPr>
          <w:rFonts w:ascii="Times New Roman" w:hAnsi="Times New Roman" w:cs="Times New Roman"/>
          <w:color w:val="000000"/>
          <w:sz w:val="24"/>
          <w:szCs w:val="24"/>
        </w:rPr>
      </w:pPr>
    </w:p>
    <w:p w:rsidR="00536EC9" w:rsidRPr="00D74FF1" w:rsidP="00536EC9">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202a sa vypúšťa odsek 2.</w:t>
      </w:r>
    </w:p>
    <w:p w:rsidR="00536EC9" w:rsidRPr="00D74FF1" w:rsidP="00536EC9">
      <w:pPr>
        <w:widowControl w:val="0"/>
        <w:overflowPunct w:val="0"/>
        <w:bidi w:val="0"/>
        <w:adjustRightInd w:val="0"/>
        <w:spacing w:after="0"/>
        <w:jc w:val="both"/>
        <w:rPr>
          <w:rFonts w:ascii="Times New Roman" w:hAnsi="Times New Roman" w:cs="Times New Roman"/>
          <w:color w:val="000000"/>
          <w:sz w:val="24"/>
          <w:szCs w:val="24"/>
        </w:rPr>
      </w:pPr>
    </w:p>
    <w:p w:rsidR="00536EC9" w:rsidRPr="00D74FF1" w:rsidP="00536EC9">
      <w:pPr>
        <w:pStyle w:val="ListParagraph"/>
        <w:bidi w:val="0"/>
        <w:spacing w:after="0"/>
        <w:rPr>
          <w:rFonts w:ascii="Times New Roman" w:hAnsi="Times New Roman" w:cs="Times New Roman"/>
          <w:color w:val="000000"/>
          <w:sz w:val="24"/>
          <w:szCs w:val="24"/>
        </w:rPr>
      </w:pPr>
      <w:r w:rsidRPr="00D74FF1">
        <w:rPr>
          <w:rFonts w:ascii="Times New Roman" w:hAnsi="Times New Roman" w:cs="Times New Roman"/>
          <w:color w:val="000000"/>
          <w:sz w:val="24"/>
          <w:szCs w:val="24"/>
        </w:rPr>
        <w:t>Doterajší odsek 3 sa označuje ako odsek 2.</w:t>
      </w:r>
    </w:p>
    <w:p w:rsidR="00536EC9" w:rsidRPr="00D74FF1" w:rsidP="00536EC9">
      <w:pPr>
        <w:pStyle w:val="ListParagraph"/>
        <w:bidi w:val="0"/>
        <w:spacing w:after="0"/>
        <w:rPr>
          <w:rFonts w:ascii="Times New Roman" w:hAnsi="Times New Roman" w:cs="Times New Roman"/>
          <w:color w:val="000000"/>
          <w:sz w:val="24"/>
          <w:szCs w:val="24"/>
        </w:rPr>
      </w:pPr>
    </w:p>
    <w:p w:rsidR="00536EC9" w:rsidRPr="00D74FF1" w:rsidP="00536EC9">
      <w:pPr>
        <w:pStyle w:val="ListParagraph"/>
        <w:numPr>
          <w:numId w:val="8"/>
        </w:numPr>
        <w:bidi w:val="0"/>
        <w:spacing w:after="0" w:line="240" w:lineRule="auto"/>
        <w:contextualSpacing/>
        <w:rPr>
          <w:rFonts w:ascii="Times New Roman" w:hAnsi="Times New Roman" w:cs="Times New Roman"/>
          <w:color w:val="000000"/>
          <w:sz w:val="24"/>
          <w:szCs w:val="24"/>
        </w:rPr>
      </w:pPr>
      <w:r w:rsidRPr="00D74FF1">
        <w:rPr>
          <w:rFonts w:ascii="Times New Roman" w:hAnsi="Times New Roman" w:cs="Times New Roman"/>
          <w:color w:val="000000"/>
          <w:sz w:val="24"/>
          <w:szCs w:val="24"/>
        </w:rPr>
        <w:t>V § 204 sa vypúšťa odsek 2.</w:t>
      </w:r>
    </w:p>
    <w:p w:rsidR="00536EC9" w:rsidRPr="00D74FF1" w:rsidP="00536EC9">
      <w:pPr>
        <w:bidi w:val="0"/>
        <w:spacing w:after="0"/>
        <w:rPr>
          <w:rFonts w:ascii="Times New Roman" w:hAnsi="Times New Roman" w:cs="Times New Roman"/>
          <w:color w:val="000000"/>
          <w:sz w:val="24"/>
          <w:szCs w:val="24"/>
        </w:rPr>
      </w:pPr>
    </w:p>
    <w:p w:rsidR="00536EC9" w:rsidRPr="00D74FF1" w:rsidP="00536EC9">
      <w:pPr>
        <w:bidi w:val="0"/>
        <w:spacing w:after="0"/>
        <w:rPr>
          <w:rFonts w:ascii="Times New Roman" w:hAnsi="Times New Roman" w:cs="Times New Roman"/>
          <w:color w:val="000000"/>
          <w:sz w:val="24"/>
          <w:szCs w:val="24"/>
        </w:rPr>
      </w:pPr>
      <w:r w:rsidRPr="00D74FF1" w:rsidR="00784646">
        <w:rPr>
          <w:rFonts w:ascii="Times New Roman" w:hAnsi="Times New Roman" w:cs="Times New Roman"/>
          <w:color w:val="000000"/>
          <w:sz w:val="24"/>
          <w:szCs w:val="24"/>
        </w:rPr>
        <w:tab/>
      </w:r>
      <w:r w:rsidRPr="00D74FF1">
        <w:rPr>
          <w:rFonts w:ascii="Times New Roman" w:hAnsi="Times New Roman" w:cs="Times New Roman"/>
          <w:color w:val="000000"/>
          <w:sz w:val="24"/>
          <w:szCs w:val="24"/>
        </w:rPr>
        <w:t>Doterajšie odseky 3 až 9 sa označujú ako odseky 2 až 8.</w:t>
      </w:r>
    </w:p>
    <w:p w:rsidR="00536EC9" w:rsidRPr="00D74FF1" w:rsidP="00536EC9">
      <w:pPr>
        <w:bidi w:val="0"/>
        <w:spacing w:after="0"/>
        <w:rPr>
          <w:rFonts w:ascii="Times New Roman" w:hAnsi="Times New Roman" w:cs="Times New Roman"/>
          <w:color w:val="000000"/>
          <w:sz w:val="24"/>
          <w:szCs w:val="24"/>
        </w:rPr>
      </w:pPr>
    </w:p>
    <w:p w:rsidR="00536EC9" w:rsidRPr="00D74FF1" w:rsidP="00536EC9">
      <w:pPr>
        <w:pStyle w:val="ListParagraph"/>
        <w:numPr>
          <w:numId w:val="8"/>
        </w:numPr>
        <w:bidi w:val="0"/>
        <w:spacing w:after="0" w:line="240" w:lineRule="auto"/>
        <w:contextualSpacing/>
        <w:rPr>
          <w:rFonts w:ascii="Times New Roman" w:hAnsi="Times New Roman" w:cs="Times New Roman"/>
          <w:color w:val="000000"/>
          <w:sz w:val="24"/>
          <w:szCs w:val="24"/>
        </w:rPr>
      </w:pPr>
      <w:r w:rsidRPr="00D74FF1">
        <w:rPr>
          <w:rFonts w:ascii="Times New Roman" w:hAnsi="Times New Roman" w:cs="Times New Roman"/>
          <w:color w:val="000000"/>
          <w:sz w:val="24"/>
          <w:szCs w:val="24"/>
        </w:rPr>
        <w:t>V § 204 odsek 2 znie:</w:t>
      </w:r>
    </w:p>
    <w:p w:rsidR="00536EC9" w:rsidRPr="00D74FF1" w:rsidP="00536EC9">
      <w:pPr>
        <w:bidi w:val="0"/>
        <w:spacing w:after="0"/>
        <w:jc w:val="both"/>
        <w:rPr>
          <w:rFonts w:ascii="Times New Roman" w:hAnsi="Times New Roman" w:cs="Times New Roman"/>
          <w:sz w:val="24"/>
          <w:szCs w:val="24"/>
        </w:rPr>
      </w:pPr>
      <w:r w:rsidRPr="00D74FF1" w:rsidR="0078155E">
        <w:rPr>
          <w:rFonts w:ascii="Times New Roman" w:hAnsi="Times New Roman" w:cs="Times New Roman"/>
          <w:bCs/>
          <w:color w:val="000000"/>
          <w:sz w:val="24"/>
          <w:szCs w:val="24"/>
        </w:rPr>
        <w:t xml:space="preserve">             </w:t>
      </w:r>
      <w:r w:rsidRPr="00D74FF1">
        <w:rPr>
          <w:rFonts w:ascii="Times New Roman" w:hAnsi="Times New Roman" w:cs="Times New Roman"/>
          <w:bCs/>
          <w:color w:val="000000"/>
          <w:sz w:val="24"/>
          <w:szCs w:val="24"/>
        </w:rPr>
        <w:t>„(2) Správcovská spoločnosť</w:t>
      </w:r>
      <w:r w:rsidRPr="00D74FF1">
        <w:rPr>
          <w:rFonts w:ascii="Times New Roman" w:hAnsi="Times New Roman" w:cs="Times New Roman"/>
          <w:sz w:val="24"/>
          <w:szCs w:val="24"/>
        </w:rPr>
        <w:t xml:space="preserve"> je povinná predložiť Národnej banke Slovenska výpis z jej registra emitenta a z jej zoznamu akcionárov vyhotovený k rozhodujúcemu dňu,</w:t>
      </w:r>
      <w:r w:rsidRPr="00D74FF1">
        <w:rPr>
          <w:rFonts w:ascii="Times New Roman" w:hAnsi="Times New Roman" w:cs="Times New Roman"/>
          <w:sz w:val="24"/>
          <w:szCs w:val="24"/>
          <w:vertAlign w:val="superscript"/>
        </w:rPr>
        <w:t>90b</w:t>
      </w:r>
      <w:r w:rsidRPr="00D74FF1">
        <w:rPr>
          <w:rFonts w:ascii="Times New Roman" w:hAnsi="Times New Roman" w:cs="Times New Roman"/>
          <w:sz w:val="24"/>
          <w:szCs w:val="24"/>
        </w:rPr>
        <w:t>) ktorý je určený najmenej päť pracovných dní pred dňom konania valného zhromaždenia. Tento výpis je správcovská spoločnosť povinná doručiť Národnej banke Slovenska v deň jeho vyhotovenia. Národná banka Slovenska bezodkladne na tomto výpise písomne označí osobu, ktorej pozastavila výkon práv uvedených v odseku 1, a doručí ho správcovskej spoločnosti najneskôr v deň predchádzajúci konaniu valného zhromaždenia správcovskej spoločnosti.“.</w:t>
      </w:r>
    </w:p>
    <w:p w:rsidR="00536EC9" w:rsidRPr="00D74FF1" w:rsidP="00536EC9">
      <w:pPr>
        <w:bidi w:val="0"/>
        <w:spacing w:after="0"/>
        <w:jc w:val="both"/>
        <w:rPr>
          <w:rFonts w:ascii="Times New Roman" w:hAnsi="Times New Roman" w:cs="Times New Roman"/>
          <w:sz w:val="24"/>
          <w:szCs w:val="24"/>
        </w:rPr>
      </w:pPr>
    </w:p>
    <w:p w:rsidR="00536EC9" w:rsidRPr="00D74FF1" w:rsidP="00536EC9">
      <w:pPr>
        <w:bidi w:val="0"/>
        <w:spacing w:after="0"/>
        <w:jc w:val="both"/>
        <w:rPr>
          <w:rFonts w:ascii="Times New Roman" w:hAnsi="Times New Roman" w:cs="Times New Roman"/>
          <w:sz w:val="24"/>
          <w:szCs w:val="24"/>
        </w:rPr>
      </w:pPr>
      <w:r w:rsidRPr="00D74FF1" w:rsidR="0078155E">
        <w:rPr>
          <w:rFonts w:ascii="Times New Roman" w:hAnsi="Times New Roman" w:cs="Times New Roman"/>
          <w:sz w:val="24"/>
          <w:szCs w:val="24"/>
        </w:rPr>
        <w:tab/>
      </w:r>
      <w:r w:rsidRPr="00D74FF1">
        <w:rPr>
          <w:rFonts w:ascii="Times New Roman" w:hAnsi="Times New Roman" w:cs="Times New Roman"/>
          <w:sz w:val="24"/>
          <w:szCs w:val="24"/>
        </w:rPr>
        <w:t>Poznámka pod čiarou k odkazu 90b znie:</w:t>
      </w:r>
    </w:p>
    <w:p w:rsidR="00536EC9" w:rsidRPr="00D74FF1" w:rsidP="00536EC9">
      <w:pPr>
        <w:bidi w:val="0"/>
        <w:spacing w:after="0"/>
        <w:jc w:val="both"/>
        <w:rPr>
          <w:rFonts w:ascii="Times New Roman" w:hAnsi="Times New Roman" w:cs="Times New Roman"/>
          <w:bCs/>
          <w:color w:val="000000"/>
          <w:sz w:val="24"/>
          <w:szCs w:val="24"/>
        </w:rPr>
      </w:pPr>
      <w:r w:rsidRPr="00D74FF1" w:rsidR="0078155E">
        <w:rPr>
          <w:rFonts w:ascii="Times New Roman" w:hAnsi="Times New Roman" w:cs="Times New Roman"/>
          <w:sz w:val="24"/>
          <w:szCs w:val="24"/>
        </w:rPr>
        <w:tab/>
      </w:r>
      <w:r w:rsidRPr="00D74FF1">
        <w:rPr>
          <w:rFonts w:ascii="Times New Roman" w:hAnsi="Times New Roman" w:cs="Times New Roman"/>
          <w:sz w:val="24"/>
          <w:szCs w:val="24"/>
        </w:rPr>
        <w:t>„</w:t>
      </w:r>
      <w:r w:rsidRPr="00D74FF1">
        <w:rPr>
          <w:rFonts w:ascii="Times New Roman" w:hAnsi="Times New Roman" w:cs="Times New Roman"/>
          <w:sz w:val="24"/>
          <w:szCs w:val="24"/>
          <w:vertAlign w:val="superscript"/>
        </w:rPr>
        <w:t>90b</w:t>
      </w:r>
      <w:r w:rsidRPr="00D74FF1">
        <w:rPr>
          <w:rFonts w:ascii="Times New Roman" w:hAnsi="Times New Roman" w:cs="Times New Roman"/>
          <w:sz w:val="24"/>
          <w:szCs w:val="24"/>
        </w:rPr>
        <w:t>) § 156a Obchodného zákonníka v znení neskorších predpisov.“.</w:t>
      </w:r>
    </w:p>
    <w:p w:rsidR="00536EC9" w:rsidRPr="00D74FF1" w:rsidP="00536EC9">
      <w:pPr>
        <w:bidi w:val="0"/>
        <w:spacing w:after="0"/>
        <w:rPr>
          <w:rFonts w:ascii="Times New Roman" w:hAnsi="Times New Roman" w:cs="Times New Roman"/>
          <w:color w:val="000000"/>
          <w:sz w:val="24"/>
          <w:szCs w:val="24"/>
        </w:rPr>
      </w:pPr>
    </w:p>
    <w:p w:rsidR="00536EC9" w:rsidRPr="00D74FF1" w:rsidP="00536EC9">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prílohe č. 2 bode 3.2. sa slová „§ 81“ nahrádzajú slovami „§ 80a“.</w:t>
      </w:r>
    </w:p>
    <w:p w:rsidR="00536EC9" w:rsidRPr="00D74FF1" w:rsidP="00536EC9">
      <w:pPr>
        <w:widowControl w:val="0"/>
        <w:overflowPunct w:val="0"/>
        <w:bidi w:val="0"/>
        <w:adjustRightInd w:val="0"/>
        <w:spacing w:after="0"/>
        <w:jc w:val="both"/>
        <w:rPr>
          <w:rFonts w:ascii="Times New Roman" w:hAnsi="Times New Roman" w:cs="Times New Roman"/>
          <w:color w:val="000000"/>
          <w:sz w:val="24"/>
          <w:szCs w:val="24"/>
        </w:rPr>
      </w:pPr>
    </w:p>
    <w:p w:rsidR="00784646" w:rsidRPr="00D74FF1" w:rsidP="00536EC9">
      <w:pPr>
        <w:widowControl w:val="0"/>
        <w:overflowPunct w:val="0"/>
        <w:bidi w:val="0"/>
        <w:adjustRightInd w:val="0"/>
        <w:spacing w:after="0"/>
        <w:jc w:val="center"/>
        <w:rPr>
          <w:rFonts w:ascii="Times New Roman" w:hAnsi="Times New Roman" w:cs="Times New Roman"/>
          <w:b/>
          <w:color w:val="000000"/>
          <w:sz w:val="24"/>
          <w:szCs w:val="24"/>
        </w:rPr>
      </w:pPr>
    </w:p>
    <w:p w:rsidR="00536EC9" w:rsidRPr="00D74FF1" w:rsidP="00536EC9">
      <w:pPr>
        <w:widowControl w:val="0"/>
        <w:overflowPunct w:val="0"/>
        <w:bidi w:val="0"/>
        <w:adjustRightInd w:val="0"/>
        <w:spacing w:after="0"/>
        <w:jc w:val="center"/>
        <w:rPr>
          <w:rFonts w:ascii="Times New Roman" w:hAnsi="Times New Roman" w:cs="Times New Roman"/>
          <w:b/>
          <w:color w:val="000000"/>
          <w:sz w:val="24"/>
          <w:szCs w:val="24"/>
        </w:rPr>
      </w:pPr>
      <w:r w:rsidRPr="00D74FF1">
        <w:rPr>
          <w:rFonts w:ascii="Times New Roman" w:hAnsi="Times New Roman" w:cs="Times New Roman"/>
          <w:b/>
          <w:color w:val="000000"/>
          <w:sz w:val="24"/>
          <w:szCs w:val="24"/>
        </w:rPr>
        <w:t>Čl. VIII</w:t>
      </w:r>
    </w:p>
    <w:p w:rsidR="00536EC9" w:rsidRPr="00D74FF1" w:rsidP="00536EC9">
      <w:pPr>
        <w:widowControl w:val="0"/>
        <w:overflowPunct w:val="0"/>
        <w:bidi w:val="0"/>
        <w:adjustRightInd w:val="0"/>
        <w:spacing w:after="0"/>
        <w:jc w:val="center"/>
        <w:rPr>
          <w:rFonts w:ascii="Times New Roman" w:hAnsi="Times New Roman" w:cs="Times New Roman"/>
          <w:b/>
          <w:color w:val="000000"/>
          <w:sz w:val="24"/>
          <w:szCs w:val="24"/>
        </w:rPr>
      </w:pPr>
    </w:p>
    <w:p w:rsidR="00536EC9" w:rsidRPr="00D74FF1" w:rsidP="00536EC9">
      <w:pPr>
        <w:widowControl w:val="0"/>
        <w:overflowPunct w:val="0"/>
        <w:bidi w:val="0"/>
        <w:adjustRightInd w:val="0"/>
        <w:spacing w:after="0"/>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Zákon č. 39/2015 Z. z. o poisťovníctve a o zmene a doplnení niektorých zákonov v znení zákona č. 359/2015 Z. z., zákona č. 437/2015 Z. z. a zákona č. 125/2016 Z. z. sa mení a dopĺňa takto:</w:t>
      </w:r>
    </w:p>
    <w:p w:rsidR="00536EC9" w:rsidRPr="00D74FF1" w:rsidP="00536EC9">
      <w:pPr>
        <w:widowControl w:val="0"/>
        <w:overflowPunct w:val="0"/>
        <w:bidi w:val="0"/>
        <w:adjustRightInd w:val="0"/>
        <w:spacing w:after="0"/>
        <w:jc w:val="both"/>
        <w:rPr>
          <w:rFonts w:ascii="Times New Roman" w:hAnsi="Times New Roman" w:cs="Times New Roman"/>
          <w:color w:val="000000"/>
          <w:sz w:val="24"/>
          <w:szCs w:val="24"/>
        </w:rPr>
      </w:pPr>
    </w:p>
    <w:p w:rsidR="00536EC9" w:rsidRPr="00D74FF1" w:rsidP="00536EC9">
      <w:pPr>
        <w:pStyle w:val="ListParagraph"/>
        <w:widowControl w:val="0"/>
        <w:numPr>
          <w:numId w:val="23"/>
        </w:numPr>
        <w:overflowPunct w:val="0"/>
        <w:bidi w:val="0"/>
        <w:adjustRightInd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163 sa vypúšťajú odseky 8 a 9.</w:t>
      </w:r>
    </w:p>
    <w:p w:rsidR="00536EC9" w:rsidRPr="00D74FF1" w:rsidP="00536EC9">
      <w:pPr>
        <w:widowControl w:val="0"/>
        <w:overflowPunct w:val="0"/>
        <w:bidi w:val="0"/>
        <w:adjustRightInd w:val="0"/>
        <w:spacing w:after="0"/>
        <w:jc w:val="both"/>
        <w:rPr>
          <w:rFonts w:ascii="Times New Roman" w:hAnsi="Times New Roman" w:cs="Times New Roman"/>
          <w:color w:val="000000"/>
          <w:sz w:val="24"/>
          <w:szCs w:val="24"/>
        </w:rPr>
      </w:pPr>
      <w:r w:rsidRPr="00D74FF1" w:rsidR="0078155E">
        <w:rPr>
          <w:rFonts w:ascii="Times New Roman" w:hAnsi="Times New Roman" w:cs="Times New Roman"/>
          <w:color w:val="000000"/>
          <w:sz w:val="24"/>
          <w:szCs w:val="24"/>
        </w:rPr>
        <w:tab/>
      </w:r>
      <w:r w:rsidRPr="00D74FF1">
        <w:rPr>
          <w:rFonts w:ascii="Times New Roman" w:hAnsi="Times New Roman" w:cs="Times New Roman"/>
          <w:color w:val="000000"/>
          <w:sz w:val="24"/>
          <w:szCs w:val="24"/>
        </w:rPr>
        <w:t>Doterajší odsek 10 sa označuje ako odsek 8.</w:t>
      </w:r>
    </w:p>
    <w:p w:rsidR="00536EC9" w:rsidRPr="00D74FF1" w:rsidP="00536EC9">
      <w:pPr>
        <w:widowControl w:val="0"/>
        <w:overflowPunct w:val="0"/>
        <w:bidi w:val="0"/>
        <w:adjustRightInd w:val="0"/>
        <w:spacing w:after="0"/>
        <w:jc w:val="both"/>
        <w:rPr>
          <w:rFonts w:ascii="Times New Roman" w:hAnsi="Times New Roman" w:cs="Times New Roman"/>
          <w:color w:val="000000"/>
          <w:sz w:val="24"/>
          <w:szCs w:val="24"/>
        </w:rPr>
      </w:pPr>
    </w:p>
    <w:p w:rsidR="00536EC9" w:rsidRPr="00D74FF1" w:rsidP="00536EC9">
      <w:pPr>
        <w:pStyle w:val="ListParagraph"/>
        <w:widowControl w:val="0"/>
        <w:numPr>
          <w:numId w:val="23"/>
        </w:numPr>
        <w:overflowPunct w:val="0"/>
        <w:bidi w:val="0"/>
        <w:adjustRightInd w:val="0"/>
        <w:spacing w:after="0" w:line="240" w:lineRule="auto"/>
        <w:contextualSpacing/>
        <w:jc w:val="both"/>
        <w:rPr>
          <w:rFonts w:ascii="Times New Roman" w:hAnsi="Times New Roman" w:cs="Times New Roman"/>
          <w:color w:val="000000"/>
          <w:sz w:val="24"/>
          <w:szCs w:val="24"/>
        </w:rPr>
      </w:pPr>
      <w:r w:rsidRPr="00D74FF1">
        <w:rPr>
          <w:rFonts w:ascii="Times New Roman" w:hAnsi="Times New Roman" w:cs="Times New Roman"/>
          <w:color w:val="000000"/>
          <w:sz w:val="24"/>
          <w:szCs w:val="24"/>
        </w:rPr>
        <w:t>V § 163 odsek 8 znie:</w:t>
      </w:r>
    </w:p>
    <w:p w:rsidR="00536EC9" w:rsidRPr="00D74FF1" w:rsidP="00536EC9">
      <w:pPr>
        <w:bidi w:val="0"/>
        <w:spacing w:after="0"/>
        <w:jc w:val="both"/>
        <w:rPr>
          <w:rFonts w:ascii="Times New Roman" w:hAnsi="Times New Roman" w:cs="Times New Roman"/>
          <w:sz w:val="24"/>
          <w:szCs w:val="24"/>
        </w:rPr>
      </w:pPr>
      <w:r w:rsidRPr="00D74FF1" w:rsidR="0078155E">
        <w:rPr>
          <w:rFonts w:ascii="Times New Roman" w:hAnsi="Times New Roman" w:cs="Times New Roman"/>
          <w:bCs/>
          <w:color w:val="000000"/>
          <w:sz w:val="24"/>
          <w:szCs w:val="24"/>
        </w:rPr>
        <w:t xml:space="preserve">            </w:t>
      </w:r>
      <w:r w:rsidRPr="00D74FF1">
        <w:rPr>
          <w:rFonts w:ascii="Times New Roman" w:hAnsi="Times New Roman" w:cs="Times New Roman"/>
          <w:bCs/>
          <w:color w:val="000000"/>
          <w:sz w:val="24"/>
          <w:szCs w:val="24"/>
        </w:rPr>
        <w:t>„(8) Poisťovňa alebo zaisťovňa</w:t>
      </w:r>
      <w:r w:rsidRPr="00D74FF1">
        <w:rPr>
          <w:rFonts w:ascii="Times New Roman" w:hAnsi="Times New Roman" w:cs="Times New Roman"/>
          <w:sz w:val="24"/>
          <w:szCs w:val="24"/>
        </w:rPr>
        <w:t xml:space="preserve"> je povinná predložiť Národnej banke Slovenska výpis z jej registra emitenta a z jej zoznamu akcionárov vyhotovený k rozhodujúcemu dňu,</w:t>
      </w:r>
      <w:r w:rsidRPr="00D74FF1">
        <w:rPr>
          <w:rFonts w:ascii="Times New Roman" w:hAnsi="Times New Roman" w:cs="Times New Roman"/>
          <w:sz w:val="24"/>
          <w:szCs w:val="24"/>
          <w:vertAlign w:val="superscript"/>
        </w:rPr>
        <w:t>84</w:t>
      </w:r>
      <w:r w:rsidRPr="00D74FF1">
        <w:rPr>
          <w:rFonts w:ascii="Times New Roman" w:hAnsi="Times New Roman" w:cs="Times New Roman"/>
          <w:sz w:val="24"/>
          <w:szCs w:val="24"/>
        </w:rPr>
        <w:t>) ktorý je určený najmenej päť pracovných dní pred dňom konania valného zhromaždenia. Tento výpis je poisťovňa alebo zaisťovňa povinná doručiť Národnej banke Slovenska v deň jeho vyhotovenia. Národná banka Slovenska bezodkladne na tomto výpise písomne označí osobu, ktorej pozastavila výkon práv uvedených v odseku 1, a doručí ho poisťovni alebo zaisťovni najneskôr v deň predchádzajúci konaniu valného zhromaždenia poisťovne alebo zaisťovne.“.</w:t>
      </w:r>
    </w:p>
    <w:p w:rsidR="00536EC9" w:rsidRPr="00D74FF1" w:rsidP="00536EC9">
      <w:pPr>
        <w:bidi w:val="0"/>
        <w:spacing w:after="0"/>
        <w:jc w:val="both"/>
        <w:rPr>
          <w:rFonts w:ascii="Times New Roman" w:hAnsi="Times New Roman" w:cs="Times New Roman"/>
          <w:sz w:val="24"/>
          <w:szCs w:val="24"/>
        </w:rPr>
      </w:pPr>
    </w:p>
    <w:p w:rsidR="00536EC9" w:rsidRPr="00D74FF1" w:rsidP="00536EC9">
      <w:pPr>
        <w:bidi w:val="0"/>
        <w:spacing w:after="0"/>
        <w:jc w:val="both"/>
        <w:rPr>
          <w:rFonts w:ascii="Times New Roman" w:hAnsi="Times New Roman" w:cs="Times New Roman"/>
          <w:sz w:val="24"/>
          <w:szCs w:val="24"/>
        </w:rPr>
      </w:pPr>
      <w:r w:rsidRPr="00D74FF1" w:rsidR="0078155E">
        <w:rPr>
          <w:rFonts w:ascii="Times New Roman" w:hAnsi="Times New Roman" w:cs="Times New Roman"/>
          <w:sz w:val="24"/>
          <w:szCs w:val="24"/>
        </w:rPr>
        <w:tab/>
      </w:r>
      <w:r w:rsidRPr="00D74FF1">
        <w:rPr>
          <w:rFonts w:ascii="Times New Roman" w:hAnsi="Times New Roman" w:cs="Times New Roman"/>
          <w:sz w:val="24"/>
          <w:szCs w:val="24"/>
        </w:rPr>
        <w:t>Poznámka pod čiarou k odkazu 84 znie:</w:t>
      </w:r>
    </w:p>
    <w:p w:rsidR="00536EC9" w:rsidRPr="00D74FF1" w:rsidP="00536EC9">
      <w:pPr>
        <w:bidi w:val="0"/>
        <w:spacing w:after="0"/>
        <w:jc w:val="both"/>
        <w:rPr>
          <w:rFonts w:ascii="Times New Roman" w:hAnsi="Times New Roman" w:cs="Times New Roman"/>
          <w:sz w:val="24"/>
          <w:szCs w:val="24"/>
        </w:rPr>
      </w:pPr>
      <w:r w:rsidRPr="00D74FF1" w:rsidR="0078155E">
        <w:rPr>
          <w:rFonts w:ascii="Times New Roman" w:hAnsi="Times New Roman" w:cs="Times New Roman"/>
          <w:sz w:val="24"/>
          <w:szCs w:val="24"/>
        </w:rPr>
        <w:tab/>
      </w:r>
      <w:r w:rsidRPr="00D74FF1">
        <w:rPr>
          <w:rFonts w:ascii="Times New Roman" w:hAnsi="Times New Roman" w:cs="Times New Roman"/>
          <w:sz w:val="24"/>
          <w:szCs w:val="24"/>
        </w:rPr>
        <w:t>„</w:t>
      </w:r>
      <w:r w:rsidRPr="00D74FF1">
        <w:rPr>
          <w:rFonts w:ascii="Times New Roman" w:hAnsi="Times New Roman" w:cs="Times New Roman"/>
          <w:sz w:val="24"/>
          <w:szCs w:val="24"/>
          <w:vertAlign w:val="superscript"/>
        </w:rPr>
        <w:t>84</w:t>
      </w:r>
      <w:r w:rsidRPr="00D74FF1">
        <w:rPr>
          <w:rFonts w:ascii="Times New Roman" w:hAnsi="Times New Roman" w:cs="Times New Roman"/>
          <w:sz w:val="24"/>
          <w:szCs w:val="24"/>
        </w:rPr>
        <w:t>) § 156a Obchodného zákonníka v znení neskorších predpisov.“.</w:t>
      </w:r>
    </w:p>
    <w:p w:rsidR="00536EC9" w:rsidRPr="00D74FF1" w:rsidP="00536EC9">
      <w:pPr>
        <w:bidi w:val="0"/>
        <w:spacing w:after="0"/>
        <w:jc w:val="both"/>
        <w:rPr>
          <w:rFonts w:ascii="Times New Roman" w:hAnsi="Times New Roman" w:cs="Times New Roman"/>
          <w:sz w:val="24"/>
          <w:szCs w:val="24"/>
        </w:rPr>
      </w:pPr>
    </w:p>
    <w:p w:rsidR="00536EC9" w:rsidRPr="00D74FF1" w:rsidP="00536EC9">
      <w:pPr>
        <w:pStyle w:val="ListParagraph"/>
        <w:numPr>
          <w:numId w:val="23"/>
        </w:numPr>
        <w:bidi w:val="0"/>
        <w:spacing w:after="0" w:line="240" w:lineRule="auto"/>
        <w:contextualSpacing/>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 163 sa dopĺňa odsekom 9, ktorý znie:</w:t>
      </w:r>
    </w:p>
    <w:p w:rsidR="00536EC9" w:rsidRPr="00D74FF1" w:rsidP="00536EC9">
      <w:pPr>
        <w:bidi w:val="0"/>
        <w:spacing w:after="0"/>
        <w:jc w:val="both"/>
        <w:rPr>
          <w:rFonts w:ascii="Times New Roman" w:hAnsi="Times New Roman" w:cs="Times New Roman"/>
          <w:bCs/>
          <w:color w:val="000000"/>
          <w:sz w:val="24"/>
          <w:szCs w:val="24"/>
        </w:rPr>
      </w:pPr>
      <w:r w:rsidRPr="00D74FF1">
        <w:rPr>
          <w:rFonts w:ascii="Times New Roman" w:hAnsi="Times New Roman" w:cs="Times New Roman"/>
          <w:bCs/>
          <w:color w:val="000000"/>
          <w:sz w:val="24"/>
          <w:szCs w:val="24"/>
        </w:rPr>
        <w:t>„(9) Konanie o pozastavení výkonu práv uvedených v odseku 1 je začaté aj, ak Národná banka Slovenska na výpise podľa odseku 1 písomne označí osobu, u ktorej nanovo zistila dôvody na pozastavenie výkonu práv uvedených v odseku 1.“.</w:t>
      </w:r>
    </w:p>
    <w:p w:rsidR="00536EC9" w:rsidRPr="00D74FF1" w:rsidP="00536EC9">
      <w:pPr>
        <w:widowControl w:val="0"/>
        <w:overflowPunct w:val="0"/>
        <w:bidi w:val="0"/>
        <w:adjustRightInd w:val="0"/>
        <w:spacing w:after="0"/>
        <w:jc w:val="center"/>
        <w:rPr>
          <w:rFonts w:ascii="Times New Roman" w:hAnsi="Times New Roman" w:cs="Times New Roman"/>
          <w:color w:val="000000"/>
          <w:sz w:val="24"/>
          <w:szCs w:val="24"/>
        </w:rPr>
      </w:pPr>
    </w:p>
    <w:p w:rsidR="00536EC9" w:rsidRPr="00D74FF1" w:rsidP="00536EC9">
      <w:pPr>
        <w:widowControl w:val="0"/>
        <w:overflowPunct w:val="0"/>
        <w:bidi w:val="0"/>
        <w:adjustRightInd w:val="0"/>
        <w:spacing w:after="0"/>
        <w:jc w:val="center"/>
        <w:rPr>
          <w:rFonts w:ascii="Times New Roman" w:hAnsi="Times New Roman" w:cs="Times New Roman"/>
          <w:b/>
          <w:color w:val="000000"/>
          <w:sz w:val="24"/>
          <w:szCs w:val="24"/>
        </w:rPr>
      </w:pPr>
      <w:r w:rsidRPr="00D74FF1">
        <w:rPr>
          <w:rFonts w:ascii="Times New Roman" w:hAnsi="Times New Roman" w:cs="Times New Roman"/>
          <w:b/>
          <w:color w:val="000000"/>
          <w:sz w:val="24"/>
          <w:szCs w:val="24"/>
        </w:rPr>
        <w:t>Čl. IX</w:t>
      </w:r>
    </w:p>
    <w:p w:rsidR="00536EC9" w:rsidRPr="00D74FF1" w:rsidP="00536EC9">
      <w:pPr>
        <w:widowControl w:val="0"/>
        <w:overflowPunct w:val="0"/>
        <w:bidi w:val="0"/>
        <w:adjustRightInd w:val="0"/>
        <w:spacing w:after="0"/>
        <w:jc w:val="both"/>
        <w:rPr>
          <w:rFonts w:ascii="Times New Roman" w:hAnsi="Times New Roman" w:cs="Times New Roman"/>
          <w:b/>
          <w:color w:val="000000"/>
          <w:sz w:val="24"/>
          <w:szCs w:val="24"/>
        </w:rPr>
      </w:pPr>
    </w:p>
    <w:p w:rsidR="00536EC9" w:rsidRPr="00D74FF1" w:rsidP="00536EC9">
      <w:pPr>
        <w:widowControl w:val="0"/>
        <w:overflowPunct w:val="0"/>
        <w:bidi w:val="0"/>
        <w:adjustRightInd w:val="0"/>
        <w:spacing w:after="0"/>
        <w:jc w:val="both"/>
        <w:rPr>
          <w:rFonts w:ascii="Times New Roman" w:hAnsi="Times New Roman" w:cs="Times New Roman"/>
          <w:color w:val="000000"/>
          <w:sz w:val="24"/>
          <w:szCs w:val="24"/>
        </w:rPr>
      </w:pPr>
      <w:r w:rsidRPr="00D74FF1" w:rsidR="0078155E">
        <w:rPr>
          <w:rFonts w:ascii="Times New Roman" w:hAnsi="Times New Roman" w:cs="Times New Roman"/>
          <w:color w:val="000000"/>
          <w:sz w:val="24"/>
          <w:szCs w:val="24"/>
        </w:rPr>
        <w:tab/>
      </w:r>
      <w:r w:rsidRPr="00D74FF1">
        <w:rPr>
          <w:rFonts w:ascii="Times New Roman" w:hAnsi="Times New Roman" w:cs="Times New Roman"/>
          <w:color w:val="000000"/>
          <w:sz w:val="24"/>
          <w:szCs w:val="24"/>
        </w:rPr>
        <w:t xml:space="preserve">Tento zákon nadobúda účinnosť 1. decembra 2016 </w:t>
      </w:r>
      <w:r w:rsidRPr="00D74FF1">
        <w:rPr>
          <w:rFonts w:ascii="Times New Roman" w:hAnsi="Times New Roman" w:cs="Times New Roman"/>
          <w:sz w:val="24"/>
          <w:szCs w:val="24"/>
        </w:rPr>
        <w:t>okrem čl. I bodov 10, 11,</w:t>
      </w:r>
      <w:r w:rsidRPr="00D74FF1" w:rsidR="00784646">
        <w:rPr>
          <w:rFonts w:ascii="Times New Roman" w:hAnsi="Times New Roman" w:cs="Times New Roman"/>
          <w:sz w:val="24"/>
          <w:szCs w:val="24"/>
        </w:rPr>
        <w:t xml:space="preserve"> 13,</w:t>
      </w:r>
      <w:r w:rsidRPr="00D74FF1">
        <w:rPr>
          <w:rFonts w:ascii="Times New Roman" w:hAnsi="Times New Roman" w:cs="Times New Roman"/>
          <w:color w:val="FF0000"/>
          <w:sz w:val="24"/>
          <w:szCs w:val="24"/>
        </w:rPr>
        <w:t xml:space="preserve"> </w:t>
      </w:r>
      <w:r w:rsidRPr="00D74FF1">
        <w:rPr>
          <w:rFonts w:ascii="Times New Roman" w:hAnsi="Times New Roman" w:cs="Times New Roman"/>
          <w:sz w:val="24"/>
          <w:szCs w:val="24"/>
        </w:rPr>
        <w:t>21 a 22,</w:t>
      </w:r>
      <w:r w:rsidRPr="00D74FF1">
        <w:rPr>
          <w:rFonts w:ascii="Times New Roman" w:hAnsi="Times New Roman" w:cs="Times New Roman"/>
          <w:color w:val="000000"/>
          <w:sz w:val="24"/>
          <w:szCs w:val="24"/>
        </w:rPr>
        <w:t xml:space="preserve"> ktoré  nadobúdajú účinnosť 6. februára 2017.</w:t>
      </w:r>
    </w:p>
    <w:p w:rsidR="00D80C5C" w:rsidRPr="00D74FF1" w:rsidP="00536EC9">
      <w:pPr>
        <w:bidi w:val="0"/>
        <w:spacing w:after="0"/>
        <w:ind w:left="426" w:hanging="426"/>
        <w:jc w:val="center"/>
        <w:rPr>
          <w:rFonts w:ascii="Times New Roman" w:hAnsi="Times New Roman" w:cs="Times New Roman"/>
          <w:sz w:val="24"/>
          <w:szCs w:val="24"/>
        </w:rPr>
      </w:pPr>
    </w:p>
    <w:p w:rsidR="00EF027B" w:rsidRPr="00D74FF1" w:rsidP="00536EC9">
      <w:pPr>
        <w:bidi w:val="0"/>
        <w:spacing w:after="0"/>
        <w:ind w:left="426" w:hanging="426"/>
        <w:jc w:val="center"/>
        <w:rPr>
          <w:rFonts w:ascii="Times New Roman" w:hAnsi="Times New Roman" w:cs="Times New Roman"/>
          <w:sz w:val="24"/>
          <w:szCs w:val="24"/>
        </w:rPr>
      </w:pPr>
    </w:p>
    <w:p w:rsidR="0078155E" w:rsidP="00536EC9">
      <w:pPr>
        <w:bidi w:val="0"/>
        <w:spacing w:after="0"/>
        <w:ind w:left="426" w:hanging="426"/>
        <w:jc w:val="center"/>
        <w:rPr>
          <w:rFonts w:ascii="Times New Roman" w:hAnsi="Times New Roman" w:cs="Times New Roman"/>
          <w:sz w:val="24"/>
          <w:szCs w:val="24"/>
        </w:rPr>
      </w:pPr>
    </w:p>
    <w:p w:rsidR="00D77FFA" w:rsidRPr="00D74FF1" w:rsidP="00536EC9">
      <w:pPr>
        <w:bidi w:val="0"/>
        <w:spacing w:after="0"/>
        <w:ind w:left="426" w:hanging="426"/>
        <w:jc w:val="center"/>
        <w:rPr>
          <w:rFonts w:ascii="Times New Roman" w:hAnsi="Times New Roman" w:cs="Times New Roman"/>
          <w:sz w:val="24"/>
          <w:szCs w:val="24"/>
        </w:rPr>
      </w:pPr>
    </w:p>
    <w:p w:rsidR="0078155E" w:rsidRPr="00D74FF1" w:rsidP="00536EC9">
      <w:pPr>
        <w:bidi w:val="0"/>
        <w:spacing w:after="0"/>
        <w:ind w:left="426" w:hanging="426"/>
        <w:jc w:val="center"/>
        <w:rPr>
          <w:rFonts w:ascii="Times New Roman" w:hAnsi="Times New Roman" w:cs="Times New Roman"/>
          <w:sz w:val="24"/>
          <w:szCs w:val="24"/>
        </w:rPr>
      </w:pPr>
    </w:p>
    <w:p w:rsidR="00EF027B" w:rsidRPr="00D74FF1" w:rsidP="00536EC9">
      <w:pPr>
        <w:bidi w:val="0"/>
        <w:spacing w:after="0"/>
        <w:ind w:left="426" w:hanging="426"/>
        <w:jc w:val="center"/>
        <w:rPr>
          <w:rFonts w:ascii="Times New Roman" w:hAnsi="Times New Roman" w:cs="Times New Roman"/>
          <w:sz w:val="24"/>
          <w:szCs w:val="24"/>
        </w:rPr>
      </w:pPr>
    </w:p>
    <w:p w:rsidR="00EF027B" w:rsidRPr="00D74FF1" w:rsidP="00EF027B">
      <w:pPr>
        <w:autoSpaceDE w:val="0"/>
        <w:autoSpaceDN w:val="0"/>
        <w:bidi w:val="0"/>
        <w:adjustRightInd w:val="0"/>
        <w:spacing w:line="240" w:lineRule="atLeast"/>
        <w:ind w:left="284"/>
        <w:rPr>
          <w:rFonts w:ascii="Times New Roman" w:hAnsi="Times New Roman" w:cs="Times New Roman"/>
          <w:sz w:val="24"/>
          <w:szCs w:val="24"/>
        </w:rPr>
      </w:pPr>
    </w:p>
    <w:p w:rsidR="00EF027B" w:rsidRPr="00D74FF1" w:rsidP="00EF027B">
      <w:pPr>
        <w:bidi w:val="0"/>
        <w:jc w:val="center"/>
        <w:rPr>
          <w:rFonts w:ascii="Times New Roman" w:hAnsi="Times New Roman" w:cs="Times New Roman"/>
          <w:sz w:val="24"/>
          <w:szCs w:val="24"/>
        </w:rPr>
      </w:pPr>
      <w:r w:rsidRPr="00D74FF1">
        <w:rPr>
          <w:rFonts w:ascii="Times New Roman" w:hAnsi="Times New Roman" w:cs="Times New Roman"/>
          <w:sz w:val="24"/>
          <w:szCs w:val="24"/>
        </w:rPr>
        <w:t>prezident Slovenskej republiky</w:t>
      </w:r>
    </w:p>
    <w:p w:rsidR="00EF027B" w:rsidP="00EF027B">
      <w:pPr>
        <w:bidi w:val="0"/>
        <w:rPr>
          <w:rFonts w:ascii="Times New Roman" w:hAnsi="Times New Roman" w:cs="Times New Roman"/>
          <w:sz w:val="24"/>
          <w:szCs w:val="24"/>
        </w:rPr>
      </w:pPr>
    </w:p>
    <w:p w:rsidR="00D77FFA" w:rsidRPr="00D74FF1" w:rsidP="00EF027B">
      <w:pPr>
        <w:bidi w:val="0"/>
        <w:rPr>
          <w:rFonts w:ascii="Times New Roman" w:hAnsi="Times New Roman" w:cs="Times New Roman"/>
          <w:sz w:val="24"/>
          <w:szCs w:val="24"/>
        </w:rPr>
      </w:pPr>
    </w:p>
    <w:p w:rsidR="0078155E" w:rsidRPr="00D74FF1" w:rsidP="00EF027B">
      <w:pPr>
        <w:bidi w:val="0"/>
        <w:rPr>
          <w:rFonts w:ascii="Times New Roman" w:hAnsi="Times New Roman" w:cs="Times New Roman"/>
          <w:sz w:val="24"/>
          <w:szCs w:val="24"/>
        </w:rPr>
      </w:pPr>
    </w:p>
    <w:p w:rsidR="0078155E" w:rsidRPr="00D74FF1" w:rsidP="00EF027B">
      <w:pPr>
        <w:bidi w:val="0"/>
        <w:rPr>
          <w:rFonts w:ascii="Times New Roman" w:hAnsi="Times New Roman" w:cs="Times New Roman"/>
          <w:sz w:val="24"/>
          <w:szCs w:val="24"/>
        </w:rPr>
      </w:pPr>
    </w:p>
    <w:p w:rsidR="00EF027B" w:rsidRPr="00D74FF1" w:rsidP="00EF027B">
      <w:pPr>
        <w:bidi w:val="0"/>
        <w:jc w:val="center"/>
        <w:rPr>
          <w:rFonts w:ascii="Times New Roman" w:hAnsi="Times New Roman" w:cs="Times New Roman"/>
          <w:sz w:val="24"/>
          <w:szCs w:val="24"/>
        </w:rPr>
      </w:pPr>
    </w:p>
    <w:p w:rsidR="00EF027B" w:rsidRPr="00D74FF1" w:rsidP="00EF027B">
      <w:pPr>
        <w:bidi w:val="0"/>
        <w:jc w:val="center"/>
        <w:rPr>
          <w:rFonts w:ascii="Times New Roman" w:hAnsi="Times New Roman" w:cs="Times New Roman"/>
          <w:sz w:val="24"/>
          <w:szCs w:val="24"/>
        </w:rPr>
      </w:pPr>
      <w:r w:rsidRPr="00D74FF1">
        <w:rPr>
          <w:rFonts w:ascii="Times New Roman" w:hAnsi="Times New Roman" w:cs="Times New Roman"/>
          <w:sz w:val="24"/>
          <w:szCs w:val="24"/>
        </w:rPr>
        <w:t>predseda Národnej rady Slovenskej republiky</w:t>
      </w:r>
    </w:p>
    <w:p w:rsidR="00EF027B" w:rsidRPr="00D74FF1" w:rsidP="00EF027B">
      <w:pPr>
        <w:bidi w:val="0"/>
        <w:jc w:val="center"/>
        <w:rPr>
          <w:rFonts w:ascii="Times New Roman" w:hAnsi="Times New Roman" w:cs="Times New Roman"/>
          <w:sz w:val="24"/>
          <w:szCs w:val="24"/>
        </w:rPr>
      </w:pPr>
    </w:p>
    <w:p w:rsidR="0078155E" w:rsidP="00EF027B">
      <w:pPr>
        <w:bidi w:val="0"/>
        <w:jc w:val="center"/>
        <w:rPr>
          <w:rFonts w:ascii="Times New Roman" w:hAnsi="Times New Roman" w:cs="Times New Roman"/>
          <w:sz w:val="24"/>
          <w:szCs w:val="24"/>
        </w:rPr>
      </w:pPr>
    </w:p>
    <w:p w:rsidR="00D77FFA" w:rsidRPr="00D74FF1" w:rsidP="00EF027B">
      <w:pPr>
        <w:bidi w:val="0"/>
        <w:jc w:val="center"/>
        <w:rPr>
          <w:rFonts w:ascii="Times New Roman" w:hAnsi="Times New Roman" w:cs="Times New Roman"/>
          <w:sz w:val="24"/>
          <w:szCs w:val="24"/>
        </w:rPr>
      </w:pPr>
    </w:p>
    <w:p w:rsidR="0078155E" w:rsidRPr="00D74FF1" w:rsidP="00EF027B">
      <w:pPr>
        <w:bidi w:val="0"/>
        <w:jc w:val="center"/>
        <w:rPr>
          <w:rFonts w:ascii="Times New Roman" w:hAnsi="Times New Roman" w:cs="Times New Roman"/>
          <w:sz w:val="24"/>
          <w:szCs w:val="24"/>
        </w:rPr>
      </w:pPr>
    </w:p>
    <w:p w:rsidR="00EF027B" w:rsidRPr="00D74FF1" w:rsidP="00EF027B">
      <w:pPr>
        <w:bidi w:val="0"/>
        <w:jc w:val="center"/>
        <w:rPr>
          <w:rFonts w:ascii="Times New Roman" w:hAnsi="Times New Roman" w:cs="Times New Roman"/>
          <w:sz w:val="24"/>
          <w:szCs w:val="24"/>
        </w:rPr>
      </w:pPr>
    </w:p>
    <w:p w:rsidR="00EF027B" w:rsidRPr="00D74FF1" w:rsidP="00EF027B">
      <w:pPr>
        <w:bidi w:val="0"/>
        <w:jc w:val="center"/>
        <w:rPr>
          <w:rFonts w:ascii="Times New Roman" w:hAnsi="Times New Roman" w:cs="Times New Roman"/>
          <w:sz w:val="24"/>
          <w:szCs w:val="24"/>
        </w:rPr>
      </w:pPr>
      <w:r w:rsidRPr="00D74FF1">
        <w:rPr>
          <w:rFonts w:ascii="Times New Roman" w:hAnsi="Times New Roman" w:cs="Times New Roman"/>
          <w:sz w:val="24"/>
          <w:szCs w:val="24"/>
        </w:rPr>
        <w:t>predseda vlády Slovenskej republiky</w:t>
      </w:r>
    </w:p>
    <w:p w:rsidR="00EF027B" w:rsidRPr="00D74FF1" w:rsidP="00EF027B">
      <w:pPr>
        <w:bidi w:val="0"/>
        <w:rPr>
          <w:rFonts w:ascii="Times New Roman" w:hAnsi="Times New Roman" w:cs="Times New Roman"/>
          <w:sz w:val="24"/>
          <w:szCs w:val="24"/>
        </w:rPr>
      </w:pPr>
    </w:p>
    <w:p w:rsidR="00EF027B" w:rsidRPr="00D74FF1" w:rsidP="00EF027B">
      <w:pPr>
        <w:bidi w:val="0"/>
        <w:rPr>
          <w:rFonts w:ascii="Times New Roman" w:hAnsi="Times New Roman" w:cs="Times New Roman"/>
          <w:sz w:val="24"/>
          <w:szCs w:val="24"/>
        </w:rPr>
      </w:pPr>
    </w:p>
    <w:p w:rsidR="00EF027B" w:rsidRPr="00D74FF1" w:rsidP="00EF027B">
      <w:pPr>
        <w:bidi w:val="0"/>
        <w:rPr>
          <w:rFonts w:ascii="Times New Roman" w:hAnsi="Times New Roman" w:cs="Times New Roman"/>
          <w:sz w:val="24"/>
          <w:szCs w:val="24"/>
        </w:rPr>
      </w:pPr>
    </w:p>
    <w:p w:rsidR="00EF027B" w:rsidRPr="00D74FF1" w:rsidP="00EF027B">
      <w:pPr>
        <w:bidi w:val="0"/>
        <w:rPr>
          <w:rFonts w:ascii="Times New Roman" w:hAnsi="Times New Roman" w:cs="Times New Roman"/>
          <w:sz w:val="24"/>
          <w:szCs w:val="24"/>
        </w:rPr>
      </w:pPr>
    </w:p>
    <w:p w:rsidR="00EF027B" w:rsidRPr="00D74FF1" w:rsidP="00EF027B">
      <w:pPr>
        <w:bidi w:val="0"/>
        <w:rPr>
          <w:rFonts w:ascii="Times New Roman" w:hAnsi="Times New Roman" w:cs="Times New Roman"/>
          <w:sz w:val="24"/>
          <w:szCs w:val="24"/>
        </w:rPr>
      </w:pPr>
    </w:p>
    <w:p w:rsidR="00EF027B" w:rsidRPr="00D74FF1" w:rsidP="00EF027B">
      <w:pPr>
        <w:bidi w:val="0"/>
        <w:rPr>
          <w:rFonts w:ascii="Times New Roman" w:hAnsi="Times New Roman" w:cs="Times New Roman"/>
          <w:sz w:val="24"/>
          <w:szCs w:val="24"/>
        </w:rPr>
      </w:pPr>
    </w:p>
    <w:p w:rsidR="00EF027B" w:rsidRPr="00D74FF1" w:rsidP="00EF027B">
      <w:pPr>
        <w:bidi w:val="0"/>
        <w:rPr>
          <w:rFonts w:ascii="Times New Roman" w:hAnsi="Times New Roman" w:cs="Times New Roman"/>
          <w:sz w:val="24"/>
          <w:szCs w:val="24"/>
        </w:rPr>
      </w:pPr>
    </w:p>
    <w:p w:rsidR="00EF027B" w:rsidRPr="00D74FF1" w:rsidP="00EF027B">
      <w:pPr>
        <w:bidi w:val="0"/>
        <w:rPr>
          <w:rFonts w:ascii="Times New Roman" w:hAnsi="Times New Roman" w:cs="Times New Roman"/>
          <w:sz w:val="24"/>
          <w:szCs w:val="24"/>
        </w:rPr>
      </w:pPr>
    </w:p>
    <w:p w:rsidR="00EF027B" w:rsidRPr="00D74FF1" w:rsidP="00EF027B">
      <w:pPr>
        <w:bidi w:val="0"/>
        <w:rPr>
          <w:rFonts w:ascii="Times New Roman" w:hAnsi="Times New Roman" w:cs="Times New Roman"/>
          <w:sz w:val="24"/>
          <w:szCs w:val="24"/>
        </w:rPr>
      </w:pPr>
    </w:p>
    <w:p w:rsidR="00EF027B" w:rsidRPr="00D74FF1" w:rsidP="00536EC9">
      <w:pPr>
        <w:bidi w:val="0"/>
        <w:spacing w:after="0"/>
        <w:ind w:left="426" w:hanging="426"/>
        <w:jc w:val="center"/>
        <w:rPr>
          <w:rFonts w:ascii="Times New Roman" w:hAnsi="Times New Roman" w:cs="Times New Roman"/>
          <w:sz w:val="24"/>
          <w:szCs w:val="24"/>
        </w:rPr>
      </w:pPr>
    </w:p>
    <w:sectPr w:rsidSect="00D3362A">
      <w:headerReference w:type="default" r:id="rId23"/>
      <w:footerReference w:type="default" r:id="rId24"/>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E6">
    <w:pPr>
      <w:pStyle w:val="Footer"/>
      <w:bidi w:val="0"/>
      <w:jc w:val="center"/>
    </w:pPr>
    <w:r>
      <w:fldChar w:fldCharType="begin"/>
    </w:r>
    <w:r>
      <w:instrText>PAGE   \* MERGEFORMAT</w:instrText>
    </w:r>
    <w:r>
      <w:fldChar w:fldCharType="separate"/>
    </w:r>
    <w:r w:rsidR="00144B63">
      <w:rPr>
        <w:noProof/>
      </w:rPr>
      <w:t>12</w:t>
    </w:r>
    <w:r>
      <w:fldChar w:fldCharType="end"/>
    </w:r>
  </w:p>
  <w:p w:rsidR="00F468E6">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E6">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76B3"/>
    <w:multiLevelType w:val="hybridMultilevel"/>
    <w:tmpl w:val="5A280FF8"/>
    <w:lvl w:ilvl="0">
      <w:start w:val="1"/>
      <w:numFmt w:val="decimal"/>
      <w:lvlText w:val="%1."/>
      <w:lvlJc w:val="left"/>
      <w:pPr>
        <w:ind w:left="786"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413FA7"/>
    <w:multiLevelType w:val="hybridMultilevel"/>
    <w:tmpl w:val="1352AFA8"/>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C427AF6"/>
    <w:multiLevelType w:val="hybridMultilevel"/>
    <w:tmpl w:val="BB8471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1326954"/>
    <w:multiLevelType w:val="hybridMultilevel"/>
    <w:tmpl w:val="DAD6D750"/>
    <w:lvl w:ilvl="0">
      <w:start w:val="1"/>
      <w:numFmt w:val="decimal"/>
      <w:lvlText w:val="(%1)"/>
      <w:lvlJc w:val="left"/>
      <w:pPr>
        <w:ind w:left="3677" w:hanging="705"/>
      </w:pPr>
      <w:rPr>
        <w:rFonts w:cs="Times New Roman" w:hint="default"/>
        <w:rtl w:val="0"/>
        <w:cs w:val="0"/>
      </w:rPr>
    </w:lvl>
    <w:lvl w:ilvl="1">
      <w:start w:val="1"/>
      <w:numFmt w:val="lowerLetter"/>
      <w:lvlText w:val="%2."/>
      <w:lvlJc w:val="left"/>
      <w:pPr>
        <w:ind w:left="4052" w:hanging="360"/>
      </w:pPr>
      <w:rPr>
        <w:rFonts w:cs="Times New Roman"/>
        <w:rtl w:val="0"/>
        <w:cs w:val="0"/>
      </w:rPr>
    </w:lvl>
    <w:lvl w:ilvl="2">
      <w:start w:val="1"/>
      <w:numFmt w:val="lowerRoman"/>
      <w:lvlText w:val="%3."/>
      <w:lvlJc w:val="right"/>
      <w:pPr>
        <w:ind w:left="4772" w:hanging="180"/>
      </w:pPr>
      <w:rPr>
        <w:rFonts w:cs="Times New Roman"/>
        <w:rtl w:val="0"/>
        <w:cs w:val="0"/>
      </w:rPr>
    </w:lvl>
    <w:lvl w:ilvl="3">
      <w:start w:val="1"/>
      <w:numFmt w:val="decimal"/>
      <w:lvlText w:val="%4."/>
      <w:lvlJc w:val="left"/>
      <w:pPr>
        <w:ind w:left="5492" w:hanging="360"/>
      </w:pPr>
      <w:rPr>
        <w:rFonts w:cs="Times New Roman"/>
        <w:rtl w:val="0"/>
        <w:cs w:val="0"/>
      </w:rPr>
    </w:lvl>
    <w:lvl w:ilvl="4">
      <w:start w:val="1"/>
      <w:numFmt w:val="lowerLetter"/>
      <w:lvlText w:val="%5."/>
      <w:lvlJc w:val="left"/>
      <w:pPr>
        <w:ind w:left="6212" w:hanging="360"/>
      </w:pPr>
      <w:rPr>
        <w:rFonts w:cs="Times New Roman"/>
        <w:rtl w:val="0"/>
        <w:cs w:val="0"/>
      </w:rPr>
    </w:lvl>
    <w:lvl w:ilvl="5">
      <w:start w:val="1"/>
      <w:numFmt w:val="lowerRoman"/>
      <w:lvlText w:val="%6."/>
      <w:lvlJc w:val="right"/>
      <w:pPr>
        <w:ind w:left="6932" w:hanging="180"/>
      </w:pPr>
      <w:rPr>
        <w:rFonts w:cs="Times New Roman"/>
        <w:rtl w:val="0"/>
        <w:cs w:val="0"/>
      </w:rPr>
    </w:lvl>
    <w:lvl w:ilvl="6">
      <w:start w:val="1"/>
      <w:numFmt w:val="decimal"/>
      <w:lvlText w:val="%7."/>
      <w:lvlJc w:val="left"/>
      <w:pPr>
        <w:ind w:left="7652" w:hanging="360"/>
      </w:pPr>
      <w:rPr>
        <w:rFonts w:cs="Times New Roman"/>
        <w:rtl w:val="0"/>
        <w:cs w:val="0"/>
      </w:rPr>
    </w:lvl>
    <w:lvl w:ilvl="7">
      <w:start w:val="1"/>
      <w:numFmt w:val="lowerLetter"/>
      <w:lvlText w:val="%8."/>
      <w:lvlJc w:val="left"/>
      <w:pPr>
        <w:ind w:left="8372" w:hanging="360"/>
      </w:pPr>
      <w:rPr>
        <w:rFonts w:cs="Times New Roman"/>
        <w:rtl w:val="0"/>
        <w:cs w:val="0"/>
      </w:rPr>
    </w:lvl>
    <w:lvl w:ilvl="8">
      <w:start w:val="1"/>
      <w:numFmt w:val="lowerRoman"/>
      <w:lvlText w:val="%9."/>
      <w:lvlJc w:val="right"/>
      <w:pPr>
        <w:ind w:left="9092" w:hanging="180"/>
      </w:pPr>
      <w:rPr>
        <w:rFonts w:cs="Times New Roman"/>
        <w:rtl w:val="0"/>
        <w:cs w:val="0"/>
      </w:rPr>
    </w:lvl>
  </w:abstractNum>
  <w:abstractNum w:abstractNumId="4">
    <w:nsid w:val="13E32066"/>
    <w:multiLevelType w:val="hybridMultilevel"/>
    <w:tmpl w:val="83FAA02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5307E05"/>
    <w:multiLevelType w:val="hybridMultilevel"/>
    <w:tmpl w:val="D08C464A"/>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6">
    <w:nsid w:val="1C1C0ABD"/>
    <w:multiLevelType w:val="hybridMultilevel"/>
    <w:tmpl w:val="ED185D20"/>
    <w:lvl w:ilvl="0">
      <w:start w:val="1"/>
      <w:numFmt w:val="lowerLetter"/>
      <w:lvlText w:val="%1)"/>
      <w:lvlJc w:val="left"/>
      <w:pPr>
        <w:ind w:left="1680" w:hanging="360"/>
      </w:pPr>
      <w:rPr>
        <w:rFonts w:cs="Times New Roman" w:hint="default"/>
        <w:rtl w:val="0"/>
        <w:cs w:val="0"/>
      </w:rPr>
    </w:lvl>
    <w:lvl w:ilvl="1">
      <w:start w:val="1"/>
      <w:numFmt w:val="lowerLetter"/>
      <w:lvlText w:val="%2."/>
      <w:lvlJc w:val="left"/>
      <w:pPr>
        <w:ind w:left="2400" w:hanging="360"/>
      </w:pPr>
      <w:rPr>
        <w:rFonts w:cs="Times New Roman"/>
        <w:rtl w:val="0"/>
        <w:cs w:val="0"/>
      </w:rPr>
    </w:lvl>
    <w:lvl w:ilvl="2">
      <w:start w:val="1"/>
      <w:numFmt w:val="lowerRoman"/>
      <w:lvlText w:val="%3."/>
      <w:lvlJc w:val="right"/>
      <w:pPr>
        <w:ind w:left="3120" w:hanging="180"/>
      </w:pPr>
      <w:rPr>
        <w:rFonts w:cs="Times New Roman"/>
        <w:rtl w:val="0"/>
        <w:cs w:val="0"/>
      </w:rPr>
    </w:lvl>
    <w:lvl w:ilvl="3">
      <w:start w:val="1"/>
      <w:numFmt w:val="decimal"/>
      <w:lvlText w:val="%4."/>
      <w:lvlJc w:val="left"/>
      <w:pPr>
        <w:ind w:left="3840" w:hanging="360"/>
      </w:pPr>
      <w:rPr>
        <w:rFonts w:cs="Times New Roman"/>
        <w:rtl w:val="0"/>
        <w:cs w:val="0"/>
      </w:rPr>
    </w:lvl>
    <w:lvl w:ilvl="4">
      <w:start w:val="1"/>
      <w:numFmt w:val="lowerLetter"/>
      <w:lvlText w:val="%5."/>
      <w:lvlJc w:val="left"/>
      <w:pPr>
        <w:ind w:left="4560" w:hanging="360"/>
      </w:pPr>
      <w:rPr>
        <w:rFonts w:cs="Times New Roman"/>
        <w:rtl w:val="0"/>
        <w:cs w:val="0"/>
      </w:rPr>
    </w:lvl>
    <w:lvl w:ilvl="5">
      <w:start w:val="1"/>
      <w:numFmt w:val="lowerRoman"/>
      <w:lvlText w:val="%6."/>
      <w:lvlJc w:val="right"/>
      <w:pPr>
        <w:ind w:left="5280" w:hanging="180"/>
      </w:pPr>
      <w:rPr>
        <w:rFonts w:cs="Times New Roman"/>
        <w:rtl w:val="0"/>
        <w:cs w:val="0"/>
      </w:rPr>
    </w:lvl>
    <w:lvl w:ilvl="6">
      <w:start w:val="1"/>
      <w:numFmt w:val="decimal"/>
      <w:lvlText w:val="%7."/>
      <w:lvlJc w:val="left"/>
      <w:pPr>
        <w:ind w:left="6000" w:hanging="360"/>
      </w:pPr>
      <w:rPr>
        <w:rFonts w:cs="Times New Roman"/>
        <w:rtl w:val="0"/>
        <w:cs w:val="0"/>
      </w:rPr>
    </w:lvl>
    <w:lvl w:ilvl="7">
      <w:start w:val="1"/>
      <w:numFmt w:val="lowerLetter"/>
      <w:lvlText w:val="%8."/>
      <w:lvlJc w:val="left"/>
      <w:pPr>
        <w:ind w:left="6720" w:hanging="360"/>
      </w:pPr>
      <w:rPr>
        <w:rFonts w:cs="Times New Roman"/>
        <w:rtl w:val="0"/>
        <w:cs w:val="0"/>
      </w:rPr>
    </w:lvl>
    <w:lvl w:ilvl="8">
      <w:start w:val="1"/>
      <w:numFmt w:val="lowerRoman"/>
      <w:lvlText w:val="%9."/>
      <w:lvlJc w:val="right"/>
      <w:pPr>
        <w:ind w:left="7440" w:hanging="180"/>
      </w:pPr>
      <w:rPr>
        <w:rFonts w:cs="Times New Roman"/>
        <w:rtl w:val="0"/>
        <w:cs w:val="0"/>
      </w:rPr>
    </w:lvl>
  </w:abstractNum>
  <w:abstractNum w:abstractNumId="7">
    <w:nsid w:val="244D48FC"/>
    <w:multiLevelType w:val="hybridMultilevel"/>
    <w:tmpl w:val="8F5C3A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74B11D7"/>
    <w:multiLevelType w:val="hybridMultilevel"/>
    <w:tmpl w:val="5A280FF8"/>
    <w:lvl w:ilvl="0">
      <w:start w:val="1"/>
      <w:numFmt w:val="decimal"/>
      <w:lvlText w:val="%1."/>
      <w:lvlJc w:val="left"/>
      <w:pPr>
        <w:ind w:left="786"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80F7C63"/>
    <w:multiLevelType w:val="hybridMultilevel"/>
    <w:tmpl w:val="EE06F9E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84C19EB"/>
    <w:multiLevelType w:val="hybridMultilevel"/>
    <w:tmpl w:val="B5FC279E"/>
    <w:lvl w:ilvl="0">
      <w:start w:val="1"/>
      <w:numFmt w:val="decimal"/>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1">
    <w:nsid w:val="29D20DAD"/>
    <w:multiLevelType w:val="hybridMultilevel"/>
    <w:tmpl w:val="1352AFA8"/>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7086DCF"/>
    <w:multiLevelType w:val="hybridMultilevel"/>
    <w:tmpl w:val="90A82988"/>
    <w:lvl w:ilvl="0">
      <w:start w:val="26"/>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3">
    <w:nsid w:val="38891783"/>
    <w:multiLevelType w:val="hybridMultilevel"/>
    <w:tmpl w:val="6634740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3FBF4049"/>
    <w:multiLevelType w:val="hybridMultilevel"/>
    <w:tmpl w:val="A5622FA6"/>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5">
    <w:nsid w:val="46E46B52"/>
    <w:multiLevelType w:val="hybridMultilevel"/>
    <w:tmpl w:val="13005D3A"/>
    <w:lvl w:ilvl="0">
      <w:start w:val="75"/>
      <w:numFmt w:val="decimal"/>
      <w:lvlText w:val="%1."/>
      <w:lvlJc w:val="left"/>
      <w:pPr>
        <w:ind w:left="502" w:hanging="360"/>
      </w:pPr>
      <w:rPr>
        <w:rFonts w:cs="Times New Roman" w:hint="default"/>
        <w:i w:val="0"/>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6">
    <w:nsid w:val="5BD96428"/>
    <w:multiLevelType w:val="hybridMultilevel"/>
    <w:tmpl w:val="2D94F7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CAC775D"/>
    <w:multiLevelType w:val="hybridMultilevel"/>
    <w:tmpl w:val="4086CD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4637512"/>
    <w:multiLevelType w:val="hybridMultilevel"/>
    <w:tmpl w:val="1DF8245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653B44AC"/>
    <w:multiLevelType w:val="hybridMultilevel"/>
    <w:tmpl w:val="93A0E074"/>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6A504A1F"/>
    <w:multiLevelType w:val="hybridMultilevel"/>
    <w:tmpl w:val="53345ED6"/>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C1B0A7A"/>
    <w:multiLevelType w:val="hybridMultilevel"/>
    <w:tmpl w:val="DF0EC29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07B717E"/>
    <w:multiLevelType w:val="hybridMultilevel"/>
    <w:tmpl w:val="5A280FF8"/>
    <w:lvl w:ilvl="0">
      <w:start w:val="1"/>
      <w:numFmt w:val="decimal"/>
      <w:lvlText w:val="%1."/>
      <w:lvlJc w:val="left"/>
      <w:pPr>
        <w:ind w:left="786"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6C706FC"/>
    <w:multiLevelType w:val="hybridMultilevel"/>
    <w:tmpl w:val="1644B2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78D2E09"/>
    <w:multiLevelType w:val="hybridMultilevel"/>
    <w:tmpl w:val="A824D5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843642B"/>
    <w:multiLevelType w:val="hybridMultilevel"/>
    <w:tmpl w:val="633443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85057FB"/>
    <w:multiLevelType w:val="hybridMultilevel"/>
    <w:tmpl w:val="0E36AEAC"/>
    <w:lvl w:ilvl="0">
      <w:start w:val="1"/>
      <w:numFmt w:val="decimal"/>
      <w:lvlText w:val="%1."/>
      <w:lvlJc w:val="left"/>
      <w:pPr>
        <w:ind w:left="644" w:hanging="360"/>
      </w:pPr>
      <w:rPr>
        <w:rFonts w:cs="Times New Roman" w:hint="default"/>
        <w:i w:val="0"/>
        <w:iCs w:val="0"/>
        <w:vertAlign w:val="baseline"/>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7">
    <w:nsid w:val="7A4F039D"/>
    <w:multiLevelType w:val="hybridMultilevel"/>
    <w:tmpl w:val="9A1A83E4"/>
    <w:lvl w:ilvl="0">
      <w:start w:val="1"/>
      <w:numFmt w:val="lowerLetter"/>
      <w:lvlText w:val="%1)"/>
      <w:lvlJc w:val="left"/>
      <w:pPr>
        <w:ind w:left="1143" w:hanging="360"/>
      </w:pPr>
      <w:rPr>
        <w:rFonts w:cs="Times New Roman"/>
        <w:rtl w:val="0"/>
        <w:cs w:val="0"/>
      </w:rPr>
    </w:lvl>
    <w:lvl w:ilvl="1">
      <w:start w:val="1"/>
      <w:numFmt w:val="lowerLetter"/>
      <w:lvlText w:val="%2."/>
      <w:lvlJc w:val="left"/>
      <w:pPr>
        <w:ind w:left="1863" w:hanging="360"/>
      </w:pPr>
      <w:rPr>
        <w:rFonts w:cs="Times New Roman"/>
        <w:rtl w:val="0"/>
        <w:cs w:val="0"/>
      </w:rPr>
    </w:lvl>
    <w:lvl w:ilvl="2">
      <w:start w:val="1"/>
      <w:numFmt w:val="lowerRoman"/>
      <w:lvlText w:val="%3."/>
      <w:lvlJc w:val="right"/>
      <w:pPr>
        <w:ind w:left="2583" w:hanging="180"/>
      </w:pPr>
      <w:rPr>
        <w:rFonts w:cs="Times New Roman"/>
        <w:rtl w:val="0"/>
        <w:cs w:val="0"/>
      </w:rPr>
    </w:lvl>
    <w:lvl w:ilvl="3">
      <w:start w:val="1"/>
      <w:numFmt w:val="decimal"/>
      <w:lvlText w:val="%4."/>
      <w:lvlJc w:val="left"/>
      <w:pPr>
        <w:ind w:left="3303" w:hanging="360"/>
      </w:pPr>
      <w:rPr>
        <w:rFonts w:cs="Times New Roman"/>
        <w:rtl w:val="0"/>
        <w:cs w:val="0"/>
      </w:rPr>
    </w:lvl>
    <w:lvl w:ilvl="4">
      <w:start w:val="1"/>
      <w:numFmt w:val="lowerLetter"/>
      <w:lvlText w:val="%5."/>
      <w:lvlJc w:val="left"/>
      <w:pPr>
        <w:ind w:left="4023" w:hanging="360"/>
      </w:pPr>
      <w:rPr>
        <w:rFonts w:cs="Times New Roman"/>
        <w:rtl w:val="0"/>
        <w:cs w:val="0"/>
      </w:rPr>
    </w:lvl>
    <w:lvl w:ilvl="5">
      <w:start w:val="1"/>
      <w:numFmt w:val="lowerRoman"/>
      <w:lvlText w:val="%6."/>
      <w:lvlJc w:val="right"/>
      <w:pPr>
        <w:ind w:left="4743" w:hanging="180"/>
      </w:pPr>
      <w:rPr>
        <w:rFonts w:cs="Times New Roman"/>
        <w:rtl w:val="0"/>
        <w:cs w:val="0"/>
      </w:rPr>
    </w:lvl>
    <w:lvl w:ilvl="6">
      <w:start w:val="1"/>
      <w:numFmt w:val="decimal"/>
      <w:lvlText w:val="%7."/>
      <w:lvlJc w:val="left"/>
      <w:pPr>
        <w:ind w:left="5463" w:hanging="360"/>
      </w:pPr>
      <w:rPr>
        <w:rFonts w:cs="Times New Roman"/>
        <w:rtl w:val="0"/>
        <w:cs w:val="0"/>
      </w:rPr>
    </w:lvl>
    <w:lvl w:ilvl="7">
      <w:start w:val="1"/>
      <w:numFmt w:val="lowerLetter"/>
      <w:lvlText w:val="%8."/>
      <w:lvlJc w:val="left"/>
      <w:pPr>
        <w:ind w:left="6183" w:hanging="360"/>
      </w:pPr>
      <w:rPr>
        <w:rFonts w:cs="Times New Roman"/>
        <w:rtl w:val="0"/>
        <w:cs w:val="0"/>
      </w:rPr>
    </w:lvl>
    <w:lvl w:ilvl="8">
      <w:start w:val="1"/>
      <w:numFmt w:val="lowerRoman"/>
      <w:lvlText w:val="%9."/>
      <w:lvlJc w:val="right"/>
      <w:pPr>
        <w:ind w:left="6903" w:hanging="180"/>
      </w:pPr>
      <w:rPr>
        <w:rFonts w:cs="Times New Roman"/>
        <w:rtl w:val="0"/>
        <w:cs w:val="0"/>
      </w:rPr>
    </w:lvl>
  </w:abstractNum>
  <w:abstractNum w:abstractNumId="28">
    <w:nsid w:val="7D707EAF"/>
    <w:multiLevelType w:val="hybridMultilevel"/>
    <w:tmpl w:val="DE0ABB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6"/>
  </w:num>
  <w:num w:numId="2">
    <w:abstractNumId w:val="25"/>
  </w:num>
  <w:num w:numId="3">
    <w:abstractNumId w:val="10"/>
  </w:num>
  <w:num w:numId="4">
    <w:abstractNumId w:val="15"/>
  </w:num>
  <w:num w:numId="5">
    <w:abstractNumId w:val="27"/>
  </w:num>
  <w:num w:numId="6">
    <w:abstractNumId w:val="1"/>
  </w:num>
  <w:num w:numId="7">
    <w:abstractNumId w:val="20"/>
  </w:num>
  <w:num w:numId="8">
    <w:abstractNumId w:val="24"/>
  </w:num>
  <w:num w:numId="9">
    <w:abstractNumId w:val="18"/>
  </w:num>
  <w:num w:numId="10">
    <w:abstractNumId w:val="22"/>
  </w:num>
  <w:num w:numId="11">
    <w:abstractNumId w:val="11"/>
  </w:num>
  <w:num w:numId="12">
    <w:abstractNumId w:val="16"/>
  </w:num>
  <w:num w:numId="13">
    <w:abstractNumId w:val="13"/>
  </w:num>
  <w:num w:numId="14">
    <w:abstractNumId w:val="6"/>
  </w:num>
  <w:num w:numId="15">
    <w:abstractNumId w:val="19"/>
  </w:num>
  <w:num w:numId="16">
    <w:abstractNumId w:val="5"/>
  </w:num>
  <w:num w:numId="17">
    <w:abstractNumId w:val="14"/>
  </w:num>
  <w:num w:numId="18">
    <w:abstractNumId w:val="7"/>
  </w:num>
  <w:num w:numId="19">
    <w:abstractNumId w:val="28"/>
  </w:num>
  <w:num w:numId="20">
    <w:abstractNumId w:val="17"/>
  </w:num>
  <w:num w:numId="21">
    <w:abstractNumId w:val="4"/>
  </w:num>
  <w:num w:numId="22">
    <w:abstractNumId w:val="21"/>
  </w:num>
  <w:num w:numId="23">
    <w:abstractNumId w:val="9"/>
  </w:num>
  <w:num w:numId="24">
    <w:abstractNumId w:val="23"/>
  </w:num>
  <w:num w:numId="25">
    <w:abstractNumId w:val="3"/>
  </w:num>
  <w:num w:numId="26">
    <w:abstractNumId w:val="2"/>
  </w:num>
  <w:num w:numId="27">
    <w:abstractNumId w:val="0"/>
  </w:num>
  <w:num w:numId="28">
    <w:abstractNumId w:val="8"/>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5A0F5A"/>
    <w:rsid w:val="000001F8"/>
    <w:rsid w:val="000014B4"/>
    <w:rsid w:val="0000164C"/>
    <w:rsid w:val="00002626"/>
    <w:rsid w:val="00002C5C"/>
    <w:rsid w:val="00004164"/>
    <w:rsid w:val="0001035F"/>
    <w:rsid w:val="00010751"/>
    <w:rsid w:val="00011E27"/>
    <w:rsid w:val="0001281C"/>
    <w:rsid w:val="00016EC9"/>
    <w:rsid w:val="000176AE"/>
    <w:rsid w:val="0002108F"/>
    <w:rsid w:val="00026FB3"/>
    <w:rsid w:val="00033EB4"/>
    <w:rsid w:val="0003407D"/>
    <w:rsid w:val="00034DA8"/>
    <w:rsid w:val="00036DAB"/>
    <w:rsid w:val="00036FA3"/>
    <w:rsid w:val="000421DD"/>
    <w:rsid w:val="00043083"/>
    <w:rsid w:val="00045C92"/>
    <w:rsid w:val="0005196F"/>
    <w:rsid w:val="000537B8"/>
    <w:rsid w:val="000546A9"/>
    <w:rsid w:val="00054DD8"/>
    <w:rsid w:val="000553DF"/>
    <w:rsid w:val="00055A83"/>
    <w:rsid w:val="00057600"/>
    <w:rsid w:val="000624E7"/>
    <w:rsid w:val="00066813"/>
    <w:rsid w:val="00067F35"/>
    <w:rsid w:val="00071006"/>
    <w:rsid w:val="00071D67"/>
    <w:rsid w:val="00072408"/>
    <w:rsid w:val="00072CF3"/>
    <w:rsid w:val="00074653"/>
    <w:rsid w:val="000758A4"/>
    <w:rsid w:val="00077499"/>
    <w:rsid w:val="0007797C"/>
    <w:rsid w:val="000813CD"/>
    <w:rsid w:val="00082A87"/>
    <w:rsid w:val="000836DC"/>
    <w:rsid w:val="00083779"/>
    <w:rsid w:val="00083ABC"/>
    <w:rsid w:val="00083FDE"/>
    <w:rsid w:val="00085328"/>
    <w:rsid w:val="00091812"/>
    <w:rsid w:val="00091B31"/>
    <w:rsid w:val="00091FC6"/>
    <w:rsid w:val="000933A0"/>
    <w:rsid w:val="00095665"/>
    <w:rsid w:val="00095D6A"/>
    <w:rsid w:val="0009752B"/>
    <w:rsid w:val="00097CDF"/>
    <w:rsid w:val="000A252B"/>
    <w:rsid w:val="000B215C"/>
    <w:rsid w:val="000B4D39"/>
    <w:rsid w:val="000B5D1E"/>
    <w:rsid w:val="000C1C30"/>
    <w:rsid w:val="000C1CA3"/>
    <w:rsid w:val="000C292C"/>
    <w:rsid w:val="000C4330"/>
    <w:rsid w:val="000C5202"/>
    <w:rsid w:val="000C56EE"/>
    <w:rsid w:val="000C6000"/>
    <w:rsid w:val="000C63C1"/>
    <w:rsid w:val="000C7D9E"/>
    <w:rsid w:val="000D0162"/>
    <w:rsid w:val="000D0412"/>
    <w:rsid w:val="000D38D5"/>
    <w:rsid w:val="000D3D16"/>
    <w:rsid w:val="000D5284"/>
    <w:rsid w:val="000D587E"/>
    <w:rsid w:val="000D6D79"/>
    <w:rsid w:val="000E1003"/>
    <w:rsid w:val="000E2B35"/>
    <w:rsid w:val="000E5852"/>
    <w:rsid w:val="000F14D2"/>
    <w:rsid w:val="000F1EA0"/>
    <w:rsid w:val="000F5B2C"/>
    <w:rsid w:val="000F6AC6"/>
    <w:rsid w:val="00101001"/>
    <w:rsid w:val="00104B18"/>
    <w:rsid w:val="00106C18"/>
    <w:rsid w:val="001121C1"/>
    <w:rsid w:val="00113D18"/>
    <w:rsid w:val="00116911"/>
    <w:rsid w:val="001175AD"/>
    <w:rsid w:val="001204AA"/>
    <w:rsid w:val="001251C2"/>
    <w:rsid w:val="0013204E"/>
    <w:rsid w:val="00133925"/>
    <w:rsid w:val="0014047F"/>
    <w:rsid w:val="00144B63"/>
    <w:rsid w:val="00150B52"/>
    <w:rsid w:val="00151187"/>
    <w:rsid w:val="00153AC8"/>
    <w:rsid w:val="00156097"/>
    <w:rsid w:val="001565AE"/>
    <w:rsid w:val="00163D8B"/>
    <w:rsid w:val="00164F6F"/>
    <w:rsid w:val="001656E2"/>
    <w:rsid w:val="00171DFC"/>
    <w:rsid w:val="001743C2"/>
    <w:rsid w:val="00182112"/>
    <w:rsid w:val="00184657"/>
    <w:rsid w:val="00187690"/>
    <w:rsid w:val="00187F3F"/>
    <w:rsid w:val="00191438"/>
    <w:rsid w:val="00191A89"/>
    <w:rsid w:val="001935BA"/>
    <w:rsid w:val="00194A48"/>
    <w:rsid w:val="0019708A"/>
    <w:rsid w:val="00197554"/>
    <w:rsid w:val="001A07C6"/>
    <w:rsid w:val="001A1BDC"/>
    <w:rsid w:val="001A50AC"/>
    <w:rsid w:val="001A5B89"/>
    <w:rsid w:val="001A6FBB"/>
    <w:rsid w:val="001B1B33"/>
    <w:rsid w:val="001B2E5F"/>
    <w:rsid w:val="001B6B70"/>
    <w:rsid w:val="001B747C"/>
    <w:rsid w:val="001B7F7B"/>
    <w:rsid w:val="001C2761"/>
    <w:rsid w:val="001C6815"/>
    <w:rsid w:val="001D1379"/>
    <w:rsid w:val="001D180A"/>
    <w:rsid w:val="001D2C53"/>
    <w:rsid w:val="001D31C3"/>
    <w:rsid w:val="001D351D"/>
    <w:rsid w:val="001D41FD"/>
    <w:rsid w:val="001D4FF1"/>
    <w:rsid w:val="001D7F6F"/>
    <w:rsid w:val="001E30AD"/>
    <w:rsid w:val="001E3140"/>
    <w:rsid w:val="001E3F0D"/>
    <w:rsid w:val="001E44F9"/>
    <w:rsid w:val="001F6158"/>
    <w:rsid w:val="001F7419"/>
    <w:rsid w:val="00201B2A"/>
    <w:rsid w:val="0020591E"/>
    <w:rsid w:val="00211213"/>
    <w:rsid w:val="002150FF"/>
    <w:rsid w:val="00215174"/>
    <w:rsid w:val="0022120D"/>
    <w:rsid w:val="00222745"/>
    <w:rsid w:val="00223911"/>
    <w:rsid w:val="00232BAC"/>
    <w:rsid w:val="0023310D"/>
    <w:rsid w:val="0023359B"/>
    <w:rsid w:val="002412B2"/>
    <w:rsid w:val="002419BC"/>
    <w:rsid w:val="002428A0"/>
    <w:rsid w:val="002444DF"/>
    <w:rsid w:val="00244964"/>
    <w:rsid w:val="002449BA"/>
    <w:rsid w:val="0024587A"/>
    <w:rsid w:val="002469CE"/>
    <w:rsid w:val="00251F9B"/>
    <w:rsid w:val="00253224"/>
    <w:rsid w:val="002539E6"/>
    <w:rsid w:val="00255661"/>
    <w:rsid w:val="002578BA"/>
    <w:rsid w:val="00260EC7"/>
    <w:rsid w:val="002619E8"/>
    <w:rsid w:val="00261A57"/>
    <w:rsid w:val="00263058"/>
    <w:rsid w:val="0027019D"/>
    <w:rsid w:val="00270767"/>
    <w:rsid w:val="00272B40"/>
    <w:rsid w:val="00273A7B"/>
    <w:rsid w:val="00273ACE"/>
    <w:rsid w:val="002759DF"/>
    <w:rsid w:val="00276135"/>
    <w:rsid w:val="002779DD"/>
    <w:rsid w:val="002833A2"/>
    <w:rsid w:val="00283F66"/>
    <w:rsid w:val="002840FE"/>
    <w:rsid w:val="002865F5"/>
    <w:rsid w:val="00286CEB"/>
    <w:rsid w:val="00287861"/>
    <w:rsid w:val="002904C9"/>
    <w:rsid w:val="00291EED"/>
    <w:rsid w:val="00292989"/>
    <w:rsid w:val="002941B3"/>
    <w:rsid w:val="00295FFA"/>
    <w:rsid w:val="002962E9"/>
    <w:rsid w:val="002A2F94"/>
    <w:rsid w:val="002A78AA"/>
    <w:rsid w:val="002B3DA7"/>
    <w:rsid w:val="002B4950"/>
    <w:rsid w:val="002B4F6D"/>
    <w:rsid w:val="002B56A5"/>
    <w:rsid w:val="002B7A3C"/>
    <w:rsid w:val="002C112C"/>
    <w:rsid w:val="002D3116"/>
    <w:rsid w:val="002D3C1E"/>
    <w:rsid w:val="002D3C56"/>
    <w:rsid w:val="002D3F86"/>
    <w:rsid w:val="002D4304"/>
    <w:rsid w:val="002D46AD"/>
    <w:rsid w:val="002D5A13"/>
    <w:rsid w:val="002D6F80"/>
    <w:rsid w:val="002E50F9"/>
    <w:rsid w:val="002E624B"/>
    <w:rsid w:val="002E748C"/>
    <w:rsid w:val="002F0687"/>
    <w:rsid w:val="002F2399"/>
    <w:rsid w:val="002F6110"/>
    <w:rsid w:val="0030030A"/>
    <w:rsid w:val="00301EB2"/>
    <w:rsid w:val="003103C6"/>
    <w:rsid w:val="00310988"/>
    <w:rsid w:val="0031429A"/>
    <w:rsid w:val="003152AF"/>
    <w:rsid w:val="00320776"/>
    <w:rsid w:val="00322635"/>
    <w:rsid w:val="00323DF5"/>
    <w:rsid w:val="00326193"/>
    <w:rsid w:val="003273A2"/>
    <w:rsid w:val="003327E6"/>
    <w:rsid w:val="0033568E"/>
    <w:rsid w:val="00335DC6"/>
    <w:rsid w:val="00337BC2"/>
    <w:rsid w:val="003403BD"/>
    <w:rsid w:val="0034130E"/>
    <w:rsid w:val="0034330A"/>
    <w:rsid w:val="00344AD4"/>
    <w:rsid w:val="00345E65"/>
    <w:rsid w:val="00346D40"/>
    <w:rsid w:val="00352A94"/>
    <w:rsid w:val="0035542F"/>
    <w:rsid w:val="003569E4"/>
    <w:rsid w:val="00356DC7"/>
    <w:rsid w:val="00361F1C"/>
    <w:rsid w:val="003637FB"/>
    <w:rsid w:val="00363FD3"/>
    <w:rsid w:val="00367104"/>
    <w:rsid w:val="0037206D"/>
    <w:rsid w:val="0037426E"/>
    <w:rsid w:val="0037434C"/>
    <w:rsid w:val="00375851"/>
    <w:rsid w:val="00376780"/>
    <w:rsid w:val="00376C75"/>
    <w:rsid w:val="00380311"/>
    <w:rsid w:val="003815CC"/>
    <w:rsid w:val="00384AAB"/>
    <w:rsid w:val="003918A7"/>
    <w:rsid w:val="00391B69"/>
    <w:rsid w:val="00393288"/>
    <w:rsid w:val="00395BE1"/>
    <w:rsid w:val="003A600F"/>
    <w:rsid w:val="003A7472"/>
    <w:rsid w:val="003B07E1"/>
    <w:rsid w:val="003B1BC3"/>
    <w:rsid w:val="003B2A0B"/>
    <w:rsid w:val="003B3BD5"/>
    <w:rsid w:val="003C26F9"/>
    <w:rsid w:val="003C512C"/>
    <w:rsid w:val="003C533E"/>
    <w:rsid w:val="003C75FB"/>
    <w:rsid w:val="003C7995"/>
    <w:rsid w:val="003D1BAD"/>
    <w:rsid w:val="003D27D8"/>
    <w:rsid w:val="003D2B0C"/>
    <w:rsid w:val="003D4BEE"/>
    <w:rsid w:val="003D57A8"/>
    <w:rsid w:val="003E01E5"/>
    <w:rsid w:val="003E3D18"/>
    <w:rsid w:val="003E6791"/>
    <w:rsid w:val="003E6D47"/>
    <w:rsid w:val="003E6D94"/>
    <w:rsid w:val="003E7AB2"/>
    <w:rsid w:val="003F11F4"/>
    <w:rsid w:val="003F1CF9"/>
    <w:rsid w:val="003F439A"/>
    <w:rsid w:val="003F451C"/>
    <w:rsid w:val="004031EA"/>
    <w:rsid w:val="00403878"/>
    <w:rsid w:val="00406DBD"/>
    <w:rsid w:val="0040732C"/>
    <w:rsid w:val="004107EB"/>
    <w:rsid w:val="004109AF"/>
    <w:rsid w:val="00412621"/>
    <w:rsid w:val="00413529"/>
    <w:rsid w:val="0041367C"/>
    <w:rsid w:val="004154AD"/>
    <w:rsid w:val="00417D6A"/>
    <w:rsid w:val="00421141"/>
    <w:rsid w:val="00421868"/>
    <w:rsid w:val="00422526"/>
    <w:rsid w:val="004236B2"/>
    <w:rsid w:val="00423E9E"/>
    <w:rsid w:val="00432814"/>
    <w:rsid w:val="004330B6"/>
    <w:rsid w:val="0043424B"/>
    <w:rsid w:val="004344D0"/>
    <w:rsid w:val="004350B9"/>
    <w:rsid w:val="00435FA3"/>
    <w:rsid w:val="00437984"/>
    <w:rsid w:val="00437FFA"/>
    <w:rsid w:val="004401FB"/>
    <w:rsid w:val="00446306"/>
    <w:rsid w:val="00446FF6"/>
    <w:rsid w:val="00452667"/>
    <w:rsid w:val="004627BD"/>
    <w:rsid w:val="00465633"/>
    <w:rsid w:val="00467B2F"/>
    <w:rsid w:val="0047301A"/>
    <w:rsid w:val="004737EE"/>
    <w:rsid w:val="00473F70"/>
    <w:rsid w:val="00476ABE"/>
    <w:rsid w:val="004800F4"/>
    <w:rsid w:val="00481757"/>
    <w:rsid w:val="004839D0"/>
    <w:rsid w:val="00494888"/>
    <w:rsid w:val="00495323"/>
    <w:rsid w:val="0049690C"/>
    <w:rsid w:val="004A0417"/>
    <w:rsid w:val="004A5AC4"/>
    <w:rsid w:val="004A7422"/>
    <w:rsid w:val="004B32CC"/>
    <w:rsid w:val="004C55C4"/>
    <w:rsid w:val="004C6F26"/>
    <w:rsid w:val="004C7A96"/>
    <w:rsid w:val="004D2DB2"/>
    <w:rsid w:val="004D41FC"/>
    <w:rsid w:val="004D4675"/>
    <w:rsid w:val="004D5486"/>
    <w:rsid w:val="004D576C"/>
    <w:rsid w:val="004D6A68"/>
    <w:rsid w:val="004D6B80"/>
    <w:rsid w:val="004D6E6A"/>
    <w:rsid w:val="004E1CA2"/>
    <w:rsid w:val="004E1E03"/>
    <w:rsid w:val="004E2E68"/>
    <w:rsid w:val="004E3745"/>
    <w:rsid w:val="004E490F"/>
    <w:rsid w:val="004E6DD2"/>
    <w:rsid w:val="004E7191"/>
    <w:rsid w:val="004F35D4"/>
    <w:rsid w:val="004F387C"/>
    <w:rsid w:val="004F62C4"/>
    <w:rsid w:val="00501114"/>
    <w:rsid w:val="00502DF2"/>
    <w:rsid w:val="005075E7"/>
    <w:rsid w:val="00510039"/>
    <w:rsid w:val="005130CB"/>
    <w:rsid w:val="0052100A"/>
    <w:rsid w:val="005236ED"/>
    <w:rsid w:val="00524614"/>
    <w:rsid w:val="00530403"/>
    <w:rsid w:val="00533357"/>
    <w:rsid w:val="005365C0"/>
    <w:rsid w:val="00536EC9"/>
    <w:rsid w:val="0053791C"/>
    <w:rsid w:val="00540B68"/>
    <w:rsid w:val="00543C8B"/>
    <w:rsid w:val="005442BC"/>
    <w:rsid w:val="00546045"/>
    <w:rsid w:val="005509F9"/>
    <w:rsid w:val="0055207D"/>
    <w:rsid w:val="00552BF6"/>
    <w:rsid w:val="00553348"/>
    <w:rsid w:val="00554F0D"/>
    <w:rsid w:val="0055748E"/>
    <w:rsid w:val="00564157"/>
    <w:rsid w:val="0056559C"/>
    <w:rsid w:val="00565B02"/>
    <w:rsid w:val="00567209"/>
    <w:rsid w:val="00573646"/>
    <w:rsid w:val="00573BC2"/>
    <w:rsid w:val="00574CAD"/>
    <w:rsid w:val="00576A19"/>
    <w:rsid w:val="00577527"/>
    <w:rsid w:val="00580C94"/>
    <w:rsid w:val="0058338B"/>
    <w:rsid w:val="00584055"/>
    <w:rsid w:val="00584126"/>
    <w:rsid w:val="005849CD"/>
    <w:rsid w:val="005853D9"/>
    <w:rsid w:val="00586311"/>
    <w:rsid w:val="005875F7"/>
    <w:rsid w:val="005876A8"/>
    <w:rsid w:val="00590B18"/>
    <w:rsid w:val="0059177C"/>
    <w:rsid w:val="0059322E"/>
    <w:rsid w:val="00593A10"/>
    <w:rsid w:val="005969F9"/>
    <w:rsid w:val="005A0F5A"/>
    <w:rsid w:val="005A1843"/>
    <w:rsid w:val="005A29CE"/>
    <w:rsid w:val="005A60F7"/>
    <w:rsid w:val="005A6A6A"/>
    <w:rsid w:val="005A726A"/>
    <w:rsid w:val="005A7AFD"/>
    <w:rsid w:val="005B00A8"/>
    <w:rsid w:val="005B73E8"/>
    <w:rsid w:val="005C07D3"/>
    <w:rsid w:val="005C256B"/>
    <w:rsid w:val="005C2A42"/>
    <w:rsid w:val="005C38E6"/>
    <w:rsid w:val="005C5D49"/>
    <w:rsid w:val="005D0418"/>
    <w:rsid w:val="005D070E"/>
    <w:rsid w:val="005D1120"/>
    <w:rsid w:val="005D1D5A"/>
    <w:rsid w:val="005D2E13"/>
    <w:rsid w:val="005E26C7"/>
    <w:rsid w:val="005F042D"/>
    <w:rsid w:val="005F10E4"/>
    <w:rsid w:val="005F15C5"/>
    <w:rsid w:val="005F47BE"/>
    <w:rsid w:val="005F4A00"/>
    <w:rsid w:val="005F4B43"/>
    <w:rsid w:val="006003B4"/>
    <w:rsid w:val="006037F0"/>
    <w:rsid w:val="00604098"/>
    <w:rsid w:val="006058C8"/>
    <w:rsid w:val="0060684D"/>
    <w:rsid w:val="00611044"/>
    <w:rsid w:val="00616323"/>
    <w:rsid w:val="00616AE7"/>
    <w:rsid w:val="006173D8"/>
    <w:rsid w:val="00623835"/>
    <w:rsid w:val="006265F8"/>
    <w:rsid w:val="0063185B"/>
    <w:rsid w:val="00632697"/>
    <w:rsid w:val="0063293F"/>
    <w:rsid w:val="00632CC1"/>
    <w:rsid w:val="006335FA"/>
    <w:rsid w:val="00636F2B"/>
    <w:rsid w:val="00640F19"/>
    <w:rsid w:val="0064169D"/>
    <w:rsid w:val="00644573"/>
    <w:rsid w:val="006448A1"/>
    <w:rsid w:val="00654B47"/>
    <w:rsid w:val="00655330"/>
    <w:rsid w:val="006558A1"/>
    <w:rsid w:val="0065594B"/>
    <w:rsid w:val="00655B33"/>
    <w:rsid w:val="0065615D"/>
    <w:rsid w:val="00660C4C"/>
    <w:rsid w:val="00661368"/>
    <w:rsid w:val="00663C7D"/>
    <w:rsid w:val="0066553A"/>
    <w:rsid w:val="00666103"/>
    <w:rsid w:val="006661CE"/>
    <w:rsid w:val="006675DB"/>
    <w:rsid w:val="00674D64"/>
    <w:rsid w:val="00681313"/>
    <w:rsid w:val="0068147B"/>
    <w:rsid w:val="006814CA"/>
    <w:rsid w:val="00681B4D"/>
    <w:rsid w:val="00681E0B"/>
    <w:rsid w:val="00682794"/>
    <w:rsid w:val="00682F79"/>
    <w:rsid w:val="00684909"/>
    <w:rsid w:val="00685B65"/>
    <w:rsid w:val="0068751B"/>
    <w:rsid w:val="0068796E"/>
    <w:rsid w:val="00696588"/>
    <w:rsid w:val="006A1DA3"/>
    <w:rsid w:val="006A373D"/>
    <w:rsid w:val="006A48FC"/>
    <w:rsid w:val="006A5206"/>
    <w:rsid w:val="006A631F"/>
    <w:rsid w:val="006B12F6"/>
    <w:rsid w:val="006B5931"/>
    <w:rsid w:val="006C22AC"/>
    <w:rsid w:val="006C25C0"/>
    <w:rsid w:val="006C584D"/>
    <w:rsid w:val="006C6CB1"/>
    <w:rsid w:val="006D17F5"/>
    <w:rsid w:val="006D18A5"/>
    <w:rsid w:val="006D1B5C"/>
    <w:rsid w:val="006D2A4B"/>
    <w:rsid w:val="006D3142"/>
    <w:rsid w:val="006D761E"/>
    <w:rsid w:val="006E0FB9"/>
    <w:rsid w:val="006E2C08"/>
    <w:rsid w:val="006E35D5"/>
    <w:rsid w:val="006E37B2"/>
    <w:rsid w:val="006E5B47"/>
    <w:rsid w:val="006E6106"/>
    <w:rsid w:val="006E630C"/>
    <w:rsid w:val="006E6B07"/>
    <w:rsid w:val="006F06C1"/>
    <w:rsid w:val="006F07E0"/>
    <w:rsid w:val="006F78CB"/>
    <w:rsid w:val="00700591"/>
    <w:rsid w:val="0070430E"/>
    <w:rsid w:val="00704F25"/>
    <w:rsid w:val="0071439C"/>
    <w:rsid w:val="00715367"/>
    <w:rsid w:val="00717F99"/>
    <w:rsid w:val="007232DC"/>
    <w:rsid w:val="0072487F"/>
    <w:rsid w:val="00726463"/>
    <w:rsid w:val="007275F8"/>
    <w:rsid w:val="007322C1"/>
    <w:rsid w:val="0073254B"/>
    <w:rsid w:val="007327A6"/>
    <w:rsid w:val="00735572"/>
    <w:rsid w:val="00742649"/>
    <w:rsid w:val="0074275B"/>
    <w:rsid w:val="00743B1D"/>
    <w:rsid w:val="0075272B"/>
    <w:rsid w:val="00756B2A"/>
    <w:rsid w:val="00760DCE"/>
    <w:rsid w:val="007674AC"/>
    <w:rsid w:val="00772C36"/>
    <w:rsid w:val="00777499"/>
    <w:rsid w:val="007812CD"/>
    <w:rsid w:val="0078155E"/>
    <w:rsid w:val="007839A1"/>
    <w:rsid w:val="007839D2"/>
    <w:rsid w:val="00784646"/>
    <w:rsid w:val="007861E5"/>
    <w:rsid w:val="00791BF4"/>
    <w:rsid w:val="00796CFD"/>
    <w:rsid w:val="007A0CC7"/>
    <w:rsid w:val="007A0EAC"/>
    <w:rsid w:val="007A1D80"/>
    <w:rsid w:val="007A2AE5"/>
    <w:rsid w:val="007A36EF"/>
    <w:rsid w:val="007A38EA"/>
    <w:rsid w:val="007A596A"/>
    <w:rsid w:val="007A7FCA"/>
    <w:rsid w:val="007B223D"/>
    <w:rsid w:val="007B3306"/>
    <w:rsid w:val="007B3CB3"/>
    <w:rsid w:val="007C2474"/>
    <w:rsid w:val="007C373C"/>
    <w:rsid w:val="007C418F"/>
    <w:rsid w:val="007C42BD"/>
    <w:rsid w:val="007C7193"/>
    <w:rsid w:val="007D2A02"/>
    <w:rsid w:val="007D3535"/>
    <w:rsid w:val="007D386F"/>
    <w:rsid w:val="007D416D"/>
    <w:rsid w:val="007D6293"/>
    <w:rsid w:val="007D769B"/>
    <w:rsid w:val="007E3822"/>
    <w:rsid w:val="007E3A09"/>
    <w:rsid w:val="007E3A35"/>
    <w:rsid w:val="007E4D85"/>
    <w:rsid w:val="007F242C"/>
    <w:rsid w:val="007F46FE"/>
    <w:rsid w:val="00801479"/>
    <w:rsid w:val="00804A41"/>
    <w:rsid w:val="008061D6"/>
    <w:rsid w:val="0080710F"/>
    <w:rsid w:val="0080736C"/>
    <w:rsid w:val="008076C3"/>
    <w:rsid w:val="008077D3"/>
    <w:rsid w:val="00810871"/>
    <w:rsid w:val="00812A61"/>
    <w:rsid w:val="00814549"/>
    <w:rsid w:val="00815C59"/>
    <w:rsid w:val="0081602E"/>
    <w:rsid w:val="00817F74"/>
    <w:rsid w:val="008305D0"/>
    <w:rsid w:val="0083071B"/>
    <w:rsid w:val="00830BCA"/>
    <w:rsid w:val="00831359"/>
    <w:rsid w:val="00832300"/>
    <w:rsid w:val="00834052"/>
    <w:rsid w:val="0084094C"/>
    <w:rsid w:val="008431B2"/>
    <w:rsid w:val="00845323"/>
    <w:rsid w:val="00847BCA"/>
    <w:rsid w:val="00850AF2"/>
    <w:rsid w:val="008510A2"/>
    <w:rsid w:val="008524D1"/>
    <w:rsid w:val="00853598"/>
    <w:rsid w:val="008552A0"/>
    <w:rsid w:val="00855398"/>
    <w:rsid w:val="008558D3"/>
    <w:rsid w:val="00856D0F"/>
    <w:rsid w:val="008600B5"/>
    <w:rsid w:val="008605F0"/>
    <w:rsid w:val="00865278"/>
    <w:rsid w:val="00871802"/>
    <w:rsid w:val="00875A2E"/>
    <w:rsid w:val="00875D50"/>
    <w:rsid w:val="008768D2"/>
    <w:rsid w:val="0088199C"/>
    <w:rsid w:val="00884411"/>
    <w:rsid w:val="008860D2"/>
    <w:rsid w:val="008877D9"/>
    <w:rsid w:val="00890920"/>
    <w:rsid w:val="00890ECF"/>
    <w:rsid w:val="008A3734"/>
    <w:rsid w:val="008A3BF5"/>
    <w:rsid w:val="008A588F"/>
    <w:rsid w:val="008A69A5"/>
    <w:rsid w:val="008A6A21"/>
    <w:rsid w:val="008A6CAC"/>
    <w:rsid w:val="008B09AA"/>
    <w:rsid w:val="008B108B"/>
    <w:rsid w:val="008B19B8"/>
    <w:rsid w:val="008B4DD7"/>
    <w:rsid w:val="008B6937"/>
    <w:rsid w:val="008B7371"/>
    <w:rsid w:val="008B786B"/>
    <w:rsid w:val="008C01C5"/>
    <w:rsid w:val="008C40BD"/>
    <w:rsid w:val="008C53F6"/>
    <w:rsid w:val="008C58ED"/>
    <w:rsid w:val="008D0BDC"/>
    <w:rsid w:val="008D59D5"/>
    <w:rsid w:val="008E079C"/>
    <w:rsid w:val="008E1BA7"/>
    <w:rsid w:val="008E6E23"/>
    <w:rsid w:val="008E7E9C"/>
    <w:rsid w:val="008F2067"/>
    <w:rsid w:val="008F4300"/>
    <w:rsid w:val="00901B40"/>
    <w:rsid w:val="00903E08"/>
    <w:rsid w:val="00904072"/>
    <w:rsid w:val="009043C8"/>
    <w:rsid w:val="0090523A"/>
    <w:rsid w:val="00907ECF"/>
    <w:rsid w:val="00912E0D"/>
    <w:rsid w:val="0092290D"/>
    <w:rsid w:val="00931555"/>
    <w:rsid w:val="00931C6B"/>
    <w:rsid w:val="009348F1"/>
    <w:rsid w:val="00940BD1"/>
    <w:rsid w:val="009457C8"/>
    <w:rsid w:val="00945C93"/>
    <w:rsid w:val="00946D33"/>
    <w:rsid w:val="00954D85"/>
    <w:rsid w:val="00955BD5"/>
    <w:rsid w:val="00960BA3"/>
    <w:rsid w:val="00962788"/>
    <w:rsid w:val="00971C3B"/>
    <w:rsid w:val="00971CCF"/>
    <w:rsid w:val="00975841"/>
    <w:rsid w:val="00975D2A"/>
    <w:rsid w:val="00976508"/>
    <w:rsid w:val="0099034D"/>
    <w:rsid w:val="009903C1"/>
    <w:rsid w:val="0099191A"/>
    <w:rsid w:val="00991D05"/>
    <w:rsid w:val="009928C8"/>
    <w:rsid w:val="00992F70"/>
    <w:rsid w:val="00994917"/>
    <w:rsid w:val="00994F1F"/>
    <w:rsid w:val="009A1A41"/>
    <w:rsid w:val="009A2496"/>
    <w:rsid w:val="009A5C1F"/>
    <w:rsid w:val="009A6FEA"/>
    <w:rsid w:val="009B04E6"/>
    <w:rsid w:val="009B2D69"/>
    <w:rsid w:val="009B2F1F"/>
    <w:rsid w:val="009C0B8E"/>
    <w:rsid w:val="009C26E5"/>
    <w:rsid w:val="009C3611"/>
    <w:rsid w:val="009C3717"/>
    <w:rsid w:val="009C49E9"/>
    <w:rsid w:val="009C6D24"/>
    <w:rsid w:val="009C7F92"/>
    <w:rsid w:val="009D1F18"/>
    <w:rsid w:val="009D2F3D"/>
    <w:rsid w:val="009D3922"/>
    <w:rsid w:val="009D7AA8"/>
    <w:rsid w:val="009E0605"/>
    <w:rsid w:val="009E1C80"/>
    <w:rsid w:val="009E1E1B"/>
    <w:rsid w:val="009E28CE"/>
    <w:rsid w:val="009E6569"/>
    <w:rsid w:val="009E7648"/>
    <w:rsid w:val="009E7965"/>
    <w:rsid w:val="009F0BEC"/>
    <w:rsid w:val="009F2286"/>
    <w:rsid w:val="009F3B5D"/>
    <w:rsid w:val="009F5CBA"/>
    <w:rsid w:val="009F6925"/>
    <w:rsid w:val="009F6F75"/>
    <w:rsid w:val="009F7012"/>
    <w:rsid w:val="009F7A83"/>
    <w:rsid w:val="00A003F4"/>
    <w:rsid w:val="00A02A87"/>
    <w:rsid w:val="00A031F5"/>
    <w:rsid w:val="00A055C3"/>
    <w:rsid w:val="00A068AD"/>
    <w:rsid w:val="00A11097"/>
    <w:rsid w:val="00A12DDF"/>
    <w:rsid w:val="00A14DA8"/>
    <w:rsid w:val="00A346FD"/>
    <w:rsid w:val="00A41805"/>
    <w:rsid w:val="00A4210E"/>
    <w:rsid w:val="00A42439"/>
    <w:rsid w:val="00A42648"/>
    <w:rsid w:val="00A440BF"/>
    <w:rsid w:val="00A456C8"/>
    <w:rsid w:val="00A46999"/>
    <w:rsid w:val="00A47806"/>
    <w:rsid w:val="00A506BD"/>
    <w:rsid w:val="00A54500"/>
    <w:rsid w:val="00A547EC"/>
    <w:rsid w:val="00A561CD"/>
    <w:rsid w:val="00A57A11"/>
    <w:rsid w:val="00A62E99"/>
    <w:rsid w:val="00A66D67"/>
    <w:rsid w:val="00A7049C"/>
    <w:rsid w:val="00A70C05"/>
    <w:rsid w:val="00A70CCF"/>
    <w:rsid w:val="00A70EC8"/>
    <w:rsid w:val="00A720DC"/>
    <w:rsid w:val="00A75CCE"/>
    <w:rsid w:val="00A8025E"/>
    <w:rsid w:val="00A818B6"/>
    <w:rsid w:val="00A82BB8"/>
    <w:rsid w:val="00A8332D"/>
    <w:rsid w:val="00A850F9"/>
    <w:rsid w:val="00A917C4"/>
    <w:rsid w:val="00A91B44"/>
    <w:rsid w:val="00A91F8A"/>
    <w:rsid w:val="00A9214F"/>
    <w:rsid w:val="00A93DAE"/>
    <w:rsid w:val="00A94F3A"/>
    <w:rsid w:val="00A9731D"/>
    <w:rsid w:val="00A97C88"/>
    <w:rsid w:val="00AA3FE2"/>
    <w:rsid w:val="00AA7551"/>
    <w:rsid w:val="00AB1CA5"/>
    <w:rsid w:val="00AB4319"/>
    <w:rsid w:val="00AB4675"/>
    <w:rsid w:val="00AB59B3"/>
    <w:rsid w:val="00AB60F9"/>
    <w:rsid w:val="00AB7E89"/>
    <w:rsid w:val="00AC1511"/>
    <w:rsid w:val="00AC23A6"/>
    <w:rsid w:val="00AC4E4C"/>
    <w:rsid w:val="00AC5835"/>
    <w:rsid w:val="00AC6645"/>
    <w:rsid w:val="00AC7A7F"/>
    <w:rsid w:val="00AD0644"/>
    <w:rsid w:val="00AD2D8C"/>
    <w:rsid w:val="00AD2DEB"/>
    <w:rsid w:val="00AD4978"/>
    <w:rsid w:val="00AD5DDC"/>
    <w:rsid w:val="00AE3C8C"/>
    <w:rsid w:val="00AF3516"/>
    <w:rsid w:val="00AF40B5"/>
    <w:rsid w:val="00AF7F82"/>
    <w:rsid w:val="00B03560"/>
    <w:rsid w:val="00B1379F"/>
    <w:rsid w:val="00B21E18"/>
    <w:rsid w:val="00B22224"/>
    <w:rsid w:val="00B24E53"/>
    <w:rsid w:val="00B27083"/>
    <w:rsid w:val="00B33CCD"/>
    <w:rsid w:val="00B35AB7"/>
    <w:rsid w:val="00B40880"/>
    <w:rsid w:val="00B41E94"/>
    <w:rsid w:val="00B53985"/>
    <w:rsid w:val="00B54DF9"/>
    <w:rsid w:val="00B55858"/>
    <w:rsid w:val="00B55E09"/>
    <w:rsid w:val="00B576B6"/>
    <w:rsid w:val="00B65FFC"/>
    <w:rsid w:val="00B6647A"/>
    <w:rsid w:val="00B73C4A"/>
    <w:rsid w:val="00B74BA0"/>
    <w:rsid w:val="00B763C8"/>
    <w:rsid w:val="00B77386"/>
    <w:rsid w:val="00B82AA4"/>
    <w:rsid w:val="00B831E1"/>
    <w:rsid w:val="00B85BBB"/>
    <w:rsid w:val="00B904EE"/>
    <w:rsid w:val="00B91491"/>
    <w:rsid w:val="00B91EF3"/>
    <w:rsid w:val="00B928DD"/>
    <w:rsid w:val="00B93622"/>
    <w:rsid w:val="00BA421F"/>
    <w:rsid w:val="00BA4C72"/>
    <w:rsid w:val="00BA5E13"/>
    <w:rsid w:val="00BA75E5"/>
    <w:rsid w:val="00BA7D78"/>
    <w:rsid w:val="00BB0706"/>
    <w:rsid w:val="00BB1283"/>
    <w:rsid w:val="00BB1797"/>
    <w:rsid w:val="00BB3276"/>
    <w:rsid w:val="00BB4A34"/>
    <w:rsid w:val="00BB4AE2"/>
    <w:rsid w:val="00BC26C5"/>
    <w:rsid w:val="00BC2FD7"/>
    <w:rsid w:val="00BD0912"/>
    <w:rsid w:val="00BD4414"/>
    <w:rsid w:val="00BD5948"/>
    <w:rsid w:val="00BD798E"/>
    <w:rsid w:val="00BE010D"/>
    <w:rsid w:val="00BE4168"/>
    <w:rsid w:val="00BE4529"/>
    <w:rsid w:val="00BE5E2B"/>
    <w:rsid w:val="00BE75D3"/>
    <w:rsid w:val="00BF1A49"/>
    <w:rsid w:val="00BF3C04"/>
    <w:rsid w:val="00BF4D72"/>
    <w:rsid w:val="00BF4F07"/>
    <w:rsid w:val="00C023C3"/>
    <w:rsid w:val="00C0355E"/>
    <w:rsid w:val="00C04A47"/>
    <w:rsid w:val="00C057C6"/>
    <w:rsid w:val="00C117FA"/>
    <w:rsid w:val="00C12C42"/>
    <w:rsid w:val="00C12DE8"/>
    <w:rsid w:val="00C13C8B"/>
    <w:rsid w:val="00C14C13"/>
    <w:rsid w:val="00C1645B"/>
    <w:rsid w:val="00C20E82"/>
    <w:rsid w:val="00C21FDC"/>
    <w:rsid w:val="00C224CC"/>
    <w:rsid w:val="00C2506E"/>
    <w:rsid w:val="00C37D96"/>
    <w:rsid w:val="00C37E65"/>
    <w:rsid w:val="00C40A68"/>
    <w:rsid w:val="00C42A55"/>
    <w:rsid w:val="00C4370A"/>
    <w:rsid w:val="00C439B8"/>
    <w:rsid w:val="00C44D47"/>
    <w:rsid w:val="00C51C9B"/>
    <w:rsid w:val="00C52894"/>
    <w:rsid w:val="00C53983"/>
    <w:rsid w:val="00C53F8B"/>
    <w:rsid w:val="00C54C37"/>
    <w:rsid w:val="00C54EA3"/>
    <w:rsid w:val="00C569D1"/>
    <w:rsid w:val="00C572F8"/>
    <w:rsid w:val="00C57CE0"/>
    <w:rsid w:val="00C616EF"/>
    <w:rsid w:val="00C627F0"/>
    <w:rsid w:val="00C66D04"/>
    <w:rsid w:val="00C701A1"/>
    <w:rsid w:val="00C704ED"/>
    <w:rsid w:val="00C72AD8"/>
    <w:rsid w:val="00C74121"/>
    <w:rsid w:val="00C757DD"/>
    <w:rsid w:val="00C833F9"/>
    <w:rsid w:val="00C84F65"/>
    <w:rsid w:val="00C90316"/>
    <w:rsid w:val="00C9114E"/>
    <w:rsid w:val="00C96360"/>
    <w:rsid w:val="00C97CEF"/>
    <w:rsid w:val="00CA17A1"/>
    <w:rsid w:val="00CA2A1D"/>
    <w:rsid w:val="00CA6E23"/>
    <w:rsid w:val="00CB44FD"/>
    <w:rsid w:val="00CB4E76"/>
    <w:rsid w:val="00CB7510"/>
    <w:rsid w:val="00CC2293"/>
    <w:rsid w:val="00CC28C7"/>
    <w:rsid w:val="00CC4630"/>
    <w:rsid w:val="00CC74BB"/>
    <w:rsid w:val="00CD14B8"/>
    <w:rsid w:val="00CD1920"/>
    <w:rsid w:val="00CD4740"/>
    <w:rsid w:val="00CE2BE7"/>
    <w:rsid w:val="00CE2FA7"/>
    <w:rsid w:val="00CE480A"/>
    <w:rsid w:val="00CE4B57"/>
    <w:rsid w:val="00CE4D8B"/>
    <w:rsid w:val="00CE5C90"/>
    <w:rsid w:val="00CF046F"/>
    <w:rsid w:val="00CF5E00"/>
    <w:rsid w:val="00CF7945"/>
    <w:rsid w:val="00D03A6D"/>
    <w:rsid w:val="00D0503C"/>
    <w:rsid w:val="00D15752"/>
    <w:rsid w:val="00D16BD0"/>
    <w:rsid w:val="00D17A7F"/>
    <w:rsid w:val="00D17B63"/>
    <w:rsid w:val="00D20E8D"/>
    <w:rsid w:val="00D25B17"/>
    <w:rsid w:val="00D313FC"/>
    <w:rsid w:val="00D31EBB"/>
    <w:rsid w:val="00D322E3"/>
    <w:rsid w:val="00D3362A"/>
    <w:rsid w:val="00D33C48"/>
    <w:rsid w:val="00D37B66"/>
    <w:rsid w:val="00D41E34"/>
    <w:rsid w:val="00D503FC"/>
    <w:rsid w:val="00D50C51"/>
    <w:rsid w:val="00D51E02"/>
    <w:rsid w:val="00D52AF0"/>
    <w:rsid w:val="00D54793"/>
    <w:rsid w:val="00D55C7D"/>
    <w:rsid w:val="00D60036"/>
    <w:rsid w:val="00D62505"/>
    <w:rsid w:val="00D64CC6"/>
    <w:rsid w:val="00D6632F"/>
    <w:rsid w:val="00D70181"/>
    <w:rsid w:val="00D7227A"/>
    <w:rsid w:val="00D742A6"/>
    <w:rsid w:val="00D74FA6"/>
    <w:rsid w:val="00D74FF1"/>
    <w:rsid w:val="00D75533"/>
    <w:rsid w:val="00D755F5"/>
    <w:rsid w:val="00D77FFA"/>
    <w:rsid w:val="00D80115"/>
    <w:rsid w:val="00D80C5C"/>
    <w:rsid w:val="00D811CE"/>
    <w:rsid w:val="00D82416"/>
    <w:rsid w:val="00D834D5"/>
    <w:rsid w:val="00D84B30"/>
    <w:rsid w:val="00D866EA"/>
    <w:rsid w:val="00D86832"/>
    <w:rsid w:val="00D86AEF"/>
    <w:rsid w:val="00D86D25"/>
    <w:rsid w:val="00DA02D7"/>
    <w:rsid w:val="00DA1538"/>
    <w:rsid w:val="00DA18E7"/>
    <w:rsid w:val="00DA4640"/>
    <w:rsid w:val="00DB0F25"/>
    <w:rsid w:val="00DB199E"/>
    <w:rsid w:val="00DB3C99"/>
    <w:rsid w:val="00DB6AE4"/>
    <w:rsid w:val="00DC136F"/>
    <w:rsid w:val="00DC2DE3"/>
    <w:rsid w:val="00DC4A83"/>
    <w:rsid w:val="00DD04EF"/>
    <w:rsid w:val="00DD39D0"/>
    <w:rsid w:val="00DD7965"/>
    <w:rsid w:val="00DE0ADA"/>
    <w:rsid w:val="00DE3CC9"/>
    <w:rsid w:val="00DE428F"/>
    <w:rsid w:val="00DE61B8"/>
    <w:rsid w:val="00DF18D8"/>
    <w:rsid w:val="00DF1A44"/>
    <w:rsid w:val="00DF2DC4"/>
    <w:rsid w:val="00DF57A0"/>
    <w:rsid w:val="00DF73FD"/>
    <w:rsid w:val="00DF74BA"/>
    <w:rsid w:val="00E0141C"/>
    <w:rsid w:val="00E02CBF"/>
    <w:rsid w:val="00E05627"/>
    <w:rsid w:val="00E10B93"/>
    <w:rsid w:val="00E10C73"/>
    <w:rsid w:val="00E13A6D"/>
    <w:rsid w:val="00E16D1E"/>
    <w:rsid w:val="00E2046B"/>
    <w:rsid w:val="00E2088F"/>
    <w:rsid w:val="00E21577"/>
    <w:rsid w:val="00E21BA3"/>
    <w:rsid w:val="00E2619C"/>
    <w:rsid w:val="00E266A5"/>
    <w:rsid w:val="00E269E8"/>
    <w:rsid w:val="00E27B17"/>
    <w:rsid w:val="00E30458"/>
    <w:rsid w:val="00E3152F"/>
    <w:rsid w:val="00E3286A"/>
    <w:rsid w:val="00E35215"/>
    <w:rsid w:val="00E36E52"/>
    <w:rsid w:val="00E45C20"/>
    <w:rsid w:val="00E46148"/>
    <w:rsid w:val="00E5063F"/>
    <w:rsid w:val="00E50C09"/>
    <w:rsid w:val="00E51048"/>
    <w:rsid w:val="00E523B7"/>
    <w:rsid w:val="00E5615C"/>
    <w:rsid w:val="00E56F23"/>
    <w:rsid w:val="00E62098"/>
    <w:rsid w:val="00E640F1"/>
    <w:rsid w:val="00E65DF6"/>
    <w:rsid w:val="00E672CA"/>
    <w:rsid w:val="00E67DE3"/>
    <w:rsid w:val="00E714DF"/>
    <w:rsid w:val="00E72649"/>
    <w:rsid w:val="00E749CB"/>
    <w:rsid w:val="00E754A8"/>
    <w:rsid w:val="00E77EA1"/>
    <w:rsid w:val="00E77FEA"/>
    <w:rsid w:val="00E8050D"/>
    <w:rsid w:val="00E80708"/>
    <w:rsid w:val="00E80B11"/>
    <w:rsid w:val="00E81690"/>
    <w:rsid w:val="00E8402B"/>
    <w:rsid w:val="00E85777"/>
    <w:rsid w:val="00E93D09"/>
    <w:rsid w:val="00E96645"/>
    <w:rsid w:val="00E96A7B"/>
    <w:rsid w:val="00EA1C14"/>
    <w:rsid w:val="00EA39A3"/>
    <w:rsid w:val="00EA7173"/>
    <w:rsid w:val="00EA7740"/>
    <w:rsid w:val="00EB37D1"/>
    <w:rsid w:val="00EB5EB9"/>
    <w:rsid w:val="00EB6AF3"/>
    <w:rsid w:val="00EB719C"/>
    <w:rsid w:val="00EB77C8"/>
    <w:rsid w:val="00EC052A"/>
    <w:rsid w:val="00EC0CA3"/>
    <w:rsid w:val="00EC24BC"/>
    <w:rsid w:val="00EC2B00"/>
    <w:rsid w:val="00EC2DB4"/>
    <w:rsid w:val="00EC4646"/>
    <w:rsid w:val="00EC5FBA"/>
    <w:rsid w:val="00ED027E"/>
    <w:rsid w:val="00ED1B78"/>
    <w:rsid w:val="00ED405B"/>
    <w:rsid w:val="00EE101D"/>
    <w:rsid w:val="00EE2B4F"/>
    <w:rsid w:val="00EE2C88"/>
    <w:rsid w:val="00EE46E8"/>
    <w:rsid w:val="00EE4730"/>
    <w:rsid w:val="00EE47D9"/>
    <w:rsid w:val="00EE66F0"/>
    <w:rsid w:val="00EF027B"/>
    <w:rsid w:val="00EF0CCB"/>
    <w:rsid w:val="00EF1302"/>
    <w:rsid w:val="00EF520E"/>
    <w:rsid w:val="00EF5FE3"/>
    <w:rsid w:val="00EF66B7"/>
    <w:rsid w:val="00F0456F"/>
    <w:rsid w:val="00F102FB"/>
    <w:rsid w:val="00F10CC3"/>
    <w:rsid w:val="00F1202B"/>
    <w:rsid w:val="00F14599"/>
    <w:rsid w:val="00F159D6"/>
    <w:rsid w:val="00F24C85"/>
    <w:rsid w:val="00F272A7"/>
    <w:rsid w:val="00F3171E"/>
    <w:rsid w:val="00F36302"/>
    <w:rsid w:val="00F364B2"/>
    <w:rsid w:val="00F40A37"/>
    <w:rsid w:val="00F410DD"/>
    <w:rsid w:val="00F41746"/>
    <w:rsid w:val="00F42800"/>
    <w:rsid w:val="00F45F2A"/>
    <w:rsid w:val="00F468E6"/>
    <w:rsid w:val="00F52565"/>
    <w:rsid w:val="00F52577"/>
    <w:rsid w:val="00F60F7B"/>
    <w:rsid w:val="00F61B2C"/>
    <w:rsid w:val="00F63AD9"/>
    <w:rsid w:val="00F664F6"/>
    <w:rsid w:val="00F70C57"/>
    <w:rsid w:val="00F71B41"/>
    <w:rsid w:val="00F72B0C"/>
    <w:rsid w:val="00F75696"/>
    <w:rsid w:val="00F83670"/>
    <w:rsid w:val="00F87D32"/>
    <w:rsid w:val="00F9075E"/>
    <w:rsid w:val="00F91623"/>
    <w:rsid w:val="00F92A1F"/>
    <w:rsid w:val="00F9441E"/>
    <w:rsid w:val="00F94B80"/>
    <w:rsid w:val="00FA10D0"/>
    <w:rsid w:val="00FA2484"/>
    <w:rsid w:val="00FA658C"/>
    <w:rsid w:val="00FA65FE"/>
    <w:rsid w:val="00FA6CA6"/>
    <w:rsid w:val="00FB1DD3"/>
    <w:rsid w:val="00FB4658"/>
    <w:rsid w:val="00FB4E7C"/>
    <w:rsid w:val="00FC10CD"/>
    <w:rsid w:val="00FC2E1F"/>
    <w:rsid w:val="00FC345B"/>
    <w:rsid w:val="00FC3B18"/>
    <w:rsid w:val="00FD165E"/>
    <w:rsid w:val="00FD1C6B"/>
    <w:rsid w:val="00FD2818"/>
    <w:rsid w:val="00FD51F8"/>
    <w:rsid w:val="00FD52AE"/>
    <w:rsid w:val="00FD7A25"/>
    <w:rsid w:val="00FE126D"/>
    <w:rsid w:val="00FE23CE"/>
    <w:rsid w:val="00FE3B9E"/>
    <w:rsid w:val="00FE421B"/>
    <w:rsid w:val="00FE470F"/>
    <w:rsid w:val="00FE4BD8"/>
    <w:rsid w:val="00FE7B07"/>
    <w:rsid w:val="00FF2F5E"/>
    <w:rsid w:val="00FF593E"/>
    <w:rsid w:val="00FF5C9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header" w:semiHidden="1"/>
    <w:lsdException w:name="footer" w:semiHidden="1"/>
    <w:lsdException w:name="caption" w:semiHidden="1" w:uiPriority="35" w:unhideWhenUsed="1" w:qFormat="1"/>
    <w:lsdException w:name="footnote reference" w:semiHidden="1"/>
    <w:lsdException w:name="annotation reference" w:semiHidden="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qFormat="1"/>
    <w:lsdException w:name="Balloon Text" w:semiHidden="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DD8"/>
    <w:pPr>
      <w:framePr w:wrap="auto"/>
      <w:widowControl/>
      <w:autoSpaceDE/>
      <w:autoSpaceDN/>
      <w:adjustRightInd/>
      <w:spacing w:after="200" w:line="276" w:lineRule="auto"/>
      <w:ind w:left="0" w:right="0"/>
      <w:jc w:val="left"/>
      <w:textAlignment w:val="auto"/>
    </w:pPr>
    <w:rPr>
      <w:rFonts w:ascii="Arial Narrow" w:hAnsi="Arial Narrow" w:cs="Arial Narrow"/>
      <w:sz w:val="22"/>
      <w:szCs w:val="22"/>
      <w:rtl w:val="0"/>
      <w:cs w:val="0"/>
      <w:lang w:val="sk-SK" w:eastAsia="en-US" w:bidi="ar-SA"/>
    </w:rPr>
  </w:style>
  <w:style w:type="paragraph" w:styleId="Heading1">
    <w:name w:val="heading 1"/>
    <w:basedOn w:val="Normal"/>
    <w:link w:val="Nadpis1Char"/>
    <w:uiPriority w:val="99"/>
    <w:qFormat/>
    <w:rsid w:val="00054DD8"/>
    <w:pPr>
      <w:spacing w:after="0" w:line="240" w:lineRule="auto"/>
      <w:jc w:val="center"/>
      <w:outlineLvl w:val="0"/>
    </w:pPr>
    <w:rPr>
      <w:b/>
      <w:bCs/>
      <w:kern w:val="36"/>
      <w:sz w:val="24"/>
      <w:szCs w:val="24"/>
      <w:lang w:eastAsia="sk-SK"/>
    </w:rPr>
  </w:style>
  <w:style w:type="paragraph" w:styleId="Heading2">
    <w:name w:val="heading 2"/>
    <w:basedOn w:val="Normal"/>
    <w:next w:val="Normal"/>
    <w:link w:val="Nadpis2Char"/>
    <w:uiPriority w:val="99"/>
    <w:qFormat/>
    <w:rsid w:val="00054DD8"/>
    <w:pPr>
      <w:keepNext/>
      <w:spacing w:before="240" w:after="60"/>
      <w:jc w:val="left"/>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153AC8"/>
    <w:rPr>
      <w:rFonts w:cs="Times New Roman"/>
      <w:b/>
      <w:bCs/>
      <w:kern w:val="36"/>
      <w:sz w:val="24"/>
      <w:szCs w:val="24"/>
      <w:rtl w:val="0"/>
      <w:cs w:val="0"/>
    </w:rPr>
  </w:style>
  <w:style w:type="character" w:customStyle="1" w:styleId="Nadpis2Char">
    <w:name w:val="Nadpis 2 Char"/>
    <w:basedOn w:val="DefaultParagraphFont"/>
    <w:link w:val="Heading2"/>
    <w:uiPriority w:val="99"/>
    <w:locked/>
    <w:rsid w:val="0060684D"/>
    <w:rPr>
      <w:rFonts w:ascii="Cambria" w:hAnsi="Cambria" w:cs="Cambria"/>
      <w:b/>
      <w:bCs/>
      <w:i/>
      <w:iCs/>
      <w:sz w:val="28"/>
      <w:szCs w:val="28"/>
      <w:rtl w:val="0"/>
      <w:cs w:val="0"/>
      <w:lang w:val="x-none" w:eastAsia="en-US"/>
    </w:rPr>
  </w:style>
  <w:style w:type="paragraph" w:customStyle="1" w:styleId="CM1">
    <w:name w:val="CM1"/>
    <w:basedOn w:val="Normal"/>
    <w:next w:val="Normal"/>
    <w:uiPriority w:val="99"/>
    <w:rsid w:val="00054DD8"/>
    <w:pPr>
      <w:autoSpaceDE w:val="0"/>
      <w:autoSpaceDN w:val="0"/>
      <w:adjustRightInd w:val="0"/>
      <w:spacing w:after="0" w:line="240" w:lineRule="auto"/>
      <w:jc w:val="left"/>
    </w:pPr>
    <w:rPr>
      <w:rFonts w:ascii="EUAlbertina" w:hAnsi="EUAlbertina" w:cs="EUAlbertina"/>
      <w:sz w:val="24"/>
      <w:szCs w:val="24"/>
      <w:lang w:eastAsia="sk-SK"/>
    </w:rPr>
  </w:style>
  <w:style w:type="paragraph" w:styleId="ListParagraph">
    <w:name w:val="List Paragraph"/>
    <w:basedOn w:val="Normal"/>
    <w:uiPriority w:val="34"/>
    <w:qFormat/>
    <w:rsid w:val="00054DD8"/>
    <w:pPr>
      <w:ind w:left="708"/>
      <w:jc w:val="left"/>
    </w:pPr>
  </w:style>
  <w:style w:type="character" w:styleId="Emphasis">
    <w:name w:val="Emphasis"/>
    <w:basedOn w:val="DefaultParagraphFont"/>
    <w:uiPriority w:val="99"/>
    <w:qFormat/>
    <w:rsid w:val="00700591"/>
    <w:rPr>
      <w:rFonts w:cs="Times New Roman"/>
      <w:i/>
      <w:iCs/>
      <w:rtl w:val="0"/>
      <w:cs w:val="0"/>
    </w:rPr>
  </w:style>
  <w:style w:type="paragraph" w:customStyle="1" w:styleId="CM4">
    <w:name w:val="CM4"/>
    <w:basedOn w:val="Normal"/>
    <w:next w:val="Normal"/>
    <w:uiPriority w:val="99"/>
    <w:rsid w:val="00054DD8"/>
    <w:pPr>
      <w:autoSpaceDE w:val="0"/>
      <w:autoSpaceDN w:val="0"/>
      <w:adjustRightInd w:val="0"/>
      <w:spacing w:after="0" w:line="240" w:lineRule="auto"/>
      <w:jc w:val="left"/>
    </w:pPr>
    <w:rPr>
      <w:rFonts w:ascii="EUAlbertina" w:hAnsi="EUAlbertina" w:cs="EUAlbertina"/>
      <w:sz w:val="24"/>
      <w:szCs w:val="24"/>
      <w:lang w:eastAsia="sk-SK"/>
    </w:rPr>
  </w:style>
  <w:style w:type="paragraph" w:customStyle="1" w:styleId="Default">
    <w:name w:val="Default"/>
    <w:rsid w:val="00054DD8"/>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character" w:styleId="CommentReference">
    <w:name w:val="annotation reference"/>
    <w:basedOn w:val="DefaultParagraphFont"/>
    <w:uiPriority w:val="99"/>
    <w:semiHidden/>
    <w:rsid w:val="006F78CB"/>
    <w:rPr>
      <w:rFonts w:cs="Times New Roman"/>
      <w:sz w:val="16"/>
      <w:szCs w:val="16"/>
      <w:rtl w:val="0"/>
      <w:cs w:val="0"/>
    </w:rPr>
  </w:style>
  <w:style w:type="paragraph" w:styleId="CommentText">
    <w:name w:val="annotation text"/>
    <w:basedOn w:val="Normal"/>
    <w:link w:val="TextkomentraChar"/>
    <w:uiPriority w:val="99"/>
    <w:semiHidden/>
    <w:rsid w:val="00054DD8"/>
    <w:pPr>
      <w:spacing w:after="0" w:line="240" w:lineRule="auto"/>
      <w:jc w:val="left"/>
    </w:pPr>
    <w:rPr>
      <w:sz w:val="20"/>
      <w:szCs w:val="20"/>
      <w:lang w:eastAsia="sk-SK"/>
    </w:rPr>
  </w:style>
  <w:style w:type="character" w:customStyle="1" w:styleId="TextkomentraChar">
    <w:name w:val="Text komentára Char"/>
    <w:basedOn w:val="DefaultParagraphFont"/>
    <w:link w:val="CommentText"/>
    <w:uiPriority w:val="99"/>
    <w:semiHidden/>
    <w:locked/>
    <w:rsid w:val="006F78CB"/>
    <w:rPr>
      <w:rFonts w:cs="Times New Roman"/>
      <w:sz w:val="20"/>
      <w:szCs w:val="20"/>
      <w:rtl w:val="0"/>
      <w:cs w:val="0"/>
    </w:rPr>
  </w:style>
  <w:style w:type="paragraph" w:styleId="FootnoteText">
    <w:name w:val="footnote text"/>
    <w:aliases w:val="Char,Char Char,Char Char Char Char,Char Char Char1,Char1,Char1 Char,Text poznámky pod čiarou Char"/>
    <w:basedOn w:val="Normal"/>
    <w:link w:val="TextpoznmkypodiarouChar1"/>
    <w:uiPriority w:val="99"/>
    <w:semiHidden/>
    <w:rsid w:val="00054DD8"/>
    <w:pPr>
      <w:spacing w:after="0" w:line="240" w:lineRule="auto"/>
      <w:jc w:val="left"/>
    </w:pPr>
    <w:rPr>
      <w:sz w:val="20"/>
      <w:szCs w:val="20"/>
      <w:lang w:eastAsia="sk-SK"/>
    </w:rPr>
  </w:style>
  <w:style w:type="character" w:customStyle="1" w:styleId="TextpoznmkypodiarouChar1">
    <w:name w:val="Text poznámky pod čiarou Char1"/>
    <w:aliases w:val="Char Char Char,Char Char Char Char Char,Char Char Char1 Char,Char Char1,Char1 Char Char,Char1 Char1,Text poznámky pod čiarou Char Char"/>
    <w:basedOn w:val="DefaultParagraphFont"/>
    <w:link w:val="FootnoteText"/>
    <w:uiPriority w:val="99"/>
    <w:semiHidden/>
    <w:locked/>
    <w:rPr>
      <w:rFonts w:cs="Times New Roman"/>
      <w:sz w:val="20"/>
      <w:szCs w:val="20"/>
      <w:rtl w:val="0"/>
      <w:cs w:val="0"/>
    </w:rPr>
  </w:style>
  <w:style w:type="paragraph" w:styleId="BalloonText">
    <w:name w:val="Balloon Text"/>
    <w:basedOn w:val="Normal"/>
    <w:link w:val="TextbublinyChar"/>
    <w:uiPriority w:val="99"/>
    <w:semiHidden/>
    <w:rsid w:val="00054DD8"/>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F78CB"/>
    <w:rPr>
      <w:rFonts w:ascii="Tahoma" w:hAnsi="Tahoma" w:cs="Tahoma"/>
      <w:sz w:val="16"/>
      <w:szCs w:val="16"/>
      <w:rtl w:val="0"/>
      <w:cs w:val="0"/>
      <w:lang w:val="x-none" w:eastAsia="en-US"/>
    </w:rPr>
  </w:style>
  <w:style w:type="character" w:styleId="FootnoteReference">
    <w:name w:val="footnote reference"/>
    <w:basedOn w:val="DefaultParagraphFont"/>
    <w:uiPriority w:val="99"/>
    <w:semiHidden/>
    <w:rsid w:val="00C627F0"/>
    <w:rPr>
      <w:rFonts w:cs="Times New Roman"/>
      <w:vertAlign w:val="superscript"/>
      <w:rtl w:val="0"/>
      <w:cs w:val="0"/>
    </w:rPr>
  </w:style>
  <w:style w:type="paragraph" w:customStyle="1" w:styleId="Text1">
    <w:name w:val="Text 1"/>
    <w:basedOn w:val="Normal"/>
    <w:uiPriority w:val="99"/>
    <w:rsid w:val="00054DD8"/>
    <w:pPr>
      <w:spacing w:before="120" w:after="120" w:line="240" w:lineRule="auto"/>
      <w:ind w:left="850"/>
      <w:jc w:val="both"/>
    </w:pPr>
    <w:rPr>
      <w:sz w:val="24"/>
      <w:szCs w:val="24"/>
    </w:rPr>
  </w:style>
  <w:style w:type="paragraph" w:customStyle="1" w:styleId="CM3">
    <w:name w:val="CM3"/>
    <w:basedOn w:val="Default"/>
    <w:next w:val="Default"/>
    <w:uiPriority w:val="99"/>
    <w:rsid w:val="00054DD8"/>
    <w:pPr>
      <w:jc w:val="left"/>
    </w:pPr>
    <w:rPr>
      <w:color w:val="auto"/>
      <w:lang w:eastAsia="sk-SK"/>
    </w:rPr>
  </w:style>
  <w:style w:type="paragraph" w:styleId="NoSpacing">
    <w:name w:val="No Spacing"/>
    <w:uiPriority w:val="99"/>
    <w:qFormat/>
    <w:rsid w:val="00054DD8"/>
    <w:pPr>
      <w:framePr w:wrap="auto"/>
      <w:widowControl/>
      <w:autoSpaceDE/>
      <w:autoSpaceDN/>
      <w:adjustRightInd/>
      <w:ind w:left="0" w:right="0"/>
      <w:jc w:val="left"/>
      <w:textAlignment w:val="auto"/>
    </w:pPr>
    <w:rPr>
      <w:rFonts w:ascii="Arial Narrow" w:hAnsi="Arial Narrow" w:cs="Arial Narrow"/>
      <w:sz w:val="22"/>
      <w:szCs w:val="22"/>
      <w:rtl w:val="0"/>
      <w:cs w:val="0"/>
      <w:lang w:val="sk-SK" w:eastAsia="en-US" w:bidi="ar-SA"/>
    </w:rPr>
  </w:style>
  <w:style w:type="paragraph" w:styleId="Header">
    <w:name w:val="header"/>
    <w:basedOn w:val="Normal"/>
    <w:link w:val="HlavikaChar"/>
    <w:uiPriority w:val="99"/>
    <w:rsid w:val="00054DD8"/>
    <w:pPr>
      <w:tabs>
        <w:tab w:val="center" w:pos="4536"/>
        <w:tab w:val="right" w:pos="9072"/>
      </w:tabs>
      <w:jc w:val="left"/>
    </w:pPr>
  </w:style>
  <w:style w:type="character" w:customStyle="1" w:styleId="HlavikaChar">
    <w:name w:val="Hlavička Char"/>
    <w:basedOn w:val="DefaultParagraphFont"/>
    <w:link w:val="Header"/>
    <w:uiPriority w:val="99"/>
    <w:locked/>
    <w:rsid w:val="00251F9B"/>
    <w:rPr>
      <w:rFonts w:cs="Times New Roman"/>
      <w:rtl w:val="0"/>
      <w:cs w:val="0"/>
      <w:lang w:val="x-none" w:eastAsia="en-US"/>
    </w:rPr>
  </w:style>
  <w:style w:type="character" w:customStyle="1" w:styleId="PtaChar">
    <w:name w:val="Päta Char"/>
    <w:basedOn w:val="DefaultParagraphFont"/>
    <w:uiPriority w:val="99"/>
    <w:rPr>
      <w:rFonts w:cs="Times New Roman"/>
      <w:rtl w:val="0"/>
      <w:cs w:val="0"/>
      <w:lang w:val="x-none" w:eastAsia="en-US"/>
    </w:rPr>
  </w:style>
  <w:style w:type="paragraph" w:styleId="Footer">
    <w:name w:val="footer"/>
    <w:basedOn w:val="Normal"/>
    <w:link w:val="PtaChar1"/>
    <w:uiPriority w:val="99"/>
    <w:rsid w:val="00054DD8"/>
    <w:pPr>
      <w:tabs>
        <w:tab w:val="center" w:pos="4536"/>
        <w:tab w:val="right" w:pos="9072"/>
      </w:tabs>
      <w:jc w:val="left"/>
    </w:pPr>
  </w:style>
  <w:style w:type="character" w:customStyle="1" w:styleId="PtaChar1">
    <w:name w:val="Päta Char1"/>
    <w:basedOn w:val="DefaultParagraphFont"/>
    <w:link w:val="Footer"/>
    <w:uiPriority w:val="99"/>
    <w:locked/>
    <w:rsid w:val="00251F9B"/>
    <w:rPr>
      <w:rFonts w:cs="Times New Roman"/>
      <w:rtl w:val="0"/>
      <w:cs w:val="0"/>
      <w:lang w:val="x-none" w:eastAsia="en-US"/>
    </w:rPr>
  </w:style>
  <w:style w:type="character" w:customStyle="1" w:styleId="PtaChar14">
    <w:name w:val="Päta Char14"/>
    <w:basedOn w:val="DefaultParagraphFont"/>
    <w:uiPriority w:val="99"/>
    <w:semiHidden/>
    <w:rPr>
      <w:rFonts w:cs="Times New Roman"/>
      <w:rtl w:val="0"/>
      <w:cs w:val="0"/>
      <w:lang w:val="x-none" w:eastAsia="en-US"/>
    </w:rPr>
  </w:style>
  <w:style w:type="character" w:customStyle="1" w:styleId="FooterChar2">
    <w:name w:val="Footer Char2"/>
    <w:basedOn w:val="DefaultParagraphFont"/>
    <w:uiPriority w:val="99"/>
    <w:semiHidden/>
    <w:rPr>
      <w:rFonts w:cs="Times New Roman"/>
      <w:rtl w:val="0"/>
      <w:cs w:val="0"/>
      <w:lang w:val="x-none" w:eastAsia="en-US"/>
    </w:rPr>
  </w:style>
  <w:style w:type="character" w:customStyle="1" w:styleId="FooterChar3">
    <w:name w:val="Footer Char3"/>
    <w:basedOn w:val="DefaultParagraphFont"/>
    <w:uiPriority w:val="99"/>
    <w:semiHidden/>
    <w:rPr>
      <w:rFonts w:cs="Times New Roman"/>
      <w:rtl w:val="0"/>
      <w:cs w:val="0"/>
      <w:lang w:val="x-none" w:eastAsia="en-US"/>
    </w:rPr>
  </w:style>
  <w:style w:type="character" w:customStyle="1" w:styleId="FooterChar4">
    <w:name w:val="Footer Char4"/>
    <w:basedOn w:val="DefaultParagraphFont"/>
    <w:uiPriority w:val="99"/>
    <w:semiHidden/>
    <w:rPr>
      <w:rFonts w:cs="Times New Roman"/>
      <w:rtl w:val="0"/>
      <w:cs w:val="0"/>
      <w:lang w:val="x-none" w:eastAsia="en-US"/>
    </w:rPr>
  </w:style>
  <w:style w:type="character" w:customStyle="1" w:styleId="FooterChar5">
    <w:name w:val="Footer Char5"/>
    <w:basedOn w:val="DefaultParagraphFont"/>
    <w:uiPriority w:val="99"/>
    <w:semiHidden/>
    <w:rPr>
      <w:rFonts w:cs="Times New Roman"/>
      <w:rtl w:val="0"/>
      <w:cs w:val="0"/>
      <w:lang w:val="x-none" w:eastAsia="en-US"/>
    </w:rPr>
  </w:style>
  <w:style w:type="character" w:customStyle="1" w:styleId="FooterChar1">
    <w:name w:val="Footer Char1"/>
    <w:basedOn w:val="DefaultParagraphFont"/>
    <w:uiPriority w:val="99"/>
    <w:semiHidden/>
    <w:rPr>
      <w:rFonts w:cs="Times New Roman"/>
      <w:rtl w:val="0"/>
      <w:cs w:val="0"/>
      <w:lang w:val="x-none" w:eastAsia="en-US"/>
    </w:rPr>
  </w:style>
  <w:style w:type="character" w:customStyle="1" w:styleId="PtaChar13">
    <w:name w:val="Päta Char13"/>
    <w:basedOn w:val="DefaultParagraphFont"/>
    <w:uiPriority w:val="99"/>
    <w:semiHidden/>
    <w:rPr>
      <w:rFonts w:cs="Times New Roman"/>
      <w:rtl w:val="0"/>
      <w:cs w:val="0"/>
      <w:lang w:val="x-none" w:eastAsia="en-US"/>
    </w:rPr>
  </w:style>
  <w:style w:type="character" w:customStyle="1" w:styleId="PtaChar12">
    <w:name w:val="Päta Char12"/>
    <w:basedOn w:val="DefaultParagraphFont"/>
    <w:uiPriority w:val="99"/>
    <w:semiHidden/>
    <w:rPr>
      <w:rFonts w:cs="Times New Roman"/>
      <w:rtl w:val="0"/>
      <w:cs w:val="0"/>
      <w:lang w:val="x-none" w:eastAsia="en-US"/>
    </w:rPr>
  </w:style>
  <w:style w:type="character" w:customStyle="1" w:styleId="PtaChar11">
    <w:name w:val="Päta Char11"/>
    <w:basedOn w:val="DefaultParagraphFont"/>
    <w:uiPriority w:val="99"/>
    <w:semiHidden/>
    <w:rPr>
      <w:rFonts w:cs="Times New Roman"/>
      <w:rtl w:val="0"/>
      <w:cs w:val="0"/>
      <w:lang w:val="x-none" w:eastAsia="en-US"/>
    </w:rPr>
  </w:style>
  <w:style w:type="paragraph" w:styleId="Revision">
    <w:name w:val="Revision"/>
    <w:hidden/>
    <w:uiPriority w:val="99"/>
    <w:semiHidden/>
    <w:rsid w:val="00054DD8"/>
    <w:pPr>
      <w:framePr w:wrap="auto"/>
      <w:widowControl/>
      <w:autoSpaceDE/>
      <w:autoSpaceDN/>
      <w:adjustRightInd/>
      <w:ind w:left="0" w:right="0"/>
      <w:jc w:val="left"/>
      <w:textAlignment w:val="auto"/>
    </w:pPr>
    <w:rPr>
      <w:rFonts w:ascii="Arial Narrow" w:hAnsi="Arial Narrow" w:cs="Arial Narrow"/>
      <w:sz w:val="22"/>
      <w:szCs w:val="22"/>
      <w:rtl w:val="0"/>
      <w:cs w:val="0"/>
      <w:lang w:val="sk-SK" w:eastAsia="en-US" w:bidi="ar-SA"/>
    </w:rPr>
  </w:style>
  <w:style w:type="paragraph" w:customStyle="1" w:styleId="Zkladntext">
    <w:name w:val="Základní text"/>
    <w:rsid w:val="006558A1"/>
    <w:pPr>
      <w:framePr w:wrap="auto"/>
      <w:widowControl w:val="0"/>
      <w:autoSpaceDE/>
      <w:autoSpaceDN/>
      <w:adjustRightInd/>
      <w:snapToGrid w:val="0"/>
      <w:ind w:left="0" w:right="0"/>
      <w:jc w:val="left"/>
      <w:textAlignment w:val="auto"/>
    </w:pPr>
    <w:rPr>
      <w:rFonts w:cs="Times New Roman"/>
      <w:color w:val="000000"/>
      <w:sz w:val="24"/>
      <w:szCs w:val="20"/>
      <w:rtl w:val="0"/>
      <w:cs w:val="0"/>
      <w:lang w:val="cs-CZ" w:eastAsia="sk-SK" w:bidi="ar-SA"/>
    </w:rPr>
  </w:style>
  <w:style w:type="paragraph" w:styleId="Title">
    <w:name w:val="Title"/>
    <w:basedOn w:val="Normal"/>
    <w:link w:val="NzovChar"/>
    <w:uiPriority w:val="10"/>
    <w:qFormat/>
    <w:rsid w:val="006558A1"/>
    <w:pPr>
      <w:spacing w:after="0" w:line="240" w:lineRule="auto"/>
      <w:jc w:val="center"/>
    </w:pPr>
    <w:rPr>
      <w:rFonts w:ascii="Times New Roman" w:hAnsi="Times New Roman" w:cs="Times New Roman"/>
      <w:b/>
      <w:bCs/>
      <w:sz w:val="24"/>
      <w:szCs w:val="24"/>
    </w:rPr>
  </w:style>
  <w:style w:type="character" w:customStyle="1" w:styleId="NzovChar">
    <w:name w:val="Názov Char"/>
    <w:basedOn w:val="DefaultParagraphFont"/>
    <w:link w:val="Title"/>
    <w:uiPriority w:val="10"/>
    <w:locked/>
    <w:rsid w:val="006558A1"/>
    <w:rPr>
      <w:rFonts w:ascii="Times New Roman" w:hAnsi="Times New Roman" w:cs="Times New Roman"/>
      <w:b/>
      <w:bCs/>
      <w:sz w:val="24"/>
      <w:szCs w:val="24"/>
      <w:rtl w:val="0"/>
      <w:cs w:val="0"/>
      <w:lang w:val="x-none" w:eastAsia="en-US"/>
    </w:rPr>
  </w:style>
  <w:style w:type="paragraph" w:styleId="BodyText2">
    <w:name w:val="Body Text 2"/>
    <w:basedOn w:val="Normal"/>
    <w:link w:val="Zkladntext2Char"/>
    <w:uiPriority w:val="99"/>
    <w:rsid w:val="006558A1"/>
    <w:pPr>
      <w:spacing w:after="120" w:line="480" w:lineRule="auto"/>
      <w:jc w:val="left"/>
    </w:pPr>
    <w:rPr>
      <w:rFonts w:ascii="Times New Roman" w:hAnsi="Times New Roman" w:cs="Times New Roman"/>
      <w:sz w:val="24"/>
      <w:szCs w:val="24"/>
      <w:lang w:eastAsia="cs-CZ"/>
    </w:rPr>
  </w:style>
  <w:style w:type="character" w:customStyle="1" w:styleId="Zkladntext2Char">
    <w:name w:val="Základný text 2 Char"/>
    <w:basedOn w:val="DefaultParagraphFont"/>
    <w:link w:val="BodyText2"/>
    <w:uiPriority w:val="99"/>
    <w:locked/>
    <w:rsid w:val="006558A1"/>
    <w:rPr>
      <w:rFonts w:ascii="Times New Roman" w:hAnsi="Times New Roman" w:cs="Times New Roman"/>
      <w:sz w:val="24"/>
      <w:szCs w:val="24"/>
      <w:rtl w:val="0"/>
      <w:cs w:val="0"/>
      <w:lang w:val="x-none" w:eastAsia="cs-CZ"/>
    </w:rPr>
  </w:style>
  <w:style w:type="paragraph" w:customStyle="1" w:styleId="51Abs">
    <w:name w:val="51_Abs"/>
    <w:basedOn w:val="Normal"/>
    <w:qFormat/>
    <w:rsid w:val="00C40A68"/>
    <w:pPr>
      <w:spacing w:before="80" w:after="0" w:line="220" w:lineRule="exact"/>
      <w:ind w:firstLine="397"/>
      <w:jc w:val="both"/>
    </w:pPr>
    <w:rPr>
      <w:rFonts w:ascii="Times New Roman" w:hAnsi="Times New Roman" w:cs="Times New Roman"/>
      <w:color w:val="000000"/>
      <w:sz w:val="20"/>
      <w:szCs w:val="20"/>
      <w:lang w:val="de-DE" w:eastAsia="de-DE"/>
    </w:rPr>
  </w:style>
  <w:style w:type="paragraph" w:styleId="CommentSubject">
    <w:name w:val="annotation subject"/>
    <w:basedOn w:val="CommentText"/>
    <w:next w:val="CommentText"/>
    <w:link w:val="PredmetkomentraChar"/>
    <w:uiPriority w:val="99"/>
    <w:unhideWhenUsed/>
    <w:rsid w:val="00C40A68"/>
    <w:pPr>
      <w:spacing w:after="200" w:line="240" w:lineRule="auto"/>
      <w:jc w:val="left"/>
    </w:pPr>
    <w:rPr>
      <w:b/>
      <w:bCs/>
      <w:lang w:eastAsia="en-US"/>
    </w:rPr>
  </w:style>
  <w:style w:type="character" w:customStyle="1" w:styleId="PredmetkomentraChar">
    <w:name w:val="Predmet komentára Char"/>
    <w:basedOn w:val="TextkomentraChar"/>
    <w:link w:val="CommentSubject"/>
    <w:uiPriority w:val="99"/>
    <w:locked/>
    <w:rsid w:val="00C40A68"/>
    <w:rPr>
      <w:b/>
      <w:bCs/>
      <w:lang w:val="x-none" w:eastAsia="en-US"/>
    </w:rPr>
  </w:style>
  <w:style w:type="paragraph" w:styleId="NormalWeb">
    <w:name w:val="Normal (Web)"/>
    <w:basedOn w:val="Normal"/>
    <w:uiPriority w:val="99"/>
    <w:unhideWhenUsed/>
    <w:rsid w:val="000537B8"/>
    <w:pPr>
      <w:spacing w:before="100" w:beforeAutospacing="1" w:after="100" w:afterAutospacing="1" w:line="240" w:lineRule="auto"/>
      <w:jc w:val="left"/>
    </w:pPr>
    <w:rPr>
      <w:rFonts w:ascii="Times New Roman" w:hAnsi="Times New Roman" w:cs="Times New Roman"/>
      <w:sz w:val="24"/>
      <w:szCs w:val="24"/>
      <w:lang w:eastAsia="sk-SK"/>
    </w:rPr>
  </w:style>
  <w:style w:type="character" w:styleId="Strong">
    <w:name w:val="Strong"/>
    <w:basedOn w:val="DefaultParagraphFont"/>
    <w:uiPriority w:val="22"/>
    <w:qFormat/>
    <w:rsid w:val="000537B8"/>
    <w:rPr>
      <w:rFonts w:cs="Times New Roman"/>
      <w:b/>
      <w:rtl w:val="0"/>
      <w:cs w:val="0"/>
    </w:rPr>
  </w:style>
  <w:style w:type="paragraph" w:customStyle="1" w:styleId="s21">
    <w:name w:val="s21"/>
    <w:basedOn w:val="Normal"/>
    <w:rsid w:val="000537B8"/>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s18">
    <w:name w:val="s18"/>
    <w:rsid w:val="000537B8"/>
  </w:style>
  <w:style w:type="character" w:styleId="Hyperlink">
    <w:name w:val="Hyperlink"/>
    <w:basedOn w:val="DefaultParagraphFont"/>
    <w:uiPriority w:val="99"/>
    <w:unhideWhenUsed/>
    <w:rsid w:val="000537B8"/>
    <w:rPr>
      <w:rFonts w:cs="Times New Roman"/>
      <w:color w:val="0096D3"/>
      <w:u w:val="none"/>
      <w:effect w:val="none"/>
      <w:rtl w:val="0"/>
      <w:cs w:val="0"/>
    </w:rPr>
  </w:style>
  <w:style w:type="character" w:styleId="FollowedHyperlink">
    <w:name w:val="FollowedHyperlink"/>
    <w:basedOn w:val="DefaultParagraphFont"/>
    <w:uiPriority w:val="99"/>
    <w:unhideWhenUsed/>
    <w:rsid w:val="000537B8"/>
    <w:rPr>
      <w:rFonts w:cs="Times New Roman"/>
      <w:color w:val="800080"/>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pi.sk/zz/2004-747" TargetMode="External" /><Relationship Id="rId11" Type="http://schemas.openxmlformats.org/officeDocument/2006/relationships/hyperlink" Target="http://www.epi.sk/zz/2005-336" TargetMode="External" /><Relationship Id="rId12" Type="http://schemas.openxmlformats.org/officeDocument/2006/relationships/hyperlink" Target="http://www.epi.sk/zz/2007-209" TargetMode="External" /><Relationship Id="rId13" Type="http://schemas.openxmlformats.org/officeDocument/2006/relationships/hyperlink" Target="http://www.epi.sk/zz/2008-8" TargetMode="External" /><Relationship Id="rId14" Type="http://schemas.openxmlformats.org/officeDocument/2006/relationships/hyperlink" Target="http://www.epi.sk/zz/2008-297" TargetMode="External" /><Relationship Id="rId15" Type="http://schemas.openxmlformats.org/officeDocument/2006/relationships/hyperlink" Target="http://www.epi.sk/zz/2008-552" TargetMode="External" /><Relationship Id="rId16" Type="http://schemas.openxmlformats.org/officeDocument/2006/relationships/hyperlink" Target="http://www.epi.sk/zz/2009-487" TargetMode="External" /><Relationship Id="rId17" Type="http://schemas.openxmlformats.org/officeDocument/2006/relationships/hyperlink" Target="http://www.epi.sk/zz/2011-520" TargetMode="External" /><Relationship Id="rId18" Type="http://schemas.openxmlformats.org/officeDocument/2006/relationships/hyperlink" Target="http://www.epi.sk/zz/2011-547" TargetMode="External" /><Relationship Id="rId19" Type="http://schemas.openxmlformats.org/officeDocument/2006/relationships/hyperlink" Target="http://www.epi.sk/zz/2013-352" TargetMode="External" /><Relationship Id="rId2" Type="http://schemas.openxmlformats.org/officeDocument/2006/relationships/webSettings" Target="webSettings.xml" /><Relationship Id="rId20" Type="http://schemas.openxmlformats.org/officeDocument/2006/relationships/hyperlink" Target="http://www.epi.sk/zz/2015-388" TargetMode="External" /><Relationship Id="rId21" Type="http://schemas.openxmlformats.org/officeDocument/2006/relationships/hyperlink" Target="https://www.slov-lex.sk/pravne-predpisy/SK/ZZ/2004/43/" TargetMode="External" /><Relationship Id="rId22" Type="http://schemas.openxmlformats.org/officeDocument/2006/relationships/hyperlink" Target="https://www.slov-lex.sk/pravne-predpisy/SK/ZZ/2004/650/" TargetMode="External"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pi.sk/zz/2001-566" TargetMode="External" /><Relationship Id="rId6" Type="http://schemas.openxmlformats.org/officeDocument/2006/relationships/hyperlink" Target="https://www.slov-lex.sk/pravne-predpisy/SK/ZZ/2001/483/" TargetMode="External" /><Relationship Id="rId7" Type="http://schemas.openxmlformats.org/officeDocument/2006/relationships/hyperlink" Target="http://www.epi.sk/zz/2003-594" TargetMode="External" /><Relationship Id="rId8" Type="http://schemas.openxmlformats.org/officeDocument/2006/relationships/hyperlink" Target="http://www.epi.sk/zz/2004-43" TargetMode="External" /><Relationship Id="rId9" Type="http://schemas.openxmlformats.org/officeDocument/2006/relationships/hyperlink" Target="http://www.epi.sk/zz/2004-635"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704F8-8DDB-4B4A-AD9B-32B0408E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138</TotalTime>
  <Pages>26</Pages>
  <Words>8052</Words>
  <Characters>45899</Characters>
  <Application>Microsoft Office Word</Application>
  <DocSecurity>0</DocSecurity>
  <Lines>0</Lines>
  <Paragraphs>0</Paragraphs>
  <ScaleCrop>false</ScaleCrop>
  <Company>MF SR</Company>
  <LinksUpToDate>false</LinksUpToDate>
  <CharactersWithSpaces>53844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jkassovic</dc:creator>
  <cp:lastModifiedBy>Hircová, Ružena</cp:lastModifiedBy>
  <cp:revision>13</cp:revision>
  <cp:lastPrinted>2016-10-10T13:24:00Z</cp:lastPrinted>
  <dcterms:created xsi:type="dcterms:W3CDTF">2016-10-10T13:15:00Z</dcterms:created>
  <dcterms:modified xsi:type="dcterms:W3CDTF">2016-10-12T12:19:00Z</dcterms:modified>
</cp:coreProperties>
</file>