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8B2380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A40EE3">
        <w:t>461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</w:t>
      </w:r>
      <w:r w:rsidR="009A0337">
        <w:rPr>
          <w:b/>
        </w:rPr>
        <w:t xml:space="preserve"> </w:t>
      </w:r>
      <w:r w:rsidR="0011101B">
        <w:rPr>
          <w:b/>
        </w:rPr>
        <w:t xml:space="preserve"> </w:t>
      </w:r>
      <w:r w:rsidR="009A0337">
        <w:rPr>
          <w:b/>
        </w:rPr>
        <w:t>65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40EE3">
        <w:t xml:space="preserve"> 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Pr="00D1527C" w:rsidR="00D1527C">
        <w:rPr>
          <w:b/>
          <w:iCs/>
          <w:color w:val="000000"/>
        </w:rPr>
        <w:t xml:space="preserve"> </w:t>
      </w:r>
      <w:r w:rsidRPr="00A40EE3" w:rsidR="00A40EE3">
        <w:rPr>
          <w:iCs/>
          <w:color w:val="000000"/>
        </w:rPr>
        <w:t>(tlač 181)</w:t>
      </w:r>
      <w:r w:rsidR="00A40EE3">
        <w:rPr>
          <w:b/>
          <w:iCs/>
          <w:color w:val="00000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vládnym návrhom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Pr="00D1527C" w:rsidR="00A40EE3">
        <w:rPr>
          <w:b/>
          <w:iCs/>
          <w:color w:val="000000"/>
        </w:rPr>
        <w:t xml:space="preserve"> </w:t>
      </w:r>
      <w:r w:rsidRPr="00A40EE3" w:rsidR="00A40EE3">
        <w:rPr>
          <w:iCs/>
          <w:color w:val="000000"/>
        </w:rPr>
        <w:t>(tlač 181)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A40EE3" w:rsidR="00A40EE3">
        <w:rPr>
          <w:b w:val="0"/>
        </w:rPr>
        <w:t>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Pr="00A40EE3" w:rsidR="00A40EE3">
        <w:rPr>
          <w:b w:val="0"/>
          <w:iCs/>
          <w:color w:val="000000"/>
        </w:rPr>
        <w:t xml:space="preserve"> (tlač 181) </w:t>
      </w:r>
      <w:r w:rsidR="00A40EE3">
        <w:rPr>
          <w:b w:val="0"/>
          <w:iCs/>
          <w:color w:val="00000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</w:t>
      </w:r>
      <w:r w:rsidRPr="00E20A99" w:rsidR="00F33022">
        <w:t xml:space="preserve">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F03F8"/>
    <w:p w:rsidR="00E41EF6" w:rsidP="000D14F9">
      <w:pPr>
        <w:pStyle w:val="Heading4"/>
        <w:widowControl w:val="0"/>
        <w:rPr>
          <w:rFonts w:ascii="AT*Zurich Calligraphic" w:hAnsi="AT*Zurich Calligraphic"/>
        </w:rPr>
      </w:pPr>
    </w:p>
    <w:p w:rsidR="00E41EF6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E41EF6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9A0337">
        <w:rPr>
          <w:b/>
        </w:rPr>
        <w:t>65</w:t>
      </w:r>
    </w:p>
    <w:p w:rsidR="000D14F9" w:rsidRPr="003371B9" w:rsidP="000D14F9">
      <w:pPr>
        <w:jc w:val="right"/>
      </w:pPr>
      <w:r w:rsidR="008A7014">
        <w:rPr>
          <w:bCs w:val="0"/>
        </w:rPr>
        <w:t>1</w:t>
      </w:r>
      <w:r w:rsidR="008B2380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E41EF6" w:rsidP="000D14F9">
      <w:pPr>
        <w:jc w:val="center"/>
        <w:rPr>
          <w:b/>
          <w:bCs w:val="0"/>
        </w:rPr>
      </w:pPr>
    </w:p>
    <w:p w:rsidR="00E41EF6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A40EE3">
        <w:t>vládnemu návrhu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Pr="00D1527C" w:rsidR="00A40EE3">
        <w:rPr>
          <w:b w:val="0"/>
          <w:iCs/>
          <w:color w:val="000000"/>
        </w:rPr>
        <w:t xml:space="preserve"> </w:t>
      </w:r>
      <w:r w:rsidRPr="00A40EE3" w:rsidR="00A40EE3">
        <w:rPr>
          <w:iCs/>
          <w:color w:val="000000"/>
        </w:rPr>
        <w:t>(tlač 181)</w:t>
      </w:r>
    </w:p>
    <w:p w:rsidR="00E41EF6" w:rsidP="000D14F9">
      <w:pPr>
        <w:rPr>
          <w:b/>
          <w:bCs w:val="0"/>
        </w:rPr>
      </w:pPr>
      <w:r w:rsidR="000D14F9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 </w:t>
      </w:r>
    </w:p>
    <w:p w:rsidR="009A0337" w:rsidRPr="00C85AD5" w:rsidP="00C85A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AD5">
        <w:rPr>
          <w:rFonts w:ascii="Times New Roman" w:hAnsi="Times New Roman"/>
          <w:b/>
          <w:sz w:val="24"/>
          <w:szCs w:val="24"/>
          <w:u w:val="single"/>
        </w:rPr>
        <w:t>K čl. I  12. bodu (§ 28 ods. 3)</w:t>
      </w:r>
    </w:p>
    <w:p w:rsidR="009A0337" w:rsidRPr="009A0337" w:rsidP="00C85AD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337">
        <w:rPr>
          <w:rFonts w:ascii="Times New Roman" w:hAnsi="Times New Roman"/>
          <w:sz w:val="24"/>
          <w:szCs w:val="24"/>
        </w:rPr>
        <w:t>V čl. I 12. bode slová „písm. f)“ sa nahrádzajú slovami  „písm. g) “.</w:t>
      </w:r>
    </w:p>
    <w:p w:rsidR="009A0337" w:rsidRPr="009A0337" w:rsidP="009A0337">
      <w:pPr>
        <w:pStyle w:val="ListParagraph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9A0337" w:rsidRPr="009A0337" w:rsidP="009A0337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9A0337">
        <w:rPr>
          <w:rFonts w:ascii="Times New Roman" w:hAnsi="Times New Roman"/>
          <w:sz w:val="24"/>
          <w:szCs w:val="24"/>
        </w:rPr>
        <w:t>Je potrebné legislatívno-technicky upraviť znenie čl. I  12. bodu (preznačiť navrhované znenie § 28 ods. 3 písm. f) na § 28 ods. 3 písm. g), keďže úprava obsiahnutá v čl. I 11. bode, ktorou dochádza  k preznačeniu § 28 ods. 3 písm. g) na písm. f), nadobudne účinnosť  6. februára 2017 na rozdiel od čl. I 12.bodu, ktorý nadobudne účinnosť 1. 12. 2016.</w:t>
      </w:r>
    </w:p>
    <w:p w:rsidR="00C85AD5" w:rsidP="00C85AD5">
      <w:pPr>
        <w:tabs>
          <w:tab w:val="left" w:pos="2280"/>
        </w:tabs>
        <w:jc w:val="both"/>
        <w:rPr>
          <w:bCs w:val="0"/>
        </w:rPr>
      </w:pPr>
    </w:p>
    <w:p w:rsidR="00C85AD5" w:rsidRPr="00C85AD5" w:rsidP="00C85AD5">
      <w:pPr>
        <w:numPr>
          <w:ilvl w:val="0"/>
          <w:numId w:val="7"/>
        </w:numPr>
        <w:tabs>
          <w:tab w:val="left" w:pos="709"/>
        </w:tabs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</w:t>
      </w:r>
      <w:r w:rsidRPr="00C85AD5">
        <w:rPr>
          <w:rFonts w:ascii="Times New Roman" w:hAnsi="Times New Roman"/>
          <w:b/>
          <w:bCs w:val="0"/>
          <w:u w:val="single"/>
        </w:rPr>
        <w:t> </w:t>
      </w:r>
      <w:r w:rsidRPr="00C85AD5">
        <w:rPr>
          <w:b/>
          <w:bCs w:val="0"/>
          <w:u w:val="single"/>
        </w:rPr>
        <w:t xml:space="preserve">I – nové body 23 a 25 </w:t>
      </w:r>
    </w:p>
    <w:p w:rsidR="00C85AD5" w:rsidRPr="00C85AD5" w:rsidP="00C85AD5">
      <w:pPr>
        <w:ind w:left="360" w:firstLine="348"/>
        <w:rPr>
          <w:bCs w:val="0"/>
        </w:rPr>
      </w:pPr>
      <w:r w:rsidRPr="00C85AD5">
        <w:rPr>
          <w:bCs w:val="0"/>
        </w:rPr>
        <w:t>V čl.</w:t>
      </w:r>
      <w:r w:rsidRPr="00C85AD5">
        <w:rPr>
          <w:rFonts w:ascii="Times New Roman" w:hAnsi="Times New Roman"/>
          <w:bCs w:val="0"/>
        </w:rPr>
        <w:t> </w:t>
      </w:r>
      <w:r w:rsidRPr="00C85AD5">
        <w:rPr>
          <w:bCs w:val="0"/>
        </w:rPr>
        <w:t>I za pôvodný bod 22 sa vkladá nový bod 23, ktorý znie:</w:t>
      </w:r>
    </w:p>
    <w:p w:rsidR="00C85AD5" w:rsidP="00C85AD5">
      <w:pPr>
        <w:ind w:left="360" w:firstLine="348"/>
        <w:jc w:val="both"/>
        <w:rPr>
          <w:bCs w:val="0"/>
        </w:rPr>
      </w:pPr>
      <w:r w:rsidRPr="00C85AD5">
        <w:rPr>
          <w:bCs w:val="0"/>
        </w:rPr>
        <w:t>„23. V § 50 odseky 2 a 3 znejú:</w:t>
      </w:r>
    </w:p>
    <w:p w:rsidR="00C85AD5" w:rsidRPr="00C85AD5" w:rsidP="00C85AD5">
      <w:pPr>
        <w:ind w:left="360" w:firstLine="348"/>
        <w:jc w:val="both"/>
        <w:rPr>
          <w:bCs w:val="0"/>
        </w:rPr>
      </w:pPr>
    </w:p>
    <w:p w:rsidR="00C85AD5" w:rsidRPr="00C85AD5" w:rsidP="00C85AD5">
      <w:pPr>
        <w:jc w:val="both"/>
        <w:rPr>
          <w:bCs w:val="0"/>
        </w:rPr>
      </w:pPr>
      <w:r w:rsidRPr="00C85AD5">
        <w:rPr>
          <w:bCs w:val="0"/>
        </w:rPr>
        <w:t xml:space="preserve">„(2) Príkaz na registráciu zmluvného záložného práva k cennému papieru sa podáva centrálnemu depozitárovi, ak sú údaje o majiteľovi cenného papiera evidované na účte majiteľa vedenom centrálnym depozitárom, alebo členovi, ak sú údaje o majiteľovi cenného papiera evidované na účte majiteľa vedenom členom,  alebo obchodníkovi s cennými papiermi, ak sú údaje o majiteľoch cenných papierov evidované v evidencii podľa § 71h ods. 2, </w:t>
      </w:r>
      <w:r w:rsidRPr="00C85AD5">
        <w:t>alebo centrálnemu depozitárovi, ak sú údaje o majiteľovi cenného papiera  vedené podľa § 105c</w:t>
      </w:r>
      <w:r w:rsidRPr="00C85AD5">
        <w:rPr>
          <w:color w:val="0070C0"/>
        </w:rPr>
        <w:t xml:space="preserve"> </w:t>
      </w:r>
      <w:r w:rsidRPr="00C85AD5">
        <w:t xml:space="preserve">druhej vety. </w:t>
      </w:r>
      <w:r w:rsidRPr="00C85AD5">
        <w:rPr>
          <w:bCs w:val="0"/>
        </w:rPr>
        <w:t>Člen alebo obchodník s cennými pa</w:t>
      </w:r>
      <w:r w:rsidRPr="00C85AD5">
        <w:rPr>
          <w:bCs w:val="0"/>
        </w:rPr>
        <w:t xml:space="preserve">piermi, </w:t>
      </w:r>
      <w:r w:rsidRPr="00C85AD5">
        <w:t>ktorý vedie údaje o majiteľoch cenných papierov  v evidencii podľa § 71h ods. 2, alebo</w:t>
      </w:r>
      <w:r w:rsidRPr="00C85AD5">
        <w:rPr>
          <w:bCs w:val="0"/>
        </w:rPr>
        <w:t xml:space="preserve"> </w:t>
      </w:r>
      <w:r w:rsidRPr="00C85AD5">
        <w:t>centrálny depozitár, ak sú údaje o majiteľovi cenného papiera vedené podľa § 105c druhej vety,</w:t>
      </w:r>
      <w:r w:rsidRPr="00C85AD5">
        <w:rPr>
          <w:bCs w:val="0"/>
        </w:rPr>
        <w:t xml:space="preserve"> je povinný po obdržaní príkazu na registráciu zmluvného záložného práva k cennému papieru bezodkladne postúpiť tento príkaz centrálnemu depozitárovi.</w:t>
      </w:r>
    </w:p>
    <w:p w:rsidR="00C85AD5" w:rsidRPr="00C85AD5" w:rsidP="00C85AD5">
      <w:pPr>
        <w:jc w:val="both"/>
        <w:rPr>
          <w:bCs w:val="0"/>
        </w:rPr>
      </w:pPr>
      <w:r w:rsidRPr="00C85AD5">
        <w:rPr>
          <w:bCs w:val="0"/>
        </w:rPr>
        <w:t xml:space="preserve">       </w:t>
      </w:r>
    </w:p>
    <w:p w:rsidR="00C85AD5" w:rsidRPr="00C85AD5" w:rsidP="00C85AD5">
      <w:pPr>
        <w:jc w:val="both"/>
        <w:rPr>
          <w:bCs w:val="0"/>
        </w:rPr>
      </w:pPr>
      <w:r w:rsidRPr="00C85AD5">
        <w:rPr>
          <w:bCs w:val="0"/>
        </w:rPr>
        <w:t xml:space="preserve">(3) Centrálny depozitár po vykonaní registrácie zmluvného záložného práva v registri záložných práv bezodkladne zaeviduje túto skutočnosť aj na účte majiteľa založeného cenného papiera, ak sa účet majiteľa vedie v jeho evidencii, alebo bezodkladne oznámi túto skutočnosť členovi, u ktorého sa vedie účet majiteľa založeného cenného papiera, alebo obchodníkovi s cennými papiermi, ak sú údaje o majiteľoch cenných papierov evidované v evidencii podľa § 71h ods. 2 </w:t>
      </w:r>
      <w:r w:rsidRPr="00C85AD5">
        <w:t>alebo</w:t>
      </w:r>
      <w:r w:rsidRPr="00C85AD5">
        <w:rPr>
          <w:bCs w:val="0"/>
        </w:rPr>
        <w:t xml:space="preserve"> </w:t>
      </w:r>
      <w:r w:rsidRPr="00C85AD5">
        <w:t>centrálnemu depozitárovi, ak sú údaje o majiteľoch cenných papierov vedené podľa § 105c druhej vety</w:t>
      </w:r>
      <w:r w:rsidRPr="00C85AD5">
        <w:rPr>
          <w:bCs w:val="0"/>
        </w:rPr>
        <w:t>. Člen alebo obchodník s cennými papiermi, ktorý vedie evidenciu podľa § 71h ods. 2, je povinný po oznámení centrálneho depozitára o vykonaní registrácie zmluvného záložného práva v registri záložných práv bezodkladne zaevidovať túto skutočnosť na príslušnom účte alebo v evidencii podľa § 71h ods. 2.</w:t>
      </w:r>
      <w:r w:rsidRPr="00C85AD5">
        <w:t xml:space="preserve"> Centrálny depozitár, ktorý vedie evidenciu podľa § 105c druhej vety, je povinný po oznámení centrálneho depozitára o vykonaní registrácie zmluvného záložného práva v registri záložných práv bezodkladne zaevidovať túto skutočnosť na príslušnom účte alebo oznámiť ju členovi, ak sú údaje o majiteľovi cenného papiera evidované na účte majiteľa vedenom členom,  alebo obchodníkovi s cennými papiermi, ak sú údaje o majiteľoch cenných papierov evidované v evidencii podľa § 71h ods. 2. Člen alebo obchodník s cennými papiermi, ktorý vedie evidenciu podľa § 71h ods. 2, je povinný po oznámení podľa tretej vety bezodkladne zaevidovať túto skutočnosť na príslušnom účte alebo v evidencii podľa § 71h ods. 2.</w:t>
      </w:r>
      <w:r w:rsidRPr="00C85AD5">
        <w:rPr>
          <w:bCs w:val="0"/>
        </w:rPr>
        <w:t>“.“.</w:t>
      </w:r>
    </w:p>
    <w:p w:rsidR="00C85AD5" w:rsidRPr="00C85AD5" w:rsidP="00C85AD5">
      <w:pPr>
        <w:jc w:val="both"/>
        <w:rPr>
          <w:bCs w:val="0"/>
        </w:rPr>
      </w:pPr>
    </w:p>
    <w:p w:rsidR="00C85AD5" w:rsidRPr="00B22B42" w:rsidP="00C85AD5">
      <w:pPr>
        <w:jc w:val="both"/>
        <w:rPr>
          <w:bCs w:val="0"/>
        </w:rPr>
      </w:pPr>
      <w:r w:rsidRPr="00B22B42">
        <w:rPr>
          <w:bCs w:val="0"/>
        </w:rPr>
        <w:t>Zároveň je potrebné nasledovné body prečíslovať.</w:t>
      </w:r>
    </w:p>
    <w:p w:rsidR="00C85AD5" w:rsidRPr="00C85AD5" w:rsidP="00C85AD5">
      <w:pPr>
        <w:jc w:val="both"/>
        <w:rPr>
          <w:bCs w:val="0"/>
        </w:rPr>
      </w:pPr>
    </w:p>
    <w:p w:rsidR="00C85AD5" w:rsidRPr="00C85AD5" w:rsidP="00C85AD5">
      <w:pPr>
        <w:ind w:left="360"/>
        <w:rPr>
          <w:bCs w:val="0"/>
        </w:rPr>
      </w:pPr>
      <w:r w:rsidRPr="00C85AD5">
        <w:rPr>
          <w:bCs w:val="0"/>
        </w:rPr>
        <w:t xml:space="preserve"> V čl.</w:t>
      </w:r>
      <w:r w:rsidRPr="00C85AD5">
        <w:rPr>
          <w:rFonts w:ascii="Times New Roman" w:hAnsi="Times New Roman"/>
          <w:bCs w:val="0"/>
        </w:rPr>
        <w:t> </w:t>
      </w:r>
      <w:r w:rsidRPr="00C85AD5">
        <w:rPr>
          <w:bCs w:val="0"/>
        </w:rPr>
        <w:t>I za pôvodný bod 23 (po prečíslovaní bod 24) sa vkladá nový bod 25</w:t>
      </w:r>
      <w:r w:rsidRPr="00C85AD5">
        <w:rPr>
          <w:bCs w:val="0"/>
        </w:rPr>
        <w:t>, ktorý znie:</w:t>
      </w:r>
    </w:p>
    <w:p w:rsidR="00C85AD5" w:rsidRPr="00C85AD5" w:rsidP="00C85AD5">
      <w:pPr>
        <w:jc w:val="both"/>
        <w:rPr>
          <w:bCs w:val="0"/>
        </w:rPr>
      </w:pPr>
      <w:r w:rsidRPr="00C85AD5">
        <w:rPr>
          <w:bCs w:val="0"/>
        </w:rPr>
        <w:t>„25. V § 52 ods. 2 prvej vete sa na konci bodka nahrádza čiarkou a pripájajú sa tieto slová: „alebo centrálnemu depozitárovi, ak sú údaje o majiteľovi cenného papiera vedené podľa § 105c druhej vety.“.“.</w:t>
      </w:r>
    </w:p>
    <w:p w:rsidR="00C85AD5" w:rsidP="00C85AD5">
      <w:pPr>
        <w:ind w:left="2410"/>
        <w:jc w:val="both"/>
        <w:rPr>
          <w:bCs w:val="0"/>
        </w:rPr>
      </w:pPr>
    </w:p>
    <w:p w:rsidR="00B22B42" w:rsidRPr="00B22B42" w:rsidP="00B22B42">
      <w:pPr>
        <w:jc w:val="both"/>
        <w:rPr>
          <w:bCs w:val="0"/>
        </w:rPr>
      </w:pPr>
      <w:r w:rsidRPr="00B22B42">
        <w:rPr>
          <w:bCs w:val="0"/>
        </w:rPr>
        <w:t>Zároveň je potrebné nasledovné body prečíslovať.</w:t>
      </w:r>
    </w:p>
    <w:p w:rsidR="00B22B42" w:rsidP="00C85AD5">
      <w:pPr>
        <w:ind w:left="2410"/>
        <w:jc w:val="both"/>
        <w:rPr>
          <w:bCs w:val="0"/>
        </w:rPr>
      </w:pPr>
    </w:p>
    <w:p w:rsidR="00C85AD5" w:rsidRPr="00C85AD5" w:rsidP="00C85AD5">
      <w:pPr>
        <w:tabs>
          <w:tab w:val="left" w:pos="2835"/>
        </w:tabs>
        <w:ind w:left="2835"/>
        <w:jc w:val="both"/>
        <w:rPr>
          <w:bCs w:val="0"/>
        </w:rPr>
      </w:pPr>
      <w:r w:rsidRPr="00C85AD5">
        <w:rPr>
          <w:bCs w:val="0"/>
        </w:rPr>
        <w:t>Navrhované zmeny zachovávajú súčasný stav, podľa ktorého sa príslušnosť registra  záložných práv určuje podľa toho, ktorý centrálny depozitár eviduje cenné papiere, ktoré sú predmetom záložného práva, v registri emitenta, pričom súčasne ju bude možné aplikovať pri existencii dvoch centrálnych depozitárov, a teda zohľadňuje súčasnú situáciu. Zároveň navrhovaná legislatívna úprava dopĺňa subjekt, ktorý bude oprávnený podať príkaz na registráciu zmluvného záložného práva do registra záložných práv, konkrétne centrálny depozitár, ktorý má v inom centrálnom depozitári z</w:t>
      </w:r>
      <w:r w:rsidRPr="00C85AD5">
        <w:rPr>
          <w:bCs w:val="0"/>
        </w:rPr>
        <w:t>riadený držiteľský účet v zmysle § 105c, rovnako bude oprávnený po obdržaní tohto príkazu  postúpiť tento príkaz na centrálny depozitár príslušný na registráciu záložného práva. Úprava rieši aj situáciu v prípade zmeny podoby cenného papiera, kedy určuje za príslušný ten centrálny depozitár, kde bol zaregistrovaný vznik záložného práva.</w:t>
      </w:r>
    </w:p>
    <w:p w:rsidR="00C85AD5" w:rsidRPr="00C85AD5" w:rsidP="00C85AD5">
      <w:pPr>
        <w:ind w:left="2400"/>
        <w:jc w:val="both"/>
        <w:rPr>
          <w:bCs w:val="0"/>
        </w:rPr>
      </w:pPr>
    </w:p>
    <w:p w:rsidR="009A0337" w:rsidP="009A0337">
      <w:pPr>
        <w:pStyle w:val="ListParagraph"/>
        <w:tabs>
          <w:tab w:val="left" w:pos="4035"/>
        </w:tabs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9A0337">
        <w:rPr>
          <w:rFonts w:ascii="Times New Roman" w:hAnsi="Times New Roman"/>
          <w:sz w:val="24"/>
          <w:szCs w:val="24"/>
        </w:rPr>
        <w:tab/>
      </w:r>
    </w:p>
    <w:p w:rsidR="009A0337" w:rsidRPr="00C85AD5" w:rsidP="00C85A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AD5">
        <w:rPr>
          <w:rFonts w:ascii="Times New Roman" w:hAnsi="Times New Roman"/>
          <w:b/>
          <w:sz w:val="24"/>
          <w:szCs w:val="24"/>
          <w:u w:val="single"/>
        </w:rPr>
        <w:t>K čl. I 32. bodu (§ 99 ods. 5)</w:t>
      </w:r>
    </w:p>
    <w:p w:rsidR="009A0337" w:rsidRPr="009A0337" w:rsidP="00C85AD5">
      <w:pPr>
        <w:ind w:left="708"/>
        <w:jc w:val="both"/>
      </w:pPr>
      <w:r w:rsidRPr="009A0337">
        <w:t>V čl. I 32. bode v § 99 ods. 5 sa slová „osobitného zákona“ nahrádzajú slovami „osobitného predpisu“.</w:t>
      </w:r>
    </w:p>
    <w:p w:rsidR="009A0337" w:rsidP="009A0337">
      <w:pPr>
        <w:ind w:left="2832"/>
        <w:jc w:val="both"/>
      </w:pPr>
    </w:p>
    <w:p w:rsidR="009A0337" w:rsidRPr="009A0337" w:rsidP="009A0337">
      <w:pPr>
        <w:ind w:left="2832"/>
        <w:jc w:val="both"/>
      </w:pPr>
      <w:r w:rsidRPr="009A0337">
        <w:t>Ide o precizovanie navrhovaného znenia ustanovenia § 99 ods. 5 v záujme jeho jednoznačnosti v súlade so zaužívanou legislatívnou technikou.</w:t>
      </w:r>
    </w:p>
    <w:p w:rsidR="009A0337" w:rsidP="009A0337">
      <w:pPr>
        <w:ind w:left="1134"/>
        <w:jc w:val="both"/>
      </w:pPr>
    </w:p>
    <w:p w:rsidR="00C85AD5" w:rsidRPr="00C85AD5" w:rsidP="00C85AD5">
      <w:pPr>
        <w:numPr>
          <w:ilvl w:val="0"/>
          <w:numId w:val="7"/>
        </w:numPr>
        <w:tabs>
          <w:tab w:val="left" w:pos="709"/>
        </w:tabs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 I – pôvodný bod 38</w:t>
      </w:r>
    </w:p>
    <w:p w:rsidR="00C85AD5" w:rsidRPr="00C85AD5" w:rsidP="00C85AD5">
      <w:pPr>
        <w:ind w:left="705"/>
        <w:jc w:val="both"/>
        <w:rPr>
          <w:bCs w:val="0"/>
        </w:rPr>
      </w:pPr>
      <w:r w:rsidRPr="00C85AD5">
        <w:rPr>
          <w:bCs w:val="0"/>
        </w:rPr>
        <w:t>V čl. I pôvodnom bode 38 v § 101 ods. 3 sa vypúšťa piata veta. Zároveň veta „Poznámky pod čiarou k odkazom 90ab až 90ad znejú:“ sa nahrádza vetou „Poznámky pod čiarou k odkazom 90ab a 90ac znejú:“ a poznámka pod čiarou k odkazu 90ad sa vypúšťa.</w:t>
      </w:r>
    </w:p>
    <w:p w:rsidR="00C85AD5" w:rsidRPr="00C85AD5" w:rsidP="00C85AD5">
      <w:pPr>
        <w:tabs>
          <w:tab w:val="left" w:pos="2280"/>
        </w:tabs>
        <w:ind w:left="360" w:hanging="360"/>
        <w:jc w:val="both"/>
        <w:rPr>
          <w:bCs w:val="0"/>
        </w:rPr>
      </w:pPr>
    </w:p>
    <w:p w:rsidR="00C85AD5" w:rsidRPr="00C85AD5" w:rsidP="00C85AD5">
      <w:pPr>
        <w:ind w:left="2832"/>
        <w:jc w:val="both"/>
        <w:rPr>
          <w:bCs w:val="0"/>
          <w:lang w:eastAsia="en-US"/>
        </w:rPr>
      </w:pPr>
      <w:r w:rsidRPr="00C85AD5">
        <w:rPr>
          <w:bCs w:val="0"/>
          <w:lang w:eastAsia="en-US"/>
        </w:rPr>
        <w:t>Ide o vyprecizovanie navrhovaného znenia v záujme jeho jednoznačnosti na účely výkonu dohľadu.</w:t>
      </w:r>
    </w:p>
    <w:p w:rsidR="00C85AD5" w:rsidRPr="00C85AD5" w:rsidP="00C85AD5">
      <w:pPr>
        <w:tabs>
          <w:tab w:val="left" w:pos="2280"/>
        </w:tabs>
        <w:ind w:left="360" w:hanging="360"/>
        <w:jc w:val="both"/>
        <w:rPr>
          <w:bCs w:val="0"/>
          <w:u w:val="single"/>
        </w:rPr>
      </w:pPr>
    </w:p>
    <w:p w:rsidR="00C85AD5" w:rsidRPr="00C85AD5" w:rsidP="00C85AD5">
      <w:pPr>
        <w:numPr>
          <w:ilvl w:val="0"/>
          <w:numId w:val="7"/>
        </w:numPr>
        <w:tabs>
          <w:tab w:val="left" w:pos="709"/>
        </w:tabs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</w:t>
      </w:r>
      <w:r w:rsidRPr="00C85AD5">
        <w:rPr>
          <w:rFonts w:ascii="Times New Roman" w:hAnsi="Times New Roman"/>
          <w:b/>
          <w:bCs w:val="0"/>
          <w:u w:val="single"/>
        </w:rPr>
        <w:t> </w:t>
      </w:r>
      <w:r w:rsidRPr="00C85AD5">
        <w:rPr>
          <w:b/>
          <w:bCs w:val="0"/>
          <w:u w:val="single"/>
        </w:rPr>
        <w:t xml:space="preserve">I – pôvodný bod 43 </w:t>
      </w:r>
    </w:p>
    <w:p w:rsidR="00C85AD5" w:rsidRPr="00C85AD5" w:rsidP="00C85AD5">
      <w:pPr>
        <w:tabs>
          <w:tab w:val="left" w:pos="2280"/>
        </w:tabs>
        <w:ind w:left="708"/>
        <w:rPr>
          <w:bCs w:val="0"/>
        </w:rPr>
      </w:pPr>
      <w:r w:rsidRPr="00C85AD5">
        <w:rPr>
          <w:bCs w:val="0"/>
        </w:rPr>
        <w:t>V čl.</w:t>
      </w:r>
      <w:r w:rsidRPr="00C85AD5">
        <w:rPr>
          <w:rFonts w:ascii="Times New Roman" w:hAnsi="Times New Roman"/>
          <w:bCs w:val="0"/>
        </w:rPr>
        <w:t> </w:t>
      </w:r>
      <w:r w:rsidRPr="00C85AD5">
        <w:rPr>
          <w:bCs w:val="0"/>
        </w:rPr>
        <w:t>I pôvodnom bode 43 sa slová „a centrálnym depozitárom“ nahrádzajú slovami „a centrálny depozitár“.</w:t>
      </w:r>
    </w:p>
    <w:p w:rsidR="00C85AD5" w:rsidRPr="00C85AD5" w:rsidP="00C85AD5">
      <w:pPr>
        <w:jc w:val="both"/>
        <w:rPr>
          <w:bCs w:val="0"/>
        </w:rPr>
      </w:pPr>
    </w:p>
    <w:p w:rsidR="00C85AD5" w:rsidRPr="00C85AD5" w:rsidP="00C85AD5">
      <w:pPr>
        <w:ind w:left="2400" w:firstLine="432"/>
        <w:jc w:val="both"/>
        <w:rPr>
          <w:bCs w:val="0"/>
          <w:lang w:eastAsia="en-US"/>
        </w:rPr>
      </w:pPr>
      <w:r w:rsidRPr="00C85AD5">
        <w:rPr>
          <w:bCs w:val="0"/>
          <w:lang w:eastAsia="en-US"/>
        </w:rPr>
        <w:t>Legislatívno-technická úprava.</w:t>
      </w:r>
    </w:p>
    <w:p w:rsidR="00C85AD5" w:rsidP="00C85AD5">
      <w:pPr>
        <w:jc w:val="both"/>
        <w:rPr>
          <w:bCs w:val="0"/>
          <w:lang w:eastAsia="en-US"/>
        </w:rPr>
      </w:pPr>
    </w:p>
    <w:p w:rsidR="00C85AD5" w:rsidRPr="00C85AD5" w:rsidP="00C85AD5">
      <w:pPr>
        <w:numPr>
          <w:ilvl w:val="0"/>
          <w:numId w:val="7"/>
        </w:numPr>
        <w:tabs>
          <w:tab w:val="left" w:pos="709"/>
        </w:tabs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</w:t>
      </w:r>
      <w:r w:rsidRPr="00C85AD5">
        <w:rPr>
          <w:rFonts w:ascii="Times New Roman" w:hAnsi="Times New Roman"/>
          <w:b/>
          <w:bCs w:val="0"/>
          <w:u w:val="single"/>
        </w:rPr>
        <w:t> </w:t>
      </w:r>
      <w:r w:rsidRPr="00C85AD5">
        <w:rPr>
          <w:b/>
          <w:bCs w:val="0"/>
          <w:u w:val="single"/>
        </w:rPr>
        <w:t xml:space="preserve">I – pôvodný bod 53 </w:t>
      </w:r>
    </w:p>
    <w:p w:rsidR="00C85AD5" w:rsidRPr="00C85AD5" w:rsidP="00C85AD5">
      <w:pPr>
        <w:tabs>
          <w:tab w:val="left" w:pos="2280"/>
        </w:tabs>
        <w:ind w:left="360"/>
        <w:rPr>
          <w:bCs w:val="0"/>
        </w:rPr>
      </w:pPr>
      <w:r>
        <w:rPr>
          <w:bCs w:val="0"/>
        </w:rPr>
        <w:t xml:space="preserve">      </w:t>
      </w:r>
      <w:r w:rsidRPr="00C85AD5">
        <w:rPr>
          <w:bCs w:val="0"/>
        </w:rPr>
        <w:t>V čl.</w:t>
      </w:r>
      <w:r w:rsidRPr="00C85AD5">
        <w:rPr>
          <w:rFonts w:ascii="Times New Roman" w:hAnsi="Times New Roman"/>
          <w:bCs w:val="0"/>
        </w:rPr>
        <w:t> </w:t>
      </w:r>
      <w:r w:rsidRPr="00C85AD5">
        <w:rPr>
          <w:bCs w:val="0"/>
        </w:rPr>
        <w:t>I pôvodný bod 53 znie:</w:t>
      </w:r>
    </w:p>
    <w:p w:rsidR="00C85AD5" w:rsidRPr="00C85AD5" w:rsidP="00C85AD5">
      <w:pPr>
        <w:contextualSpacing/>
        <w:jc w:val="both"/>
        <w:rPr>
          <w:bCs w:val="0"/>
          <w:color w:val="000000"/>
        </w:rPr>
      </w:pPr>
      <w:r w:rsidRPr="00C85AD5">
        <w:rPr>
          <w:bCs w:val="0"/>
        </w:rPr>
        <w:t xml:space="preserve">      </w:t>
      </w:r>
      <w:r>
        <w:rPr>
          <w:bCs w:val="0"/>
        </w:rPr>
        <w:tab/>
      </w:r>
      <w:r w:rsidRPr="00C85AD5">
        <w:rPr>
          <w:bCs w:val="0"/>
        </w:rPr>
        <w:t xml:space="preserve">„53. </w:t>
      </w:r>
      <w:r w:rsidRPr="00C85AD5">
        <w:rPr>
          <w:bCs w:val="0"/>
          <w:color w:val="000000"/>
        </w:rPr>
        <w:t xml:space="preserve">V § 107 odsek 9 znie: </w:t>
      </w:r>
    </w:p>
    <w:p w:rsidR="00C85AD5" w:rsidRPr="00C85AD5" w:rsidP="00C85AD5">
      <w:pPr>
        <w:ind w:left="708"/>
        <w:contextualSpacing/>
        <w:jc w:val="both"/>
        <w:rPr>
          <w:bCs w:val="0"/>
          <w:color w:val="000000"/>
        </w:rPr>
      </w:pPr>
      <w:r w:rsidRPr="00C85AD5">
        <w:rPr>
          <w:bCs w:val="0"/>
          <w:color w:val="000000"/>
        </w:rPr>
        <w:t>„(9) Emitent listinných akcií na meno je povinný uzavrieť s centrálnym depozitárom zmluvu o vedení zoznamu akcionárov bezodkladne po vydaní listinných akcií na meno. Centrálny depozitár je povinný pri vedení zoznamu akcionárov listinných akcií na žiadosť emitenta vydať mu zoznam akcionárov</w:t>
      </w:r>
      <w:hyperlink r:id="rId5" w:anchor="f2705464" w:history="1">
        <w:r w:rsidRPr="00C85AD5">
          <w:rPr>
            <w:bCs w:val="0"/>
            <w:vertAlign w:val="superscript"/>
          </w:rPr>
          <w:t>89</w:t>
        </w:r>
        <w:r w:rsidRPr="00C85AD5">
          <w:rPr>
            <w:bCs w:val="0"/>
          </w:rPr>
          <w:t>)</w:t>
        </w:r>
      </w:hyperlink>
      <w:r w:rsidRPr="00C85AD5">
        <w:rPr>
          <w:bCs w:val="0"/>
          <w:color w:val="000000"/>
        </w:rPr>
        <w:t xml:space="preserve"> a na žiadosť akcionára vydať mu výpis zo zoznamu akcionárov v časti, ktorá sa ho týka.</w:t>
      </w:r>
      <w:r w:rsidRPr="00C85AD5">
        <w:rPr>
          <w:bCs w:val="0"/>
        </w:rPr>
        <w:t>“.“.</w:t>
      </w:r>
    </w:p>
    <w:p w:rsidR="00C85AD5" w:rsidRPr="00C85AD5" w:rsidP="00C85AD5">
      <w:pPr>
        <w:jc w:val="both"/>
        <w:rPr>
          <w:bCs w:val="0"/>
        </w:rPr>
      </w:pPr>
    </w:p>
    <w:p w:rsidR="00C85AD5" w:rsidRPr="00C85AD5" w:rsidP="00C85AD5">
      <w:pPr>
        <w:ind w:left="2835"/>
        <w:jc w:val="both"/>
        <w:rPr>
          <w:bCs w:val="0"/>
          <w:lang w:eastAsia="en-US"/>
        </w:rPr>
      </w:pPr>
      <w:r w:rsidRPr="00C85AD5">
        <w:rPr>
          <w:bCs w:val="0"/>
          <w:lang w:eastAsia="en-US"/>
        </w:rPr>
        <w:t>Navrhuje sa naďalej zachovať povinnosť emitenta v rozsahu druhej vety pôvodného ustanovenia § 107 ods. 10.</w:t>
      </w:r>
    </w:p>
    <w:p w:rsidR="00C85AD5" w:rsidRPr="00C85AD5" w:rsidP="00C85AD5">
      <w:pPr>
        <w:jc w:val="both"/>
        <w:rPr>
          <w:bCs w:val="0"/>
          <w:u w:val="single"/>
        </w:rPr>
      </w:pPr>
    </w:p>
    <w:p w:rsidR="00C85AD5" w:rsidRPr="00C85AD5" w:rsidP="00C85AD5">
      <w:pPr>
        <w:numPr>
          <w:ilvl w:val="0"/>
          <w:numId w:val="7"/>
        </w:numPr>
        <w:tabs>
          <w:tab w:val="left" w:pos="709"/>
        </w:tabs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 I – pôvodný bod 62</w:t>
      </w:r>
    </w:p>
    <w:p w:rsidR="00C85AD5" w:rsidRPr="00C85AD5" w:rsidP="00C85AD5">
      <w:pPr>
        <w:tabs>
          <w:tab w:val="left" w:pos="2280"/>
        </w:tabs>
        <w:ind w:left="708" w:hanging="360"/>
        <w:jc w:val="both"/>
        <w:rPr>
          <w:bCs w:val="0"/>
        </w:rPr>
      </w:pPr>
      <w:r w:rsidRPr="00C85AD5">
        <w:rPr>
          <w:bCs w:val="0"/>
        </w:rPr>
        <w:t xml:space="preserve">    </w:t>
      </w:r>
      <w:r>
        <w:rPr>
          <w:bCs w:val="0"/>
        </w:rPr>
        <w:tab/>
      </w:r>
      <w:r w:rsidRPr="00C85AD5">
        <w:rPr>
          <w:bCs w:val="0"/>
        </w:rPr>
        <w:t>V čl. I pôvodnom bode 62 v § 144 ods. 2 sa odkaz 110f nad slovami „osobitného predpisu“ nahrádza odkazom 110la a slová „Poznámka pod čiarou k odkazu 110f znie:“ sa nahrádzajú slovami „Poznámka pod čiarou k odkazu 110la znie:“.</w:t>
      </w:r>
    </w:p>
    <w:p w:rsidR="00C85AD5" w:rsidRPr="00C85AD5" w:rsidP="00C85AD5">
      <w:pPr>
        <w:tabs>
          <w:tab w:val="left" w:pos="2280"/>
        </w:tabs>
        <w:ind w:left="360" w:hanging="360"/>
        <w:jc w:val="both"/>
        <w:rPr>
          <w:bCs w:val="0"/>
        </w:rPr>
      </w:pPr>
    </w:p>
    <w:p w:rsidR="00C85AD5" w:rsidRPr="00C85AD5" w:rsidP="00C85AD5">
      <w:pPr>
        <w:ind w:left="2400" w:firstLine="432"/>
        <w:jc w:val="both"/>
        <w:rPr>
          <w:bCs w:val="0"/>
          <w:lang w:eastAsia="en-US"/>
        </w:rPr>
      </w:pPr>
      <w:r w:rsidRPr="00C85AD5">
        <w:rPr>
          <w:bCs w:val="0"/>
          <w:lang w:eastAsia="en-US"/>
        </w:rPr>
        <w:t>Legislatívno-technická úprava.</w:t>
      </w:r>
    </w:p>
    <w:p w:rsidR="00C85AD5" w:rsidP="009A0337">
      <w:pPr>
        <w:ind w:left="1134"/>
        <w:jc w:val="both"/>
      </w:pPr>
    </w:p>
    <w:p w:rsidR="009A0337" w:rsidRPr="00B22B42" w:rsidP="00C85A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2B42">
        <w:rPr>
          <w:rFonts w:ascii="Times New Roman" w:hAnsi="Times New Roman"/>
          <w:b/>
          <w:sz w:val="24"/>
          <w:szCs w:val="24"/>
          <w:u w:val="single"/>
        </w:rPr>
        <w:t>K čl. I 38. a 62. bodu (§ 101 ods. 5 a § 144 ods. 2)</w:t>
      </w:r>
    </w:p>
    <w:p w:rsidR="009A0337" w:rsidRPr="00B22B42" w:rsidP="00C85AD5">
      <w:pPr>
        <w:ind w:left="708"/>
        <w:jc w:val="both"/>
      </w:pPr>
      <w:r w:rsidRPr="00B22B42">
        <w:t>V čl. I 38. bode v § 101 ods. 5 a 62. bode v § 144 ods. 2  sa slová „osobitných zákonov“ nahrádzajú slovami „osobitných predpisov“.</w:t>
      </w:r>
    </w:p>
    <w:p w:rsidR="009A0337" w:rsidRPr="00B22B42" w:rsidP="009A0337">
      <w:pPr>
        <w:ind w:left="1416"/>
        <w:jc w:val="both"/>
      </w:pPr>
    </w:p>
    <w:p w:rsidR="009A0337" w:rsidRPr="00B22B42" w:rsidP="009A0337">
      <w:pPr>
        <w:ind w:left="2832"/>
        <w:jc w:val="both"/>
      </w:pPr>
      <w:r w:rsidRPr="00B22B42">
        <w:t>Ide o precizovanie navrhovaného znenia v záujme jeho jednoznačnosti v súlade so zaužívanou legislatívnou technikou.</w:t>
      </w:r>
    </w:p>
    <w:p w:rsidR="009A0337" w:rsidRPr="009A0337" w:rsidP="009A0337">
      <w:pPr>
        <w:jc w:val="both"/>
        <w:rPr>
          <w:b/>
        </w:rPr>
      </w:pPr>
    </w:p>
    <w:p w:rsidR="009A0337" w:rsidRPr="00C85AD5" w:rsidP="00C85A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AD5">
        <w:rPr>
          <w:rFonts w:ascii="Times New Roman" w:hAnsi="Times New Roman"/>
          <w:b/>
          <w:sz w:val="24"/>
          <w:szCs w:val="24"/>
          <w:u w:val="single"/>
        </w:rPr>
        <w:t>K čl. I 78. bodu (§ 173y ods. 1)</w:t>
      </w:r>
    </w:p>
    <w:p w:rsidR="009A0337" w:rsidRPr="009A0337" w:rsidP="00C85AD5">
      <w:pPr>
        <w:ind w:firstLine="708"/>
        <w:jc w:val="both"/>
      </w:pPr>
      <w:r w:rsidRPr="009A0337">
        <w:t>V čl. I 78. bode v § 173y ods. 1  sa slovo „predpisu“ nahrádza slovami  „tohto zákona“.</w:t>
      </w:r>
    </w:p>
    <w:p w:rsidR="00C85AD5" w:rsidP="009A0337">
      <w:pPr>
        <w:ind w:left="2832"/>
        <w:jc w:val="both"/>
      </w:pPr>
    </w:p>
    <w:p w:rsidR="009A0337" w:rsidRPr="009A0337" w:rsidP="009A0337">
      <w:pPr>
        <w:ind w:left="2832"/>
        <w:jc w:val="both"/>
      </w:pPr>
      <w:r w:rsidRPr="009A0337">
        <w:t>Ide o precizovanie navrhovaného znenia prechodného ustanovenia § 173y ods. 1 v záujme jeho jednoznačnosti v súlade so zaužívanou legislatívnou technikou.</w:t>
      </w:r>
    </w:p>
    <w:p w:rsidR="009A0337" w:rsidP="009A0337">
      <w:pPr>
        <w:ind w:left="1134"/>
        <w:jc w:val="both"/>
      </w:pPr>
    </w:p>
    <w:p w:rsidR="00E41EF6" w:rsidRPr="00C85AD5" w:rsidP="00E41EF6">
      <w:pPr>
        <w:numPr>
          <w:ilvl w:val="0"/>
          <w:numId w:val="7"/>
        </w:numPr>
        <w:tabs>
          <w:tab w:val="left" w:pos="709"/>
        </w:tabs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</w:t>
      </w:r>
      <w:r w:rsidRPr="00C85AD5">
        <w:rPr>
          <w:rFonts w:ascii="Times New Roman" w:hAnsi="Times New Roman"/>
          <w:b/>
          <w:bCs w:val="0"/>
          <w:u w:val="single"/>
        </w:rPr>
        <w:t> </w:t>
      </w:r>
      <w:r w:rsidRPr="00C85AD5">
        <w:rPr>
          <w:b/>
          <w:bCs w:val="0"/>
          <w:u w:val="single"/>
        </w:rPr>
        <w:t xml:space="preserve">I – pôvodný bod 78 </w:t>
      </w:r>
    </w:p>
    <w:p w:rsidR="00E41EF6" w:rsidRPr="00C85AD5" w:rsidP="00E41EF6">
      <w:pPr>
        <w:tabs>
          <w:tab w:val="left" w:pos="2280"/>
        </w:tabs>
        <w:ind w:left="708"/>
        <w:rPr>
          <w:bCs w:val="0"/>
        </w:rPr>
      </w:pPr>
      <w:r w:rsidRPr="00C85AD5">
        <w:rPr>
          <w:bCs w:val="0"/>
        </w:rPr>
        <w:t>V čl.</w:t>
      </w:r>
      <w:r w:rsidRPr="00C85AD5">
        <w:rPr>
          <w:rFonts w:ascii="Times New Roman" w:hAnsi="Times New Roman"/>
          <w:bCs w:val="0"/>
        </w:rPr>
        <w:t> </w:t>
      </w:r>
      <w:r w:rsidRPr="00C85AD5">
        <w:rPr>
          <w:bCs w:val="0"/>
        </w:rPr>
        <w:t>I pôvodnom bode 78 v § 173y ods. 2 sa za slovo „na“ vkladajú slová „výkon činnosti“.</w:t>
      </w:r>
    </w:p>
    <w:p w:rsidR="00E41EF6" w:rsidRPr="00C85AD5" w:rsidP="00E41EF6">
      <w:pPr>
        <w:jc w:val="both"/>
        <w:rPr>
          <w:bCs w:val="0"/>
        </w:rPr>
      </w:pPr>
    </w:p>
    <w:p w:rsidR="00E41EF6" w:rsidP="00E41EF6">
      <w:pPr>
        <w:ind w:left="2835"/>
        <w:jc w:val="both"/>
        <w:rPr>
          <w:bCs w:val="0"/>
        </w:rPr>
      </w:pPr>
      <w:r w:rsidRPr="00C85AD5">
        <w:rPr>
          <w:bCs w:val="0"/>
        </w:rPr>
        <w:t xml:space="preserve">Ustanovenie ukladá centrálnym depozitárom v plnom rozsahu sa riadiť predpisom účinným do 30. 11. 2016, a to bez ohľadu na skutočnosť, že niektoré ustanovenia budú od 01. 12. 2016 neúčinné, a teda vrátane ustanovení o predchádzajúcich súhlasoch, schvaľovaní prevádzkového poriadku. Navrhnutým vyprecizovaním </w:t>
      </w:r>
      <w:r w:rsidRPr="00C85AD5">
        <w:t>sa na centrálneho depozitára vzťahuje predpis účinný do 30. 11. 2016 vo vzťahu k výkonu činností centrálneho depozitára, a teda by sa nemal vzťahovať na spomínané otázky</w:t>
      </w:r>
      <w:r w:rsidRPr="00C85AD5">
        <w:rPr>
          <w:bCs w:val="0"/>
        </w:rPr>
        <w:t xml:space="preserve"> týkajúce sa predchádzajúcich súhlasov, schvaľovaní prevádzkového poriadku a pod.</w:t>
      </w:r>
    </w:p>
    <w:p w:rsidR="00E41EF6" w:rsidRPr="00C85AD5" w:rsidP="00E41EF6">
      <w:pPr>
        <w:ind w:left="2835"/>
        <w:jc w:val="both"/>
        <w:rPr>
          <w:bCs w:val="0"/>
        </w:rPr>
      </w:pPr>
    </w:p>
    <w:p w:rsidR="009A0337" w:rsidRPr="0067010A" w:rsidP="006701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010A">
        <w:rPr>
          <w:rFonts w:ascii="Times New Roman" w:hAnsi="Times New Roman"/>
          <w:b/>
          <w:sz w:val="24"/>
          <w:szCs w:val="24"/>
          <w:u w:val="single"/>
        </w:rPr>
        <w:t>K čl. I 78. bodu (§ 173y ods. 2)</w:t>
      </w:r>
    </w:p>
    <w:p w:rsidR="009A0337" w:rsidRPr="009A0337" w:rsidP="0067010A">
      <w:pPr>
        <w:ind w:firstLine="708"/>
        <w:jc w:val="both"/>
        <w:rPr>
          <w:b/>
        </w:rPr>
      </w:pPr>
      <w:r w:rsidRPr="009A0337">
        <w:t>V čl. I 78. bode v § 173y ods. 2 sa slovo „predpis“ nahrádza slovami „tento zákon“.</w:t>
      </w:r>
    </w:p>
    <w:p w:rsidR="009A0337" w:rsidRPr="009A0337" w:rsidP="009A0337">
      <w:pPr>
        <w:ind w:left="1134"/>
        <w:jc w:val="both"/>
      </w:pPr>
    </w:p>
    <w:p w:rsidR="009A0337" w:rsidRPr="009A0337" w:rsidP="009A0337">
      <w:pPr>
        <w:ind w:left="2832"/>
        <w:jc w:val="both"/>
      </w:pPr>
      <w:r w:rsidRPr="009A0337">
        <w:t>Ide o precizovanie navrhovaného znenia prechodného ustanovenia § 173y ods. 2 v záujme jeho jednoznačnosti v súlade so zaužívanou legislatívnou technikou.</w:t>
      </w:r>
    </w:p>
    <w:p w:rsidR="009A0337" w:rsidP="009A0337">
      <w:pPr>
        <w:ind w:left="1134"/>
        <w:jc w:val="both"/>
      </w:pPr>
    </w:p>
    <w:p w:rsidR="009A0337" w:rsidP="009A0337">
      <w:pPr>
        <w:ind w:left="1134"/>
        <w:jc w:val="both"/>
      </w:pPr>
    </w:p>
    <w:p w:rsidR="009A0337" w:rsidRPr="009A0337" w:rsidP="009A0337">
      <w:pPr>
        <w:ind w:left="1134"/>
        <w:jc w:val="both"/>
      </w:pPr>
    </w:p>
    <w:p w:rsidR="009A0337" w:rsidRPr="0067010A" w:rsidP="0067010A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7010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 čl. I 79. bodu</w:t>
      </w:r>
    </w:p>
    <w:p w:rsidR="009A0337" w:rsidRPr="009A0337" w:rsidP="009A0337">
      <w:pPr>
        <w:tabs>
          <w:tab w:val="left" w:pos="0"/>
          <w:tab w:val="left" w:pos="1276"/>
        </w:tabs>
        <w:jc w:val="both"/>
        <w:rPr>
          <w:bCs w:val="0"/>
          <w:color w:val="000000"/>
        </w:rPr>
      </w:pPr>
      <w:r w:rsidR="0067010A">
        <w:rPr>
          <w:color w:val="000000"/>
        </w:rPr>
        <w:t xml:space="preserve">           </w:t>
      </w:r>
      <w:r w:rsidRPr="009A0337">
        <w:rPr>
          <w:color w:val="000000"/>
        </w:rPr>
        <w:t>V čl. I sa za bod 79. vkladá bod 80., ktorý znie:</w:t>
      </w:r>
    </w:p>
    <w:p w:rsidR="009A0337" w:rsidRPr="009A0337" w:rsidP="009A0337">
      <w:pPr>
        <w:tabs>
          <w:tab w:val="left" w:pos="0"/>
        </w:tabs>
        <w:jc w:val="both"/>
        <w:rPr>
          <w:bCs w:val="0"/>
          <w:color w:val="000000"/>
        </w:rPr>
      </w:pPr>
      <w:r>
        <w:rPr>
          <w:color w:val="000000"/>
        </w:rPr>
        <w:tab/>
      </w:r>
      <w:r w:rsidRPr="009A0337">
        <w:rPr>
          <w:color w:val="000000"/>
        </w:rPr>
        <w:t>„80. Príloha sa dopĺňa bodom 30, ktorý znie:</w:t>
      </w:r>
    </w:p>
    <w:p w:rsidR="009A0337" w:rsidRPr="009A0337" w:rsidP="0067010A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A0337">
        <w:rPr>
          <w:rFonts w:ascii="Times New Roman" w:hAnsi="Times New Roman"/>
          <w:bCs/>
          <w:color w:val="000000"/>
          <w:sz w:val="24"/>
          <w:szCs w:val="24"/>
        </w:rPr>
        <w:t xml:space="preserve">„30. Vykonávacia smernica Komisie (EÚ) 2015/2392 zo 17. decembra 2015 o nariadení Európskeho parlamentu a Rady (EÚ) č. 596/2014, pokiaľ ide o nahlasovanie skutočných alebo možných porušení daného nariadenia príslušným </w:t>
      </w:r>
      <w:r w:rsidRPr="009A0337">
        <w:rPr>
          <w:rFonts w:ascii="Times New Roman" w:hAnsi="Times New Roman"/>
          <w:bCs/>
          <w:sz w:val="24"/>
          <w:szCs w:val="24"/>
        </w:rPr>
        <w:t>orgánom (</w:t>
      </w:r>
      <w:r w:rsidRPr="009A0337">
        <w:rPr>
          <w:rFonts w:ascii="Times New Roman" w:hAnsi="Times New Roman"/>
          <w:iCs/>
          <w:sz w:val="24"/>
          <w:szCs w:val="24"/>
        </w:rPr>
        <w:t>Ú. v. EÚ L 332, 18. 12. 2015).“.“.</w:t>
      </w:r>
    </w:p>
    <w:p w:rsidR="009A0337" w:rsidRPr="009A0337" w:rsidP="009A0337">
      <w:pPr>
        <w:ind w:left="1134"/>
        <w:jc w:val="both"/>
        <w:rPr>
          <w:rStyle w:val="Emphasis"/>
          <w:rFonts w:eastAsia="Calibri"/>
          <w:i w:val="0"/>
        </w:rPr>
      </w:pPr>
    </w:p>
    <w:p w:rsidR="009A0337" w:rsidRPr="009A0337" w:rsidP="009A0337">
      <w:pPr>
        <w:ind w:left="2832"/>
        <w:jc w:val="both"/>
        <w:rPr>
          <w:rStyle w:val="Emphasis"/>
          <w:rFonts w:eastAsia="Calibri"/>
          <w:i w:val="0"/>
        </w:rPr>
      </w:pPr>
      <w:r w:rsidRPr="009A0337">
        <w:rPr>
          <w:rStyle w:val="Emphasis"/>
          <w:rFonts w:eastAsia="Calibri"/>
          <w:i w:val="0"/>
        </w:rPr>
        <w:t>Ide o legislatívno-technickú úpravu súvisiacu s doplnením smernice (EÚ) 2015/2392, ktorá sa transponuje v návrhu zákona bode 74. v obsahovo relevantnej časti do zákona č. 566/2001 Z. z., do tzv. transpozičnej prílohy.</w:t>
      </w:r>
    </w:p>
    <w:p w:rsidR="009A0337" w:rsidP="009A0337">
      <w:pPr>
        <w:jc w:val="both"/>
      </w:pPr>
    </w:p>
    <w:p w:rsidR="009A0337" w:rsidRPr="0067010A" w:rsidP="006701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  <w:u w:val="single"/>
        </w:rPr>
      </w:pPr>
      <w:r w:rsidRPr="0067010A">
        <w:rPr>
          <w:rStyle w:val="Emphasis"/>
          <w:rFonts w:ascii="Times New Roman" w:eastAsia="Calibri" w:hAnsi="Times New Roman"/>
          <w:b/>
          <w:i w:val="0"/>
          <w:sz w:val="24"/>
          <w:szCs w:val="24"/>
          <w:u w:val="single"/>
        </w:rPr>
        <w:t xml:space="preserve">K čl. VI 1. bodu </w:t>
      </w:r>
    </w:p>
    <w:p w:rsidR="009A0337" w:rsidRPr="009A0337" w:rsidP="0067010A">
      <w:pPr>
        <w:ind w:left="708"/>
        <w:jc w:val="both"/>
        <w:rPr>
          <w:rStyle w:val="Emphasis"/>
          <w:rFonts w:eastAsia="Calibri"/>
          <w:i w:val="0"/>
        </w:rPr>
      </w:pPr>
      <w:r w:rsidRPr="009A0337">
        <w:rPr>
          <w:rStyle w:val="Emphasis"/>
          <w:rFonts w:eastAsia="Calibri"/>
          <w:i w:val="0"/>
        </w:rPr>
        <w:t>V čl. VI. 1. bode v poznámke pod čiarou k odkazu 1  sa za slová „(Ú. v. EÚ L 173, 12.6.2014)“ vkladajú slová „v platnom znení“ a za slovo „produkty“ sa vkladajú slová „a investičné produkty“.</w:t>
      </w:r>
    </w:p>
    <w:p w:rsidR="0067010A" w:rsidP="009A0337">
      <w:pPr>
        <w:ind w:left="2832"/>
        <w:jc w:val="both"/>
        <w:rPr>
          <w:rStyle w:val="Emphasis"/>
          <w:rFonts w:eastAsia="Calibri"/>
          <w:i w:val="0"/>
        </w:rPr>
      </w:pPr>
    </w:p>
    <w:p w:rsidR="009A0337" w:rsidRPr="009A0337" w:rsidP="009A0337">
      <w:pPr>
        <w:ind w:left="2832"/>
        <w:jc w:val="both"/>
        <w:rPr>
          <w:rStyle w:val="Emphasis"/>
          <w:rFonts w:eastAsia="Calibri"/>
          <w:i w:val="0"/>
        </w:rPr>
      </w:pPr>
      <w:r w:rsidRPr="009A0337">
        <w:rPr>
          <w:rStyle w:val="Emphasis"/>
          <w:rFonts w:eastAsia="Calibri"/>
          <w:i w:val="0"/>
        </w:rPr>
        <w:t xml:space="preserve">Ide o legislatívno-technické úpravy súvisiace so zaužívaným spôsobom uvádzania právne záväzných aktov Európskej únie  v poznámkach pod čiarou tak, ako boli uverejnené v úradnom vestníku vrátane dodatku „v platnom znení“, ak boli novelizované. </w:t>
      </w:r>
    </w:p>
    <w:p w:rsidR="009A0337" w:rsidP="009A0337">
      <w:pPr>
        <w:ind w:left="1134"/>
        <w:jc w:val="both"/>
        <w:rPr>
          <w:rStyle w:val="Emphasis"/>
          <w:rFonts w:eastAsia="Calibri"/>
          <w:i w:val="0"/>
          <w:iCs w:val="0"/>
        </w:rPr>
      </w:pPr>
    </w:p>
    <w:p w:rsidR="00C85AD5" w:rsidRPr="00C85AD5" w:rsidP="0067010A">
      <w:pPr>
        <w:numPr>
          <w:ilvl w:val="0"/>
          <w:numId w:val="7"/>
        </w:numPr>
        <w:tabs>
          <w:tab w:val="left" w:pos="709"/>
        </w:tabs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</w:t>
      </w:r>
      <w:r w:rsidRPr="00C85AD5">
        <w:rPr>
          <w:rFonts w:ascii="Times New Roman" w:hAnsi="Times New Roman"/>
          <w:b/>
          <w:bCs w:val="0"/>
          <w:u w:val="single"/>
        </w:rPr>
        <w:t> </w:t>
      </w:r>
      <w:r w:rsidRPr="00C85AD5">
        <w:rPr>
          <w:b/>
          <w:bCs w:val="0"/>
          <w:u w:val="single"/>
        </w:rPr>
        <w:t xml:space="preserve">VI – nový bod 3 </w:t>
      </w:r>
    </w:p>
    <w:p w:rsidR="00C85AD5" w:rsidRPr="00C85AD5" w:rsidP="00C85AD5">
      <w:pPr>
        <w:tabs>
          <w:tab w:val="left" w:pos="2280"/>
        </w:tabs>
        <w:ind w:left="360"/>
        <w:rPr>
          <w:bCs w:val="0"/>
        </w:rPr>
      </w:pPr>
      <w:r w:rsidR="0067010A">
        <w:rPr>
          <w:bCs w:val="0"/>
        </w:rPr>
        <w:t xml:space="preserve">      </w:t>
      </w:r>
      <w:r w:rsidRPr="00C85AD5">
        <w:rPr>
          <w:bCs w:val="0"/>
        </w:rPr>
        <w:t>V čl.</w:t>
      </w:r>
      <w:r w:rsidRPr="00C85AD5">
        <w:rPr>
          <w:rFonts w:ascii="Times New Roman" w:hAnsi="Times New Roman"/>
          <w:bCs w:val="0"/>
        </w:rPr>
        <w:t> </w:t>
      </w:r>
      <w:r w:rsidRPr="00C85AD5">
        <w:rPr>
          <w:bCs w:val="0"/>
        </w:rPr>
        <w:t>VI za pôvodný bod 2 sa vkladá nový bod 3, ktorý znie:</w:t>
      </w:r>
    </w:p>
    <w:p w:rsidR="00C85AD5" w:rsidRPr="00C85AD5" w:rsidP="0067010A">
      <w:pPr>
        <w:ind w:left="708"/>
        <w:jc w:val="both"/>
        <w:rPr>
          <w:bCs w:val="0"/>
        </w:rPr>
      </w:pPr>
      <w:r w:rsidRPr="00C85AD5">
        <w:rPr>
          <w:bCs w:val="0"/>
        </w:rPr>
        <w:t>„3. V § 8 ods. 3 písm. b) sa slová „osobitného zákona,“ nahrádzajú slovami „osobitného predpisu,</w:t>
      </w:r>
      <w:r w:rsidRPr="00C85AD5">
        <w:rPr>
          <w:bCs w:val="0"/>
          <w:vertAlign w:val="superscript"/>
        </w:rPr>
        <w:t>1</w:t>
      </w:r>
      <w:r w:rsidRPr="00C85AD5">
        <w:rPr>
          <w:bCs w:val="0"/>
        </w:rPr>
        <w:t>)“.“.</w:t>
      </w:r>
    </w:p>
    <w:p w:rsidR="00C85AD5" w:rsidP="00C85AD5">
      <w:pPr>
        <w:jc w:val="both"/>
        <w:rPr>
          <w:bCs w:val="0"/>
        </w:rPr>
      </w:pPr>
    </w:p>
    <w:p w:rsidR="00B22B42" w:rsidRPr="00B22B42" w:rsidP="00B22B42">
      <w:pPr>
        <w:jc w:val="both"/>
        <w:rPr>
          <w:bCs w:val="0"/>
        </w:rPr>
      </w:pPr>
      <w:r>
        <w:rPr>
          <w:bCs w:val="0"/>
        </w:rPr>
        <w:tab/>
      </w:r>
      <w:r w:rsidRPr="00B22B42">
        <w:rPr>
          <w:bCs w:val="0"/>
        </w:rPr>
        <w:t>Zároveň je potrebné nasledovné body prečíslovať.</w:t>
      </w:r>
    </w:p>
    <w:p w:rsidR="00B22B42" w:rsidRPr="00C85AD5" w:rsidP="00C85AD5">
      <w:pPr>
        <w:jc w:val="both"/>
        <w:rPr>
          <w:bCs w:val="0"/>
        </w:rPr>
      </w:pPr>
    </w:p>
    <w:p w:rsidR="00C85AD5" w:rsidRPr="00C85AD5" w:rsidP="0067010A">
      <w:pPr>
        <w:ind w:left="2832" w:firstLine="3"/>
        <w:jc w:val="both"/>
        <w:rPr>
          <w:bCs w:val="0"/>
          <w:lang w:eastAsia="en-US"/>
        </w:rPr>
      </w:pPr>
      <w:r w:rsidRPr="00C85AD5">
        <w:rPr>
          <w:bCs w:val="0"/>
        </w:rPr>
        <w:t>Navrhnuté vyprecizovanie § 8 ods. 3 písm. b) zákona o dohľade nad finančným trhom legislatívne nadväzuje na navrhnutú legislatívnu úpravu § 1 ods. 3 úvodnej vety zákona o dohľade nad finančným trhom.</w:t>
      </w:r>
    </w:p>
    <w:p w:rsidR="00B22B42" w:rsidP="00B22B4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0337" w:rsidRPr="0067010A" w:rsidP="006701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010A">
        <w:rPr>
          <w:rFonts w:ascii="Times New Roman" w:hAnsi="Times New Roman"/>
          <w:b/>
          <w:sz w:val="24"/>
          <w:szCs w:val="24"/>
          <w:u w:val="single"/>
        </w:rPr>
        <w:t>K čl. VI 5. bod (§ 37 ods. 4 písm. f))</w:t>
      </w:r>
    </w:p>
    <w:p w:rsidR="009A0337" w:rsidRPr="009A0337" w:rsidP="0067010A">
      <w:pPr>
        <w:ind w:firstLine="708"/>
        <w:jc w:val="both"/>
        <w:rPr>
          <w:b/>
        </w:rPr>
      </w:pPr>
      <w:r w:rsidRPr="009A0337">
        <w:t>V čl. VI 5. bode v § 37 ods. 4 písm. f)  sa za slovo „že“ vkladá slovo „nahlasujúce“.</w:t>
      </w:r>
    </w:p>
    <w:p w:rsidR="009A0337" w:rsidRPr="009A0337" w:rsidP="009A0337">
      <w:pPr>
        <w:ind w:left="1416" w:firstLine="282"/>
        <w:jc w:val="both"/>
      </w:pPr>
    </w:p>
    <w:p w:rsidR="009A0337" w:rsidRPr="009A0337" w:rsidP="009A0337">
      <w:pPr>
        <w:ind w:left="2832"/>
        <w:jc w:val="both"/>
      </w:pPr>
      <w:r w:rsidRPr="009A0337">
        <w:t>Ide o významové spresnenie navrhovaného znenia § 37 ods. 4 písm. f) v nadväznosti na navrhované znenie § 37 ods. 5, v ktorom je definovaná osoba, ktorá nahlasuje porušenie alebo možné porušenie osobitných predpisov ako nahlasujúca osoba.</w:t>
      </w:r>
    </w:p>
    <w:p w:rsidR="009A0337" w:rsidP="009A0337">
      <w:pPr>
        <w:ind w:left="1134"/>
        <w:jc w:val="both"/>
      </w:pPr>
    </w:p>
    <w:p w:rsidR="009A0337" w:rsidRPr="0067010A" w:rsidP="006701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010A">
        <w:rPr>
          <w:rFonts w:ascii="Times New Roman" w:hAnsi="Times New Roman"/>
          <w:b/>
          <w:sz w:val="24"/>
          <w:szCs w:val="24"/>
          <w:u w:val="single"/>
        </w:rPr>
        <w:t>K čl. VII 1. bodu (§ 31a ods. 4)</w:t>
      </w:r>
    </w:p>
    <w:p w:rsidR="009A0337" w:rsidRPr="009A0337" w:rsidP="0067010A">
      <w:pPr>
        <w:ind w:firstLine="708"/>
        <w:jc w:val="both"/>
        <w:rPr>
          <w:b/>
        </w:rPr>
      </w:pPr>
      <w:r w:rsidRPr="009A0337">
        <w:t>V čl.  VII 1. bode  § 31a odsek 4 znie:</w:t>
      </w:r>
    </w:p>
    <w:p w:rsidR="009A0337" w:rsidRPr="009A0337" w:rsidP="0067010A">
      <w:pPr>
        <w:ind w:left="708"/>
        <w:jc w:val="both"/>
      </w:pPr>
      <w:r w:rsidRPr="009A0337">
        <w:t>„(4) Na  spravovanie  verejných špeciálnych  fondov  a špeciálnych  podielových   fondov kvalifikovaných investorov vytvorených podľa tohto zákona sa odsek 1 nevzťahuje.“.</w:t>
      </w:r>
    </w:p>
    <w:p w:rsidR="009A0337" w:rsidRPr="009A0337" w:rsidP="009A0337">
      <w:pPr>
        <w:ind w:left="1134"/>
        <w:jc w:val="both"/>
      </w:pPr>
    </w:p>
    <w:p w:rsidR="009A0337" w:rsidP="009A0337">
      <w:pPr>
        <w:ind w:left="2550" w:firstLine="282"/>
        <w:jc w:val="both"/>
      </w:pPr>
      <w:r w:rsidRPr="009A0337">
        <w:t>Ide o formulačné spresnenie navrhovaného znenia § 31a ods. 4.</w:t>
      </w:r>
    </w:p>
    <w:p w:rsidR="00E41EF6" w:rsidP="009A0337">
      <w:pPr>
        <w:ind w:left="2550" w:firstLine="282"/>
        <w:jc w:val="both"/>
      </w:pPr>
    </w:p>
    <w:p w:rsidR="00E41EF6" w:rsidRPr="009A0337" w:rsidP="009A0337">
      <w:pPr>
        <w:ind w:left="2550" w:firstLine="282"/>
        <w:jc w:val="both"/>
      </w:pPr>
    </w:p>
    <w:p w:rsidR="009A0337" w:rsidP="009A0337">
      <w:pPr>
        <w:jc w:val="both"/>
        <w:rPr>
          <w:rStyle w:val="Emphasis"/>
          <w:rFonts w:eastAsia="Calibri"/>
          <w:i w:val="0"/>
          <w:iCs w:val="0"/>
        </w:rPr>
      </w:pPr>
    </w:p>
    <w:p w:rsidR="0067010A" w:rsidRPr="009A0337" w:rsidP="009A0337">
      <w:pPr>
        <w:jc w:val="both"/>
        <w:rPr>
          <w:rStyle w:val="Emphasis"/>
          <w:rFonts w:eastAsia="Calibri"/>
          <w:i w:val="0"/>
          <w:iCs w:val="0"/>
        </w:rPr>
      </w:pPr>
    </w:p>
    <w:p w:rsidR="00C85AD5" w:rsidRPr="00C85AD5" w:rsidP="0067010A">
      <w:pPr>
        <w:numPr>
          <w:ilvl w:val="0"/>
          <w:numId w:val="7"/>
        </w:numPr>
        <w:jc w:val="both"/>
        <w:rPr>
          <w:b/>
          <w:bCs w:val="0"/>
          <w:u w:val="single"/>
        </w:rPr>
      </w:pPr>
      <w:r w:rsidRPr="00C85AD5">
        <w:rPr>
          <w:b/>
          <w:bCs w:val="0"/>
          <w:u w:val="single"/>
        </w:rPr>
        <w:t>K čl.</w:t>
      </w:r>
      <w:r w:rsidRPr="00C85AD5">
        <w:rPr>
          <w:rFonts w:ascii="Times New Roman" w:hAnsi="Times New Roman"/>
          <w:b/>
          <w:bCs w:val="0"/>
          <w:u w:val="single"/>
        </w:rPr>
        <w:t> </w:t>
      </w:r>
      <w:r w:rsidRPr="00C85AD5">
        <w:rPr>
          <w:b/>
          <w:bCs w:val="0"/>
          <w:u w:val="single"/>
        </w:rPr>
        <w:t xml:space="preserve">IX  </w:t>
      </w:r>
    </w:p>
    <w:p w:rsidR="00C85AD5" w:rsidRPr="00C85AD5" w:rsidP="0067010A">
      <w:pPr>
        <w:ind w:left="360" w:firstLine="348"/>
        <w:rPr>
          <w:bCs w:val="0"/>
        </w:rPr>
      </w:pPr>
      <w:r w:rsidRPr="00C85AD5">
        <w:rPr>
          <w:bCs w:val="0"/>
        </w:rPr>
        <w:t>V čl.</w:t>
      </w:r>
      <w:r w:rsidRPr="00C85AD5">
        <w:rPr>
          <w:rFonts w:ascii="Times New Roman" w:hAnsi="Times New Roman"/>
          <w:bCs w:val="0"/>
        </w:rPr>
        <w:t> </w:t>
      </w:r>
      <w:r w:rsidRPr="00C85AD5">
        <w:rPr>
          <w:bCs w:val="0"/>
        </w:rPr>
        <w:t>IX sa za číslo „11,“ vkladá číslo „13“ a čiarka za týmto číslom.</w:t>
      </w:r>
    </w:p>
    <w:p w:rsidR="00C85AD5" w:rsidRPr="00C85AD5" w:rsidP="00C85AD5">
      <w:pPr>
        <w:jc w:val="both"/>
        <w:rPr>
          <w:bCs w:val="0"/>
        </w:rPr>
      </w:pPr>
    </w:p>
    <w:p w:rsidR="00C85AD5" w:rsidRPr="00C85AD5" w:rsidP="0067010A">
      <w:pPr>
        <w:ind w:left="2832"/>
        <w:jc w:val="both"/>
        <w:rPr>
          <w:bCs w:val="0"/>
        </w:rPr>
      </w:pPr>
      <w:r w:rsidRPr="00C85AD5">
        <w:rPr>
          <w:bCs w:val="0"/>
        </w:rPr>
        <w:t>V čl. I. bode 13 návrhu sú uvedené odkazy na § 28 ods. 3 písm. a), g) a i), avšak uvedené ustanovenie bude aplikovateľné až od 06. 02. 2017, kedy nadobudnú účinnosť zmeny podľa čl. I. bodov 10 a 11 návrhu a dôjde k posunu písmen v predmetnom ustanovení. Navrhuje sa, aby aj bod 13 nadobudol účinnosť až od 06. 02. 2017.</w:t>
      </w:r>
    </w:p>
    <w:p w:rsidR="00C85AD5" w:rsidRPr="00C85AD5" w:rsidP="00C85AD5">
      <w:pPr>
        <w:jc w:val="both"/>
        <w:rPr>
          <w:bCs w:val="0"/>
        </w:rPr>
      </w:pPr>
    </w:p>
    <w:p w:rsidR="0011101B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6"/>
      <w:footerReference w:type="default" r:id="rId7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B42">
      <w:rPr>
        <w:rStyle w:val="PageNumber"/>
        <w:noProof/>
      </w:rPr>
      <w:t>6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7A3E012B"/>
    <w:multiLevelType w:val="hybridMultilevel"/>
    <w:tmpl w:val="24927F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2E5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29B0"/>
    <w:rsid w:val="002E46AB"/>
    <w:rsid w:val="002E78E3"/>
    <w:rsid w:val="002E7F6B"/>
    <w:rsid w:val="002F3ED4"/>
    <w:rsid w:val="00301227"/>
    <w:rsid w:val="00301A42"/>
    <w:rsid w:val="00302EB6"/>
    <w:rsid w:val="0030491B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2012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10A"/>
    <w:rsid w:val="00670BE9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592B"/>
    <w:rsid w:val="008A65D4"/>
    <w:rsid w:val="008A7014"/>
    <w:rsid w:val="008B2380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0337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0EE3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2B42"/>
    <w:rsid w:val="00B264CD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85AD5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1EF6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2440"/>
    <w:rsid w:val="00ED3C5E"/>
    <w:rsid w:val="00EE616F"/>
    <w:rsid w:val="00EF1F27"/>
    <w:rsid w:val="00EF59E6"/>
    <w:rsid w:val="00EF60D1"/>
    <w:rsid w:val="00F00247"/>
    <w:rsid w:val="00F03B10"/>
    <w:rsid w:val="00F1206F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epi.sk/zz/2001-566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27F7F-4A5D-4789-B0CF-B57E6FB9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357</cp:revision>
  <cp:lastPrinted>2015-11-03T15:06:00Z</cp:lastPrinted>
  <dcterms:created xsi:type="dcterms:W3CDTF">2003-06-05T10:59:00Z</dcterms:created>
  <dcterms:modified xsi:type="dcterms:W3CDTF">2016-10-04T13:45:00Z</dcterms:modified>
</cp:coreProperties>
</file>