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8A7014">
        <w:t>1</w:t>
      </w:r>
      <w:r w:rsidR="009B45DF">
        <w:t>7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C0201">
        <w:t>1</w:t>
      </w:r>
      <w:r w:rsidR="008A7014">
        <w:t>496</w:t>
      </w:r>
      <w:r w:rsidRPr="00053FB9" w:rsidR="003371B9">
        <w:t>/</w:t>
      </w:r>
      <w:r w:rsidR="00053FB9">
        <w:t>201</w:t>
      </w:r>
      <w:r w:rsidR="008A7014">
        <w:t>6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  <w:r w:rsidR="00850B89">
        <w:rPr>
          <w:b/>
        </w:rPr>
        <w:t xml:space="preserve">  63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8A7014">
        <w:rPr>
          <w:b/>
        </w:rPr>
        <w:t>o</w:t>
      </w:r>
      <w:r w:rsidR="00272FA8">
        <w:rPr>
          <w:b/>
        </w:rPr>
        <w:t xml:space="preserve"> </w:t>
      </w:r>
      <w:r w:rsidR="008A7014">
        <w:rPr>
          <w:b/>
        </w:rPr>
        <w:t>4</w:t>
      </w:r>
      <w:r w:rsidR="00C72FBD">
        <w:rPr>
          <w:b/>
        </w:rPr>
        <w:t xml:space="preserve">. </w:t>
      </w:r>
      <w:r w:rsidR="008A7014">
        <w:rPr>
          <w:b/>
        </w:rPr>
        <w:t>októbra</w:t>
      </w:r>
      <w:r w:rsidR="00830899">
        <w:rPr>
          <w:b/>
        </w:rPr>
        <w:t xml:space="preserve"> 201</w:t>
      </w:r>
      <w:r w:rsidR="008A7014">
        <w:rPr>
          <w:b/>
        </w:rPr>
        <w:t>6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8349BA">
      <w:pPr>
        <w:keepNext/>
        <w:shd w:val="clear" w:color="auto" w:fill="FFFFFF"/>
        <w:jc w:val="both"/>
        <w:outlineLvl w:val="1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D1527C" w:rsidR="00D1527C">
        <w:rPr>
          <w:b/>
          <w:iCs/>
          <w:color w:val="000000"/>
        </w:rPr>
        <w:t xml:space="preserve"> </w:t>
      </w:r>
      <w:r w:rsidR="008A7014">
        <w:t xml:space="preserve">vládny návrh zákona, ktorým sa mení a dopĺňa zákon č. 523/2004 Z. z. o rozpočtových pravidlách verejnej správy a o zmene a doplnení niektorých zákonov v znení neskorších predpisov a ktorým sa menia a dopĺňajú niektoré zákony (tlač 178)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9B024D">
      <w:pPr>
        <w:pStyle w:val="BodyText"/>
        <w:spacing w:after="0"/>
        <w:ind w:firstLine="567"/>
        <w:jc w:val="both"/>
      </w:pPr>
      <w:r w:rsidR="00321A20">
        <w:t>s</w:t>
      </w:r>
      <w:r w:rsidRPr="00A73ECD" w:rsidR="00B614DE">
        <w:t> </w:t>
      </w:r>
      <w:r w:rsidR="008A7014">
        <w:t>vládnym návrhom zákona, ktorým sa mení a dopĺňa zákon č. 523/2004 Z. z. o rozpočtových pravidlách verejnej správy a o zmene a doplnení niektorých zákonov v znení neskorších predpisov a ktorým sa menia a dopĺňajú niektoré zákony (tlač 178)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9B024D">
      <w:pPr>
        <w:pStyle w:val="Heading1"/>
        <w:ind w:left="0" w:firstLine="567"/>
        <w:jc w:val="both"/>
      </w:pPr>
      <w:r w:rsidRPr="008A7014" w:rsidR="008A7014">
        <w:rPr>
          <w:b w:val="0"/>
        </w:rPr>
        <w:t>vládny návrh zákona, ktorým sa mení a dopĺňa zákon č. 523/2004 Z. z. o rozpočtových pravidlách verejnej správy a o zmene a doplnení niektorých zákonov v znení neskorších predpisov a ktorým sa menia a dopĺňajú niektoré zákony (tlač 178)</w:t>
      </w:r>
      <w:r w:rsidR="008A7014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A5B31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4E43BB">
      <w:pPr>
        <w:ind w:firstLine="567"/>
        <w:jc w:val="both"/>
      </w:pPr>
      <w:r w:rsidRPr="00B1559A" w:rsidR="004D0847">
        <w:t>informovať pr</w:t>
      </w:r>
      <w:r w:rsidRPr="00B1559A" w:rsidR="004D0847">
        <w:t>edsedu Národnej</w:t>
      </w:r>
      <w:r w:rsidR="004D0847">
        <w:t xml:space="preserve"> </w:t>
      </w:r>
      <w:r w:rsidRPr="00B1559A" w:rsidR="004D0847">
        <w:t>rady Slovenskej republiky o výsledku prerokovania uvedeného</w:t>
      </w:r>
      <w:r w:rsidR="004D0847">
        <w:t xml:space="preserve"> </w:t>
      </w:r>
      <w:r w:rsidR="008349BA">
        <w:t xml:space="preserve">vládneho </w:t>
      </w:r>
      <w:r w:rsidRPr="00B1559A" w:rsidR="004D0847">
        <w:t>návrhu vo výbore</w:t>
      </w:r>
      <w:r w:rsidR="004D0847">
        <w:t>.</w:t>
      </w:r>
    </w:p>
    <w:p w:rsidR="0052115B" w:rsidP="00C739C2">
      <w:r w:rsidR="00E20A99">
        <w:t xml:space="preserve">                                                              </w:t>
      </w:r>
    </w:p>
    <w:p w:rsidR="008349BA" w:rsidP="00C739C2"/>
    <w:p w:rsidR="00A45E0F"/>
    <w:p w:rsidR="008A7014" w:rsidP="008A7014">
      <w:pPr>
        <w:rPr>
          <w:b/>
          <w:bCs w:val="0"/>
        </w:rPr>
      </w:pPr>
    </w:p>
    <w:p w:rsidR="008A7014" w:rsidP="008A7014">
      <w:pPr>
        <w:ind w:left="5664" w:firstLine="708"/>
        <w:rPr>
          <w:b/>
          <w:bCs w:val="0"/>
        </w:rPr>
      </w:pPr>
    </w:p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predseda výboru</w:t>
      </w: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8A7014" w:rsidRPr="008F51E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C2960"/>
    <w:p w:rsidR="00065DBF"/>
    <w:p w:rsidR="00065DBF"/>
    <w:p w:rsidR="008F03F8"/>
    <w:p w:rsidR="00065DBF"/>
    <w:p w:rsidR="00065DBF"/>
    <w:p w:rsidR="00850B89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65532A">
        <w:rPr>
          <w:b/>
        </w:rPr>
        <w:t xml:space="preserve"> </w:t>
      </w:r>
      <w:r w:rsidR="00850B89">
        <w:rPr>
          <w:b/>
        </w:rPr>
        <w:t>63</w:t>
      </w:r>
    </w:p>
    <w:p w:rsidR="000D14F9" w:rsidRPr="003371B9" w:rsidP="000D14F9">
      <w:pPr>
        <w:jc w:val="right"/>
      </w:pPr>
      <w:r w:rsidR="008A7014">
        <w:rPr>
          <w:bCs w:val="0"/>
        </w:rPr>
        <w:t>1</w:t>
      </w:r>
      <w:r w:rsidR="009B45DF">
        <w:rPr>
          <w:bCs w:val="0"/>
        </w:rPr>
        <w:t>7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5458EF" w:rsidR="00843997">
        <w:t xml:space="preserve"> </w:t>
      </w:r>
      <w:r w:rsidR="008A7014">
        <w:t>vládnemu návrhu zákona, ktorým sa mení a dopĺňa zákon č. 523/2004 Z. z. o rozpočtových pravidlách verejnej správy a o zmene a doplnení niektorých zákonov v znení neskorších predpisov a ktorým sa menia a dopĺňajú niektoré zákony (tlač 178)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––––––––––––––––––––––––––––––––––––––––––––––––––––––––––––––––––––––––</w:t>
      </w:r>
      <w:r>
        <w:rPr>
          <w:b/>
          <w:bCs w:val="0"/>
        </w:rPr>
        <w:t xml:space="preserve">––––––  </w:t>
      </w:r>
    </w:p>
    <w:p w:rsidR="00850B89" w:rsidP="00850B89">
      <w:pPr>
        <w:rPr>
          <w:b/>
        </w:rPr>
      </w:pPr>
    </w:p>
    <w:p w:rsidR="00850B89" w:rsidRPr="00850B89" w:rsidP="00850B89">
      <w:pPr>
        <w:numPr>
          <w:ilvl w:val="0"/>
          <w:numId w:val="6"/>
        </w:numPr>
        <w:rPr>
          <w:b/>
          <w:u w:val="single"/>
        </w:rPr>
      </w:pPr>
      <w:r w:rsidRPr="00850B89">
        <w:rPr>
          <w:b/>
          <w:u w:val="single"/>
        </w:rPr>
        <w:t>K čl. I 2. bodu</w:t>
      </w:r>
    </w:p>
    <w:p w:rsidR="00850B89" w:rsidRPr="002F0407" w:rsidP="00850B89">
      <w:pPr>
        <w:ind w:firstLine="708"/>
      </w:pPr>
      <w:r w:rsidRPr="00850B89">
        <w:t xml:space="preserve">Za </w:t>
      </w:r>
      <w:r w:rsidRPr="001568E0">
        <w:t xml:space="preserve">doterajší </w:t>
      </w:r>
      <w:r w:rsidRPr="00850B89">
        <w:t>bod 2 sa vkladá nový bod 3</w:t>
      </w:r>
      <w:r w:rsidRPr="002F0407">
        <w:t>, ktor</w:t>
      </w:r>
      <w:r>
        <w:t>ý znie:</w:t>
      </w:r>
    </w:p>
    <w:p w:rsidR="00850B89" w:rsidRPr="002F0407" w:rsidP="00850B89">
      <w:pPr>
        <w:pStyle w:val="BodyText"/>
        <w:tabs>
          <w:tab w:val="left" w:pos="540"/>
        </w:tabs>
        <w:ind w:right="-2"/>
        <w:rPr>
          <w:iCs/>
        </w:rPr>
      </w:pPr>
      <w:r>
        <w:tab/>
        <w:tab/>
      </w:r>
      <w:r w:rsidRPr="002F0407">
        <w:t xml:space="preserve">„3.  </w:t>
      </w:r>
      <w:r w:rsidRPr="002F0407">
        <w:rPr>
          <w:iCs/>
        </w:rPr>
        <w:t xml:space="preserve">V § </w:t>
      </w:r>
      <w:r>
        <w:rPr>
          <w:iCs/>
        </w:rPr>
        <w:t xml:space="preserve">8 ods. 5 sa slová „po 1. októbri“ nahrádzajú slovami „po 1. auguste“.“. </w:t>
      </w:r>
    </w:p>
    <w:p w:rsidR="00850B89" w:rsidP="00850B89">
      <w:pPr>
        <w:ind w:left="708"/>
        <w:jc w:val="both"/>
      </w:pPr>
    </w:p>
    <w:p w:rsidR="00850B89" w:rsidP="00850B89">
      <w:pPr>
        <w:ind w:left="708"/>
        <w:jc w:val="both"/>
      </w:pPr>
      <w:r>
        <w:t>Doterajšie body čl. I sa primerane prečíslujú.</w:t>
      </w:r>
      <w:r w:rsidRPr="00CF5E49">
        <w:t xml:space="preserve"> </w:t>
      </w:r>
      <w:r>
        <w:t>Účinnosť nového bodu sa navrhuje od 1. január</w:t>
      </w:r>
      <w:r>
        <w:t xml:space="preserve">a 2017.  </w:t>
      </w:r>
    </w:p>
    <w:p w:rsidR="00850B89" w:rsidP="00850B89">
      <w:pPr>
        <w:jc w:val="both"/>
      </w:pPr>
    </w:p>
    <w:p w:rsidR="00850B89" w:rsidRPr="00CF1979" w:rsidP="00850B89">
      <w:pPr>
        <w:ind w:left="2832"/>
        <w:jc w:val="both"/>
        <w:rPr>
          <w:sz w:val="22"/>
          <w:szCs w:val="22"/>
        </w:rPr>
      </w:pPr>
      <w:r w:rsidRPr="00CF1979">
        <w:t>Vychádzajúc z doterajších skúseností z aplikačnej praxe sa navrhuje vytvoriť dlhší časový priestor na čerpanie bežných výdavkov, ktoré boli poskytnuté právnickej osobe alebo fyzickej osobe ako bežný transfer</w:t>
      </w:r>
      <w:r>
        <w:t xml:space="preserve">. Vytvárajú sa tým </w:t>
      </w:r>
      <w:r w:rsidRPr="00CF1979">
        <w:t>priaznivejšie podmi</w:t>
      </w:r>
      <w:r w:rsidRPr="00CF1979">
        <w:t xml:space="preserve">enky </w:t>
      </w:r>
      <w:r>
        <w:t xml:space="preserve">pre prijímateľa na </w:t>
      </w:r>
      <w:r w:rsidRPr="00CF1979">
        <w:t xml:space="preserve">využívanie rozpočtových prostriedkov a to </w:t>
      </w:r>
      <w:r>
        <w:t>tak</w:t>
      </w:r>
      <w:r w:rsidRPr="00CF1979">
        <w:t xml:space="preserve">, že do 31. marca nasledujúceho rozpočtového roka </w:t>
      </w:r>
      <w:r>
        <w:t xml:space="preserve">bude možné použiť </w:t>
      </w:r>
      <w:r w:rsidRPr="00CF1979">
        <w:t xml:space="preserve">bežný transfer poskytnutý </w:t>
      </w:r>
      <w:r>
        <w:t xml:space="preserve">zo štátneho rozpočtu </w:t>
      </w:r>
      <w:r w:rsidRPr="00CF1979">
        <w:t>po 1. auguste rozpočtového roka</w:t>
      </w:r>
      <w:r>
        <w:t>, t. j. dva mesiace skôr ako podľa platne</w:t>
      </w:r>
      <w:r>
        <w:t>j právnej úpravy</w:t>
      </w:r>
      <w:r w:rsidRPr="00CF1979">
        <w:t>.</w:t>
      </w:r>
    </w:p>
    <w:p w:rsidR="0011101B" w:rsidP="008C0201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Calibri" w:hAnsi="Times New Roman"/>
          <w:b/>
          <w:i w:val="0"/>
          <w:sz w:val="24"/>
          <w:szCs w:val="24"/>
        </w:rPr>
      </w:pPr>
    </w:p>
    <w:p w:rsidR="00850B89" w:rsidP="008C0201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Calibri" w:hAnsi="Times New Roman"/>
          <w:b/>
          <w:i w:val="0"/>
          <w:sz w:val="24"/>
          <w:szCs w:val="24"/>
        </w:rPr>
      </w:pPr>
    </w:p>
    <w:p w:rsidR="00850B89" w:rsidRPr="00850B89" w:rsidP="00850B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0B89">
        <w:rPr>
          <w:rFonts w:ascii="Times New Roman" w:hAnsi="Times New Roman"/>
          <w:b/>
          <w:sz w:val="24"/>
          <w:szCs w:val="24"/>
          <w:u w:val="single"/>
        </w:rPr>
        <w:t>K čl. I 6. bodu (§ 14 ods. 3)</w:t>
      </w:r>
    </w:p>
    <w:p w:rsidR="00850B89" w:rsidRPr="00185EE1" w:rsidP="00850B89">
      <w:pPr>
        <w:ind w:left="708" w:firstLine="1"/>
        <w:jc w:val="both"/>
      </w:pPr>
      <w:r w:rsidRPr="00185EE1">
        <w:t>V čl. I 6. bode § 14 ods. 3 sa slová „§ 8 až 10 zákona č. 400/2015 Z. z.  o tvorbe právnych predpisov a o Zbierke zákonov Slovenskej republiky a o zmene a dopln</w:t>
      </w:r>
      <w:r>
        <w:t>ení niektorých zákonov</w:t>
      </w:r>
      <w:r w:rsidRPr="00185EE1">
        <w:t>“ nahrádza</w:t>
      </w:r>
      <w:r>
        <w:t>jú slovami „os</w:t>
      </w:r>
      <w:r>
        <w:t>obitného predpisu</w:t>
      </w:r>
      <w:r w:rsidRPr="00185EE1">
        <w:rPr>
          <w:vertAlign w:val="superscript"/>
        </w:rPr>
        <w:t>18</w:t>
      </w:r>
      <w:r>
        <w:rPr>
          <w:vertAlign w:val="superscript"/>
        </w:rPr>
        <w:t>b</w:t>
      </w:r>
      <w:r w:rsidRPr="00185EE1">
        <w:rPr>
          <w:vertAlign w:val="superscript"/>
        </w:rPr>
        <w:t>)</w:t>
      </w:r>
      <w:r w:rsidRPr="00185EE1">
        <w:t>“.</w:t>
      </w:r>
    </w:p>
    <w:p w:rsidR="00140E78" w:rsidP="00850B89">
      <w:pPr>
        <w:ind w:firstLine="709"/>
        <w:jc w:val="both"/>
      </w:pPr>
    </w:p>
    <w:p w:rsidR="00850B89" w:rsidRPr="00185EE1" w:rsidP="00850B89">
      <w:pPr>
        <w:ind w:firstLine="709"/>
        <w:jc w:val="both"/>
      </w:pPr>
      <w:r w:rsidRPr="00185EE1">
        <w:t>Na konci sa pripájajú slová:</w:t>
      </w:r>
    </w:p>
    <w:p w:rsidR="00140E78" w:rsidP="00850B89">
      <w:pPr>
        <w:ind w:firstLine="708"/>
        <w:jc w:val="both"/>
      </w:pPr>
    </w:p>
    <w:p w:rsidR="00850B89" w:rsidRPr="00185EE1" w:rsidP="00850B89">
      <w:pPr>
        <w:ind w:firstLine="708"/>
        <w:jc w:val="both"/>
      </w:pPr>
      <w:r w:rsidRPr="00185EE1">
        <w:t>Poznámka pod čiarou k odkazu 18b znie:</w:t>
      </w:r>
    </w:p>
    <w:p w:rsidR="00850B89" w:rsidRPr="00185EE1" w:rsidP="00850B89">
      <w:pPr>
        <w:ind w:left="708"/>
        <w:jc w:val="both"/>
      </w:pPr>
      <w:r w:rsidRPr="00185EE1">
        <w:t>„</w:t>
      </w:r>
      <w:r w:rsidRPr="00766E24">
        <w:rPr>
          <w:vertAlign w:val="superscript"/>
        </w:rPr>
        <w:t>18b)</w:t>
      </w:r>
      <w:r w:rsidRPr="00185EE1">
        <w:t xml:space="preserve"> § </w:t>
      </w:r>
      <w:r>
        <w:t>27 ods. 2</w:t>
      </w:r>
      <w:r w:rsidRPr="00185EE1">
        <w:t xml:space="preserve"> zákona č. 400/2015 Z. z. o tvorbe právnych predpisov a o Zbierke zákonov Slovenskej republiky</w:t>
      </w:r>
      <w:r>
        <w:t xml:space="preserve"> a o zmene a doplnení niektorých zákonov v znení zákona č. .../2016 Z.z.“. </w:t>
      </w:r>
    </w:p>
    <w:p w:rsidR="00850B89" w:rsidP="00850B89">
      <w:pPr>
        <w:ind w:left="1134"/>
        <w:jc w:val="both"/>
      </w:pPr>
    </w:p>
    <w:p w:rsidR="00850B89" w:rsidRPr="00185EE1" w:rsidP="00850B89">
      <w:pPr>
        <w:ind w:left="2832"/>
        <w:jc w:val="both"/>
      </w:pPr>
      <w:r w:rsidRPr="00185EE1">
        <w:t>Ide o legislatívno-technickú pripomienku - o dôsledné rešpektovanie zaužívaného spôsobu  odkazovania na iný právny predpis . Podľa čl. 5 Legislatívnych pravidiel tvorby zákonov č. 19/1997 Z. z. sa v normatívnom texte návrhu zákona nesmie odkazovať na iné zákony, resp. ustanovenia iných zákonov. Túto funkciu plní odkazový aparát zákona, ktorý nemá normatívny charakter a teda nie je priamo ovplyvňovaný prípadnými novelizáciami zákonov</w:t>
      </w:r>
      <w:r>
        <w:t>,</w:t>
      </w:r>
      <w:r w:rsidRPr="00185EE1">
        <w:t xml:space="preserve"> na ktoré sa odkazuje.</w:t>
      </w:r>
    </w:p>
    <w:p w:rsidR="00850B89" w:rsidP="00850B89">
      <w:pPr>
        <w:jc w:val="both"/>
      </w:pPr>
    </w:p>
    <w:p w:rsidR="00850B89" w:rsidP="00850B89">
      <w:pPr>
        <w:jc w:val="both"/>
      </w:pPr>
    </w:p>
    <w:p w:rsidR="00850B89" w:rsidRPr="00185EE1" w:rsidP="00850B89">
      <w:pPr>
        <w:jc w:val="both"/>
      </w:pPr>
    </w:p>
    <w:p w:rsidR="00850B89" w:rsidRPr="00850B89" w:rsidP="00850B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0B89">
        <w:rPr>
          <w:rFonts w:ascii="Times New Roman" w:hAnsi="Times New Roman"/>
          <w:b/>
          <w:sz w:val="24"/>
          <w:szCs w:val="24"/>
          <w:u w:val="single"/>
        </w:rPr>
        <w:t>K čl. I 16. bodu  (§ 22 ods. 4)</w:t>
      </w:r>
    </w:p>
    <w:p w:rsidR="00850B89" w:rsidP="00850B89">
      <w:pPr>
        <w:ind w:left="708"/>
        <w:jc w:val="both"/>
      </w:pPr>
      <w:r w:rsidRPr="00185EE1">
        <w:t>V čl. I 16. bode § 22 ods. 4 sa na konci pripája táto veta: „Rozpočtová organizácia sústreďuje všetky príjmy a realizuje všetky výdavky prostredníctvom účtov vedených v Štátnej pokladnici, ak tak ustanovuje osobitný predpis.</w:t>
      </w:r>
      <w:r w:rsidRPr="00766E24">
        <w:rPr>
          <w:vertAlign w:val="superscript"/>
        </w:rPr>
        <w:t>18)</w:t>
      </w:r>
      <w:r w:rsidRPr="00185EE1">
        <w:t>“.</w:t>
      </w:r>
    </w:p>
    <w:p w:rsidR="00850B89" w:rsidP="00850B89">
      <w:pPr>
        <w:ind w:left="1134"/>
        <w:jc w:val="both"/>
      </w:pPr>
    </w:p>
    <w:p w:rsidR="00850B89" w:rsidP="00850B89">
      <w:pPr>
        <w:ind w:left="2832"/>
        <w:jc w:val="both"/>
      </w:pPr>
      <w:r w:rsidRPr="00185EE1">
        <w:t>Ide o doplnenie navrhovaného  nového znenia § 22 ods. 4  , ktoré koreluje s platným znením tohto ustanovenia</w:t>
      </w:r>
      <w:r>
        <w:t>,</w:t>
      </w:r>
      <w:r w:rsidRPr="00185EE1">
        <w:t xml:space="preserve"> ako aj so  zákonom č. 291/2002 Z. z. o Štátnej pokladnici a o zmene a doplnení niektorých zákonov v znení neskorších predpisov, ktorý upravuje systém štátnej pokladnice</w:t>
      </w:r>
      <w:r>
        <w:t>,</w:t>
      </w:r>
      <w:r w:rsidRPr="00185EE1">
        <w:t xml:space="preserve">  v rámci ktorého rozpočtové organizácie vedú svoje účty v Štátnej pokladnici Slovenskej republiky</w:t>
      </w:r>
      <w:r>
        <w:t>,</w:t>
      </w:r>
      <w:r w:rsidRPr="00185EE1">
        <w:t xml:space="preserve"> ak tak ustanovuje zákon č. 291/2002 Z. z. o Štátnej pokladnici a o zmene a doplnení niektorých zákonov v znení neskorších predpisov.</w:t>
      </w:r>
    </w:p>
    <w:p w:rsidR="00850B89" w:rsidP="00850B89">
      <w:pPr>
        <w:ind w:left="1134"/>
        <w:jc w:val="both"/>
      </w:pPr>
    </w:p>
    <w:p w:rsidR="00850B89" w:rsidRPr="00850B89" w:rsidP="00850B89">
      <w:pPr>
        <w:numPr>
          <w:ilvl w:val="0"/>
          <w:numId w:val="6"/>
        </w:numPr>
        <w:jc w:val="both"/>
        <w:rPr>
          <w:b/>
          <w:u w:val="single"/>
        </w:rPr>
      </w:pPr>
      <w:r w:rsidRPr="00850B89">
        <w:rPr>
          <w:b/>
          <w:u w:val="single"/>
        </w:rPr>
        <w:t>K čl. I 23. bodu</w:t>
      </w:r>
    </w:p>
    <w:p w:rsidR="00850B89" w:rsidP="00850B89">
      <w:pPr>
        <w:ind w:left="720"/>
        <w:jc w:val="both"/>
      </w:pPr>
      <w:r w:rsidRPr="00850B89">
        <w:t xml:space="preserve">Za </w:t>
      </w:r>
      <w:r w:rsidRPr="001568E0">
        <w:t xml:space="preserve">doterajší </w:t>
      </w:r>
      <w:r w:rsidRPr="00850B89">
        <w:t>bod 23 sa vkladá nový bod 24</w:t>
      </w:r>
      <w:r>
        <w:t>, ktorý znie:</w:t>
      </w:r>
    </w:p>
    <w:p w:rsidR="00850B89" w:rsidP="00850B89">
      <w:pPr>
        <w:ind w:firstLine="708"/>
      </w:pPr>
      <w:r>
        <w:t>„24. Za § 37i sa vkladá § 37j, ktorý vrátane nadpisu znie:</w:t>
      </w:r>
    </w:p>
    <w:p w:rsidR="00850B89" w:rsidP="00850B89">
      <w:pPr>
        <w:ind w:left="3540" w:firstLine="708"/>
      </w:pPr>
    </w:p>
    <w:p w:rsidR="00850B89" w:rsidP="00850B89">
      <w:pPr>
        <w:ind w:left="3540" w:firstLine="708"/>
      </w:pPr>
      <w:r>
        <w:t>„§ 37j</w:t>
      </w:r>
    </w:p>
    <w:p w:rsidR="00850B89" w:rsidP="00850B89">
      <w:pPr>
        <w:jc w:val="center"/>
      </w:pPr>
      <w:r>
        <w:t>Prechodné ustanovenie k úpravám účinným od 1. januára 2017</w:t>
      </w:r>
    </w:p>
    <w:p w:rsidR="00850B89" w:rsidP="00850B89">
      <w:pPr>
        <w:jc w:val="center"/>
      </w:pPr>
    </w:p>
    <w:p w:rsidR="00850B89" w:rsidP="00850B89">
      <w:pPr>
        <w:ind w:left="708"/>
        <w:jc w:val="both"/>
      </w:pPr>
      <w:r>
        <w:t>Ustanovenie § 8 ods. 5 v znení účinnom od 1. januára 2017 sa prvýkrát uplatní na bežné výdavky poskytnuté v roku  2017.“.“.</w:t>
      </w:r>
    </w:p>
    <w:p w:rsidR="00850B89" w:rsidP="00850B89">
      <w:pPr>
        <w:jc w:val="both"/>
      </w:pPr>
    </w:p>
    <w:p w:rsidR="00850B89" w:rsidP="00850B89">
      <w:pPr>
        <w:ind w:left="708"/>
        <w:jc w:val="both"/>
      </w:pPr>
      <w:r>
        <w:t>Doterajšie body čl. I sa primerane prečíslujú.</w:t>
      </w:r>
      <w:r w:rsidRPr="00CF5E49">
        <w:t xml:space="preserve"> </w:t>
      </w:r>
      <w:r>
        <w:t xml:space="preserve">Účinnosť nového bodu sa navrhuje od 1. januára 2017.  </w:t>
      </w:r>
    </w:p>
    <w:p w:rsidR="00850B89" w:rsidRPr="0087399F" w:rsidP="00850B89">
      <w:pPr>
        <w:jc w:val="both"/>
        <w:rPr>
          <w:b/>
        </w:rPr>
      </w:pPr>
      <w:r w:rsidRPr="0087399F">
        <w:rPr>
          <w:b/>
        </w:rPr>
        <w:t xml:space="preserve"> </w:t>
      </w:r>
    </w:p>
    <w:p w:rsidR="00850B89" w:rsidP="00850B89">
      <w:pPr>
        <w:ind w:left="2835" w:firstLine="3"/>
        <w:jc w:val="both"/>
      </w:pPr>
      <w:r>
        <w:t>V nadväznosti na nový novelizačný bod 3 sa v prechodnom ustanovení ustanovuje, že táto právna úprava sa použije prvýkrát na bežný transfer poskytnutý  po 1. auguste 2017.</w:t>
      </w:r>
    </w:p>
    <w:p w:rsidR="00850B89" w:rsidRPr="0063795D" w:rsidP="00850B89">
      <w:pPr>
        <w:jc w:val="both"/>
      </w:pPr>
    </w:p>
    <w:p w:rsidR="00850B89" w:rsidRPr="00850B89" w:rsidP="00850B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50B89">
        <w:rPr>
          <w:rFonts w:ascii="Times New Roman" w:hAnsi="Times New Roman"/>
          <w:b/>
          <w:sz w:val="24"/>
          <w:szCs w:val="24"/>
          <w:u w:val="single"/>
        </w:rPr>
        <w:t>K čl. V </w:t>
      </w:r>
    </w:p>
    <w:p w:rsidR="00850B89" w:rsidP="00850B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  č</w:t>
      </w:r>
      <w:r w:rsidRPr="005D63EE">
        <w:rPr>
          <w:rFonts w:ascii="Times New Roman" w:hAnsi="Times New Roman"/>
          <w:sz w:val="24"/>
          <w:szCs w:val="24"/>
        </w:rPr>
        <w:t>l. V  znie:</w:t>
      </w:r>
    </w:p>
    <w:p w:rsidR="00850B89" w:rsidP="00850B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„Doterajší text § 27 sa označuje ako odsek 1 a dopĺňa sa odsekom 2, ktorý znie:</w:t>
      </w:r>
    </w:p>
    <w:p w:rsidR="00850B89" w:rsidP="00850B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 Pri procese tvorby návrhu zákona o štátnom rozpočte sa ustanovenia § 8 až 10 nepoužijú.“.</w:t>
      </w:r>
    </w:p>
    <w:p w:rsidR="00850B89" w:rsidP="00850B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B89" w:rsidRPr="00A22A67" w:rsidP="00850B89">
      <w:pPr>
        <w:pStyle w:val="ListParagraph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A22A67">
        <w:rPr>
          <w:rFonts w:ascii="Times New Roman" w:hAnsi="Times New Roman"/>
          <w:sz w:val="24"/>
          <w:szCs w:val="24"/>
        </w:rPr>
        <w:t>Navrhované doplnenie § 27 ods</w:t>
      </w:r>
      <w:r>
        <w:rPr>
          <w:rFonts w:ascii="Times New Roman" w:hAnsi="Times New Roman"/>
          <w:sz w:val="24"/>
          <w:szCs w:val="24"/>
        </w:rPr>
        <w:t>.</w:t>
      </w:r>
      <w:r w:rsidRPr="00A22A67">
        <w:rPr>
          <w:rFonts w:ascii="Times New Roman" w:hAnsi="Times New Roman"/>
          <w:sz w:val="24"/>
          <w:szCs w:val="24"/>
        </w:rPr>
        <w:t xml:space="preserve"> 2 zákona č. 400/2015 Z.z. o tvorbe právnych predpisov a o Zbierke zákonov Slovenskej republiky rešpektujú osobitosti procesu tvorby zákona o štátnom rozpočte v súlade so zákonom č. 523/2004 Z.z. o rozpočtových pravidlách  verejnej správy.</w:t>
      </w:r>
    </w:p>
    <w:p w:rsidR="00850B89" w:rsidRPr="00A22A67" w:rsidP="00850B8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50B89" w:rsidP="008C0201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Calibri" w:hAnsi="Times New Roman"/>
          <w:b/>
          <w:i w:val="0"/>
          <w:sz w:val="24"/>
          <w:szCs w:val="24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8E0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BF2"/>
    <w:multiLevelType w:val="hybridMultilevel"/>
    <w:tmpl w:val="347E44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2">
    <w:nsid w:val="32D55028"/>
    <w:multiLevelType w:val="hybridMultilevel"/>
    <w:tmpl w:val="F62EEB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7627"/>
    <w:rsid w:val="001212D5"/>
    <w:rsid w:val="001310A3"/>
    <w:rsid w:val="00140E78"/>
    <w:rsid w:val="00143F10"/>
    <w:rsid w:val="00152B22"/>
    <w:rsid w:val="00153E1E"/>
    <w:rsid w:val="001545C9"/>
    <w:rsid w:val="001559B7"/>
    <w:rsid w:val="001568E0"/>
    <w:rsid w:val="001569C1"/>
    <w:rsid w:val="00160A16"/>
    <w:rsid w:val="001626EB"/>
    <w:rsid w:val="00163635"/>
    <w:rsid w:val="0016756E"/>
    <w:rsid w:val="001675CD"/>
    <w:rsid w:val="001734EE"/>
    <w:rsid w:val="00183676"/>
    <w:rsid w:val="00184104"/>
    <w:rsid w:val="001852E1"/>
    <w:rsid w:val="00185EE1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5610E"/>
    <w:rsid w:val="002629D4"/>
    <w:rsid w:val="00272FA8"/>
    <w:rsid w:val="002743DB"/>
    <w:rsid w:val="00283931"/>
    <w:rsid w:val="00284126"/>
    <w:rsid w:val="0028499B"/>
    <w:rsid w:val="002916B8"/>
    <w:rsid w:val="00294FAE"/>
    <w:rsid w:val="00295B9C"/>
    <w:rsid w:val="002A59BC"/>
    <w:rsid w:val="002A6335"/>
    <w:rsid w:val="002A7220"/>
    <w:rsid w:val="002B6101"/>
    <w:rsid w:val="002C62FF"/>
    <w:rsid w:val="002D29EA"/>
    <w:rsid w:val="002E46AB"/>
    <w:rsid w:val="002E78E3"/>
    <w:rsid w:val="002E7F6B"/>
    <w:rsid w:val="002F0407"/>
    <w:rsid w:val="002F3ED4"/>
    <w:rsid w:val="00301227"/>
    <w:rsid w:val="00301A42"/>
    <w:rsid w:val="00302EB6"/>
    <w:rsid w:val="0030491B"/>
    <w:rsid w:val="00321A20"/>
    <w:rsid w:val="00325E49"/>
    <w:rsid w:val="0032711D"/>
    <w:rsid w:val="00327B21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3E6D39"/>
    <w:rsid w:val="003F27B9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E263D"/>
    <w:rsid w:val="004E2763"/>
    <w:rsid w:val="004E43BB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D63EE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22525"/>
    <w:rsid w:val="00624DDC"/>
    <w:rsid w:val="00634830"/>
    <w:rsid w:val="0063617C"/>
    <w:rsid w:val="0063749C"/>
    <w:rsid w:val="0063795D"/>
    <w:rsid w:val="00642D4E"/>
    <w:rsid w:val="006437A1"/>
    <w:rsid w:val="006443CB"/>
    <w:rsid w:val="0065532A"/>
    <w:rsid w:val="0065582E"/>
    <w:rsid w:val="00665A38"/>
    <w:rsid w:val="0066682E"/>
    <w:rsid w:val="00670BE9"/>
    <w:rsid w:val="006732DF"/>
    <w:rsid w:val="00682E41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E6823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336DB"/>
    <w:rsid w:val="00740E97"/>
    <w:rsid w:val="007451AB"/>
    <w:rsid w:val="007460EC"/>
    <w:rsid w:val="0074684C"/>
    <w:rsid w:val="0075013C"/>
    <w:rsid w:val="00753D13"/>
    <w:rsid w:val="00754367"/>
    <w:rsid w:val="00766B24"/>
    <w:rsid w:val="00766E24"/>
    <w:rsid w:val="00766EB1"/>
    <w:rsid w:val="00771DBB"/>
    <w:rsid w:val="00776A60"/>
    <w:rsid w:val="00777CFA"/>
    <w:rsid w:val="00782059"/>
    <w:rsid w:val="00782C11"/>
    <w:rsid w:val="007865EF"/>
    <w:rsid w:val="00787F13"/>
    <w:rsid w:val="00791016"/>
    <w:rsid w:val="007965EB"/>
    <w:rsid w:val="007A7FC3"/>
    <w:rsid w:val="007B40ED"/>
    <w:rsid w:val="007B71A2"/>
    <w:rsid w:val="007C3A2E"/>
    <w:rsid w:val="007C6EC6"/>
    <w:rsid w:val="007D3639"/>
    <w:rsid w:val="007E168E"/>
    <w:rsid w:val="007F189D"/>
    <w:rsid w:val="0081158D"/>
    <w:rsid w:val="00830899"/>
    <w:rsid w:val="008349BA"/>
    <w:rsid w:val="00843997"/>
    <w:rsid w:val="008458BA"/>
    <w:rsid w:val="00850B89"/>
    <w:rsid w:val="0085189B"/>
    <w:rsid w:val="00862B54"/>
    <w:rsid w:val="00867FEE"/>
    <w:rsid w:val="008720CA"/>
    <w:rsid w:val="0087399F"/>
    <w:rsid w:val="008769DE"/>
    <w:rsid w:val="00880343"/>
    <w:rsid w:val="00881478"/>
    <w:rsid w:val="00883651"/>
    <w:rsid w:val="0089148D"/>
    <w:rsid w:val="008A2AEF"/>
    <w:rsid w:val="008A65D4"/>
    <w:rsid w:val="008A701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03F8"/>
    <w:rsid w:val="008F1D4B"/>
    <w:rsid w:val="008F35D7"/>
    <w:rsid w:val="008F51E4"/>
    <w:rsid w:val="009014AF"/>
    <w:rsid w:val="00901501"/>
    <w:rsid w:val="00902EC3"/>
    <w:rsid w:val="00914F38"/>
    <w:rsid w:val="009171A7"/>
    <w:rsid w:val="0092372D"/>
    <w:rsid w:val="009434CE"/>
    <w:rsid w:val="00943A22"/>
    <w:rsid w:val="00944ECD"/>
    <w:rsid w:val="00945E30"/>
    <w:rsid w:val="009534E4"/>
    <w:rsid w:val="0096543A"/>
    <w:rsid w:val="009673E9"/>
    <w:rsid w:val="00972CAE"/>
    <w:rsid w:val="00985280"/>
    <w:rsid w:val="00990B21"/>
    <w:rsid w:val="009940AF"/>
    <w:rsid w:val="00996EF0"/>
    <w:rsid w:val="009A5069"/>
    <w:rsid w:val="009B024D"/>
    <w:rsid w:val="009B1A9B"/>
    <w:rsid w:val="009B45DF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A13BFD"/>
    <w:rsid w:val="00A22570"/>
    <w:rsid w:val="00A22A67"/>
    <w:rsid w:val="00A26DE4"/>
    <w:rsid w:val="00A42717"/>
    <w:rsid w:val="00A44797"/>
    <w:rsid w:val="00A45E0F"/>
    <w:rsid w:val="00A46F21"/>
    <w:rsid w:val="00A64B15"/>
    <w:rsid w:val="00A64ED6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59A"/>
    <w:rsid w:val="00B16CED"/>
    <w:rsid w:val="00B17563"/>
    <w:rsid w:val="00B264CD"/>
    <w:rsid w:val="00B349AD"/>
    <w:rsid w:val="00B40126"/>
    <w:rsid w:val="00B5058C"/>
    <w:rsid w:val="00B55896"/>
    <w:rsid w:val="00B55EBB"/>
    <w:rsid w:val="00B614DE"/>
    <w:rsid w:val="00B63344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26CC3"/>
    <w:rsid w:val="00C34FB0"/>
    <w:rsid w:val="00C37D3C"/>
    <w:rsid w:val="00C40208"/>
    <w:rsid w:val="00C41E4A"/>
    <w:rsid w:val="00C46DBA"/>
    <w:rsid w:val="00C5055D"/>
    <w:rsid w:val="00C511AD"/>
    <w:rsid w:val="00C609C6"/>
    <w:rsid w:val="00C637C7"/>
    <w:rsid w:val="00C64E1A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2C36"/>
    <w:rsid w:val="00CA4BC6"/>
    <w:rsid w:val="00CA7FA7"/>
    <w:rsid w:val="00CB08EF"/>
    <w:rsid w:val="00CB45BF"/>
    <w:rsid w:val="00CB5AF6"/>
    <w:rsid w:val="00CB60CD"/>
    <w:rsid w:val="00CD05F3"/>
    <w:rsid w:val="00CD3386"/>
    <w:rsid w:val="00CD45D1"/>
    <w:rsid w:val="00CD5189"/>
    <w:rsid w:val="00CD689C"/>
    <w:rsid w:val="00CE23DD"/>
    <w:rsid w:val="00CE3CA7"/>
    <w:rsid w:val="00CE5FA3"/>
    <w:rsid w:val="00CF0260"/>
    <w:rsid w:val="00CF1979"/>
    <w:rsid w:val="00CF5E49"/>
    <w:rsid w:val="00CF7721"/>
    <w:rsid w:val="00D003D9"/>
    <w:rsid w:val="00D066CB"/>
    <w:rsid w:val="00D100B4"/>
    <w:rsid w:val="00D14BB3"/>
    <w:rsid w:val="00D1527C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1F27"/>
    <w:rsid w:val="00EF60D1"/>
    <w:rsid w:val="00F00247"/>
    <w:rsid w:val="00F03B10"/>
    <w:rsid w:val="00F15963"/>
    <w:rsid w:val="00F328DE"/>
    <w:rsid w:val="00F33022"/>
    <w:rsid w:val="00F362CE"/>
    <w:rsid w:val="00F37ECF"/>
    <w:rsid w:val="00F6286E"/>
    <w:rsid w:val="00F7316C"/>
    <w:rsid w:val="00F7461A"/>
    <w:rsid w:val="00F80E71"/>
    <w:rsid w:val="00F87FF3"/>
    <w:rsid w:val="00F962BB"/>
    <w:rsid w:val="00F966EF"/>
    <w:rsid w:val="00FA5B31"/>
    <w:rsid w:val="00FC15F7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D3083-1743-470D-916C-EE939BFB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354</cp:revision>
  <cp:lastPrinted>2016-10-04T12:18:00Z</cp:lastPrinted>
  <dcterms:created xsi:type="dcterms:W3CDTF">2003-06-05T10:59:00Z</dcterms:created>
  <dcterms:modified xsi:type="dcterms:W3CDTF">2016-10-04T13:43:00Z</dcterms:modified>
</cp:coreProperties>
</file>