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504766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AE6F63">
        <w:t>51</w:t>
      </w:r>
      <w:r w:rsidR="00F7317D">
        <w:t>6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FD3F11">
        <w:rPr>
          <w:b/>
        </w:rPr>
        <w:t xml:space="preserve"> 59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E6F63">
        <w:t xml:space="preserve"> </w:t>
      </w:r>
      <w:r w:rsidR="00F7317D">
        <w:t xml:space="preserve">vládny návrh zákona o vykonávaní medzinárodných sankcií a o doplnení zákona č. 566/2001 Z. z. o cenných papieroch a investičných službách a o zmene a doplnení niektorých zákonov (zákon o cenných papieroch) v znení neskorších predpisov (tlač 191)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F7317D">
        <w:t>vládnym návrhom zákona o vykonávaní medzinárodných sankcií a o doplnení zákona č. 566/2001 Z. z. o cenných papieroch a investičných službách a o zmene a doplnení niektorých zákonov (zákon o cenných papieroch) v znení neskorších predpisov (tlač 191)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F7317D" w:rsidR="00F7317D">
        <w:rPr>
          <w:b w:val="0"/>
        </w:rPr>
        <w:t>vládny návrh zákona o vykonávaní medzinárodných sankcií a o doplnení zákona č. 566/2001 Z. z. o cenných papieroch a investičných službách a o zmene a doplnení niektorých zákonov (zákon o cenných papieroch) v znení neskorších predpisov (tlač 191)</w:t>
      </w:r>
      <w:r w:rsidR="00F7317D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</w:t>
      </w:r>
      <w:r>
        <w:t xml:space="preserve">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972C63">
        <w:rPr>
          <w:lang w:val="sk-SK"/>
        </w:rPr>
        <w:t>níčke</w:t>
      </w:r>
      <w:r>
        <w:rPr>
          <w:lang w:val="sk-SK"/>
        </w:rPr>
        <w:t xml:space="preserve"> </w:t>
      </w:r>
      <w:r w:rsidR="00F0224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pre </w:t>
      </w:r>
      <w:r w:rsidR="00AE6F63">
        <w:rPr>
          <w:lang w:val="sk-SK"/>
        </w:rPr>
        <w:t xml:space="preserve">hospodárske záležitosti 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</w:t>
      </w:r>
      <w:r>
        <w:rPr>
          <w:b/>
          <w:bCs w:val="0"/>
        </w:rPr>
        <w:t xml:space="preserve">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D3F11">
        <w:rPr>
          <w:b/>
        </w:rPr>
        <w:t>59</w:t>
      </w:r>
    </w:p>
    <w:p w:rsidR="000D14F9" w:rsidRPr="003371B9" w:rsidP="000D14F9">
      <w:pPr>
        <w:jc w:val="right"/>
      </w:pPr>
      <w:r w:rsidR="00D96ABB">
        <w:rPr>
          <w:bCs w:val="0"/>
        </w:rPr>
        <w:t>1</w:t>
      </w:r>
      <w:r w:rsidR="00504766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972C63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F7317D">
        <w:t xml:space="preserve">vládnemu návrhu zákona o vykonávaní medzinárodných sankcií a o doplnení zákona č. 566/2001 Z. z. o cenných papieroch a investičných službách a o zmene a doplnení niektorých zákonov (zákon o cenných papieroch) v znení neskorších predpisov </w:t>
      </w:r>
    </w:p>
    <w:p w:rsidR="003371B9" w:rsidP="00016EEA">
      <w:pPr>
        <w:pStyle w:val="Heading1"/>
        <w:ind w:left="360"/>
        <w:jc w:val="center"/>
      </w:pPr>
      <w:r w:rsidR="00F7317D">
        <w:t>(tlač 191)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D3F11" w:rsidP="00FD3F11">
      <w:pPr>
        <w:rPr>
          <w:b/>
          <w:bCs w:val="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 § 1 písm. c)</w:t>
      </w:r>
      <w:r w:rsidRPr="00FD3F11">
        <w:rPr>
          <w:rFonts w:eastAsia="Calibri"/>
          <w:bCs w:val="0"/>
          <w:color w:val="000000"/>
          <w:lang w:eastAsia="en-US"/>
        </w:rPr>
        <w:t xml:space="preserve"> sa slová „podľa tohto zákona“ nahrádzajú slovami „podľa § 5“.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úpravu vnútorného odkazu na ustanovenie zákona, ktoré upravuje oblasti medz</w:t>
      </w:r>
      <w:r w:rsidRPr="00FD3F11">
        <w:rPr>
          <w:bCs w:val="0"/>
          <w:color w:val="000000"/>
        </w:rPr>
        <w:t>inárodných sankcií.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 § 2 písm. a)</w:t>
      </w:r>
      <w:r w:rsidRPr="00FD3F11">
        <w:rPr>
          <w:rFonts w:eastAsia="Calibri"/>
          <w:bCs w:val="0"/>
          <w:color w:val="000000"/>
          <w:lang w:eastAsia="en-US"/>
        </w:rPr>
        <w:t xml:space="preserve"> sa slová „v predpisoch podľa písm. b)“ nahrádzajú slovami „v predpisoch o medzinárodnej sankcii podľa písmena b)“.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formulačná úprava textu vzhľadom na pojem definovaný v § 2 písm. b), zároveň sa upravu</w:t>
      </w:r>
      <w:r w:rsidRPr="00FD3F11">
        <w:rPr>
          <w:bCs w:val="0"/>
          <w:color w:val="000000"/>
        </w:rPr>
        <w:t>je vnútorný odkaz.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 čl. I § 2 písm. d)</w:t>
      </w:r>
      <w:r w:rsidRPr="00FD3F11">
        <w:rPr>
          <w:rFonts w:eastAsia="Calibri"/>
          <w:bCs w:val="0"/>
          <w:color w:val="000000"/>
          <w:lang w:eastAsia="en-US"/>
        </w:rPr>
        <w:t xml:space="preserve"> sa slová „pracovnou skupinou EÚ“ nahrádzajú slovami „pracovnou skupinou Európskej únie“. V tejto súvislosti sa v celom texte zákona slová „pracovná skupina EÚ“ vo všetkých tvaroch nahrádzajú slovami „pracovná skupin</w:t>
      </w:r>
      <w:r w:rsidRPr="00FD3F11">
        <w:rPr>
          <w:rFonts w:eastAsia="Calibri"/>
          <w:bCs w:val="0"/>
          <w:color w:val="000000"/>
          <w:lang w:eastAsia="en-US"/>
        </w:rPr>
        <w:t>a Európskej únie“ v príslušnom tvare.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Vzhľadom na bod 8 legislatívno-technických pokynov legislatívnych pravidiel tvorby zákonov sa formulačne upravuje znenie vymedzeného pojmu.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 § 2 písm. u)</w:t>
      </w:r>
      <w:r w:rsidRPr="00FD3F11">
        <w:rPr>
          <w:rFonts w:eastAsia="Calibri"/>
          <w:bCs w:val="0"/>
          <w:color w:val="000000"/>
          <w:lang w:eastAsia="en-US"/>
        </w:rPr>
        <w:t xml:space="preserve"> sa za slová „Zbierke zákonov“ vkladajú slová „Slovenskej</w:t>
      </w:r>
      <w:r w:rsidRPr="00FD3F11">
        <w:rPr>
          <w:rFonts w:eastAsia="Calibri"/>
          <w:bCs w:val="0"/>
          <w:color w:val="000000"/>
          <w:lang w:eastAsia="en-US"/>
        </w:rPr>
        <w:t xml:space="preserve"> republiky“.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doplniť oficiálny názov publikačného orgánu.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 § 4 ods. 2</w:t>
      </w:r>
      <w:r w:rsidRPr="00FD3F11">
        <w:rPr>
          <w:rFonts w:eastAsia="Calibri"/>
          <w:bCs w:val="0"/>
          <w:color w:val="000000"/>
          <w:lang w:eastAsia="en-US"/>
        </w:rPr>
        <w:t xml:space="preserve"> sa slovo „ma“ nahrádza slovom „má“.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formulačnú úpravu textu.</w:t>
      </w:r>
    </w:p>
    <w:p w:rsidR="00FD3F11" w:rsidRPr="00FD3F11" w:rsidP="00FD3F11">
      <w:pPr>
        <w:ind w:left="360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 § 4 ods. 7</w:t>
      </w:r>
      <w:r w:rsidRPr="00FD3F11">
        <w:rPr>
          <w:rFonts w:eastAsia="Calibri"/>
          <w:bCs w:val="0"/>
          <w:color w:val="000000"/>
          <w:lang w:eastAsia="en-US"/>
        </w:rPr>
        <w:t xml:space="preserve"> sa slová „(ďalej len „Ministerstvo zahraničných vecí“)“ nahrádzajú slovami „(ďalej len „ministerstvo zahraničných vecí“)“ a slová „(ďalej len „Ministerstvo vnútra“)“ nahrádzajú slovami „(ďalej len „ministerstvo vnútra“)“. V tejto súvislosti sa vykoná úprava § 21 ods. 7 a 8.</w:t>
      </w:r>
    </w:p>
    <w:p w:rsidR="00FD3F11" w:rsidRPr="00FD3F11" w:rsidP="00FD3F11">
      <w:pPr>
        <w:ind w:left="720"/>
        <w:contextualSpacing/>
        <w:jc w:val="both"/>
        <w:rPr>
          <w:rFonts w:eastAsia="Calibri"/>
          <w:bCs w:val="0"/>
          <w:color w:val="000000"/>
          <w:lang w:eastAsia="en-US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legislatívno-technická úprava zavedenej legislatívnej skratky vzhľadom na bod 8 legislatívno-technických pokynov podľa ktorého sa legislatívny skratka začína malým písmenom.</w:t>
      </w:r>
    </w:p>
    <w:p w:rsidR="00FD3F11" w:rsidRPr="00FD3F11" w:rsidP="00FD3F11">
      <w:pPr>
        <w:ind w:left="720"/>
        <w:contextualSpacing/>
        <w:jc w:val="both"/>
        <w:rPr>
          <w:rFonts w:eastAsia="Calibri"/>
          <w:bCs w:val="0"/>
          <w:color w:val="000000"/>
          <w:lang w:eastAsia="en-US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10 ods. 1 písm. b) a ods. 2 písm. b)</w:t>
      </w:r>
      <w:r w:rsidRPr="00FD3F11">
        <w:rPr>
          <w:rFonts w:eastAsia="Calibri"/>
          <w:bCs w:val="0"/>
          <w:color w:val="000000"/>
          <w:lang w:eastAsia="en-US"/>
        </w:rPr>
        <w:t xml:space="preserve"> sa slová „za účelom“ nahrádzajú slovami „na účely“.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</w:t>
      </w:r>
      <w:r w:rsidRPr="00FD3F11">
        <w:rPr>
          <w:bCs w:val="0"/>
          <w:color w:val="000000"/>
        </w:rPr>
        <w:t>je sa formulačné úprava textu.</w:t>
      </w:r>
    </w:p>
    <w:p w:rsidR="00FD3F11" w:rsidP="00FD3F11">
      <w:pPr>
        <w:jc w:val="both"/>
        <w:rPr>
          <w:bCs w:val="0"/>
          <w:color w:val="000000"/>
        </w:rPr>
      </w:pPr>
    </w:p>
    <w:p w:rsidR="00427027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10 ods. 3 písm. b)</w:t>
      </w:r>
      <w:r w:rsidRPr="00FD3F11">
        <w:rPr>
          <w:bCs w:val="0"/>
          <w:color w:val="000000"/>
        </w:rPr>
        <w:t xml:space="preserve"> sa slová „akcie organizovanom“ nahrádzajú slovami „akcii organizovaných“.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formulačné spresnenie textu.</w:t>
      </w:r>
    </w:p>
    <w:p w:rsidR="00FD3F11" w:rsidP="00FD3F11">
      <w:pPr>
        <w:jc w:val="both"/>
        <w:rPr>
          <w:bCs w:val="0"/>
          <w:color w:val="000000"/>
        </w:rPr>
      </w:pPr>
    </w:p>
    <w:p w:rsidR="00427027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11 ods. 2</w:t>
      </w:r>
      <w:r w:rsidRPr="00FD3F11">
        <w:rPr>
          <w:bCs w:val="0"/>
          <w:color w:val="000000"/>
        </w:rPr>
        <w:t xml:space="preserve"> sa slovo „oznámenie“ nahrádza slovom „oznámenia“.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formulačné spresnenie textu.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427027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12</w:t>
      </w:r>
      <w:r w:rsidRPr="00FD3F11">
        <w:rPr>
          <w:bCs w:val="0"/>
          <w:color w:val="000000"/>
        </w:rPr>
        <w:t xml:space="preserve"> úvodnej vete sa slová „bez omeškania“ nahrádzajú slovami „bezodkladne“.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spresnenie vyjadrenia skutočnosti, kedy sa má právny úkon vykonať po prvýkrát.</w:t>
      </w:r>
    </w:p>
    <w:p w:rsidR="00FD3F11" w:rsidP="00FD3F11">
      <w:pPr>
        <w:ind w:left="720"/>
        <w:contextualSpacing/>
        <w:jc w:val="both"/>
        <w:rPr>
          <w:bCs w:val="0"/>
          <w:color w:val="000000"/>
        </w:rPr>
      </w:pPr>
    </w:p>
    <w:p w:rsidR="00427027" w:rsidRPr="00FD3F11" w:rsidP="00FD3F11">
      <w:pPr>
        <w:ind w:left="720"/>
        <w:contextualSpacing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13 ods. 3</w:t>
      </w:r>
      <w:r w:rsidRPr="00FD3F11">
        <w:rPr>
          <w:bCs w:val="0"/>
          <w:color w:val="000000"/>
        </w:rPr>
        <w:t xml:space="preserve"> sa slová „osobitného predpisu“ nahrádzajú slovami „všeobecného predpisu o správnom konaní“.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spresnenie odkazu na zákon o správnom konaní.</w:t>
      </w:r>
    </w:p>
    <w:p w:rsidR="00FD3F11" w:rsidP="00FD3F11">
      <w:pPr>
        <w:jc w:val="both"/>
        <w:rPr>
          <w:bCs w:val="0"/>
          <w:color w:val="000000"/>
        </w:rPr>
      </w:pPr>
    </w:p>
    <w:p w:rsidR="00427027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13 ods. 9</w:t>
      </w:r>
      <w:r w:rsidRPr="00FD3F11">
        <w:rPr>
          <w:bCs w:val="0"/>
          <w:color w:val="000000"/>
        </w:rPr>
        <w:t xml:space="preserve"> sa slová „V prípade porušenia“ nahrádzajú slovami „Ak dôjde k porušeniu“.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formulačné spresnenie podmienky vyjadrenej v ustanovení.</w:t>
      </w:r>
    </w:p>
    <w:p w:rsidR="00FD3F11" w:rsidP="00FD3F11">
      <w:pPr>
        <w:ind w:left="720"/>
        <w:contextualSpacing/>
        <w:rPr>
          <w:bCs w:val="0"/>
          <w:color w:val="000000"/>
        </w:rPr>
      </w:pPr>
    </w:p>
    <w:p w:rsidR="00427027" w:rsidRPr="00FD3F11" w:rsidP="00FD3F11">
      <w:pPr>
        <w:ind w:left="720"/>
        <w:contextualSpacing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14 ods. 2</w:t>
      </w:r>
      <w:r w:rsidRPr="00FD3F11">
        <w:rPr>
          <w:bCs w:val="0"/>
          <w:color w:val="000000"/>
        </w:rPr>
        <w:t xml:space="preserve"> úvodnej vete sa slová „je povinný“ nahrádzajú slovami „sú povinní“.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formulačné spresnenie textu tak, aby sa ustanovená povinnosť týkala oboch subjektov.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427027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b/>
          <w:bCs w:val="0"/>
          <w:color w:val="000000"/>
        </w:rPr>
        <w:t>V čl. I § 14 ods. 4</w:t>
      </w:r>
      <w:r w:rsidRPr="00FD3F11">
        <w:rPr>
          <w:bCs w:val="0"/>
          <w:color w:val="000000"/>
        </w:rPr>
        <w:t xml:space="preserve"> sa slová „Ak je vzhľadom na okolnosti nevyhnutné pre zachovanie hodnoty zaisteného majetku“ sa nahrádzajú slovami „Ak je vzhľadom na zachovanie hodnoty zaisteného majetku nevyhnutné“.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formulačná úprava ustanovenia tak, aby objektívne vyjadrovala skutočnosti za ktorých je možné zaistený majetok predať.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427027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15 ods. 4</w:t>
      </w:r>
      <w:r w:rsidRPr="00FD3F11">
        <w:rPr>
          <w:rFonts w:eastAsia="Calibri"/>
          <w:bCs w:val="0"/>
          <w:color w:val="000000"/>
          <w:lang w:eastAsia="en-US"/>
        </w:rPr>
        <w:t xml:space="preserve"> sa slovo „odseku“ nahrádza slovom „odsekov“.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legislatívno-technickú úpravu.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15 ods. 4</w:t>
      </w:r>
      <w:r w:rsidRPr="00FD3F11">
        <w:rPr>
          <w:rFonts w:eastAsia="Calibri"/>
          <w:bCs w:val="0"/>
          <w:color w:val="000000"/>
          <w:lang w:eastAsia="en-US"/>
        </w:rPr>
        <w:t xml:space="preserve"> druhej vete sa za slovo „Ak“ vkladajú slová „príslušný orgán štátnej správy“.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formulačnú úpravu textu ktorej účelom je doplniť do ustanovenia subjekt viazaný ustanovenou povinnosťou.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16 ods. 2</w:t>
      </w:r>
      <w:r w:rsidRPr="00FD3F11">
        <w:rPr>
          <w:rFonts w:eastAsia="Calibri"/>
          <w:bCs w:val="0"/>
          <w:color w:val="000000"/>
          <w:lang w:eastAsia="en-US"/>
        </w:rPr>
        <w:t xml:space="preserve"> sa slovo „prípadne“ nahrádza slovom „alebo“.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Vzhľadom na jednoznačnosť vyjadrenia alternatívy v texte ustanovenia sa navrhuje formulačné úprava ustanovenia.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18 ods. 3</w:t>
      </w:r>
      <w:r w:rsidRPr="00FD3F11">
        <w:rPr>
          <w:rFonts w:eastAsia="Calibri"/>
          <w:bCs w:val="0"/>
          <w:color w:val="000000"/>
          <w:lang w:eastAsia="en-US"/>
        </w:rPr>
        <w:t xml:space="preserve"> sa slová </w:t>
      </w:r>
      <w:r w:rsidRPr="00FD3F11">
        <w:rPr>
          <w:bCs w:val="0"/>
          <w:color w:val="000000"/>
        </w:rPr>
        <w:t>„bez omeškania“ nahrádzajú slovami „bezodkladne“ a slová „za účelom“ sa nahrádzajú slovami „na účely“.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Ide o spresnenie vyjadrenia skutočnosti, kedy sa má právny úkon vykonať po prvýkrát a navrhuje sa formulačná úprava textu.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bCs w:val="0"/>
          <w:color w:val="000000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19 ods. 1</w:t>
      </w:r>
      <w:r w:rsidRPr="00FD3F11">
        <w:rPr>
          <w:rFonts w:eastAsia="Calibri"/>
          <w:bCs w:val="0"/>
          <w:color w:val="000000"/>
          <w:lang w:eastAsia="en-US"/>
        </w:rPr>
        <w:t xml:space="preserve"> sa slovo „oprávnené“ nahrádzajú slovom „oprávnení“ a slová „osobitného predpisu“ sa nahrádzajú slovami „všeobecného predpisu o ochrane osobných údajov“.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formulačné spresnenie textu ustanovenia a odkazu na zákon o ochrane osobných údajov.</w:t>
      </w:r>
    </w:p>
    <w:p w:rsid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19 ods. 3</w:t>
      </w:r>
      <w:r w:rsidRPr="00FD3F11">
        <w:rPr>
          <w:rFonts w:eastAsia="Calibri"/>
          <w:bCs w:val="0"/>
          <w:color w:val="000000"/>
          <w:lang w:eastAsia="en-US"/>
        </w:rPr>
        <w:t xml:space="preserve"> sa vypúšťajú slová „len vtedy“,  slovo „prípadne“ nahrádza slovom „alebo“ a slová „osobitným predpisom“ sa nahrádzajú slovami „osobitnými predpismi“.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vypustiť slová pre nadbytočnosť, spresňuje sa vyjadrenie alternatívy v ustanovení a spresňuje sa odkaz na demonštratívny výpočet právnych predpisov citovaných v poznámke pod čiarou.</w:t>
      </w:r>
    </w:p>
    <w:p w:rsidR="00427027" w:rsidRPr="00FD3F11" w:rsidP="00FD3F11">
      <w:pPr>
        <w:ind w:left="360"/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19 ods. 4 písm. a)</w:t>
      </w:r>
      <w:r w:rsidRPr="00FD3F11">
        <w:rPr>
          <w:rFonts w:eastAsia="Calibri"/>
          <w:bCs w:val="0"/>
          <w:color w:val="000000"/>
          <w:lang w:eastAsia="en-US"/>
        </w:rPr>
        <w:t xml:space="preserve"> prvom bode, šiestom bode, ôsmom bode, jedenástom bode, trinástom bode a písm. b) prvom, piatom, šiestom, deviatom, trinástom, štrnástom (2x), pätnástom (3x) a šestnástom bode sa slovo „prípadne“ nahrádza slovom „alebo“.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Spresňuje sa vyjadrenie alternatívy v texte ustanovenia.</w:t>
      </w:r>
    </w:p>
    <w:p w:rsidR="00427027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ind w:left="714" w:hanging="357"/>
        <w:contextualSpacing/>
        <w:jc w:val="both"/>
        <w:rPr>
          <w:rFonts w:eastAsia="Calibri"/>
          <w:bCs w:val="0"/>
          <w:color w:val="000000"/>
          <w:szCs w:val="22"/>
          <w:lang w:eastAsia="en-US"/>
        </w:rPr>
      </w:pPr>
      <w:r w:rsidRPr="00427027">
        <w:rPr>
          <w:rFonts w:eastAsia="Calibri"/>
          <w:b/>
          <w:bCs w:val="0"/>
          <w:color w:val="000000"/>
          <w:szCs w:val="22"/>
          <w:lang w:eastAsia="en-US"/>
        </w:rPr>
        <w:t>V čl. I § 19 ods. 4 písm. a)</w:t>
      </w:r>
      <w:r w:rsidRPr="00FD3F11">
        <w:rPr>
          <w:rFonts w:eastAsia="Calibri"/>
          <w:bCs w:val="0"/>
          <w:color w:val="000000"/>
          <w:szCs w:val="22"/>
          <w:lang w:eastAsia="en-US"/>
        </w:rPr>
        <w:t xml:space="preserve"> trinástom bode sa za slovo „manžela“ vkladajú slová „alebo manželky“ a v § 19 ods. 4 písm. b) trinástom bode sa za slovo „manžela“ vkladajú slová „alebo manželky“ a slová „a jeho“ sa nahrádzajú slovami „a ich“.</w:t>
      </w:r>
    </w:p>
    <w:p w:rsidR="00FD3F11" w:rsidRPr="00FD3F11" w:rsidP="00FD3F11">
      <w:pPr>
        <w:ind w:left="4395"/>
        <w:jc w:val="both"/>
        <w:rPr>
          <w:bCs w:val="0"/>
          <w:color w:val="000000"/>
        </w:rPr>
      </w:pPr>
    </w:p>
    <w:p w:rsidR="00FD3F11" w:rsidRPr="00FD3F11" w:rsidP="00FD3F11">
      <w:pPr>
        <w:ind w:left="4395"/>
        <w:jc w:val="both"/>
        <w:rPr>
          <w:bCs w:val="0"/>
          <w:color w:val="000000"/>
        </w:rPr>
      </w:pPr>
      <w:r w:rsidRPr="00FD3F11">
        <w:rPr>
          <w:bCs w:val="0"/>
          <w:color w:val="000000"/>
        </w:rPr>
        <w:t>Navrhuje sa spresnenie ustanovenia tak, aby bolo možné poskytovať údaje aj o manželke fyzickej osoby.</w:t>
      </w:r>
    </w:p>
    <w:p w:rsidR="00FD3F11" w:rsidRPr="00FD3F11" w:rsidP="00FD3F11">
      <w:pPr>
        <w:jc w:val="both"/>
        <w:rPr>
          <w:bCs w:val="0"/>
          <w:color w:val="000000"/>
        </w:rPr>
      </w:pPr>
    </w:p>
    <w:p w:rsidR="00FD3F11" w:rsidRPr="00FD3F11" w:rsidP="00FD3F11">
      <w:pPr>
        <w:numPr>
          <w:ilvl w:val="0"/>
          <w:numId w:val="45"/>
        </w:numPr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427027">
        <w:rPr>
          <w:rFonts w:eastAsia="Calibri"/>
          <w:b/>
          <w:bCs w:val="0"/>
          <w:color w:val="000000"/>
          <w:lang w:eastAsia="en-US"/>
        </w:rPr>
        <w:t>V čl. I § 25 ods. 1</w:t>
      </w:r>
      <w:r w:rsidRPr="00FD3F11">
        <w:rPr>
          <w:rFonts w:eastAsia="Calibri"/>
          <w:bCs w:val="0"/>
          <w:color w:val="000000"/>
          <w:lang w:eastAsia="en-US"/>
        </w:rPr>
        <w:t xml:space="preserve"> slová „konanie“ nahrádzajú slovami „konania začaté a“.</w:t>
      </w:r>
    </w:p>
    <w:p w:rsidR="00FD3F11" w:rsidP="00FD3F11">
      <w:pPr>
        <w:ind w:left="4395"/>
        <w:jc w:val="both"/>
        <w:rPr>
          <w:bCs w:val="0"/>
          <w:color w:val="000000"/>
        </w:rPr>
      </w:pPr>
    </w:p>
    <w:p w:rsidR="00FD3F11" w:rsidP="00427027">
      <w:pPr>
        <w:ind w:left="4395"/>
        <w:jc w:val="both"/>
        <w:rPr>
          <w:b/>
          <w:bCs w:val="0"/>
        </w:rPr>
      </w:pPr>
      <w:r w:rsidRPr="00FD3F11">
        <w:rPr>
          <w:bCs w:val="0"/>
          <w:color w:val="000000"/>
        </w:rPr>
        <w:t>Ide o formulačnú úpravu prechodného ustanovenia tak, aby zahŕňalo aj konania, ktoré boli do nadobudnutia účinnosti začaté.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027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8"/>
  </w:num>
  <w:num w:numId="8">
    <w:abstractNumId w:val="37"/>
  </w:num>
  <w:num w:numId="9">
    <w:abstractNumId w:val="38"/>
  </w:num>
  <w:num w:numId="10">
    <w:abstractNumId w:val="2"/>
  </w:num>
  <w:num w:numId="11">
    <w:abstractNumId w:val="22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1"/>
  </w:num>
  <w:num w:numId="28">
    <w:abstractNumId w:val="11"/>
  </w:num>
  <w:num w:numId="29">
    <w:abstractNumId w:val="4"/>
  </w:num>
  <w:num w:numId="30">
    <w:abstractNumId w:val="36"/>
  </w:num>
  <w:num w:numId="31">
    <w:abstractNumId w:val="16"/>
  </w:num>
  <w:num w:numId="32">
    <w:abstractNumId w:val="24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A4E7F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5665F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27027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04766"/>
    <w:rsid w:val="0052115B"/>
    <w:rsid w:val="00522678"/>
    <w:rsid w:val="0053136B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4823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16ECA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63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082B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2C5C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42667"/>
    <w:rsid w:val="00F6286E"/>
    <w:rsid w:val="00F7162F"/>
    <w:rsid w:val="00F7316C"/>
    <w:rsid w:val="00F7317D"/>
    <w:rsid w:val="00F7461A"/>
    <w:rsid w:val="00F80E71"/>
    <w:rsid w:val="00F87FF3"/>
    <w:rsid w:val="00F92F1D"/>
    <w:rsid w:val="00F966EF"/>
    <w:rsid w:val="00FB71C8"/>
    <w:rsid w:val="00FD3F11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D08C-E923-4C6D-851C-9D99CE9E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40</cp:revision>
  <cp:lastPrinted>2015-11-03T16:37:00Z</cp:lastPrinted>
  <dcterms:created xsi:type="dcterms:W3CDTF">2013-06-14T07:14:00Z</dcterms:created>
  <dcterms:modified xsi:type="dcterms:W3CDTF">2016-10-04T12:06:00Z</dcterms:modified>
</cp:coreProperties>
</file>