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b/>
          <w:bCs/>
          <w:caps/>
          <w:spacing w:val="30"/>
          <w:sz w:val="22"/>
          <w:szCs w:val="22"/>
        </w:rPr>
        <w:t>Dôvodová správa</w:t>
      </w:r>
    </w:p>
    <w:p w:rsidR="00DB333B" w:rsidRPr="00CE6351" w:rsidP="00CE6351">
      <w:pPr>
        <w:pStyle w:val="Heading1"/>
        <w:bidi w:val="0"/>
        <w:spacing w:before="120" w:line="276" w:lineRule="auto"/>
        <w:rPr>
          <w:rFonts w:ascii="Book Antiqua" w:hAnsi="Book Antiqua"/>
          <w:sz w:val="22"/>
          <w:szCs w:val="22"/>
        </w:rPr>
      </w:pPr>
      <w:r w:rsidRPr="00CE6351">
        <w:rPr>
          <w:rFonts w:ascii="Book Antiqua" w:hAnsi="Book Antiqua"/>
          <w:b w:val="0"/>
          <w:bCs w:val="0"/>
          <w:sz w:val="22"/>
          <w:szCs w:val="22"/>
        </w:rPr>
        <w:t> </w:t>
      </w:r>
    </w:p>
    <w:p w:rsidR="00BE37CE" w:rsidRPr="00CE6351" w:rsidP="00CE6351">
      <w:pPr>
        <w:pStyle w:val="Heading1"/>
        <w:bidi w:val="0"/>
        <w:spacing w:before="120" w:line="276" w:lineRule="auto"/>
        <w:jc w:val="left"/>
        <w:rPr>
          <w:rFonts w:ascii="Book Antiqua" w:hAnsi="Book Antiqua"/>
          <w:sz w:val="22"/>
          <w:szCs w:val="22"/>
        </w:rPr>
      </w:pPr>
      <w:r w:rsidRPr="00CE6351" w:rsidR="00DB333B">
        <w:rPr>
          <w:rFonts w:ascii="Book Antiqua" w:hAnsi="Book Antiqua"/>
          <w:sz w:val="22"/>
          <w:szCs w:val="22"/>
        </w:rPr>
        <w:t>A. Všeobecná časť</w:t>
      </w:r>
    </w:p>
    <w:p w:rsidR="003F18BA" w:rsidP="003F18BA">
      <w:pPr>
        <w:pStyle w:val="NormalWeb"/>
        <w:bidi w:val="0"/>
        <w:spacing w:before="120" w:beforeAutospacing="0" w:after="0" w:afterAutospacing="0" w:line="276" w:lineRule="auto"/>
        <w:ind w:firstLine="708"/>
        <w:jc w:val="both"/>
        <w:rPr>
          <w:rFonts w:ascii="Book Antiqua" w:hAnsi="Book Antiqua"/>
          <w:sz w:val="22"/>
          <w:szCs w:val="22"/>
        </w:rPr>
      </w:pPr>
      <w:r w:rsidRPr="00CE6351" w:rsidR="00E4791F">
        <w:rPr>
          <w:rFonts w:ascii="Book Antiqua" w:hAnsi="Book Antiqua"/>
          <w:sz w:val="22"/>
          <w:szCs w:val="22"/>
        </w:rPr>
        <w:t xml:space="preserve">Návrh zákona, ktorým sa mení a dopĺňa zákon </w:t>
      </w:r>
      <w:r w:rsidRPr="00CE6351" w:rsidR="00723512">
        <w:rPr>
          <w:rFonts w:ascii="Book Antiqua" w:hAnsi="Book Antiqua"/>
          <w:sz w:val="22"/>
          <w:szCs w:val="22"/>
        </w:rPr>
        <w:t xml:space="preserve">č. 171/2005 Z. z. o hazardných hrách a o zmene a doplnení niektorých zákonov </w:t>
      </w:r>
      <w:r w:rsidRPr="00CE6351" w:rsidR="00E4791F">
        <w:rPr>
          <w:rFonts w:ascii="Book Antiqua" w:hAnsi="Book Antiqua"/>
          <w:sz w:val="22"/>
          <w:szCs w:val="22"/>
        </w:rPr>
        <w:t>(ďal</w:t>
      </w:r>
      <w:r w:rsidRPr="00CE6351" w:rsidR="0046450F">
        <w:rPr>
          <w:rFonts w:ascii="Book Antiqua" w:hAnsi="Book Antiqua"/>
          <w:sz w:val="22"/>
          <w:szCs w:val="22"/>
        </w:rPr>
        <w:t>ej</w:t>
      </w:r>
      <w:r>
        <w:rPr>
          <w:rFonts w:ascii="Book Antiqua" w:hAnsi="Book Antiqua"/>
          <w:sz w:val="22"/>
          <w:szCs w:val="22"/>
        </w:rPr>
        <w:t xml:space="preserve"> len „návrh zákona“) predkladajú poslan</w:t>
      </w:r>
      <w:r w:rsidR="001960DF">
        <w:rPr>
          <w:rFonts w:ascii="Book Antiqua" w:hAnsi="Book Antiqua"/>
          <w:sz w:val="22"/>
          <w:szCs w:val="22"/>
        </w:rPr>
        <w:t>c</w:t>
      </w:r>
      <w:r>
        <w:rPr>
          <w:rFonts w:ascii="Book Antiqua" w:hAnsi="Book Antiqua"/>
          <w:sz w:val="22"/>
          <w:szCs w:val="22"/>
        </w:rPr>
        <w:t>i</w:t>
      </w:r>
      <w:r w:rsidRPr="00CE6351" w:rsidR="00E4791F">
        <w:rPr>
          <w:rFonts w:ascii="Book Antiqua" w:hAnsi="Book Antiqua"/>
          <w:sz w:val="22"/>
          <w:szCs w:val="22"/>
        </w:rPr>
        <w:t xml:space="preserve"> Národnej rady Slovenskej republiky (NR SR) </w:t>
      </w:r>
      <w:r>
        <w:rPr>
          <w:rFonts w:ascii="Book Antiqua" w:hAnsi="Book Antiqua"/>
          <w:sz w:val="22"/>
          <w:szCs w:val="22"/>
        </w:rPr>
        <w:t>Ján Budaj, Viera Dubačová a Oto Žarnay.</w:t>
      </w:r>
    </w:p>
    <w:p w:rsidR="001965B1" w:rsidRPr="00CE6351" w:rsidP="003F18BA">
      <w:pPr>
        <w:pStyle w:val="NormalWeb"/>
        <w:bidi w:val="0"/>
        <w:spacing w:before="120" w:beforeAutospacing="0" w:after="0" w:afterAutospacing="0" w:line="276" w:lineRule="auto"/>
        <w:ind w:firstLine="708"/>
        <w:jc w:val="both"/>
        <w:rPr>
          <w:rFonts w:ascii="Book Antiqua" w:hAnsi="Book Antiqua"/>
          <w:sz w:val="22"/>
          <w:szCs w:val="22"/>
        </w:rPr>
      </w:pPr>
      <w:r w:rsidRPr="00CE6351">
        <w:rPr>
          <w:rFonts w:ascii="Book Antiqua" w:hAnsi="Book Antiqua"/>
          <w:sz w:val="22"/>
          <w:szCs w:val="22"/>
        </w:rPr>
        <w:t xml:space="preserve">Ochrana detí a mladistvých pred rizikom závislosti na hazardných hrách, </w:t>
      </w:r>
      <w:r w:rsidRPr="00CE6351" w:rsidR="007D3369">
        <w:rPr>
          <w:rFonts w:ascii="Book Antiqua" w:hAnsi="Book Antiqua"/>
          <w:sz w:val="22"/>
          <w:szCs w:val="22"/>
        </w:rPr>
        <w:t>zamedzenie ľahkého prístupu k hazardným hrám alebo akéhokoľvek iného častého kontaktu s nimi,</w:t>
      </w:r>
      <w:r w:rsidRPr="00CE6351" w:rsidR="00AA6788">
        <w:rPr>
          <w:rFonts w:ascii="Book Antiqua" w:hAnsi="Book Antiqua"/>
          <w:bCs/>
          <w:color w:val="000000"/>
          <w:sz w:val="22"/>
          <w:szCs w:val="22"/>
        </w:rPr>
        <w:t xml:space="preserve"> či</w:t>
      </w:r>
      <w:r w:rsidRPr="00CE6351">
        <w:rPr>
          <w:rFonts w:ascii="Book Antiqua" w:hAnsi="Book Antiqua"/>
          <w:bCs/>
          <w:color w:val="000000"/>
          <w:sz w:val="22"/>
          <w:szCs w:val="22"/>
        </w:rPr>
        <w:t> snaha odstrániť nežiaduce vplyvy s tým spojené</w:t>
      </w:r>
      <w:r w:rsidRPr="00CE6351" w:rsidR="007D3369">
        <w:rPr>
          <w:rFonts w:ascii="Book Antiqua" w:hAnsi="Book Antiqua"/>
          <w:bCs/>
          <w:color w:val="000000"/>
          <w:sz w:val="22"/>
          <w:szCs w:val="22"/>
        </w:rPr>
        <w:t>,</w:t>
      </w:r>
      <w:r w:rsidRPr="00CE6351" w:rsidR="00AA6788">
        <w:rPr>
          <w:rFonts w:ascii="Book Antiqua" w:hAnsi="Book Antiqua"/>
          <w:bCs/>
          <w:color w:val="000000"/>
          <w:sz w:val="22"/>
          <w:szCs w:val="22"/>
        </w:rPr>
        <w:t xml:space="preserve"> sa dajú označiť za </w:t>
      </w:r>
      <w:r w:rsidRPr="00CE6351" w:rsidR="008223D6">
        <w:rPr>
          <w:rFonts w:ascii="Book Antiqua" w:hAnsi="Book Antiqua"/>
          <w:bCs/>
          <w:color w:val="000000"/>
          <w:sz w:val="22"/>
          <w:szCs w:val="22"/>
        </w:rPr>
        <w:t>priority</w:t>
      </w:r>
      <w:r w:rsidRPr="00CE6351" w:rsidR="00AA6788">
        <w:rPr>
          <w:rFonts w:ascii="Book Antiqua" w:hAnsi="Book Antiqua"/>
          <w:bCs/>
          <w:color w:val="000000"/>
          <w:sz w:val="22"/>
          <w:szCs w:val="22"/>
        </w:rPr>
        <w:t xml:space="preserve"> rezonujúce v dnešnej spoločnosti v súvislosti s problematikou hazardných hier. </w:t>
      </w:r>
    </w:p>
    <w:p w:rsidR="00AA6788" w:rsidRPr="00CE6351" w:rsidP="00CE6351">
      <w:pPr>
        <w:pStyle w:val="NormalWeb"/>
        <w:bidi w:val="0"/>
        <w:spacing w:before="120" w:beforeAutospacing="0" w:after="0" w:afterAutospacing="0" w:line="276" w:lineRule="auto"/>
        <w:ind w:firstLine="708"/>
        <w:jc w:val="both"/>
        <w:rPr>
          <w:rFonts w:ascii="Book Antiqua" w:hAnsi="Book Antiqua"/>
          <w:sz w:val="22"/>
          <w:szCs w:val="22"/>
        </w:rPr>
      </w:pPr>
      <w:r w:rsidRPr="00CE6351">
        <w:rPr>
          <w:rFonts w:ascii="Book Antiqua" w:hAnsi="Book Antiqua"/>
          <w:sz w:val="22"/>
          <w:szCs w:val="22"/>
        </w:rPr>
        <w:t xml:space="preserve">Na základe poznatkov </w:t>
      </w:r>
      <w:r w:rsidR="00CE6351">
        <w:rPr>
          <w:rFonts w:ascii="Book Antiqua" w:hAnsi="Book Antiqua"/>
          <w:sz w:val="22"/>
          <w:szCs w:val="22"/>
        </w:rPr>
        <w:t>z praxe patria</w:t>
      </w:r>
      <w:r w:rsidRPr="00CE6351">
        <w:rPr>
          <w:rFonts w:ascii="Book Antiqua" w:hAnsi="Book Antiqua"/>
          <w:sz w:val="22"/>
          <w:szCs w:val="22"/>
        </w:rPr>
        <w:t xml:space="preserve"> medzi</w:t>
      </w:r>
      <w:r w:rsidRPr="00CE6351" w:rsidR="00E22973">
        <w:rPr>
          <w:rFonts w:ascii="Book Antiqua" w:hAnsi="Book Antiqua"/>
          <w:sz w:val="22"/>
          <w:szCs w:val="22"/>
        </w:rPr>
        <w:t xml:space="preserve"> hlavné</w:t>
      </w:r>
      <w:r w:rsidRPr="00CE6351">
        <w:rPr>
          <w:rFonts w:ascii="Book Antiqua" w:hAnsi="Book Antiqua"/>
          <w:sz w:val="22"/>
          <w:szCs w:val="22"/>
        </w:rPr>
        <w:t xml:space="preserve"> ciele predkladaného návrhu zákona:</w:t>
      </w:r>
    </w:p>
    <w:p w:rsidR="00E22973" w:rsidRPr="00CE6351" w:rsidP="00CE6351">
      <w:pPr>
        <w:pStyle w:val="NormalWeb"/>
        <w:numPr>
          <w:numId w:val="26"/>
        </w:numPr>
        <w:bidi w:val="0"/>
        <w:spacing w:before="120" w:beforeAutospacing="0" w:after="0" w:afterAutospacing="0" w:line="276" w:lineRule="auto"/>
        <w:jc w:val="both"/>
        <w:rPr>
          <w:rFonts w:ascii="Book Antiqua" w:hAnsi="Book Antiqua"/>
          <w:sz w:val="22"/>
          <w:szCs w:val="22"/>
        </w:rPr>
      </w:pPr>
      <w:r w:rsidR="001960DF">
        <w:rPr>
          <w:rFonts w:ascii="Book Antiqua" w:hAnsi="Book Antiqua"/>
          <w:sz w:val="22"/>
          <w:szCs w:val="22"/>
        </w:rPr>
        <w:t xml:space="preserve">umožniť obecným zastupiteľstvám, aby mohli </w:t>
      </w:r>
      <w:r w:rsidRPr="00CE6351">
        <w:rPr>
          <w:rFonts w:ascii="Book Antiqua" w:hAnsi="Book Antiqua"/>
          <w:sz w:val="22"/>
          <w:szCs w:val="22"/>
        </w:rPr>
        <w:t xml:space="preserve">všeobecne záväzným nariadením </w:t>
      </w:r>
      <w:r w:rsidR="001960DF">
        <w:rPr>
          <w:rFonts w:ascii="Book Antiqua" w:hAnsi="Book Antiqua"/>
          <w:sz w:val="22"/>
          <w:szCs w:val="22"/>
        </w:rPr>
        <w:t xml:space="preserve">obce </w:t>
      </w:r>
      <w:r w:rsidRPr="00CE6351">
        <w:rPr>
          <w:rFonts w:ascii="Book Antiqua" w:hAnsi="Book Antiqua"/>
          <w:sz w:val="22"/>
          <w:szCs w:val="22"/>
        </w:rPr>
        <w:t xml:space="preserve">zakázať prevádzkovanie </w:t>
      </w:r>
      <w:r w:rsidRPr="00CE6351">
        <w:rPr>
          <w:rFonts w:ascii="Book Antiqua" w:hAnsi="Book Antiqua"/>
          <w:b/>
          <w:sz w:val="22"/>
          <w:szCs w:val="22"/>
        </w:rPr>
        <w:t>len niektorých hazardných hier</w:t>
      </w:r>
      <w:r w:rsidRPr="00CE6351">
        <w:rPr>
          <w:rFonts w:ascii="Book Antiqua" w:hAnsi="Book Antiqua"/>
          <w:sz w:val="22"/>
          <w:szCs w:val="22"/>
        </w:rPr>
        <w:t xml:space="preserve"> (podľa súčasnej právnej úpravy je totiž možné zakázať prevádzkovanie buď všetkých</w:t>
      </w:r>
      <w:r w:rsidR="001960DF">
        <w:rPr>
          <w:rFonts w:ascii="Book Antiqua" w:hAnsi="Book Antiqua"/>
          <w:sz w:val="22"/>
          <w:szCs w:val="22"/>
        </w:rPr>
        <w:t>,</w:t>
      </w:r>
      <w:r w:rsidRPr="00CE6351">
        <w:rPr>
          <w:rFonts w:ascii="Book Antiqua" w:hAnsi="Book Antiqua"/>
          <w:sz w:val="22"/>
          <w:szCs w:val="22"/>
        </w:rPr>
        <w:t xml:space="preserve"> alebo ani jedne</w:t>
      </w:r>
      <w:r w:rsidR="001960DF">
        <w:rPr>
          <w:rFonts w:ascii="Book Antiqua" w:hAnsi="Book Antiqua"/>
          <w:sz w:val="22"/>
          <w:szCs w:val="22"/>
        </w:rPr>
        <w:t>j z uvedených  hazardných hier),</w:t>
      </w:r>
    </w:p>
    <w:p w:rsidR="001960DF" w:rsidP="00CE6351">
      <w:pPr>
        <w:pStyle w:val="NormalWeb"/>
        <w:numPr>
          <w:numId w:val="26"/>
        </w:numPr>
        <w:bidi w:val="0"/>
        <w:spacing w:before="120" w:beforeAutospacing="0" w:after="0" w:afterAutospacing="0" w:line="276" w:lineRule="auto"/>
        <w:jc w:val="both"/>
        <w:rPr>
          <w:rFonts w:ascii="Book Antiqua" w:hAnsi="Book Antiqua"/>
          <w:sz w:val="22"/>
          <w:szCs w:val="22"/>
        </w:rPr>
      </w:pPr>
      <w:r w:rsidRPr="00CE6351" w:rsidR="007D11C6">
        <w:rPr>
          <w:rFonts w:ascii="Book Antiqua" w:hAnsi="Book Antiqua"/>
          <w:sz w:val="22"/>
          <w:szCs w:val="22"/>
        </w:rPr>
        <w:t>umožniť</w:t>
      </w:r>
      <w:r>
        <w:rPr>
          <w:rFonts w:ascii="Book Antiqua" w:hAnsi="Book Antiqua"/>
          <w:sz w:val="22"/>
          <w:szCs w:val="22"/>
        </w:rPr>
        <w:t xml:space="preserve"> obecným zastupiteľstvám</w:t>
      </w:r>
      <w:r w:rsidRPr="00CE6351" w:rsidR="007D11C6">
        <w:rPr>
          <w:rFonts w:ascii="Book Antiqua" w:hAnsi="Book Antiqua"/>
          <w:sz w:val="22"/>
          <w:szCs w:val="22"/>
        </w:rPr>
        <w:t xml:space="preserve">, </w:t>
      </w:r>
      <w:r>
        <w:rPr>
          <w:rFonts w:ascii="Book Antiqua" w:hAnsi="Book Antiqua"/>
          <w:sz w:val="22"/>
          <w:szCs w:val="22"/>
        </w:rPr>
        <w:t xml:space="preserve">aby mohli všeobecne záväzným nariadením obce zakázať prevádzkovanie hazardných hier </w:t>
      </w:r>
      <w:r w:rsidRPr="001960DF">
        <w:rPr>
          <w:rFonts w:ascii="Book Antiqua" w:hAnsi="Book Antiqua"/>
          <w:b/>
          <w:sz w:val="22"/>
          <w:szCs w:val="22"/>
        </w:rPr>
        <w:t>aj v jednotlivých častiach obce</w:t>
      </w:r>
      <w:r>
        <w:rPr>
          <w:rFonts w:ascii="Book Antiqua" w:hAnsi="Book Antiqua"/>
          <w:sz w:val="22"/>
          <w:szCs w:val="22"/>
        </w:rPr>
        <w:t xml:space="preserve"> (</w:t>
      </w:r>
      <w:r w:rsidRPr="00CE6351">
        <w:rPr>
          <w:rFonts w:ascii="Book Antiqua" w:hAnsi="Book Antiqua"/>
          <w:sz w:val="22"/>
          <w:szCs w:val="22"/>
        </w:rPr>
        <w:t xml:space="preserve">podľa súčasnej právnej úpravy je totiž možné zakázať prevádzkovanie </w:t>
      </w:r>
      <w:r>
        <w:rPr>
          <w:rFonts w:ascii="Book Antiqua" w:hAnsi="Book Antiqua"/>
          <w:sz w:val="22"/>
          <w:szCs w:val="22"/>
        </w:rPr>
        <w:t>buď na celom území obce, alebo nikde)</w:t>
      </w:r>
    </w:p>
    <w:p w:rsidR="001960DF" w:rsidP="00CE6351">
      <w:pPr>
        <w:pStyle w:val="NormalWeb"/>
        <w:numPr>
          <w:numId w:val="26"/>
        </w:numPr>
        <w:bidi w:val="0"/>
        <w:spacing w:before="120" w:beforeAutospacing="0" w:after="0" w:afterAutospacing="0" w:line="276" w:lineRule="auto"/>
        <w:jc w:val="both"/>
        <w:rPr>
          <w:rFonts w:ascii="Book Antiqua" w:hAnsi="Book Antiqua"/>
          <w:sz w:val="22"/>
          <w:szCs w:val="22"/>
        </w:rPr>
      </w:pPr>
      <w:r w:rsidRPr="00CE6351" w:rsidR="00045A73">
        <w:rPr>
          <w:rFonts w:ascii="Book Antiqua" w:hAnsi="Book Antiqua"/>
          <w:sz w:val="22"/>
          <w:szCs w:val="22"/>
        </w:rPr>
        <w:t>umožniť</w:t>
      </w:r>
      <w:r w:rsidR="00045A73">
        <w:rPr>
          <w:rFonts w:ascii="Book Antiqua" w:hAnsi="Book Antiqua"/>
          <w:sz w:val="22"/>
          <w:szCs w:val="22"/>
        </w:rPr>
        <w:t xml:space="preserve"> obecným zastupiteľstvám</w:t>
      </w:r>
      <w:r w:rsidRPr="00CE6351" w:rsidR="00045A73">
        <w:rPr>
          <w:rFonts w:ascii="Book Antiqua" w:hAnsi="Book Antiqua"/>
          <w:sz w:val="22"/>
          <w:szCs w:val="22"/>
        </w:rPr>
        <w:t xml:space="preserve">, </w:t>
      </w:r>
      <w:r w:rsidR="00045A73">
        <w:rPr>
          <w:rFonts w:ascii="Book Antiqua" w:hAnsi="Book Antiqua"/>
          <w:sz w:val="22"/>
          <w:szCs w:val="22"/>
        </w:rPr>
        <w:t xml:space="preserve">aby mohli všeobecne záväzným nariadením obce zakázať prevádzkovanie hazardných hier </w:t>
      </w:r>
      <w:r w:rsidRPr="00045A73" w:rsidR="00045A73">
        <w:rPr>
          <w:rFonts w:ascii="Book Antiqua" w:hAnsi="Book Antiqua"/>
          <w:b/>
          <w:sz w:val="22"/>
          <w:szCs w:val="22"/>
        </w:rPr>
        <w:t>aj bez to</w:t>
      </w:r>
      <w:r w:rsidR="004B30E8">
        <w:rPr>
          <w:rFonts w:ascii="Book Antiqua" w:hAnsi="Book Antiqua"/>
          <w:b/>
          <w:sz w:val="22"/>
          <w:szCs w:val="22"/>
        </w:rPr>
        <w:t>ho</w:t>
      </w:r>
      <w:r w:rsidRPr="00045A73" w:rsidR="00045A73">
        <w:rPr>
          <w:rFonts w:ascii="Book Antiqua" w:hAnsi="Book Antiqua"/>
          <w:b/>
          <w:sz w:val="22"/>
          <w:szCs w:val="22"/>
        </w:rPr>
        <w:t xml:space="preserve">, aby 30% obyvateľov obce starších ako 18 rokov veku </w:t>
      </w:r>
      <w:r w:rsidR="004B30E8">
        <w:rPr>
          <w:rFonts w:ascii="Book Antiqua" w:hAnsi="Book Antiqua"/>
          <w:b/>
          <w:sz w:val="22"/>
          <w:szCs w:val="22"/>
        </w:rPr>
        <w:t>podpísalo</w:t>
      </w:r>
      <w:r w:rsidRPr="00045A73" w:rsidR="00045A73">
        <w:rPr>
          <w:rFonts w:ascii="Book Antiqua" w:hAnsi="Book Antiqua"/>
          <w:b/>
          <w:sz w:val="22"/>
          <w:szCs w:val="22"/>
        </w:rPr>
        <w:t xml:space="preserve"> petíciu</w:t>
      </w:r>
      <w:r w:rsidR="00045A73">
        <w:rPr>
          <w:rFonts w:ascii="Book Antiqua" w:hAnsi="Book Antiqua"/>
          <w:sz w:val="22"/>
          <w:szCs w:val="22"/>
        </w:rPr>
        <w:t xml:space="preserve">, ktorou sa sťažujú, že sa v obci narúša verejný poriadok v súvislosti s hraním hazardných hier. </w:t>
      </w:r>
    </w:p>
    <w:p w:rsidR="00447133" w:rsidRPr="00CE6351" w:rsidP="00CE6351">
      <w:pPr>
        <w:pStyle w:val="c01pointnumerotealtn"/>
        <w:bidi w:val="0"/>
        <w:spacing w:before="120" w:beforeAutospacing="0" w:after="0" w:line="276" w:lineRule="auto"/>
        <w:ind w:left="0" w:firstLine="708"/>
        <w:rPr>
          <w:rFonts w:ascii="Book Antiqua" w:hAnsi="Book Antiqua"/>
          <w:sz w:val="22"/>
          <w:szCs w:val="22"/>
        </w:rPr>
      </w:pPr>
      <w:r w:rsidR="00CE6351">
        <w:rPr>
          <w:rFonts w:ascii="Book Antiqua" w:hAnsi="Book Antiqua"/>
          <w:sz w:val="22"/>
          <w:szCs w:val="22"/>
        </w:rPr>
        <w:t>N</w:t>
      </w:r>
      <w:r w:rsidRPr="00CE6351" w:rsidR="001515CA">
        <w:rPr>
          <w:rFonts w:ascii="Book Antiqua" w:hAnsi="Book Antiqua"/>
          <w:sz w:val="22"/>
          <w:szCs w:val="22"/>
        </w:rPr>
        <w:t>ávrh zákona</w:t>
      </w:r>
      <w:r w:rsidRPr="00CE6351">
        <w:rPr>
          <w:rFonts w:ascii="Book Antiqua" w:hAnsi="Book Antiqua"/>
          <w:sz w:val="22"/>
          <w:szCs w:val="22"/>
        </w:rPr>
        <w:t xml:space="preserve"> vyvoláva </w:t>
      </w:r>
      <w:r w:rsidRPr="00CE6351" w:rsidR="00CB4D7E">
        <w:rPr>
          <w:rFonts w:ascii="Book Antiqua" w:hAnsi="Book Antiqua"/>
          <w:sz w:val="22"/>
          <w:szCs w:val="22"/>
        </w:rPr>
        <w:t>pozitívne sociálne vply</w:t>
      </w:r>
      <w:r w:rsidR="00CE6351">
        <w:rPr>
          <w:rFonts w:ascii="Book Antiqua" w:hAnsi="Book Antiqua"/>
          <w:sz w:val="22"/>
          <w:szCs w:val="22"/>
        </w:rPr>
        <w:t xml:space="preserve">vy spočívajúce </w:t>
      </w:r>
      <w:r w:rsidRPr="00CE6351" w:rsidR="00CB4D7E">
        <w:rPr>
          <w:rFonts w:ascii="Book Antiqua" w:hAnsi="Book Antiqua"/>
          <w:sz w:val="22"/>
          <w:szCs w:val="22"/>
        </w:rPr>
        <w:t>v možnosti obcí a ich obyvateľov účinnejšie bojovať proti ne</w:t>
      </w:r>
      <w:r w:rsidR="00CE6351">
        <w:rPr>
          <w:rFonts w:ascii="Book Antiqua" w:hAnsi="Book Antiqua"/>
          <w:sz w:val="22"/>
          <w:szCs w:val="22"/>
        </w:rPr>
        <w:t xml:space="preserve">žiaducim vplyvom spojeným </w:t>
      </w:r>
      <w:r w:rsidRPr="00CE6351" w:rsidR="00CB4D7E">
        <w:rPr>
          <w:rFonts w:ascii="Book Antiqua" w:hAnsi="Book Antiqua"/>
          <w:sz w:val="22"/>
          <w:szCs w:val="22"/>
        </w:rPr>
        <w:t>s prevádzkovaním hazardných hier na ic</w:t>
      </w:r>
      <w:r w:rsidRPr="00CE6351" w:rsidR="004464C1">
        <w:rPr>
          <w:rFonts w:ascii="Book Antiqua" w:hAnsi="Book Antiqua"/>
          <w:sz w:val="22"/>
          <w:szCs w:val="22"/>
        </w:rPr>
        <w:t xml:space="preserve">h území, čo však naopak zakladá </w:t>
      </w:r>
      <w:r w:rsidRPr="00CE6351" w:rsidR="00CB4D7E">
        <w:rPr>
          <w:rFonts w:ascii="Book Antiqua" w:hAnsi="Book Antiqua"/>
          <w:sz w:val="22"/>
          <w:szCs w:val="22"/>
        </w:rPr>
        <w:t>negatívne vplyvy na podnikateľské prostredie</w:t>
      </w:r>
      <w:r w:rsidR="00045A73">
        <w:rPr>
          <w:rFonts w:ascii="Book Antiqua" w:hAnsi="Book Antiqua"/>
          <w:sz w:val="22"/>
          <w:szCs w:val="22"/>
        </w:rPr>
        <w:t xml:space="preserve"> prevádzkovateľov hazardných hier</w:t>
      </w:r>
      <w:r w:rsidRPr="00CE6351" w:rsidR="00CB4D7E">
        <w:rPr>
          <w:rFonts w:ascii="Book Antiqua" w:hAnsi="Book Antiqua"/>
          <w:sz w:val="22"/>
          <w:szCs w:val="22"/>
        </w:rPr>
        <w:t xml:space="preserve">. </w:t>
      </w:r>
      <w:r w:rsidR="004B30E8">
        <w:rPr>
          <w:rFonts w:ascii="Book Antiqua" w:hAnsi="Book Antiqua"/>
          <w:sz w:val="22"/>
          <w:szCs w:val="22"/>
        </w:rPr>
        <w:t xml:space="preserve">Negatívny vplyv na rozpočet verejnej správy nie je možné vyčísliť, nakoľko nie je jasné, koľko obcí a v akom rozsahu sa rozhodne prijať všeobecne záväzné nariadenia, regulujúce hazardné hry. Pozitívny vplyv na rozpočet verejnej správy taktiež nie je možné vyčísliť, keďže náklady na prevádzku sociálnych služieb pre osoby, postihnuté gamblerstvom (patologickým hráčstvom) nie sú samostatne evidované, a tak nie je možné vyčísliť úsporu na týchto výdavkoch. </w:t>
      </w:r>
      <w:r w:rsidR="00CE6351">
        <w:rPr>
          <w:rFonts w:ascii="Book Antiqua" w:hAnsi="Book Antiqua"/>
          <w:sz w:val="22"/>
          <w:szCs w:val="22"/>
        </w:rPr>
        <w:t>Návrh zákona nemá vplyv na životné prostredie ani na informatizáciu spoločnosti.</w:t>
      </w:r>
    </w:p>
    <w:p w:rsidR="001515CA" w:rsidRPr="00CE6351" w:rsidP="00CE6351">
      <w:pPr>
        <w:pStyle w:val="NormalWeb"/>
        <w:bidi w:val="0"/>
        <w:spacing w:before="120" w:beforeAutospacing="0" w:after="0" w:afterAutospacing="0" w:line="276" w:lineRule="auto"/>
        <w:ind w:firstLine="708"/>
        <w:jc w:val="both"/>
        <w:rPr>
          <w:rFonts w:ascii="Book Antiqua" w:hAnsi="Book Antiqua"/>
          <w:sz w:val="22"/>
          <w:szCs w:val="22"/>
        </w:rPr>
      </w:pPr>
      <w:r w:rsidRPr="00CE6351">
        <w:rPr>
          <w:rFonts w:ascii="Book Antiqua" w:hAnsi="Book Antiqua"/>
          <w:sz w:val="22"/>
          <w:szCs w:val="22"/>
        </w:rPr>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 </w:t>
      </w:r>
    </w:p>
    <w:p w:rsidR="007D13C4" w:rsidRPr="00CE6351" w:rsidP="00CE6351">
      <w:pPr>
        <w:pStyle w:val="NormalWeb"/>
        <w:bidi w:val="0"/>
        <w:spacing w:before="120" w:beforeAutospacing="0" w:after="0" w:afterAutospacing="0" w:line="276" w:lineRule="auto"/>
        <w:jc w:val="center"/>
        <w:rPr>
          <w:rFonts w:ascii="Book Antiqua" w:hAnsi="Book Antiqua"/>
          <w:b/>
          <w:bCs/>
          <w:caps/>
          <w:spacing w:val="30"/>
          <w:sz w:val="22"/>
          <w:szCs w:val="22"/>
        </w:rPr>
      </w:pPr>
    </w:p>
    <w:p w:rsidR="000A39E6" w:rsidRPr="00CE6351" w:rsidP="00CE6351">
      <w:pPr>
        <w:pStyle w:val="NormalWeb"/>
        <w:bidi w:val="0"/>
        <w:spacing w:before="120" w:beforeAutospacing="0" w:after="0" w:afterAutospacing="0" w:line="276" w:lineRule="auto"/>
        <w:jc w:val="center"/>
        <w:rPr>
          <w:rFonts w:ascii="Book Antiqua" w:hAnsi="Book Antiqua"/>
          <w:b/>
          <w:bCs/>
          <w:caps/>
          <w:spacing w:val="30"/>
          <w:sz w:val="22"/>
          <w:szCs w:val="22"/>
        </w:rPr>
      </w:pPr>
    </w:p>
    <w:p w:rsidR="007D3369" w:rsidRPr="00CE6351" w:rsidP="00CE6351">
      <w:pPr>
        <w:pStyle w:val="NormalWeb"/>
        <w:bidi w:val="0"/>
        <w:spacing w:before="120" w:beforeAutospacing="0" w:after="0" w:afterAutospacing="0" w:line="276" w:lineRule="auto"/>
        <w:jc w:val="both"/>
        <w:rPr>
          <w:rFonts w:ascii="Book Antiqua" w:hAnsi="Book Antiqua"/>
          <w:b/>
          <w:bCs/>
          <w:sz w:val="22"/>
          <w:szCs w:val="22"/>
        </w:rPr>
      </w:pPr>
    </w:p>
    <w:p w:rsidR="00DA2963"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b/>
          <w:bCs/>
          <w:sz w:val="22"/>
          <w:szCs w:val="22"/>
        </w:rPr>
        <w:t>B. Osobitná časť</w:t>
      </w:r>
    </w:p>
    <w:p w:rsidR="00DA2963" w:rsidRPr="00CE6351" w:rsidP="00CE6351">
      <w:pPr>
        <w:pStyle w:val="NormalWeb"/>
        <w:bidi w:val="0"/>
        <w:spacing w:before="120" w:beforeAutospacing="0" w:after="0" w:afterAutospacing="0" w:line="276" w:lineRule="auto"/>
        <w:jc w:val="both"/>
        <w:rPr>
          <w:rFonts w:ascii="Book Antiqua" w:hAnsi="Book Antiqua"/>
          <w:sz w:val="22"/>
          <w:szCs w:val="22"/>
        </w:rPr>
      </w:pPr>
    </w:p>
    <w:p w:rsidR="00DA2963" w:rsidRPr="00CE6351" w:rsidP="00CE6351">
      <w:pPr>
        <w:pStyle w:val="NormalWeb"/>
        <w:bidi w:val="0"/>
        <w:spacing w:before="120" w:beforeAutospacing="0" w:after="0" w:afterAutospacing="0" w:line="276" w:lineRule="auto"/>
        <w:jc w:val="both"/>
        <w:rPr>
          <w:rFonts w:ascii="Book Antiqua" w:hAnsi="Book Antiqua"/>
          <w:b/>
          <w:bCs/>
          <w:sz w:val="22"/>
          <w:szCs w:val="22"/>
        </w:rPr>
      </w:pPr>
      <w:r w:rsidRPr="00CE6351">
        <w:rPr>
          <w:rFonts w:ascii="Book Antiqua" w:hAnsi="Book Antiqua"/>
          <w:b/>
          <w:bCs/>
          <w:sz w:val="22"/>
          <w:szCs w:val="22"/>
        </w:rPr>
        <w:t>K Čl. I</w:t>
      </w:r>
    </w:p>
    <w:p w:rsidR="00CD0F7F" w:rsidRPr="00CE6351" w:rsidP="00CE6351">
      <w:pPr>
        <w:pStyle w:val="NormalWeb"/>
        <w:bidi w:val="0"/>
        <w:spacing w:before="120" w:beforeAutospacing="0" w:after="0" w:afterAutospacing="0" w:line="276" w:lineRule="auto"/>
        <w:jc w:val="both"/>
        <w:rPr>
          <w:rFonts w:ascii="Book Antiqua" w:hAnsi="Book Antiqua"/>
          <w:bCs/>
          <w:sz w:val="22"/>
          <w:szCs w:val="22"/>
          <w:u w:val="single"/>
        </w:rPr>
      </w:pPr>
      <w:r w:rsidRPr="00CE6351">
        <w:rPr>
          <w:rFonts w:ascii="Book Antiqua" w:hAnsi="Book Antiqua"/>
          <w:bCs/>
          <w:sz w:val="22"/>
          <w:szCs w:val="22"/>
          <w:u w:val="single"/>
        </w:rPr>
        <w:t>K bodu 1</w:t>
      </w:r>
    </w:p>
    <w:p w:rsidR="004A1213"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sidR="00965A4D">
        <w:rPr>
          <w:rFonts w:ascii="Book Antiqua" w:hAnsi="Book Antiqua"/>
          <w:bCs/>
          <w:sz w:val="22"/>
          <w:szCs w:val="22"/>
        </w:rPr>
        <w:t xml:space="preserve">Možnosť obce vydať všeobecne záväzné nariadenie v oblasti prevádzkovania hazardných hier bola do zákona č. </w:t>
      </w:r>
      <w:r w:rsidRPr="00CE6351" w:rsidR="00965A4D">
        <w:rPr>
          <w:rFonts w:ascii="Book Antiqua" w:hAnsi="Book Antiqua"/>
          <w:sz w:val="22"/>
          <w:szCs w:val="22"/>
        </w:rPr>
        <w:t xml:space="preserve">171/2005 Z. z. o hazardných hrách a o zmene a doplnení niektorých zákonov v znení neskorších predpisov (ďalej len „zákon“) zapracovaná prijatím novely zákona č. 439/2012 Z. z. účinnej od 1. januára 2013. Prax však ukazuje, že prijatá právna norma má niekoľko nedostatkov, ktoré zabraňujú efektívnemu regulovaniu spoločenských vzťahov v oblasti hazardných hier, najmä ochranu detí a mladistvých pred vznikom </w:t>
      </w:r>
      <w:r w:rsidRPr="00CE6351" w:rsidR="004C4BCB">
        <w:rPr>
          <w:rFonts w:ascii="Book Antiqua" w:hAnsi="Book Antiqua"/>
          <w:sz w:val="22"/>
          <w:szCs w:val="22"/>
        </w:rPr>
        <w:t>závislosti na hazardných hrách a nelegál</w:t>
      </w:r>
      <w:r w:rsidRPr="00CE6351" w:rsidR="008223D6">
        <w:rPr>
          <w:rFonts w:ascii="Book Antiqua" w:hAnsi="Book Antiqua"/>
          <w:sz w:val="22"/>
          <w:szCs w:val="22"/>
        </w:rPr>
        <w:t>n</w:t>
      </w:r>
      <w:r w:rsidRPr="00CE6351" w:rsidR="004C4BCB">
        <w:rPr>
          <w:rFonts w:ascii="Book Antiqua" w:hAnsi="Book Antiqua"/>
          <w:sz w:val="22"/>
          <w:szCs w:val="22"/>
        </w:rPr>
        <w:t>ej až trestnej činnosti</w:t>
      </w:r>
      <w:r w:rsidRPr="00CE6351" w:rsidR="008223D6">
        <w:rPr>
          <w:rFonts w:ascii="Book Antiqua" w:hAnsi="Book Antiqua"/>
          <w:sz w:val="22"/>
          <w:szCs w:val="22"/>
        </w:rPr>
        <w:t xml:space="preserve"> s tým súvisiacej</w:t>
      </w:r>
      <w:r w:rsidRPr="00CE6351" w:rsidR="004C4BCB">
        <w:rPr>
          <w:rFonts w:ascii="Book Antiqua" w:hAnsi="Book Antiqua"/>
          <w:sz w:val="22"/>
          <w:szCs w:val="22"/>
        </w:rPr>
        <w:t>.</w:t>
      </w:r>
    </w:p>
    <w:p w:rsidR="00CD0F7F" w:rsidRPr="00CE6351" w:rsidP="00CE6351">
      <w:pPr>
        <w:pStyle w:val="NormalWeb"/>
        <w:bidi w:val="0"/>
        <w:spacing w:before="120" w:beforeAutospacing="0" w:after="0" w:afterAutospacing="0" w:line="276" w:lineRule="auto"/>
        <w:ind w:firstLine="708"/>
        <w:jc w:val="both"/>
        <w:rPr>
          <w:rFonts w:ascii="Book Antiqua" w:hAnsi="Book Antiqua"/>
          <w:bCs/>
          <w:sz w:val="22"/>
          <w:szCs w:val="22"/>
        </w:rPr>
      </w:pPr>
      <w:r w:rsidRPr="00CE6351">
        <w:rPr>
          <w:rFonts w:ascii="Book Antiqua" w:hAnsi="Book Antiqua"/>
          <w:bCs/>
          <w:sz w:val="22"/>
          <w:szCs w:val="22"/>
        </w:rPr>
        <w:t xml:space="preserve">Navrhovanou právnou úpravou </w:t>
      </w:r>
      <w:r w:rsidRPr="00CE6351" w:rsidR="005158ED">
        <w:rPr>
          <w:rFonts w:ascii="Book Antiqua" w:hAnsi="Book Antiqua"/>
          <w:bCs/>
          <w:sz w:val="22"/>
          <w:szCs w:val="22"/>
        </w:rPr>
        <w:t>sa upravuje prevádzkovanie hazardných hier, konkrétne dochádza k týmto zmenám:</w:t>
      </w:r>
    </w:p>
    <w:p w:rsidR="00B45160" w:rsidRPr="00CE6351" w:rsidP="00B45160">
      <w:pPr>
        <w:pStyle w:val="c01pointnumerotealtn"/>
        <w:numPr>
          <w:numId w:val="23"/>
        </w:numPr>
        <w:bidi w:val="0"/>
        <w:spacing w:before="120" w:beforeAutospacing="0" w:after="0" w:line="276" w:lineRule="auto"/>
        <w:rPr>
          <w:rFonts w:ascii="Book Antiqua" w:hAnsi="Book Antiqua"/>
          <w:sz w:val="22"/>
          <w:szCs w:val="22"/>
        </w:rPr>
      </w:pPr>
      <w:r w:rsidRPr="00CE6351">
        <w:rPr>
          <w:rFonts w:ascii="Book Antiqua" w:hAnsi="Book Antiqua"/>
          <w:sz w:val="22"/>
          <w:szCs w:val="22"/>
        </w:rPr>
        <w:t>určuje sa, že všeobecne záväzným nariadením sa bude môcť zakázať prevádzkovanie len niektorých hazardných hier; podľa súčasnej právnej úpravy je totiž možné zakázať prevádzkovanie buď všetkých alebo ani jednej z uvedených  hazardných hier</w:t>
      </w:r>
    </w:p>
    <w:p w:rsidR="00B45160" w:rsidP="00B45160">
      <w:pPr>
        <w:pStyle w:val="NormalWeb"/>
        <w:numPr>
          <w:numId w:val="23"/>
        </w:numPr>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 xml:space="preserve">určuje sa, že všeobecne záväzným nariadením sa bude môcť zakázať prevádzkovanie hazardných hier </w:t>
      </w:r>
      <w:r w:rsidRPr="001960DF">
        <w:rPr>
          <w:rFonts w:ascii="Book Antiqua" w:hAnsi="Book Antiqua"/>
          <w:b/>
          <w:sz w:val="22"/>
          <w:szCs w:val="22"/>
        </w:rPr>
        <w:t>aj v jednotlivých častiach obce</w:t>
      </w:r>
      <w:r>
        <w:rPr>
          <w:rFonts w:ascii="Book Antiqua" w:hAnsi="Book Antiqua"/>
          <w:sz w:val="22"/>
          <w:szCs w:val="22"/>
        </w:rPr>
        <w:t xml:space="preserve"> (</w:t>
      </w:r>
      <w:r w:rsidRPr="00CE6351">
        <w:rPr>
          <w:rFonts w:ascii="Book Antiqua" w:hAnsi="Book Antiqua"/>
          <w:sz w:val="22"/>
          <w:szCs w:val="22"/>
        </w:rPr>
        <w:t xml:space="preserve">podľa súčasnej právnej úpravy je totiž možné zakázať prevádzkovanie </w:t>
      </w:r>
      <w:r>
        <w:rPr>
          <w:rFonts w:ascii="Book Antiqua" w:hAnsi="Book Antiqua"/>
          <w:sz w:val="22"/>
          <w:szCs w:val="22"/>
        </w:rPr>
        <w:t>hazardných hier buď na celom území obce, alebo nikde).</w:t>
      </w:r>
    </w:p>
    <w:p w:rsidR="002E3DB0" w:rsidRPr="002E3DB0" w:rsidP="002E3DB0">
      <w:pPr>
        <w:pStyle w:val="c01pointnumerotealtn"/>
        <w:numPr>
          <w:numId w:val="23"/>
        </w:numPr>
        <w:bidi w:val="0"/>
        <w:spacing w:before="120" w:beforeAutospacing="0" w:after="0" w:line="276" w:lineRule="auto"/>
        <w:rPr>
          <w:rFonts w:ascii="Book Antiqua" w:hAnsi="Book Antiqua"/>
          <w:sz w:val="22"/>
          <w:szCs w:val="22"/>
        </w:rPr>
      </w:pPr>
      <w:r w:rsidRPr="00CE6351">
        <w:rPr>
          <w:rFonts w:ascii="Book Antiqua" w:hAnsi="Book Antiqua"/>
          <w:sz w:val="22"/>
          <w:szCs w:val="22"/>
        </w:rPr>
        <w:t>vo všeobecne záväznom nariadení sa určuje lehota (nie kratšia ako 3 mesiace), v ktorej je prevádzkovateľ hazardnej hry povinný skončiť jej prevádzkovanie, a to bez ohľadu na to, či sa skončila platnosť individuálnej licencie na prevádzkovanie hazardnej hry.</w:t>
      </w:r>
    </w:p>
    <w:p w:rsidR="002E3DB0" w:rsidP="002E3DB0">
      <w:pPr>
        <w:pStyle w:val="NormalWeb"/>
        <w:bidi w:val="0"/>
        <w:spacing w:before="120" w:beforeAutospacing="0" w:after="0" w:afterAutospacing="0" w:line="276" w:lineRule="auto"/>
        <w:jc w:val="both"/>
        <w:rPr>
          <w:rFonts w:ascii="Book Antiqua" w:hAnsi="Book Antiqua"/>
          <w:sz w:val="22"/>
          <w:szCs w:val="22"/>
        </w:rPr>
      </w:pPr>
    </w:p>
    <w:p w:rsidR="00B45160" w:rsidRPr="00C71B47" w:rsidP="00C71B47">
      <w:pPr>
        <w:pStyle w:val="NormalWeb"/>
        <w:bidi w:val="0"/>
        <w:spacing w:before="120" w:beforeAutospacing="0" w:after="0" w:afterAutospacing="0" w:line="276" w:lineRule="auto"/>
        <w:ind w:left="360"/>
        <w:jc w:val="both"/>
        <w:rPr>
          <w:rFonts w:ascii="Book Antiqua" w:hAnsi="Book Antiqua"/>
          <w:bCs/>
          <w:sz w:val="22"/>
          <w:szCs w:val="22"/>
          <w:u w:val="single"/>
        </w:rPr>
      </w:pPr>
      <w:r w:rsidR="00C71B47">
        <w:rPr>
          <w:rFonts w:ascii="Book Antiqua" w:hAnsi="Book Antiqua"/>
          <w:bCs/>
          <w:sz w:val="22"/>
          <w:szCs w:val="22"/>
          <w:u w:val="single"/>
        </w:rPr>
        <w:t>K bodu 2</w:t>
      </w:r>
    </w:p>
    <w:p w:rsidR="001662A2" w:rsidRPr="00CE6351" w:rsidP="003E72F1">
      <w:pPr>
        <w:pStyle w:val="c01pointnumerotealtn"/>
        <w:bidi w:val="0"/>
        <w:spacing w:before="120" w:beforeAutospacing="0" w:after="0" w:line="276" w:lineRule="auto"/>
        <w:ind w:left="0" w:firstLine="708"/>
        <w:rPr>
          <w:rFonts w:ascii="Book Antiqua" w:hAnsi="Book Antiqua"/>
          <w:sz w:val="22"/>
          <w:szCs w:val="22"/>
        </w:rPr>
      </w:pPr>
      <w:r w:rsidRPr="00CE6351" w:rsidR="00C35F2D">
        <w:rPr>
          <w:rFonts w:ascii="Book Antiqua" w:hAnsi="Book Antiqua"/>
          <w:sz w:val="22"/>
          <w:szCs w:val="22"/>
        </w:rPr>
        <w:t>Podľa súčasnej právnej úpravy môže obec vydať všeobecne záväz</w:t>
      </w:r>
      <w:r w:rsidRPr="00CE6351" w:rsidR="005E0D99">
        <w:rPr>
          <w:rFonts w:ascii="Book Antiqua" w:hAnsi="Book Antiqua"/>
          <w:sz w:val="22"/>
          <w:szCs w:val="22"/>
        </w:rPr>
        <w:t xml:space="preserve">né nariadenie, ktorým sa zakáže </w:t>
      </w:r>
      <w:r w:rsidRPr="00CE6351" w:rsidR="00C35F2D">
        <w:rPr>
          <w:rFonts w:ascii="Book Antiqua" w:hAnsi="Book Antiqua"/>
          <w:sz w:val="22"/>
          <w:szCs w:val="22"/>
        </w:rPr>
        <w:t>prevádzkovanie všetkých hazardných hier podľa § 2 ods. 3 písm. b), d), e) a i)</w:t>
      </w:r>
      <w:r w:rsidRPr="00CE6351" w:rsidR="005E0D99">
        <w:rPr>
          <w:rFonts w:ascii="Book Antiqua" w:hAnsi="Book Antiqua"/>
          <w:sz w:val="22"/>
          <w:szCs w:val="22"/>
        </w:rPr>
        <w:t>, len na základe petície občanov, ktorú podporilo najmenej 30% obyvateľo</w:t>
      </w:r>
      <w:r w:rsidRPr="00CE6351" w:rsidR="004C4BCB">
        <w:rPr>
          <w:rFonts w:ascii="Book Antiqua" w:hAnsi="Book Antiqua"/>
          <w:sz w:val="22"/>
          <w:szCs w:val="22"/>
        </w:rPr>
        <w:t>v obce</w:t>
      </w:r>
      <w:r>
        <w:rPr>
          <w:rFonts w:ascii="Book Antiqua" w:hAnsi="Book Antiqua"/>
          <w:sz w:val="22"/>
          <w:szCs w:val="22"/>
        </w:rPr>
        <w:t xml:space="preserve"> starších ako 18 rokov</w:t>
      </w:r>
      <w:r w:rsidRPr="00CE6351" w:rsidR="004C4BCB">
        <w:rPr>
          <w:rFonts w:ascii="Book Antiqua" w:hAnsi="Book Antiqua"/>
          <w:sz w:val="22"/>
          <w:szCs w:val="22"/>
        </w:rPr>
        <w:t xml:space="preserve">. Takáto právna úprava </w:t>
      </w:r>
      <w:r w:rsidRPr="00CE6351" w:rsidR="005E0D99">
        <w:rPr>
          <w:rFonts w:ascii="Book Antiqua" w:hAnsi="Book Antiqua"/>
          <w:sz w:val="22"/>
          <w:szCs w:val="22"/>
        </w:rPr>
        <w:t>však v praxi nekorešponduje s odôvodnený</w:t>
      </w:r>
      <w:r w:rsidRPr="00CE6351" w:rsidR="00FA5749">
        <w:rPr>
          <w:rFonts w:ascii="Book Antiqua" w:hAnsi="Book Antiqua"/>
          <w:sz w:val="22"/>
          <w:szCs w:val="22"/>
        </w:rPr>
        <w:t>mi požiadavkami obyvateľov obce a „zväzuje ruky“ obecnému zastupiteľstvu, kt</w:t>
      </w:r>
      <w:r w:rsidRPr="00CE6351" w:rsidR="004C4BCB">
        <w:rPr>
          <w:rFonts w:ascii="Book Antiqua" w:hAnsi="Book Antiqua"/>
          <w:sz w:val="22"/>
          <w:szCs w:val="22"/>
        </w:rPr>
        <w:t>oré hoci chce, tak nemôže z vlastnej iniciatívy konať.</w:t>
      </w:r>
      <w:r>
        <w:rPr>
          <w:rFonts w:ascii="Book Antiqua" w:hAnsi="Book Antiqua"/>
          <w:sz w:val="22"/>
          <w:szCs w:val="22"/>
        </w:rPr>
        <w:t xml:space="preserve"> </w:t>
      </w:r>
      <w:r w:rsidRPr="001614BB">
        <w:rPr>
          <w:rFonts w:ascii="Book Antiqua" w:hAnsi="Book Antiqua"/>
          <w:b/>
          <w:sz w:val="22"/>
          <w:szCs w:val="22"/>
        </w:rPr>
        <w:t>V regulácii žiadneho iného druhu podnikania na území obce nie sú právomoci obecného zastupi</w:t>
      </w:r>
      <w:r w:rsidRPr="001614BB" w:rsidR="00C71B47">
        <w:rPr>
          <w:rFonts w:ascii="Book Antiqua" w:hAnsi="Book Antiqua"/>
          <w:b/>
          <w:sz w:val="22"/>
          <w:szCs w:val="22"/>
        </w:rPr>
        <w:t>teľstva takýmto spôsobom obmedzova</w:t>
      </w:r>
      <w:r w:rsidRPr="001614BB">
        <w:rPr>
          <w:rFonts w:ascii="Book Antiqua" w:hAnsi="Book Antiqua"/>
          <w:b/>
          <w:sz w:val="22"/>
          <w:szCs w:val="22"/>
        </w:rPr>
        <w:t>né –</w:t>
      </w:r>
      <w:r w:rsidR="001614BB">
        <w:rPr>
          <w:rFonts w:ascii="Book Antiqua" w:hAnsi="Book Antiqua"/>
          <w:b/>
          <w:sz w:val="22"/>
          <w:szCs w:val="22"/>
        </w:rPr>
        <w:t xml:space="preserve"> podmieňované</w:t>
      </w:r>
      <w:r w:rsidRPr="001614BB">
        <w:rPr>
          <w:rFonts w:ascii="Book Antiqua" w:hAnsi="Book Antiqua"/>
          <w:b/>
          <w:sz w:val="22"/>
          <w:szCs w:val="22"/>
        </w:rPr>
        <w:t xml:space="preserve"> petíciou občanov.</w:t>
      </w:r>
      <w:r w:rsidRPr="001614BB">
        <w:rPr>
          <w:rFonts w:ascii="Book Antiqua" w:hAnsi="Book Antiqua"/>
          <w:sz w:val="22"/>
          <w:szCs w:val="22"/>
        </w:rPr>
        <w:t xml:space="preserve"> Známy je tiež pok</w:t>
      </w:r>
      <w:r w:rsidR="001614BB">
        <w:rPr>
          <w:rFonts w:ascii="Book Antiqua" w:hAnsi="Book Antiqua"/>
          <w:sz w:val="22"/>
          <w:szCs w:val="22"/>
        </w:rPr>
        <w:t>us neznámych páchateľov zmari</w:t>
      </w:r>
      <w:r w:rsidRPr="001614BB">
        <w:rPr>
          <w:rFonts w:ascii="Book Antiqua" w:hAnsi="Book Antiqua"/>
          <w:sz w:val="22"/>
          <w:szCs w:val="22"/>
        </w:rPr>
        <w:t xml:space="preserve">ť rozhodnutie mestského zastupiteľstva hlavného mesta Bratislava pomocou krádeže petičných hárkov. (Viď napr. článok </w:t>
      </w:r>
      <w:r w:rsidRPr="001614BB">
        <w:rPr>
          <w:rFonts w:ascii="Book Antiqua" w:hAnsi="Book Antiqua"/>
          <w:i/>
          <w:sz w:val="22"/>
          <w:szCs w:val="22"/>
        </w:rPr>
        <w:t>„Zákaz hazardu v Bratislave dostal trhliny: Zmizli petičné hárky, Nesrovnal hovorí o mafii!“ Topky, 18. 8. 2016.</w:t>
      </w:r>
      <w:r w:rsidRPr="001614BB">
        <w:rPr>
          <w:rFonts w:ascii="Book Antiqua" w:hAnsi="Book Antiqua"/>
          <w:sz w:val="22"/>
          <w:szCs w:val="22"/>
        </w:rPr>
        <w:t>)</w:t>
      </w:r>
      <w:r>
        <w:rPr>
          <w:rFonts w:ascii="Book Antiqua" w:hAnsi="Book Antiqua"/>
          <w:sz w:val="22"/>
          <w:szCs w:val="22"/>
        </w:rPr>
        <w:t xml:space="preserve"> </w:t>
      </w:r>
    </w:p>
    <w:p w:rsidR="005E0D99" w:rsidP="002E3DB0">
      <w:pPr>
        <w:pStyle w:val="c01pointnumerotealtn"/>
        <w:bidi w:val="0"/>
        <w:spacing w:before="120" w:beforeAutospacing="0" w:after="0" w:line="276" w:lineRule="auto"/>
        <w:ind w:left="0" w:firstLine="28"/>
        <w:rPr>
          <w:rFonts w:ascii="Book Antiqua" w:hAnsi="Book Antiqua"/>
          <w:sz w:val="22"/>
          <w:szCs w:val="22"/>
        </w:rPr>
      </w:pPr>
      <w:r w:rsidR="002E3DB0">
        <w:rPr>
          <w:rFonts w:ascii="Book Antiqua" w:hAnsi="Book Antiqua"/>
          <w:sz w:val="22"/>
          <w:szCs w:val="22"/>
        </w:rPr>
        <w:t xml:space="preserve">Zrušením </w:t>
      </w:r>
      <w:r w:rsidRPr="00A950DC" w:rsidR="002E3DB0">
        <w:rPr>
          <w:rFonts w:ascii="Book Antiqua" w:hAnsi="Book Antiqua" w:cs="MicrosoftSansSerif"/>
          <w:sz w:val="22"/>
          <w:szCs w:val="22"/>
        </w:rPr>
        <w:t>§ 10 odsek 6</w:t>
      </w:r>
      <w:r w:rsidR="002E3DB0">
        <w:rPr>
          <w:rFonts w:ascii="Book Antiqua" w:hAnsi="Book Antiqua" w:cs="MicrosoftSansSerif"/>
          <w:sz w:val="22"/>
          <w:szCs w:val="22"/>
        </w:rPr>
        <w:t xml:space="preserve"> bude môcť obec vydať </w:t>
      </w:r>
      <w:r w:rsidRPr="00CE6351">
        <w:rPr>
          <w:rFonts w:ascii="Book Antiqua" w:hAnsi="Book Antiqua"/>
          <w:sz w:val="22"/>
          <w:szCs w:val="22"/>
        </w:rPr>
        <w:t>všeobecne záväzné nariadenie z vlastnej iniciatívy, nielen na základe petície obyvateľov (takáto právna úprava platila na území Slovenskej republiky pred prijatím zákona</w:t>
      </w:r>
      <w:r w:rsidR="00CE6351">
        <w:rPr>
          <w:rFonts w:ascii="Book Antiqua" w:hAnsi="Book Antiqua"/>
          <w:sz w:val="22"/>
          <w:szCs w:val="22"/>
        </w:rPr>
        <w:t xml:space="preserve"> </w:t>
      </w:r>
      <w:r w:rsidRPr="00CE6351">
        <w:rPr>
          <w:rFonts w:ascii="Book Antiqua" w:hAnsi="Book Antiqua"/>
          <w:sz w:val="22"/>
          <w:szCs w:val="22"/>
        </w:rPr>
        <w:t xml:space="preserve">č. </w:t>
      </w:r>
      <w:r w:rsidRPr="00CE6351" w:rsidR="008223D6">
        <w:rPr>
          <w:rFonts w:ascii="Book Antiqua" w:hAnsi="Book Antiqua"/>
          <w:sz w:val="22"/>
          <w:szCs w:val="22"/>
        </w:rPr>
        <w:t>439/2012 Z. z.</w:t>
      </w:r>
      <w:r w:rsidR="002E3DB0">
        <w:rPr>
          <w:rFonts w:ascii="Book Antiqua" w:hAnsi="Book Antiqua"/>
          <w:sz w:val="22"/>
          <w:szCs w:val="22"/>
        </w:rPr>
        <w:t xml:space="preserve">). </w:t>
      </w:r>
    </w:p>
    <w:p w:rsidR="002E3DB0" w:rsidP="002E3DB0">
      <w:pPr>
        <w:pStyle w:val="c01pointnumerotealtn"/>
        <w:bidi w:val="0"/>
        <w:spacing w:before="120" w:beforeAutospacing="0" w:after="0" w:line="276" w:lineRule="auto"/>
        <w:ind w:left="0" w:firstLine="28"/>
        <w:rPr>
          <w:rFonts w:ascii="Book Antiqua" w:hAnsi="Book Antiqua"/>
          <w:sz w:val="22"/>
          <w:szCs w:val="22"/>
        </w:rPr>
      </w:pPr>
      <w:r>
        <w:rPr>
          <w:rFonts w:ascii="Book Antiqua" w:hAnsi="Book Antiqua"/>
          <w:sz w:val="22"/>
          <w:szCs w:val="22"/>
        </w:rPr>
        <w:t xml:space="preserve">Zrušením tohto odseku nebude dotknuté právo občanov obracať sa na orgány verejnej moci formou petície aj vo veci regulácie hazardu: obecná samospráva však získava možnosť prijať všeobecne záväzné nariadenie aj bez takejto petície. </w:t>
      </w:r>
    </w:p>
    <w:p w:rsidR="00DA2963"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sidR="00D709BE">
        <w:rPr>
          <w:rFonts w:ascii="Book Antiqua" w:hAnsi="Book Antiqua"/>
          <w:sz w:val="22"/>
          <w:szCs w:val="22"/>
        </w:rPr>
        <w:t>P</w:t>
      </w:r>
      <w:r w:rsidRPr="00CE6351">
        <w:rPr>
          <w:rFonts w:ascii="Book Antiqua" w:hAnsi="Book Antiqua"/>
          <w:sz w:val="22"/>
          <w:szCs w:val="22"/>
        </w:rPr>
        <w:t xml:space="preserve">rijatie navrhovanej právnej úpravy </w:t>
      </w:r>
      <w:r w:rsidR="00F51FB3">
        <w:rPr>
          <w:rFonts w:ascii="Book Antiqua" w:hAnsi="Book Antiqua"/>
          <w:sz w:val="22"/>
          <w:szCs w:val="22"/>
        </w:rPr>
        <w:t xml:space="preserve">napomôže </w:t>
      </w:r>
      <w:r w:rsidRPr="00CE6351">
        <w:rPr>
          <w:rFonts w:ascii="Book Antiqua" w:hAnsi="Book Antiqua"/>
          <w:sz w:val="22"/>
          <w:szCs w:val="22"/>
        </w:rPr>
        <w:t xml:space="preserve">orgánom </w:t>
      </w:r>
      <w:r w:rsidR="00F51FB3">
        <w:rPr>
          <w:rFonts w:ascii="Book Antiqua" w:hAnsi="Book Antiqua"/>
          <w:sz w:val="22"/>
          <w:szCs w:val="22"/>
        </w:rPr>
        <w:t xml:space="preserve">obce </w:t>
      </w:r>
      <w:r w:rsidRPr="00CE6351">
        <w:rPr>
          <w:rFonts w:ascii="Book Antiqua" w:hAnsi="Book Antiqua"/>
          <w:sz w:val="22"/>
          <w:szCs w:val="22"/>
        </w:rPr>
        <w:t>predchádzať, prípadne zamedziť výskytu niektorých kriminálnych aktivít, úzko súvisiacich s prevádzkovaním hazardných hier, ako sú napr. úžerníctvo, alebo kriminálna činnosť, ktorej cieľom je financovať využívanie služieb v oblasti hazardných hier (krádeže), pričom tieto nemusia bezprostredne „</w:t>
      </w:r>
      <w:r w:rsidRPr="00CE6351">
        <w:rPr>
          <w:rFonts w:ascii="Book Antiqua" w:hAnsi="Book Antiqua"/>
          <w:i/>
          <w:sz w:val="22"/>
          <w:szCs w:val="22"/>
        </w:rPr>
        <w:t>narúšať verejný poriadok v obci v súvislosti s prevádzkovaním hazardných hier</w:t>
      </w:r>
      <w:r w:rsidRPr="00CE6351">
        <w:rPr>
          <w:rFonts w:ascii="Book Antiqua" w:hAnsi="Book Antiqua"/>
          <w:sz w:val="22"/>
          <w:szCs w:val="22"/>
        </w:rPr>
        <w:t>“, no výrazným spôsobom zasahujú do záujmov obyvateľov dotknutej obce.</w:t>
      </w:r>
    </w:p>
    <w:p w:rsidR="00DA2963"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Pr>
          <w:rFonts w:ascii="Book Antiqua" w:hAnsi="Book Antiqua"/>
          <w:sz w:val="22"/>
          <w:szCs w:val="22"/>
        </w:rPr>
        <w:t>Napriek tomu, že poskytovanie služieb týkajúcich sa hazardných hier spadá pod články 49 a 56 Zmluvy o fungovaní Európskej únie, a v zmysle tohto ustanovenia sa zaručuje sloboda usadenia sa a voľného poskytovania služieb, samotná Zmluva o fungovaní Európskej únie pripúšťa jej obmedzenie v prípadoch výslovne ustanovených v článkoch 51 a 52, alebo ak sú v súlade s judikatúrou Súdneho dvora Európskej únie opodstatnené naliehavými dôvodmi všeobecného záujmu. Predpokladom na uplatňovanie akýchkoľvek obmedzení pre oblasť poskytovania hazardných hier zo strany vnútroštátnych orgánov je však skutočnosť, že tieto sa musia uplatňovať bez diskriminácie a musia byť primerané, t.j. musia byť vhodné na dosiahnutie cieľa, ktorý sledujú, a nesmú presahovať rámec toho, čo je na jeho dosiahnutie nevyhnutné.</w:t>
      </w:r>
    </w:p>
    <w:p w:rsidR="00DA2963"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Pr>
          <w:rFonts w:ascii="Book Antiqua" w:hAnsi="Book Antiqua"/>
          <w:sz w:val="22"/>
          <w:szCs w:val="22"/>
        </w:rPr>
        <w:t xml:space="preserve">V tejto súvislosti Súdny dvor opakovane rozhodol, že právna úprava hazardných hier je súčasťou tých oblastí, v ktorých existujú významné rozdiely morálneho, náboženského a kultúrneho charakteru medzi členskými štátmi. Ak v tejto oblasti neexistuje harmonizácia, prináleží každému členskému štátu v týchto oblastiach určiť na základe vlastnej stupnice hodnôt požiadavky, ktoré si vyžaduje ochrana predmetných záujmov (napr. bod 36 rozsudku </w:t>
      </w:r>
      <w:r w:rsidRPr="00CE6351">
        <w:rPr>
          <w:rFonts w:ascii="Book Antiqua" w:hAnsi="Book Antiqua"/>
          <w:bCs/>
          <w:sz w:val="22"/>
          <w:szCs w:val="22"/>
        </w:rPr>
        <w:t xml:space="preserve">Súdneho dvora vo veci C – 470/11, SIA Garkalns / Rigas dome, </w:t>
      </w:r>
      <w:r w:rsidRPr="00CE6351">
        <w:rPr>
          <w:rFonts w:ascii="Book Antiqua" w:hAnsi="Book Antiqua"/>
          <w:sz w:val="22"/>
          <w:szCs w:val="22"/>
        </w:rPr>
        <w:t xml:space="preserve">[2013] alebo bod 57 rozsudku Súdneho dvora </w:t>
      </w:r>
      <w:r w:rsidRPr="00CE6351">
        <w:rPr>
          <w:rFonts w:ascii="Book Antiqua" w:hAnsi="Book Antiqua"/>
          <w:bCs/>
          <w:sz w:val="22"/>
          <w:szCs w:val="22"/>
        </w:rPr>
        <w:t xml:space="preserve">vo veci C - 42/07, Liga Portuguesa de Futebol Profissional, Bwin International Ltd / Departamento de Jogos da Santa Casa da Misericórdia de Lisboa, </w:t>
      </w:r>
      <w:r w:rsidRPr="00CE6351">
        <w:rPr>
          <w:rFonts w:ascii="Book Antiqua" w:hAnsi="Book Antiqua"/>
          <w:sz w:val="22"/>
          <w:szCs w:val="22"/>
        </w:rPr>
        <w:t>[2009]).</w:t>
      </w:r>
    </w:p>
    <w:p w:rsidR="00DA2963" w:rsidRPr="00CE6351" w:rsidP="00CE6351">
      <w:pPr>
        <w:pStyle w:val="c01pointnumerotealtn"/>
        <w:bidi w:val="0"/>
        <w:spacing w:before="120" w:beforeAutospacing="0" w:after="0" w:line="276" w:lineRule="auto"/>
        <w:ind w:left="0" w:firstLine="708"/>
        <w:rPr>
          <w:rFonts w:ascii="Book Antiqua" w:hAnsi="Book Antiqua" w:cs="Book Antiqua"/>
          <w:sz w:val="22"/>
          <w:szCs w:val="22"/>
        </w:rPr>
      </w:pPr>
      <w:r w:rsidRPr="00CE6351">
        <w:rPr>
          <w:rFonts w:ascii="Book Antiqua" w:hAnsi="Book Antiqua"/>
          <w:sz w:val="22"/>
          <w:szCs w:val="22"/>
        </w:rPr>
        <w:t>Vnútroštátne orgány tak majú dostatočnú voľnú úvahu na určenie požiadaviek, ktoré prináša ochrana spotrebiteľa a verejného poriadku, a pokiaľ sú okrem toho dodržané podmienky stanovené v judikatúre Súdneho dvora, každému členskému štátu prináleží, aby posúdil, či je v kontexte legitímnych cieľov, ktoré sleduje, nevyhnutné úplne alebo čiastočne zakázať činnosti týkajúce sa hier a stávok, alebo ich stačí len obmedziť a stanoviť na tento účel prísnejšie či menej prísne spôsoby kontroly (napr. bod 76 rozsudku Súdneho dvora v spojených veciach C-316/07, C-358/07 až C-360/07, C-409/07 a C-410/07, Stoß a iní / Land Baden-Württemberg, [2010] alebo bod 46 rozsudku Súdneho dvora vo veci C-46/08, Carmen Media Group Ltd. / Land Schleswig-Holstein a Innenminister des Landes Schleswig-Holstein, [2010]</w:t>
      </w:r>
      <w:r w:rsidRPr="00CE6351">
        <w:rPr>
          <w:rFonts w:ascii="Book Antiqua" w:hAnsi="Book Antiqua" w:cs="Book Antiqua"/>
          <w:sz w:val="22"/>
          <w:szCs w:val="22"/>
        </w:rPr>
        <w:t>).</w:t>
      </w:r>
    </w:p>
    <w:p w:rsidR="00DA2963" w:rsidRPr="00CE6351" w:rsidP="00CE6351">
      <w:pPr>
        <w:pStyle w:val="c01pointnumerotealtn"/>
        <w:bidi w:val="0"/>
        <w:spacing w:before="120" w:beforeAutospacing="0" w:after="0" w:line="276" w:lineRule="auto"/>
        <w:ind w:left="0" w:firstLine="708"/>
        <w:rPr>
          <w:rFonts w:ascii="Book Antiqua" w:hAnsi="Book Antiqua"/>
          <w:b/>
          <w:sz w:val="22"/>
          <w:szCs w:val="22"/>
        </w:rPr>
      </w:pPr>
      <w:r w:rsidRPr="00CE6351">
        <w:rPr>
          <w:rFonts w:ascii="Book Antiqua" w:hAnsi="Book Antiqua"/>
          <w:sz w:val="22"/>
          <w:szCs w:val="22"/>
        </w:rPr>
        <w:t xml:space="preserve">Cieľ, ktorý sleduje navrhovaná vnútroštátna právna úprava spočívajúca predovšetkým v ochrane záujmov obyvateľov dotknutých obcí a potenciálnych spotrebiteľov pred rizikami spojenými s hazardnými hrami je takej povahy, že predstavuje naliehavý dôvod všeobecného záujmu, ktorým je možné odôvodniť obmedzenie predmetného slobodného poskytovania služieb. </w:t>
      </w:r>
    </w:p>
    <w:p w:rsidR="00D709BE" w:rsidRPr="009B42D8" w:rsidP="009B42D8">
      <w:pPr>
        <w:pStyle w:val="c01pointaltn"/>
        <w:bidi w:val="0"/>
        <w:spacing w:before="120" w:beforeAutospacing="0" w:after="0" w:afterAutospacing="0" w:line="276" w:lineRule="auto"/>
        <w:ind w:firstLine="708"/>
        <w:jc w:val="both"/>
        <w:rPr>
          <w:rFonts w:ascii="Book Antiqua" w:hAnsi="Book Antiqua"/>
          <w:sz w:val="22"/>
          <w:szCs w:val="22"/>
        </w:rPr>
      </w:pPr>
      <w:r w:rsidRPr="00CE6351" w:rsidR="00DA2963">
        <w:rPr>
          <w:rFonts w:ascii="Book Antiqua" w:hAnsi="Book Antiqua"/>
          <w:sz w:val="22"/>
          <w:szCs w:val="22"/>
        </w:rPr>
        <w:t xml:space="preserve">Navyše, rozšírenie právomoci obce v oblasti regulácie poskytovania hazardných hier na jej území umožní obyvateľom dotknutej obce a tiež orgánom obce oprávneným rozhodovať o predmetnom obmedzení, účinnejšie ovplyvňovať podmienky prevádzkovania hazardných hier a vyhnúť sa tak zbytočným komplikáciám a prípadným súdnym sporom zo strany prevádzkovateľov. </w:t>
      </w:r>
    </w:p>
    <w:p w:rsidR="001965B1" w:rsidRPr="00CE6351" w:rsidP="00CE6351">
      <w:pPr>
        <w:pStyle w:val="c01pointaltn"/>
        <w:bidi w:val="0"/>
        <w:spacing w:before="120" w:beforeAutospacing="0" w:after="0" w:afterAutospacing="0" w:line="276" w:lineRule="auto"/>
        <w:jc w:val="both"/>
        <w:rPr>
          <w:rFonts w:ascii="Book Antiqua" w:hAnsi="Book Antiqua"/>
          <w:sz w:val="22"/>
          <w:szCs w:val="22"/>
        </w:rPr>
      </w:pPr>
    </w:p>
    <w:p w:rsidR="00C74801" w:rsidRPr="00CE6351" w:rsidP="00CE6351">
      <w:pPr>
        <w:pStyle w:val="c01pointaltn"/>
        <w:bidi w:val="0"/>
        <w:spacing w:before="120" w:beforeAutospacing="0" w:after="0" w:afterAutospacing="0" w:line="276" w:lineRule="auto"/>
        <w:jc w:val="both"/>
        <w:rPr>
          <w:rFonts w:ascii="Book Antiqua" w:hAnsi="Book Antiqua"/>
          <w:b/>
          <w:sz w:val="22"/>
          <w:szCs w:val="22"/>
        </w:rPr>
      </w:pPr>
      <w:r w:rsidR="00FC3BDC">
        <w:rPr>
          <w:rFonts w:ascii="Book Antiqua" w:hAnsi="Book Antiqua"/>
          <w:b/>
          <w:sz w:val="22"/>
          <w:szCs w:val="22"/>
        </w:rPr>
        <w:t>K Čl. II</w:t>
      </w:r>
    </w:p>
    <w:p w:rsidR="00DA2963" w:rsidRPr="00CE6351" w:rsidP="00CE6351">
      <w:pPr>
        <w:pStyle w:val="c01pointaltn"/>
        <w:bidi w:val="0"/>
        <w:spacing w:before="120" w:beforeAutospacing="0" w:after="0" w:afterAutospacing="0" w:line="276" w:lineRule="auto"/>
        <w:ind w:firstLine="708"/>
        <w:jc w:val="both"/>
        <w:rPr>
          <w:rFonts w:ascii="Book Antiqua" w:hAnsi="Book Antiqua"/>
          <w:sz w:val="22"/>
          <w:szCs w:val="22"/>
        </w:rPr>
      </w:pPr>
      <w:r w:rsidRPr="00CE6351">
        <w:rPr>
          <w:rFonts w:ascii="Book Antiqua" w:hAnsi="Book Antiqua"/>
          <w:sz w:val="22"/>
          <w:szCs w:val="22"/>
        </w:rPr>
        <w:t>Navrhuje sa účinnosť predkladaného zákona so zohľadnením legisv</w:t>
      </w:r>
      <w:r w:rsidR="00FC3BDC">
        <w:rPr>
          <w:rFonts w:ascii="Book Antiqua" w:hAnsi="Book Antiqua"/>
          <w:sz w:val="22"/>
          <w:szCs w:val="22"/>
        </w:rPr>
        <w:t>akančnej lehoty, a to od 1. januára 2017</w:t>
      </w:r>
      <w:r w:rsidRPr="00CE6351">
        <w:rPr>
          <w:rFonts w:ascii="Book Antiqua" w:hAnsi="Book Antiqua"/>
          <w:sz w:val="22"/>
          <w:szCs w:val="22"/>
        </w:rPr>
        <w:t>.</w:t>
      </w:r>
    </w:p>
    <w:p w:rsidR="00521CC4" w:rsidRPr="00CE6351" w:rsidP="004E4473">
      <w:pPr>
        <w:pStyle w:val="NormalWeb"/>
        <w:bidi w:val="0"/>
        <w:spacing w:before="120" w:beforeAutospacing="0" w:after="0" w:afterAutospacing="0" w:line="276" w:lineRule="auto"/>
        <w:rPr>
          <w:rFonts w:ascii="Book Antiqua" w:hAnsi="Book Antiqua"/>
          <w:b/>
          <w:bCs/>
          <w:caps/>
          <w:spacing w:val="30"/>
          <w:sz w:val="22"/>
          <w:szCs w:val="22"/>
        </w:rPr>
      </w:pPr>
      <w:r w:rsidRPr="00CE6351" w:rsidR="004E4473">
        <w:rPr>
          <w:rFonts w:ascii="Book Antiqua" w:hAnsi="Book Antiqua"/>
          <w:b/>
          <w:bCs/>
          <w:caps/>
          <w:spacing w:val="30"/>
          <w:sz w:val="22"/>
          <w:szCs w:val="22"/>
        </w:rPr>
        <w:t xml:space="preserve"> </w:t>
      </w:r>
    </w:p>
    <w:p w:rsidR="00F602A4" w:rsidRPr="00CE6351" w:rsidP="00CE6351">
      <w:pPr>
        <w:pStyle w:val="NormalWeb"/>
        <w:bidi w:val="0"/>
        <w:spacing w:before="120" w:beforeAutospacing="0" w:after="0" w:afterAutospacing="0" w:line="276" w:lineRule="auto"/>
        <w:jc w:val="center"/>
        <w:rPr>
          <w:rFonts w:ascii="Book Antiqua" w:hAnsi="Book Antiqua"/>
          <w:b/>
          <w:bCs/>
          <w:caps/>
          <w:spacing w:val="30"/>
          <w:sz w:val="22"/>
          <w:szCs w:val="22"/>
        </w:rPr>
      </w:pPr>
    </w:p>
    <w:p w:rsidR="00F602A4" w:rsidRPr="00CE6351" w:rsidP="00E579E3">
      <w:pPr>
        <w:pStyle w:val="NormalWeb"/>
        <w:bidi w:val="0"/>
        <w:spacing w:before="120" w:beforeAutospacing="0" w:after="0" w:afterAutospacing="0" w:line="276" w:lineRule="auto"/>
        <w:rPr>
          <w:rFonts w:ascii="Book Antiqua" w:hAnsi="Book Antiqua"/>
          <w:b/>
          <w:bCs/>
          <w:caps/>
          <w:spacing w:val="30"/>
          <w:sz w:val="22"/>
          <w:szCs w:val="22"/>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MicrosoftSansSerif">
    <w:altName w:val="Microsoft Sans Serif"/>
    <w:panose1 w:val="00000000000000000000"/>
    <w:charset w:val="00"/>
    <w:family w:val="auto"/>
    <w:pitch w:val="default"/>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05"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B4305"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05"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6E49EE8"/>
    <w:lvl w:ilvl="0">
      <w:start w:val="1"/>
      <w:numFmt w:val="bullet"/>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8EC0002"/>
    <w:multiLevelType w:val="hybridMultilevel"/>
    <w:tmpl w:val="D5A81822"/>
    <w:lvl w:ilvl="0">
      <w:start w:val="1"/>
      <w:numFmt w:val="bullet"/>
      <w:lvlText w:val=""/>
      <w:lvlJc w:val="left"/>
      <w:pPr>
        <w:ind w:left="748" w:hanging="360"/>
      </w:pPr>
      <w:rPr>
        <w:rFonts w:ascii="Symbol" w:hAnsi="Symbol" w:hint="default"/>
      </w:rPr>
    </w:lvl>
    <w:lvl w:ilvl="1">
      <w:start w:val="1"/>
      <w:numFmt w:val="bullet"/>
      <w:lvlText w:val="o"/>
      <w:lvlJc w:val="left"/>
      <w:pPr>
        <w:ind w:left="1468" w:hanging="360"/>
      </w:pPr>
      <w:rPr>
        <w:rFonts w:ascii="Courier New" w:hAnsi="Courier New"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hint="default"/>
      </w:rPr>
    </w:lvl>
    <w:lvl w:ilvl="8">
      <w:start w:val="1"/>
      <w:numFmt w:val="bullet"/>
      <w:lvlText w:val=""/>
      <w:lvlJc w:val="left"/>
      <w:pPr>
        <w:ind w:left="6508" w:hanging="360"/>
      </w:pPr>
      <w:rPr>
        <w:rFonts w:ascii="Wingdings" w:hAnsi="Wingdings" w:hint="default"/>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1DF50896"/>
    <w:multiLevelType w:val="hybridMultilevel"/>
    <w:tmpl w:val="5FF0E1F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1BF4AD5"/>
    <w:multiLevelType w:val="hybridMultilevel"/>
    <w:tmpl w:val="3376B0E2"/>
    <w:lvl w:ilvl="0">
      <w:start w:val="1"/>
      <w:numFmt w:val="decimal"/>
      <w:lvlText w:val="%1)"/>
      <w:lvlJc w:val="left"/>
      <w:pPr>
        <w:ind w:left="1668" w:hanging="9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22FF4DD9"/>
    <w:multiLevelType w:val="hybridMultilevel"/>
    <w:tmpl w:val="AA0284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8">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30B95C51"/>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75B6EC1"/>
    <w:multiLevelType w:val="hybridMultilevel"/>
    <w:tmpl w:val="A650DAC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8FB32AE"/>
    <w:multiLevelType w:val="hybridMultilevel"/>
    <w:tmpl w:val="E474C20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C4D7151"/>
    <w:multiLevelType w:val="hybridMultilevel"/>
    <w:tmpl w:val="8C1A3B5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35B1819"/>
    <w:multiLevelType w:val="hybridMultilevel"/>
    <w:tmpl w:val="3BBC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3">
    <w:nsid w:val="775A1136"/>
    <w:multiLevelType w:val="hybridMultilevel"/>
    <w:tmpl w:val="F2C4D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7"/>
  </w:num>
  <w:num w:numId="9">
    <w:abstractNumId w:val="8"/>
  </w:num>
  <w:num w:numId="10">
    <w:abstractNumId w:val="16"/>
  </w:num>
  <w:num w:numId="11">
    <w:abstractNumId w:val="1"/>
  </w:num>
  <w:num w:numId="12">
    <w:abstractNumId w:val="18"/>
  </w:num>
  <w:num w:numId="13">
    <w:abstractNumId w:val="19"/>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6"/>
  </w:num>
  <w:num w:numId="17">
    <w:abstractNumId w:val="23"/>
  </w:num>
  <w:num w:numId="18">
    <w:abstractNumId w:val="14"/>
  </w:num>
  <w:num w:numId="19">
    <w:abstractNumId w:val="9"/>
  </w:num>
  <w:num w:numId="20">
    <w:abstractNumId w:val="11"/>
  </w:num>
  <w:num w:numId="21">
    <w:abstractNumId w:val="0"/>
  </w:num>
  <w:num w:numId="22">
    <w:abstractNumId w:val="12"/>
  </w:num>
  <w:num w:numId="23">
    <w:abstractNumId w:val="15"/>
  </w:num>
  <w:num w:numId="24">
    <w:abstractNumId w:val="2"/>
  </w:num>
  <w:num w:numId="25">
    <w:abstractNumId w:val="5"/>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268E"/>
    <w:rsid w:val="000026D7"/>
    <w:rsid w:val="00002D9F"/>
    <w:rsid w:val="000037B6"/>
    <w:rsid w:val="00006C64"/>
    <w:rsid w:val="00006E0B"/>
    <w:rsid w:val="00007DC8"/>
    <w:rsid w:val="00012FDB"/>
    <w:rsid w:val="0001344B"/>
    <w:rsid w:val="0001407F"/>
    <w:rsid w:val="000158BB"/>
    <w:rsid w:val="00016083"/>
    <w:rsid w:val="00016D42"/>
    <w:rsid w:val="000175B8"/>
    <w:rsid w:val="00021F4A"/>
    <w:rsid w:val="0002213A"/>
    <w:rsid w:val="00024AFB"/>
    <w:rsid w:val="000257C0"/>
    <w:rsid w:val="000265E7"/>
    <w:rsid w:val="00026901"/>
    <w:rsid w:val="00027AD6"/>
    <w:rsid w:val="00030B47"/>
    <w:rsid w:val="00030F61"/>
    <w:rsid w:val="00032906"/>
    <w:rsid w:val="000336B4"/>
    <w:rsid w:val="000340CF"/>
    <w:rsid w:val="0003739D"/>
    <w:rsid w:val="000424F6"/>
    <w:rsid w:val="00044C49"/>
    <w:rsid w:val="00045A73"/>
    <w:rsid w:val="00046A4F"/>
    <w:rsid w:val="00047B6C"/>
    <w:rsid w:val="0005071E"/>
    <w:rsid w:val="00051E09"/>
    <w:rsid w:val="00053359"/>
    <w:rsid w:val="000533A0"/>
    <w:rsid w:val="0005359A"/>
    <w:rsid w:val="000538AE"/>
    <w:rsid w:val="00053BE5"/>
    <w:rsid w:val="0005472A"/>
    <w:rsid w:val="00055301"/>
    <w:rsid w:val="00056D9D"/>
    <w:rsid w:val="00056E84"/>
    <w:rsid w:val="0005751F"/>
    <w:rsid w:val="00057F7B"/>
    <w:rsid w:val="0006094B"/>
    <w:rsid w:val="00060E68"/>
    <w:rsid w:val="00063960"/>
    <w:rsid w:val="00063EEF"/>
    <w:rsid w:val="00064401"/>
    <w:rsid w:val="00064495"/>
    <w:rsid w:val="00064DF8"/>
    <w:rsid w:val="00065992"/>
    <w:rsid w:val="00066067"/>
    <w:rsid w:val="000661C4"/>
    <w:rsid w:val="000667A8"/>
    <w:rsid w:val="000676D1"/>
    <w:rsid w:val="000679A1"/>
    <w:rsid w:val="00067B97"/>
    <w:rsid w:val="0007055D"/>
    <w:rsid w:val="00072AE8"/>
    <w:rsid w:val="00075BD2"/>
    <w:rsid w:val="000767D6"/>
    <w:rsid w:val="0007684A"/>
    <w:rsid w:val="00077928"/>
    <w:rsid w:val="000829E5"/>
    <w:rsid w:val="00082FF8"/>
    <w:rsid w:val="00083166"/>
    <w:rsid w:val="00084078"/>
    <w:rsid w:val="000844AA"/>
    <w:rsid w:val="00085F9C"/>
    <w:rsid w:val="0009204C"/>
    <w:rsid w:val="0009371B"/>
    <w:rsid w:val="00093E3D"/>
    <w:rsid w:val="0009481E"/>
    <w:rsid w:val="00095FF4"/>
    <w:rsid w:val="0009621A"/>
    <w:rsid w:val="00096313"/>
    <w:rsid w:val="00096944"/>
    <w:rsid w:val="000A39E6"/>
    <w:rsid w:val="000A6224"/>
    <w:rsid w:val="000A78A2"/>
    <w:rsid w:val="000B0848"/>
    <w:rsid w:val="000B1492"/>
    <w:rsid w:val="000B1F82"/>
    <w:rsid w:val="000B1F8C"/>
    <w:rsid w:val="000B321B"/>
    <w:rsid w:val="000B3869"/>
    <w:rsid w:val="000B593D"/>
    <w:rsid w:val="000B6423"/>
    <w:rsid w:val="000B6CE4"/>
    <w:rsid w:val="000C0119"/>
    <w:rsid w:val="000C02B9"/>
    <w:rsid w:val="000C13B7"/>
    <w:rsid w:val="000C2091"/>
    <w:rsid w:val="000C322E"/>
    <w:rsid w:val="000C3685"/>
    <w:rsid w:val="000C3C29"/>
    <w:rsid w:val="000C4608"/>
    <w:rsid w:val="000C4AE3"/>
    <w:rsid w:val="000C7F3C"/>
    <w:rsid w:val="000D121E"/>
    <w:rsid w:val="000D3088"/>
    <w:rsid w:val="000D34B3"/>
    <w:rsid w:val="000D3AAF"/>
    <w:rsid w:val="000D3AC9"/>
    <w:rsid w:val="000D44CB"/>
    <w:rsid w:val="000D4782"/>
    <w:rsid w:val="000D48C0"/>
    <w:rsid w:val="000D758B"/>
    <w:rsid w:val="000D76DB"/>
    <w:rsid w:val="000E16DB"/>
    <w:rsid w:val="000E4015"/>
    <w:rsid w:val="000E45B0"/>
    <w:rsid w:val="000E59B4"/>
    <w:rsid w:val="000E5C47"/>
    <w:rsid w:val="000E69F1"/>
    <w:rsid w:val="000E7383"/>
    <w:rsid w:val="000E7C58"/>
    <w:rsid w:val="000E7FF6"/>
    <w:rsid w:val="000F12A7"/>
    <w:rsid w:val="000F3991"/>
    <w:rsid w:val="000F65F6"/>
    <w:rsid w:val="000F7968"/>
    <w:rsid w:val="00102CAF"/>
    <w:rsid w:val="00103D4C"/>
    <w:rsid w:val="00106800"/>
    <w:rsid w:val="00106C80"/>
    <w:rsid w:val="00106E57"/>
    <w:rsid w:val="001114DA"/>
    <w:rsid w:val="00113855"/>
    <w:rsid w:val="001139FB"/>
    <w:rsid w:val="00117635"/>
    <w:rsid w:val="0012027A"/>
    <w:rsid w:val="0012197D"/>
    <w:rsid w:val="001236D6"/>
    <w:rsid w:val="001243A6"/>
    <w:rsid w:val="00125137"/>
    <w:rsid w:val="00125D8B"/>
    <w:rsid w:val="001311D0"/>
    <w:rsid w:val="00134BAE"/>
    <w:rsid w:val="00135B00"/>
    <w:rsid w:val="001373C0"/>
    <w:rsid w:val="001409E3"/>
    <w:rsid w:val="00141C50"/>
    <w:rsid w:val="0014240D"/>
    <w:rsid w:val="00144031"/>
    <w:rsid w:val="001445B0"/>
    <w:rsid w:val="001445C1"/>
    <w:rsid w:val="00145EAE"/>
    <w:rsid w:val="0014639E"/>
    <w:rsid w:val="00146A88"/>
    <w:rsid w:val="00147EE9"/>
    <w:rsid w:val="001501A8"/>
    <w:rsid w:val="0015072F"/>
    <w:rsid w:val="001509A7"/>
    <w:rsid w:val="00150C20"/>
    <w:rsid w:val="00150EB8"/>
    <w:rsid w:val="00151269"/>
    <w:rsid w:val="001515CA"/>
    <w:rsid w:val="0015276D"/>
    <w:rsid w:val="001542DF"/>
    <w:rsid w:val="001547FC"/>
    <w:rsid w:val="00155854"/>
    <w:rsid w:val="00157609"/>
    <w:rsid w:val="00160E88"/>
    <w:rsid w:val="001614BB"/>
    <w:rsid w:val="0016193D"/>
    <w:rsid w:val="001630CE"/>
    <w:rsid w:val="00163198"/>
    <w:rsid w:val="00164B2D"/>
    <w:rsid w:val="001662A2"/>
    <w:rsid w:val="00166A39"/>
    <w:rsid w:val="00170F6A"/>
    <w:rsid w:val="001733E7"/>
    <w:rsid w:val="001752F0"/>
    <w:rsid w:val="001756DF"/>
    <w:rsid w:val="0017583D"/>
    <w:rsid w:val="0017615E"/>
    <w:rsid w:val="00176733"/>
    <w:rsid w:val="00176822"/>
    <w:rsid w:val="00176947"/>
    <w:rsid w:val="00180954"/>
    <w:rsid w:val="00184A60"/>
    <w:rsid w:val="00186F91"/>
    <w:rsid w:val="00186F98"/>
    <w:rsid w:val="00187D59"/>
    <w:rsid w:val="0019026A"/>
    <w:rsid w:val="0019051D"/>
    <w:rsid w:val="00190B18"/>
    <w:rsid w:val="001939DC"/>
    <w:rsid w:val="00193EC3"/>
    <w:rsid w:val="00195450"/>
    <w:rsid w:val="0019554A"/>
    <w:rsid w:val="00195B0C"/>
    <w:rsid w:val="001960DF"/>
    <w:rsid w:val="001965B1"/>
    <w:rsid w:val="00196CD3"/>
    <w:rsid w:val="001971E3"/>
    <w:rsid w:val="00197FD6"/>
    <w:rsid w:val="001A0177"/>
    <w:rsid w:val="001A0454"/>
    <w:rsid w:val="001A05DC"/>
    <w:rsid w:val="001A0BE2"/>
    <w:rsid w:val="001A22C4"/>
    <w:rsid w:val="001A262B"/>
    <w:rsid w:val="001A5515"/>
    <w:rsid w:val="001A70B0"/>
    <w:rsid w:val="001A7533"/>
    <w:rsid w:val="001B1585"/>
    <w:rsid w:val="001B254C"/>
    <w:rsid w:val="001B264C"/>
    <w:rsid w:val="001B4854"/>
    <w:rsid w:val="001B71F3"/>
    <w:rsid w:val="001B72AE"/>
    <w:rsid w:val="001C0218"/>
    <w:rsid w:val="001C0543"/>
    <w:rsid w:val="001C0E63"/>
    <w:rsid w:val="001C3DC6"/>
    <w:rsid w:val="001C46F6"/>
    <w:rsid w:val="001C6D8B"/>
    <w:rsid w:val="001C71FC"/>
    <w:rsid w:val="001C738C"/>
    <w:rsid w:val="001D026A"/>
    <w:rsid w:val="001D3276"/>
    <w:rsid w:val="001D3425"/>
    <w:rsid w:val="001D342A"/>
    <w:rsid w:val="001D3F46"/>
    <w:rsid w:val="001D4F4E"/>
    <w:rsid w:val="001D58FE"/>
    <w:rsid w:val="001D6094"/>
    <w:rsid w:val="001D6B9A"/>
    <w:rsid w:val="001D70F9"/>
    <w:rsid w:val="001E0241"/>
    <w:rsid w:val="001E228B"/>
    <w:rsid w:val="001E5F4A"/>
    <w:rsid w:val="001E7BB6"/>
    <w:rsid w:val="001F06E9"/>
    <w:rsid w:val="001F155C"/>
    <w:rsid w:val="001F4A40"/>
    <w:rsid w:val="001F63A9"/>
    <w:rsid w:val="002008E3"/>
    <w:rsid w:val="00203B49"/>
    <w:rsid w:val="002045C2"/>
    <w:rsid w:val="00205456"/>
    <w:rsid w:val="00205BD8"/>
    <w:rsid w:val="00212D14"/>
    <w:rsid w:val="002147AA"/>
    <w:rsid w:val="00214A76"/>
    <w:rsid w:val="00215D24"/>
    <w:rsid w:val="002171D3"/>
    <w:rsid w:val="00223CE0"/>
    <w:rsid w:val="00224801"/>
    <w:rsid w:val="002248E6"/>
    <w:rsid w:val="002255C7"/>
    <w:rsid w:val="002267F3"/>
    <w:rsid w:val="00226E94"/>
    <w:rsid w:val="00231C2F"/>
    <w:rsid w:val="00231E87"/>
    <w:rsid w:val="002327D5"/>
    <w:rsid w:val="00234331"/>
    <w:rsid w:val="00240DC2"/>
    <w:rsid w:val="002415D2"/>
    <w:rsid w:val="002441C1"/>
    <w:rsid w:val="00246E89"/>
    <w:rsid w:val="00246EF4"/>
    <w:rsid w:val="00250AF0"/>
    <w:rsid w:val="00253581"/>
    <w:rsid w:val="002538F4"/>
    <w:rsid w:val="00254AFE"/>
    <w:rsid w:val="002555BD"/>
    <w:rsid w:val="00257D64"/>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5C87"/>
    <w:rsid w:val="00277042"/>
    <w:rsid w:val="002774B3"/>
    <w:rsid w:val="00282C42"/>
    <w:rsid w:val="00282F64"/>
    <w:rsid w:val="0028345D"/>
    <w:rsid w:val="00284095"/>
    <w:rsid w:val="00284DEC"/>
    <w:rsid w:val="00286D66"/>
    <w:rsid w:val="002903A3"/>
    <w:rsid w:val="00292267"/>
    <w:rsid w:val="002924B6"/>
    <w:rsid w:val="002931F7"/>
    <w:rsid w:val="00293E0C"/>
    <w:rsid w:val="00296BCC"/>
    <w:rsid w:val="00296F76"/>
    <w:rsid w:val="002975FA"/>
    <w:rsid w:val="002A2F1D"/>
    <w:rsid w:val="002A522B"/>
    <w:rsid w:val="002A59B0"/>
    <w:rsid w:val="002B1F28"/>
    <w:rsid w:val="002B6C2A"/>
    <w:rsid w:val="002C1C9C"/>
    <w:rsid w:val="002C3C47"/>
    <w:rsid w:val="002C428D"/>
    <w:rsid w:val="002C5FA3"/>
    <w:rsid w:val="002C613E"/>
    <w:rsid w:val="002C61B0"/>
    <w:rsid w:val="002C7348"/>
    <w:rsid w:val="002D2423"/>
    <w:rsid w:val="002D3EF8"/>
    <w:rsid w:val="002D44BF"/>
    <w:rsid w:val="002D4709"/>
    <w:rsid w:val="002D5316"/>
    <w:rsid w:val="002E00CA"/>
    <w:rsid w:val="002E23B3"/>
    <w:rsid w:val="002E3DB0"/>
    <w:rsid w:val="002E58CC"/>
    <w:rsid w:val="002E5BC4"/>
    <w:rsid w:val="002E69DE"/>
    <w:rsid w:val="002E6BC8"/>
    <w:rsid w:val="002E75E3"/>
    <w:rsid w:val="002F0DCE"/>
    <w:rsid w:val="002F18FE"/>
    <w:rsid w:val="002F22CB"/>
    <w:rsid w:val="002F5AD1"/>
    <w:rsid w:val="002F60CF"/>
    <w:rsid w:val="002F6D80"/>
    <w:rsid w:val="0030098B"/>
    <w:rsid w:val="003017FB"/>
    <w:rsid w:val="00303D37"/>
    <w:rsid w:val="00307ED8"/>
    <w:rsid w:val="0031072C"/>
    <w:rsid w:val="003122D2"/>
    <w:rsid w:val="00313767"/>
    <w:rsid w:val="00314D7B"/>
    <w:rsid w:val="00314E97"/>
    <w:rsid w:val="003150C6"/>
    <w:rsid w:val="0031512B"/>
    <w:rsid w:val="003155D3"/>
    <w:rsid w:val="00315C72"/>
    <w:rsid w:val="00321029"/>
    <w:rsid w:val="00322E35"/>
    <w:rsid w:val="0032340A"/>
    <w:rsid w:val="003275C4"/>
    <w:rsid w:val="00330208"/>
    <w:rsid w:val="00330936"/>
    <w:rsid w:val="00330F0A"/>
    <w:rsid w:val="00330F99"/>
    <w:rsid w:val="0033280A"/>
    <w:rsid w:val="00333A25"/>
    <w:rsid w:val="0034028C"/>
    <w:rsid w:val="00343F24"/>
    <w:rsid w:val="003449B3"/>
    <w:rsid w:val="003452A8"/>
    <w:rsid w:val="0034567A"/>
    <w:rsid w:val="0034726E"/>
    <w:rsid w:val="003511E9"/>
    <w:rsid w:val="003513A4"/>
    <w:rsid w:val="00353A05"/>
    <w:rsid w:val="00354D5E"/>
    <w:rsid w:val="00357882"/>
    <w:rsid w:val="003604B7"/>
    <w:rsid w:val="0036171B"/>
    <w:rsid w:val="003619C5"/>
    <w:rsid w:val="00363774"/>
    <w:rsid w:val="00364763"/>
    <w:rsid w:val="00364D7E"/>
    <w:rsid w:val="0036549D"/>
    <w:rsid w:val="003703C6"/>
    <w:rsid w:val="00371C72"/>
    <w:rsid w:val="003725AB"/>
    <w:rsid w:val="00373CE6"/>
    <w:rsid w:val="00374479"/>
    <w:rsid w:val="003772B5"/>
    <w:rsid w:val="00377EEE"/>
    <w:rsid w:val="00380562"/>
    <w:rsid w:val="0038098C"/>
    <w:rsid w:val="0038342B"/>
    <w:rsid w:val="00384124"/>
    <w:rsid w:val="0038430E"/>
    <w:rsid w:val="003866A3"/>
    <w:rsid w:val="00390172"/>
    <w:rsid w:val="003906C1"/>
    <w:rsid w:val="00391795"/>
    <w:rsid w:val="00393261"/>
    <w:rsid w:val="003940FC"/>
    <w:rsid w:val="00395FEB"/>
    <w:rsid w:val="003A09A3"/>
    <w:rsid w:val="003A0A1B"/>
    <w:rsid w:val="003A265F"/>
    <w:rsid w:val="003A289B"/>
    <w:rsid w:val="003A2BF8"/>
    <w:rsid w:val="003A49BF"/>
    <w:rsid w:val="003A75AD"/>
    <w:rsid w:val="003B1A35"/>
    <w:rsid w:val="003B28C4"/>
    <w:rsid w:val="003B2C69"/>
    <w:rsid w:val="003B5B5B"/>
    <w:rsid w:val="003B6A09"/>
    <w:rsid w:val="003C05F0"/>
    <w:rsid w:val="003C1DCB"/>
    <w:rsid w:val="003C2EAF"/>
    <w:rsid w:val="003C3E36"/>
    <w:rsid w:val="003C4A46"/>
    <w:rsid w:val="003C5F42"/>
    <w:rsid w:val="003D0C29"/>
    <w:rsid w:val="003D43D9"/>
    <w:rsid w:val="003D57A6"/>
    <w:rsid w:val="003D6CF7"/>
    <w:rsid w:val="003D77CE"/>
    <w:rsid w:val="003E0C7F"/>
    <w:rsid w:val="003E0FD0"/>
    <w:rsid w:val="003E128F"/>
    <w:rsid w:val="003E1D42"/>
    <w:rsid w:val="003E3D06"/>
    <w:rsid w:val="003E42E2"/>
    <w:rsid w:val="003E43DA"/>
    <w:rsid w:val="003E4842"/>
    <w:rsid w:val="003E6638"/>
    <w:rsid w:val="003E72F1"/>
    <w:rsid w:val="003E7598"/>
    <w:rsid w:val="003E7CDE"/>
    <w:rsid w:val="003F0A57"/>
    <w:rsid w:val="003F0C3D"/>
    <w:rsid w:val="003F18BA"/>
    <w:rsid w:val="003F2BE1"/>
    <w:rsid w:val="003F4175"/>
    <w:rsid w:val="003F71BA"/>
    <w:rsid w:val="00400A28"/>
    <w:rsid w:val="00400C4C"/>
    <w:rsid w:val="004019AE"/>
    <w:rsid w:val="004051F9"/>
    <w:rsid w:val="004138A4"/>
    <w:rsid w:val="00414F00"/>
    <w:rsid w:val="004154D1"/>
    <w:rsid w:val="00416BF3"/>
    <w:rsid w:val="004175F3"/>
    <w:rsid w:val="004179AD"/>
    <w:rsid w:val="004207D0"/>
    <w:rsid w:val="004212CF"/>
    <w:rsid w:val="00422097"/>
    <w:rsid w:val="00422AB0"/>
    <w:rsid w:val="00423520"/>
    <w:rsid w:val="004237E0"/>
    <w:rsid w:val="00426311"/>
    <w:rsid w:val="00427138"/>
    <w:rsid w:val="00427480"/>
    <w:rsid w:val="0043057A"/>
    <w:rsid w:val="004315DC"/>
    <w:rsid w:val="00437E14"/>
    <w:rsid w:val="00441968"/>
    <w:rsid w:val="00443FD9"/>
    <w:rsid w:val="004447BE"/>
    <w:rsid w:val="00444D84"/>
    <w:rsid w:val="00445779"/>
    <w:rsid w:val="004464C1"/>
    <w:rsid w:val="0044689A"/>
    <w:rsid w:val="00446F01"/>
    <w:rsid w:val="00447133"/>
    <w:rsid w:val="004502C9"/>
    <w:rsid w:val="00450442"/>
    <w:rsid w:val="00451A6A"/>
    <w:rsid w:val="004526B3"/>
    <w:rsid w:val="0045279D"/>
    <w:rsid w:val="00453175"/>
    <w:rsid w:val="00454A93"/>
    <w:rsid w:val="00454DA0"/>
    <w:rsid w:val="00456B61"/>
    <w:rsid w:val="004570D7"/>
    <w:rsid w:val="00460718"/>
    <w:rsid w:val="0046123B"/>
    <w:rsid w:val="00461E07"/>
    <w:rsid w:val="00463000"/>
    <w:rsid w:val="0046450F"/>
    <w:rsid w:val="0046475D"/>
    <w:rsid w:val="00465DB5"/>
    <w:rsid w:val="004667D4"/>
    <w:rsid w:val="004672E5"/>
    <w:rsid w:val="00467B73"/>
    <w:rsid w:val="0047195D"/>
    <w:rsid w:val="00473756"/>
    <w:rsid w:val="00473F90"/>
    <w:rsid w:val="00475E32"/>
    <w:rsid w:val="00476B31"/>
    <w:rsid w:val="004771BB"/>
    <w:rsid w:val="00477800"/>
    <w:rsid w:val="004813B1"/>
    <w:rsid w:val="00481683"/>
    <w:rsid w:val="004829D4"/>
    <w:rsid w:val="004834A5"/>
    <w:rsid w:val="00483515"/>
    <w:rsid w:val="00483544"/>
    <w:rsid w:val="00483C52"/>
    <w:rsid w:val="00484F8F"/>
    <w:rsid w:val="00490868"/>
    <w:rsid w:val="0049214B"/>
    <w:rsid w:val="004934F7"/>
    <w:rsid w:val="00494987"/>
    <w:rsid w:val="0049570C"/>
    <w:rsid w:val="00495BA0"/>
    <w:rsid w:val="00496A8B"/>
    <w:rsid w:val="00496B30"/>
    <w:rsid w:val="004A1213"/>
    <w:rsid w:val="004A1F78"/>
    <w:rsid w:val="004A5E06"/>
    <w:rsid w:val="004A5E43"/>
    <w:rsid w:val="004A7809"/>
    <w:rsid w:val="004B173A"/>
    <w:rsid w:val="004B1F09"/>
    <w:rsid w:val="004B30E8"/>
    <w:rsid w:val="004B31C7"/>
    <w:rsid w:val="004B4740"/>
    <w:rsid w:val="004B47EF"/>
    <w:rsid w:val="004B50C4"/>
    <w:rsid w:val="004B52C0"/>
    <w:rsid w:val="004B5F5F"/>
    <w:rsid w:val="004B6B70"/>
    <w:rsid w:val="004C0721"/>
    <w:rsid w:val="004C1E67"/>
    <w:rsid w:val="004C455E"/>
    <w:rsid w:val="004C4BCB"/>
    <w:rsid w:val="004C5FFF"/>
    <w:rsid w:val="004D1049"/>
    <w:rsid w:val="004D13B5"/>
    <w:rsid w:val="004D2A2C"/>
    <w:rsid w:val="004D40FA"/>
    <w:rsid w:val="004D4147"/>
    <w:rsid w:val="004D4AA8"/>
    <w:rsid w:val="004D660D"/>
    <w:rsid w:val="004D71C9"/>
    <w:rsid w:val="004D7819"/>
    <w:rsid w:val="004D7EBE"/>
    <w:rsid w:val="004E1CAD"/>
    <w:rsid w:val="004E2202"/>
    <w:rsid w:val="004E3472"/>
    <w:rsid w:val="004E361C"/>
    <w:rsid w:val="004E3B8B"/>
    <w:rsid w:val="004E4473"/>
    <w:rsid w:val="004E53E9"/>
    <w:rsid w:val="004E5504"/>
    <w:rsid w:val="004E55FB"/>
    <w:rsid w:val="004E5720"/>
    <w:rsid w:val="004E67D5"/>
    <w:rsid w:val="004E7CC6"/>
    <w:rsid w:val="004F1A3A"/>
    <w:rsid w:val="004F2E15"/>
    <w:rsid w:val="004F3C5A"/>
    <w:rsid w:val="004F4A2D"/>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3426"/>
    <w:rsid w:val="00513B5E"/>
    <w:rsid w:val="00513E26"/>
    <w:rsid w:val="00515137"/>
    <w:rsid w:val="005158ED"/>
    <w:rsid w:val="00515BEF"/>
    <w:rsid w:val="00516B56"/>
    <w:rsid w:val="00516BB4"/>
    <w:rsid w:val="0051726D"/>
    <w:rsid w:val="0051753F"/>
    <w:rsid w:val="00520223"/>
    <w:rsid w:val="00520B0C"/>
    <w:rsid w:val="00521220"/>
    <w:rsid w:val="00521CC4"/>
    <w:rsid w:val="00521F2F"/>
    <w:rsid w:val="00523734"/>
    <w:rsid w:val="00524A12"/>
    <w:rsid w:val="00526FDE"/>
    <w:rsid w:val="00530DC0"/>
    <w:rsid w:val="005316B1"/>
    <w:rsid w:val="00531BD1"/>
    <w:rsid w:val="0053418B"/>
    <w:rsid w:val="0053593A"/>
    <w:rsid w:val="005360F6"/>
    <w:rsid w:val="005364C2"/>
    <w:rsid w:val="00536ABC"/>
    <w:rsid w:val="005378B1"/>
    <w:rsid w:val="005412CE"/>
    <w:rsid w:val="0054344D"/>
    <w:rsid w:val="00543D31"/>
    <w:rsid w:val="00544AEB"/>
    <w:rsid w:val="00544ECE"/>
    <w:rsid w:val="0054574B"/>
    <w:rsid w:val="005459BD"/>
    <w:rsid w:val="00546B9A"/>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84E"/>
    <w:rsid w:val="00565AC9"/>
    <w:rsid w:val="005678E8"/>
    <w:rsid w:val="00567EF6"/>
    <w:rsid w:val="005715EE"/>
    <w:rsid w:val="005716F5"/>
    <w:rsid w:val="00572AC4"/>
    <w:rsid w:val="0057446E"/>
    <w:rsid w:val="00574E53"/>
    <w:rsid w:val="00575595"/>
    <w:rsid w:val="005756D2"/>
    <w:rsid w:val="0057750D"/>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E86"/>
    <w:rsid w:val="005B2199"/>
    <w:rsid w:val="005B2793"/>
    <w:rsid w:val="005B3126"/>
    <w:rsid w:val="005B3475"/>
    <w:rsid w:val="005B62E0"/>
    <w:rsid w:val="005B6F8D"/>
    <w:rsid w:val="005B747C"/>
    <w:rsid w:val="005B7927"/>
    <w:rsid w:val="005C06E5"/>
    <w:rsid w:val="005C1ED1"/>
    <w:rsid w:val="005C508B"/>
    <w:rsid w:val="005C53D0"/>
    <w:rsid w:val="005C53E8"/>
    <w:rsid w:val="005C6368"/>
    <w:rsid w:val="005C6565"/>
    <w:rsid w:val="005C6B0C"/>
    <w:rsid w:val="005D0843"/>
    <w:rsid w:val="005D122B"/>
    <w:rsid w:val="005D4908"/>
    <w:rsid w:val="005D4C0F"/>
    <w:rsid w:val="005D55DC"/>
    <w:rsid w:val="005D6C75"/>
    <w:rsid w:val="005E0D99"/>
    <w:rsid w:val="005E2EBE"/>
    <w:rsid w:val="005E382C"/>
    <w:rsid w:val="005E3C49"/>
    <w:rsid w:val="005E4212"/>
    <w:rsid w:val="005E4567"/>
    <w:rsid w:val="005E4B4D"/>
    <w:rsid w:val="005E7B0E"/>
    <w:rsid w:val="005F332C"/>
    <w:rsid w:val="005F460B"/>
    <w:rsid w:val="005F608B"/>
    <w:rsid w:val="005F79E1"/>
    <w:rsid w:val="00601126"/>
    <w:rsid w:val="006016ED"/>
    <w:rsid w:val="00602063"/>
    <w:rsid w:val="006028C1"/>
    <w:rsid w:val="006032D5"/>
    <w:rsid w:val="006046D2"/>
    <w:rsid w:val="00605536"/>
    <w:rsid w:val="0060568D"/>
    <w:rsid w:val="00605927"/>
    <w:rsid w:val="00607830"/>
    <w:rsid w:val="006079C2"/>
    <w:rsid w:val="00610414"/>
    <w:rsid w:val="00610BAE"/>
    <w:rsid w:val="00610E13"/>
    <w:rsid w:val="0061136F"/>
    <w:rsid w:val="00612415"/>
    <w:rsid w:val="00612CAC"/>
    <w:rsid w:val="0062142F"/>
    <w:rsid w:val="00622277"/>
    <w:rsid w:val="00623378"/>
    <w:rsid w:val="00623471"/>
    <w:rsid w:val="00624779"/>
    <w:rsid w:val="00624E1E"/>
    <w:rsid w:val="006253DD"/>
    <w:rsid w:val="006309E9"/>
    <w:rsid w:val="00630D9A"/>
    <w:rsid w:val="006317A5"/>
    <w:rsid w:val="00632CF6"/>
    <w:rsid w:val="00632DA5"/>
    <w:rsid w:val="006335F1"/>
    <w:rsid w:val="00634101"/>
    <w:rsid w:val="006343F2"/>
    <w:rsid w:val="006344CA"/>
    <w:rsid w:val="00635BFB"/>
    <w:rsid w:val="00636686"/>
    <w:rsid w:val="00636EEB"/>
    <w:rsid w:val="00640402"/>
    <w:rsid w:val="00641670"/>
    <w:rsid w:val="0064179F"/>
    <w:rsid w:val="00641CE2"/>
    <w:rsid w:val="00644CAD"/>
    <w:rsid w:val="00645402"/>
    <w:rsid w:val="006462EC"/>
    <w:rsid w:val="00646CBD"/>
    <w:rsid w:val="006478B7"/>
    <w:rsid w:val="00650DD4"/>
    <w:rsid w:val="0065102C"/>
    <w:rsid w:val="006516B4"/>
    <w:rsid w:val="006524AB"/>
    <w:rsid w:val="00652664"/>
    <w:rsid w:val="0065392B"/>
    <w:rsid w:val="006541C3"/>
    <w:rsid w:val="00655C22"/>
    <w:rsid w:val="00655F70"/>
    <w:rsid w:val="00656944"/>
    <w:rsid w:val="0066033A"/>
    <w:rsid w:val="00660430"/>
    <w:rsid w:val="006611D9"/>
    <w:rsid w:val="00661736"/>
    <w:rsid w:val="00661910"/>
    <w:rsid w:val="00661A73"/>
    <w:rsid w:val="00663010"/>
    <w:rsid w:val="00663515"/>
    <w:rsid w:val="00663A51"/>
    <w:rsid w:val="0067021C"/>
    <w:rsid w:val="00671866"/>
    <w:rsid w:val="0067195B"/>
    <w:rsid w:val="0067301B"/>
    <w:rsid w:val="0067688E"/>
    <w:rsid w:val="00676D48"/>
    <w:rsid w:val="006808BB"/>
    <w:rsid w:val="0068091D"/>
    <w:rsid w:val="00681281"/>
    <w:rsid w:val="00681395"/>
    <w:rsid w:val="00683810"/>
    <w:rsid w:val="00684496"/>
    <w:rsid w:val="0068454E"/>
    <w:rsid w:val="00685520"/>
    <w:rsid w:val="006858A3"/>
    <w:rsid w:val="00685903"/>
    <w:rsid w:val="006910CB"/>
    <w:rsid w:val="00692213"/>
    <w:rsid w:val="00693BCE"/>
    <w:rsid w:val="00694412"/>
    <w:rsid w:val="00695295"/>
    <w:rsid w:val="00695978"/>
    <w:rsid w:val="006A2D2B"/>
    <w:rsid w:val="006A44CF"/>
    <w:rsid w:val="006A524F"/>
    <w:rsid w:val="006A52CC"/>
    <w:rsid w:val="006A581E"/>
    <w:rsid w:val="006A6FC8"/>
    <w:rsid w:val="006A7D20"/>
    <w:rsid w:val="006B0349"/>
    <w:rsid w:val="006B2456"/>
    <w:rsid w:val="006B42EB"/>
    <w:rsid w:val="006B4C7C"/>
    <w:rsid w:val="006B7C31"/>
    <w:rsid w:val="006C095F"/>
    <w:rsid w:val="006C2689"/>
    <w:rsid w:val="006C3E74"/>
    <w:rsid w:val="006C45C0"/>
    <w:rsid w:val="006C523F"/>
    <w:rsid w:val="006C5629"/>
    <w:rsid w:val="006C6062"/>
    <w:rsid w:val="006C6671"/>
    <w:rsid w:val="006C727A"/>
    <w:rsid w:val="006C75CF"/>
    <w:rsid w:val="006D2C91"/>
    <w:rsid w:val="006D469F"/>
    <w:rsid w:val="006D4907"/>
    <w:rsid w:val="006D52F7"/>
    <w:rsid w:val="006D53E9"/>
    <w:rsid w:val="006E0301"/>
    <w:rsid w:val="006E0CEC"/>
    <w:rsid w:val="006E2D3D"/>
    <w:rsid w:val="006E2F08"/>
    <w:rsid w:val="006E4B63"/>
    <w:rsid w:val="006E7515"/>
    <w:rsid w:val="006F004E"/>
    <w:rsid w:val="006F141E"/>
    <w:rsid w:val="006F2DB7"/>
    <w:rsid w:val="006F3C78"/>
    <w:rsid w:val="006F6C38"/>
    <w:rsid w:val="006F7B2E"/>
    <w:rsid w:val="0070243C"/>
    <w:rsid w:val="00702A1A"/>
    <w:rsid w:val="0070347D"/>
    <w:rsid w:val="007037DB"/>
    <w:rsid w:val="00703FEE"/>
    <w:rsid w:val="007059E0"/>
    <w:rsid w:val="00706F6F"/>
    <w:rsid w:val="0070712E"/>
    <w:rsid w:val="0070771B"/>
    <w:rsid w:val="00712363"/>
    <w:rsid w:val="0071295A"/>
    <w:rsid w:val="0071333D"/>
    <w:rsid w:val="00714570"/>
    <w:rsid w:val="00714A92"/>
    <w:rsid w:val="00715F8D"/>
    <w:rsid w:val="00716788"/>
    <w:rsid w:val="00716B40"/>
    <w:rsid w:val="00720E4F"/>
    <w:rsid w:val="00720E65"/>
    <w:rsid w:val="00721DA2"/>
    <w:rsid w:val="0072235C"/>
    <w:rsid w:val="00722636"/>
    <w:rsid w:val="00723512"/>
    <w:rsid w:val="0072489A"/>
    <w:rsid w:val="00726C6E"/>
    <w:rsid w:val="007274D2"/>
    <w:rsid w:val="00730592"/>
    <w:rsid w:val="007305C1"/>
    <w:rsid w:val="007305CD"/>
    <w:rsid w:val="00730C46"/>
    <w:rsid w:val="00731243"/>
    <w:rsid w:val="00732A9A"/>
    <w:rsid w:val="0073394E"/>
    <w:rsid w:val="0073423A"/>
    <w:rsid w:val="00734B49"/>
    <w:rsid w:val="00734C20"/>
    <w:rsid w:val="00737DAE"/>
    <w:rsid w:val="00740C32"/>
    <w:rsid w:val="0074100F"/>
    <w:rsid w:val="00741448"/>
    <w:rsid w:val="00743A58"/>
    <w:rsid w:val="00745C3A"/>
    <w:rsid w:val="00746ED9"/>
    <w:rsid w:val="007475EE"/>
    <w:rsid w:val="00747A64"/>
    <w:rsid w:val="00750128"/>
    <w:rsid w:val="0075552C"/>
    <w:rsid w:val="00755704"/>
    <w:rsid w:val="00755C2F"/>
    <w:rsid w:val="00760837"/>
    <w:rsid w:val="00765623"/>
    <w:rsid w:val="00765FF4"/>
    <w:rsid w:val="0076697E"/>
    <w:rsid w:val="0077355E"/>
    <w:rsid w:val="007737DE"/>
    <w:rsid w:val="00776A54"/>
    <w:rsid w:val="00776F49"/>
    <w:rsid w:val="0077789F"/>
    <w:rsid w:val="00780757"/>
    <w:rsid w:val="007814D5"/>
    <w:rsid w:val="00783A2B"/>
    <w:rsid w:val="00783C72"/>
    <w:rsid w:val="007877A7"/>
    <w:rsid w:val="007A1363"/>
    <w:rsid w:val="007A1AF2"/>
    <w:rsid w:val="007A211F"/>
    <w:rsid w:val="007A22A8"/>
    <w:rsid w:val="007A31E2"/>
    <w:rsid w:val="007A4097"/>
    <w:rsid w:val="007A4561"/>
    <w:rsid w:val="007A5D79"/>
    <w:rsid w:val="007A6596"/>
    <w:rsid w:val="007B03DB"/>
    <w:rsid w:val="007B40DF"/>
    <w:rsid w:val="007B51B7"/>
    <w:rsid w:val="007B59D2"/>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11C6"/>
    <w:rsid w:val="007D13C4"/>
    <w:rsid w:val="007D278B"/>
    <w:rsid w:val="007D2F8E"/>
    <w:rsid w:val="007D3369"/>
    <w:rsid w:val="007D4A0A"/>
    <w:rsid w:val="007D4AB4"/>
    <w:rsid w:val="007D4F7E"/>
    <w:rsid w:val="007D523D"/>
    <w:rsid w:val="007D5EA7"/>
    <w:rsid w:val="007D6ECF"/>
    <w:rsid w:val="007D6FAA"/>
    <w:rsid w:val="007D761B"/>
    <w:rsid w:val="007E0170"/>
    <w:rsid w:val="007E0474"/>
    <w:rsid w:val="007E0F03"/>
    <w:rsid w:val="007E40E5"/>
    <w:rsid w:val="007E4223"/>
    <w:rsid w:val="007E5961"/>
    <w:rsid w:val="007E5F24"/>
    <w:rsid w:val="007E6796"/>
    <w:rsid w:val="007E6EBC"/>
    <w:rsid w:val="007F0325"/>
    <w:rsid w:val="007F0444"/>
    <w:rsid w:val="007F31DE"/>
    <w:rsid w:val="007F5FB7"/>
    <w:rsid w:val="007F6EE8"/>
    <w:rsid w:val="007F7C34"/>
    <w:rsid w:val="007F7E13"/>
    <w:rsid w:val="008003FB"/>
    <w:rsid w:val="008032BA"/>
    <w:rsid w:val="008074EE"/>
    <w:rsid w:val="00810FC4"/>
    <w:rsid w:val="00811844"/>
    <w:rsid w:val="00813E24"/>
    <w:rsid w:val="00814D4B"/>
    <w:rsid w:val="0081581B"/>
    <w:rsid w:val="00816D7A"/>
    <w:rsid w:val="0081704E"/>
    <w:rsid w:val="00817AD5"/>
    <w:rsid w:val="008223D6"/>
    <w:rsid w:val="008244CA"/>
    <w:rsid w:val="00831734"/>
    <w:rsid w:val="008330DA"/>
    <w:rsid w:val="00833BD1"/>
    <w:rsid w:val="00835C63"/>
    <w:rsid w:val="00836C3D"/>
    <w:rsid w:val="008402E7"/>
    <w:rsid w:val="0084123D"/>
    <w:rsid w:val="008431E0"/>
    <w:rsid w:val="00843556"/>
    <w:rsid w:val="00843831"/>
    <w:rsid w:val="00844445"/>
    <w:rsid w:val="00844D97"/>
    <w:rsid w:val="00851EA3"/>
    <w:rsid w:val="00852745"/>
    <w:rsid w:val="00852B07"/>
    <w:rsid w:val="00855F65"/>
    <w:rsid w:val="00856243"/>
    <w:rsid w:val="0085777C"/>
    <w:rsid w:val="00860C42"/>
    <w:rsid w:val="008623FA"/>
    <w:rsid w:val="008625DB"/>
    <w:rsid w:val="008636DD"/>
    <w:rsid w:val="00864651"/>
    <w:rsid w:val="0086475C"/>
    <w:rsid w:val="00864DED"/>
    <w:rsid w:val="008659F3"/>
    <w:rsid w:val="00865FAE"/>
    <w:rsid w:val="00866E6E"/>
    <w:rsid w:val="0087061A"/>
    <w:rsid w:val="00871CCC"/>
    <w:rsid w:val="00873A66"/>
    <w:rsid w:val="00873C73"/>
    <w:rsid w:val="008802A3"/>
    <w:rsid w:val="008806CA"/>
    <w:rsid w:val="00881703"/>
    <w:rsid w:val="008818EB"/>
    <w:rsid w:val="00882ABA"/>
    <w:rsid w:val="00882EE0"/>
    <w:rsid w:val="00883DAE"/>
    <w:rsid w:val="0088411C"/>
    <w:rsid w:val="008850A4"/>
    <w:rsid w:val="00885D25"/>
    <w:rsid w:val="00885E8E"/>
    <w:rsid w:val="0088611C"/>
    <w:rsid w:val="00886203"/>
    <w:rsid w:val="0088657F"/>
    <w:rsid w:val="008866E7"/>
    <w:rsid w:val="0088691C"/>
    <w:rsid w:val="0088755F"/>
    <w:rsid w:val="00891C39"/>
    <w:rsid w:val="00891D52"/>
    <w:rsid w:val="00891EE0"/>
    <w:rsid w:val="00893C31"/>
    <w:rsid w:val="00894A20"/>
    <w:rsid w:val="008951D0"/>
    <w:rsid w:val="00895D56"/>
    <w:rsid w:val="00896DB0"/>
    <w:rsid w:val="00897118"/>
    <w:rsid w:val="008972CB"/>
    <w:rsid w:val="008976A1"/>
    <w:rsid w:val="008A1E36"/>
    <w:rsid w:val="008A2E1D"/>
    <w:rsid w:val="008A37FC"/>
    <w:rsid w:val="008A3F53"/>
    <w:rsid w:val="008A4136"/>
    <w:rsid w:val="008A43CC"/>
    <w:rsid w:val="008A4E63"/>
    <w:rsid w:val="008A4F82"/>
    <w:rsid w:val="008A536C"/>
    <w:rsid w:val="008A68C0"/>
    <w:rsid w:val="008B0214"/>
    <w:rsid w:val="008B323C"/>
    <w:rsid w:val="008B4208"/>
    <w:rsid w:val="008B4BC7"/>
    <w:rsid w:val="008B542F"/>
    <w:rsid w:val="008B551D"/>
    <w:rsid w:val="008B6EE7"/>
    <w:rsid w:val="008B6FC6"/>
    <w:rsid w:val="008C03CE"/>
    <w:rsid w:val="008C0A79"/>
    <w:rsid w:val="008C1B73"/>
    <w:rsid w:val="008C26AC"/>
    <w:rsid w:val="008C2975"/>
    <w:rsid w:val="008C4328"/>
    <w:rsid w:val="008C5AAB"/>
    <w:rsid w:val="008C66E9"/>
    <w:rsid w:val="008C6850"/>
    <w:rsid w:val="008C7116"/>
    <w:rsid w:val="008D0170"/>
    <w:rsid w:val="008D0ED8"/>
    <w:rsid w:val="008D1164"/>
    <w:rsid w:val="008D1208"/>
    <w:rsid w:val="008D142F"/>
    <w:rsid w:val="008D1D0F"/>
    <w:rsid w:val="008D25F6"/>
    <w:rsid w:val="008D3C3B"/>
    <w:rsid w:val="008D4CA4"/>
    <w:rsid w:val="008D52BD"/>
    <w:rsid w:val="008E095C"/>
    <w:rsid w:val="008E3343"/>
    <w:rsid w:val="008E377F"/>
    <w:rsid w:val="008E38CD"/>
    <w:rsid w:val="008E57C4"/>
    <w:rsid w:val="008F0292"/>
    <w:rsid w:val="008F1083"/>
    <w:rsid w:val="008F2C3E"/>
    <w:rsid w:val="008F3A31"/>
    <w:rsid w:val="008F579C"/>
    <w:rsid w:val="008F65C0"/>
    <w:rsid w:val="008F67A3"/>
    <w:rsid w:val="008F7EFA"/>
    <w:rsid w:val="00901A18"/>
    <w:rsid w:val="0090338A"/>
    <w:rsid w:val="00903B8E"/>
    <w:rsid w:val="00905314"/>
    <w:rsid w:val="009065B3"/>
    <w:rsid w:val="00911293"/>
    <w:rsid w:val="009115A2"/>
    <w:rsid w:val="00911C8A"/>
    <w:rsid w:val="00912096"/>
    <w:rsid w:val="00913389"/>
    <w:rsid w:val="0091353D"/>
    <w:rsid w:val="009144C0"/>
    <w:rsid w:val="009149BF"/>
    <w:rsid w:val="009176CC"/>
    <w:rsid w:val="0092234C"/>
    <w:rsid w:val="009227F2"/>
    <w:rsid w:val="00924270"/>
    <w:rsid w:val="00925778"/>
    <w:rsid w:val="00926BFC"/>
    <w:rsid w:val="00930D48"/>
    <w:rsid w:val="00932363"/>
    <w:rsid w:val="009328E4"/>
    <w:rsid w:val="00933D97"/>
    <w:rsid w:val="00934407"/>
    <w:rsid w:val="00934ADD"/>
    <w:rsid w:val="00935C75"/>
    <w:rsid w:val="00936381"/>
    <w:rsid w:val="009366FE"/>
    <w:rsid w:val="00936DD0"/>
    <w:rsid w:val="00940AAD"/>
    <w:rsid w:val="0094153F"/>
    <w:rsid w:val="00941543"/>
    <w:rsid w:val="009417A7"/>
    <w:rsid w:val="00941E5C"/>
    <w:rsid w:val="00942D4D"/>
    <w:rsid w:val="009448E4"/>
    <w:rsid w:val="00945F78"/>
    <w:rsid w:val="00947BA7"/>
    <w:rsid w:val="00951574"/>
    <w:rsid w:val="009536D1"/>
    <w:rsid w:val="00953DF0"/>
    <w:rsid w:val="00955A9B"/>
    <w:rsid w:val="00956DD3"/>
    <w:rsid w:val="00957498"/>
    <w:rsid w:val="009609DD"/>
    <w:rsid w:val="00961044"/>
    <w:rsid w:val="009623B9"/>
    <w:rsid w:val="00963378"/>
    <w:rsid w:val="0096399A"/>
    <w:rsid w:val="00965A4D"/>
    <w:rsid w:val="009662F8"/>
    <w:rsid w:val="00966775"/>
    <w:rsid w:val="00967517"/>
    <w:rsid w:val="00967C00"/>
    <w:rsid w:val="0097120B"/>
    <w:rsid w:val="009721C9"/>
    <w:rsid w:val="00972F0F"/>
    <w:rsid w:val="00973D12"/>
    <w:rsid w:val="0098100A"/>
    <w:rsid w:val="00981839"/>
    <w:rsid w:val="009826D7"/>
    <w:rsid w:val="00991DAF"/>
    <w:rsid w:val="009925F9"/>
    <w:rsid w:val="00993183"/>
    <w:rsid w:val="0099330E"/>
    <w:rsid w:val="0099489F"/>
    <w:rsid w:val="009953AB"/>
    <w:rsid w:val="00995988"/>
    <w:rsid w:val="00995E4B"/>
    <w:rsid w:val="009974B0"/>
    <w:rsid w:val="009A052E"/>
    <w:rsid w:val="009A0EC5"/>
    <w:rsid w:val="009A3295"/>
    <w:rsid w:val="009A3942"/>
    <w:rsid w:val="009A3F99"/>
    <w:rsid w:val="009A6B49"/>
    <w:rsid w:val="009A7AA8"/>
    <w:rsid w:val="009B10B6"/>
    <w:rsid w:val="009B150A"/>
    <w:rsid w:val="009B1F2C"/>
    <w:rsid w:val="009B2267"/>
    <w:rsid w:val="009B4243"/>
    <w:rsid w:val="009B42D8"/>
    <w:rsid w:val="009B4C71"/>
    <w:rsid w:val="009B5CA8"/>
    <w:rsid w:val="009C253D"/>
    <w:rsid w:val="009C54EB"/>
    <w:rsid w:val="009C5F0C"/>
    <w:rsid w:val="009C60ED"/>
    <w:rsid w:val="009C6182"/>
    <w:rsid w:val="009D1A1A"/>
    <w:rsid w:val="009D43E0"/>
    <w:rsid w:val="009D5221"/>
    <w:rsid w:val="009D5BC5"/>
    <w:rsid w:val="009D680E"/>
    <w:rsid w:val="009D7ECE"/>
    <w:rsid w:val="009E083C"/>
    <w:rsid w:val="009E2142"/>
    <w:rsid w:val="009E2586"/>
    <w:rsid w:val="009E4218"/>
    <w:rsid w:val="009E4354"/>
    <w:rsid w:val="009E4364"/>
    <w:rsid w:val="009E4873"/>
    <w:rsid w:val="009E74EC"/>
    <w:rsid w:val="009E76D4"/>
    <w:rsid w:val="009E7809"/>
    <w:rsid w:val="009E795E"/>
    <w:rsid w:val="009E7D93"/>
    <w:rsid w:val="009F0DA4"/>
    <w:rsid w:val="009F1208"/>
    <w:rsid w:val="009F154D"/>
    <w:rsid w:val="009F2719"/>
    <w:rsid w:val="009F2C70"/>
    <w:rsid w:val="009F6C84"/>
    <w:rsid w:val="00A010C5"/>
    <w:rsid w:val="00A013BF"/>
    <w:rsid w:val="00A025C6"/>
    <w:rsid w:val="00A02746"/>
    <w:rsid w:val="00A0731C"/>
    <w:rsid w:val="00A10B7E"/>
    <w:rsid w:val="00A10EAB"/>
    <w:rsid w:val="00A116B9"/>
    <w:rsid w:val="00A11E56"/>
    <w:rsid w:val="00A12B8E"/>
    <w:rsid w:val="00A14597"/>
    <w:rsid w:val="00A147D6"/>
    <w:rsid w:val="00A16725"/>
    <w:rsid w:val="00A16F83"/>
    <w:rsid w:val="00A1741B"/>
    <w:rsid w:val="00A202AB"/>
    <w:rsid w:val="00A23817"/>
    <w:rsid w:val="00A25FA0"/>
    <w:rsid w:val="00A265AA"/>
    <w:rsid w:val="00A26E34"/>
    <w:rsid w:val="00A27D3B"/>
    <w:rsid w:val="00A30FDE"/>
    <w:rsid w:val="00A329AB"/>
    <w:rsid w:val="00A32B2D"/>
    <w:rsid w:val="00A33844"/>
    <w:rsid w:val="00A35C5B"/>
    <w:rsid w:val="00A366A4"/>
    <w:rsid w:val="00A377D2"/>
    <w:rsid w:val="00A4170F"/>
    <w:rsid w:val="00A41E18"/>
    <w:rsid w:val="00A4331B"/>
    <w:rsid w:val="00A43BDB"/>
    <w:rsid w:val="00A4406A"/>
    <w:rsid w:val="00A45EB1"/>
    <w:rsid w:val="00A46438"/>
    <w:rsid w:val="00A466E7"/>
    <w:rsid w:val="00A505A6"/>
    <w:rsid w:val="00A5086E"/>
    <w:rsid w:val="00A50889"/>
    <w:rsid w:val="00A528D4"/>
    <w:rsid w:val="00A53A10"/>
    <w:rsid w:val="00A54722"/>
    <w:rsid w:val="00A549C4"/>
    <w:rsid w:val="00A54A52"/>
    <w:rsid w:val="00A573C5"/>
    <w:rsid w:val="00A577B5"/>
    <w:rsid w:val="00A601B8"/>
    <w:rsid w:val="00A602EF"/>
    <w:rsid w:val="00A638EB"/>
    <w:rsid w:val="00A7048D"/>
    <w:rsid w:val="00A71176"/>
    <w:rsid w:val="00A7418C"/>
    <w:rsid w:val="00A74FF0"/>
    <w:rsid w:val="00A75DF6"/>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50DC"/>
    <w:rsid w:val="00A96B5A"/>
    <w:rsid w:val="00AA15FF"/>
    <w:rsid w:val="00AA5CDB"/>
    <w:rsid w:val="00AA6788"/>
    <w:rsid w:val="00AA67A7"/>
    <w:rsid w:val="00AB049C"/>
    <w:rsid w:val="00AB1638"/>
    <w:rsid w:val="00AB2209"/>
    <w:rsid w:val="00AB2B5D"/>
    <w:rsid w:val="00AB2CE9"/>
    <w:rsid w:val="00AB4305"/>
    <w:rsid w:val="00AB60D9"/>
    <w:rsid w:val="00AB618C"/>
    <w:rsid w:val="00AB69F8"/>
    <w:rsid w:val="00AB7A5E"/>
    <w:rsid w:val="00AC0097"/>
    <w:rsid w:val="00AC4222"/>
    <w:rsid w:val="00AC4B4D"/>
    <w:rsid w:val="00AC5D33"/>
    <w:rsid w:val="00AC7F0F"/>
    <w:rsid w:val="00AC7F1E"/>
    <w:rsid w:val="00AD2C6F"/>
    <w:rsid w:val="00AD355A"/>
    <w:rsid w:val="00AD4529"/>
    <w:rsid w:val="00AD6349"/>
    <w:rsid w:val="00AD6527"/>
    <w:rsid w:val="00AD6A69"/>
    <w:rsid w:val="00AD6F5F"/>
    <w:rsid w:val="00AD761B"/>
    <w:rsid w:val="00AE0BB8"/>
    <w:rsid w:val="00AE3441"/>
    <w:rsid w:val="00AF09AD"/>
    <w:rsid w:val="00AF3318"/>
    <w:rsid w:val="00AF4299"/>
    <w:rsid w:val="00AF4664"/>
    <w:rsid w:val="00AF4ED0"/>
    <w:rsid w:val="00AF5106"/>
    <w:rsid w:val="00AF624E"/>
    <w:rsid w:val="00AF68FC"/>
    <w:rsid w:val="00AF770A"/>
    <w:rsid w:val="00B01CDE"/>
    <w:rsid w:val="00B03FDD"/>
    <w:rsid w:val="00B0731A"/>
    <w:rsid w:val="00B10F64"/>
    <w:rsid w:val="00B11F00"/>
    <w:rsid w:val="00B14B7B"/>
    <w:rsid w:val="00B169E7"/>
    <w:rsid w:val="00B2088B"/>
    <w:rsid w:val="00B233CA"/>
    <w:rsid w:val="00B23C49"/>
    <w:rsid w:val="00B258F0"/>
    <w:rsid w:val="00B25E66"/>
    <w:rsid w:val="00B26CB2"/>
    <w:rsid w:val="00B279FD"/>
    <w:rsid w:val="00B30359"/>
    <w:rsid w:val="00B30F8C"/>
    <w:rsid w:val="00B31023"/>
    <w:rsid w:val="00B32F4A"/>
    <w:rsid w:val="00B33230"/>
    <w:rsid w:val="00B342ED"/>
    <w:rsid w:val="00B37073"/>
    <w:rsid w:val="00B37CE5"/>
    <w:rsid w:val="00B41113"/>
    <w:rsid w:val="00B42008"/>
    <w:rsid w:val="00B4213B"/>
    <w:rsid w:val="00B42E83"/>
    <w:rsid w:val="00B43290"/>
    <w:rsid w:val="00B44FEE"/>
    <w:rsid w:val="00B45160"/>
    <w:rsid w:val="00B457DD"/>
    <w:rsid w:val="00B45E48"/>
    <w:rsid w:val="00B4676C"/>
    <w:rsid w:val="00B46BF8"/>
    <w:rsid w:val="00B51B3C"/>
    <w:rsid w:val="00B52162"/>
    <w:rsid w:val="00B53209"/>
    <w:rsid w:val="00B56321"/>
    <w:rsid w:val="00B56F18"/>
    <w:rsid w:val="00B612F4"/>
    <w:rsid w:val="00B63A66"/>
    <w:rsid w:val="00B64106"/>
    <w:rsid w:val="00B64C34"/>
    <w:rsid w:val="00B709FE"/>
    <w:rsid w:val="00B72A37"/>
    <w:rsid w:val="00B733AD"/>
    <w:rsid w:val="00B73769"/>
    <w:rsid w:val="00B743F4"/>
    <w:rsid w:val="00B7591D"/>
    <w:rsid w:val="00B77055"/>
    <w:rsid w:val="00B776BE"/>
    <w:rsid w:val="00B80142"/>
    <w:rsid w:val="00B80237"/>
    <w:rsid w:val="00B80EA8"/>
    <w:rsid w:val="00B818F4"/>
    <w:rsid w:val="00B8253F"/>
    <w:rsid w:val="00B837BD"/>
    <w:rsid w:val="00B863AD"/>
    <w:rsid w:val="00B8735C"/>
    <w:rsid w:val="00B916BB"/>
    <w:rsid w:val="00B92F4F"/>
    <w:rsid w:val="00B94328"/>
    <w:rsid w:val="00B94662"/>
    <w:rsid w:val="00B96065"/>
    <w:rsid w:val="00B96853"/>
    <w:rsid w:val="00B96BDF"/>
    <w:rsid w:val="00B96EA1"/>
    <w:rsid w:val="00BA0C6E"/>
    <w:rsid w:val="00BA1AF5"/>
    <w:rsid w:val="00BA1B5E"/>
    <w:rsid w:val="00BA2038"/>
    <w:rsid w:val="00BA3738"/>
    <w:rsid w:val="00BA5531"/>
    <w:rsid w:val="00BA647A"/>
    <w:rsid w:val="00BA68CD"/>
    <w:rsid w:val="00BA6D43"/>
    <w:rsid w:val="00BB0433"/>
    <w:rsid w:val="00BB3DE4"/>
    <w:rsid w:val="00BB6F82"/>
    <w:rsid w:val="00BB72B8"/>
    <w:rsid w:val="00BB76FE"/>
    <w:rsid w:val="00BB7F5C"/>
    <w:rsid w:val="00BC063C"/>
    <w:rsid w:val="00BC06CA"/>
    <w:rsid w:val="00BC0D67"/>
    <w:rsid w:val="00BC27CF"/>
    <w:rsid w:val="00BC2AFE"/>
    <w:rsid w:val="00BC2FC3"/>
    <w:rsid w:val="00BC31C3"/>
    <w:rsid w:val="00BC37F0"/>
    <w:rsid w:val="00BC3DB1"/>
    <w:rsid w:val="00BC6BF5"/>
    <w:rsid w:val="00BC6E6C"/>
    <w:rsid w:val="00BD34E1"/>
    <w:rsid w:val="00BE121F"/>
    <w:rsid w:val="00BE161C"/>
    <w:rsid w:val="00BE2886"/>
    <w:rsid w:val="00BE37CE"/>
    <w:rsid w:val="00BE3BDF"/>
    <w:rsid w:val="00BE3F07"/>
    <w:rsid w:val="00BE5A2B"/>
    <w:rsid w:val="00BE5F23"/>
    <w:rsid w:val="00BF0990"/>
    <w:rsid w:val="00BF0C8F"/>
    <w:rsid w:val="00BF1967"/>
    <w:rsid w:val="00BF50D7"/>
    <w:rsid w:val="00BF6027"/>
    <w:rsid w:val="00BF7BF6"/>
    <w:rsid w:val="00C001E1"/>
    <w:rsid w:val="00C03CD3"/>
    <w:rsid w:val="00C04229"/>
    <w:rsid w:val="00C05F0A"/>
    <w:rsid w:val="00C06457"/>
    <w:rsid w:val="00C079BF"/>
    <w:rsid w:val="00C107C3"/>
    <w:rsid w:val="00C11F15"/>
    <w:rsid w:val="00C138FC"/>
    <w:rsid w:val="00C159B2"/>
    <w:rsid w:val="00C15D4D"/>
    <w:rsid w:val="00C15DEE"/>
    <w:rsid w:val="00C20809"/>
    <w:rsid w:val="00C213BF"/>
    <w:rsid w:val="00C21C54"/>
    <w:rsid w:val="00C2265F"/>
    <w:rsid w:val="00C25213"/>
    <w:rsid w:val="00C25299"/>
    <w:rsid w:val="00C256D4"/>
    <w:rsid w:val="00C26E3B"/>
    <w:rsid w:val="00C276F3"/>
    <w:rsid w:val="00C27B1A"/>
    <w:rsid w:val="00C315B4"/>
    <w:rsid w:val="00C32E71"/>
    <w:rsid w:val="00C33456"/>
    <w:rsid w:val="00C335C4"/>
    <w:rsid w:val="00C33E55"/>
    <w:rsid w:val="00C34510"/>
    <w:rsid w:val="00C34CCB"/>
    <w:rsid w:val="00C34F6A"/>
    <w:rsid w:val="00C3502C"/>
    <w:rsid w:val="00C354B0"/>
    <w:rsid w:val="00C35E27"/>
    <w:rsid w:val="00C35F2D"/>
    <w:rsid w:val="00C37727"/>
    <w:rsid w:val="00C4095B"/>
    <w:rsid w:val="00C437E2"/>
    <w:rsid w:val="00C43B39"/>
    <w:rsid w:val="00C45B7A"/>
    <w:rsid w:val="00C45EE8"/>
    <w:rsid w:val="00C46F55"/>
    <w:rsid w:val="00C50627"/>
    <w:rsid w:val="00C53F64"/>
    <w:rsid w:val="00C555CE"/>
    <w:rsid w:val="00C559B0"/>
    <w:rsid w:val="00C573D9"/>
    <w:rsid w:val="00C57EF1"/>
    <w:rsid w:val="00C62806"/>
    <w:rsid w:val="00C63065"/>
    <w:rsid w:val="00C6362E"/>
    <w:rsid w:val="00C6443C"/>
    <w:rsid w:val="00C65170"/>
    <w:rsid w:val="00C70646"/>
    <w:rsid w:val="00C70E00"/>
    <w:rsid w:val="00C71B47"/>
    <w:rsid w:val="00C735E6"/>
    <w:rsid w:val="00C74801"/>
    <w:rsid w:val="00C74ACA"/>
    <w:rsid w:val="00C75513"/>
    <w:rsid w:val="00C765C0"/>
    <w:rsid w:val="00C76E82"/>
    <w:rsid w:val="00C77008"/>
    <w:rsid w:val="00C80106"/>
    <w:rsid w:val="00C81D85"/>
    <w:rsid w:val="00C827FE"/>
    <w:rsid w:val="00C829FA"/>
    <w:rsid w:val="00C82F49"/>
    <w:rsid w:val="00C83EDD"/>
    <w:rsid w:val="00C8415D"/>
    <w:rsid w:val="00C84EAB"/>
    <w:rsid w:val="00C852AB"/>
    <w:rsid w:val="00C868BE"/>
    <w:rsid w:val="00C90D93"/>
    <w:rsid w:val="00C93079"/>
    <w:rsid w:val="00C93760"/>
    <w:rsid w:val="00C950F1"/>
    <w:rsid w:val="00C9660D"/>
    <w:rsid w:val="00C9671B"/>
    <w:rsid w:val="00C969DF"/>
    <w:rsid w:val="00C96B00"/>
    <w:rsid w:val="00C96D60"/>
    <w:rsid w:val="00CA0215"/>
    <w:rsid w:val="00CA0962"/>
    <w:rsid w:val="00CA0E02"/>
    <w:rsid w:val="00CA0F59"/>
    <w:rsid w:val="00CA2960"/>
    <w:rsid w:val="00CA2ECB"/>
    <w:rsid w:val="00CA2F0A"/>
    <w:rsid w:val="00CA2F3B"/>
    <w:rsid w:val="00CA38AE"/>
    <w:rsid w:val="00CA69DF"/>
    <w:rsid w:val="00CB077C"/>
    <w:rsid w:val="00CB1744"/>
    <w:rsid w:val="00CB3AD5"/>
    <w:rsid w:val="00CB436F"/>
    <w:rsid w:val="00CB4D7E"/>
    <w:rsid w:val="00CB6CFF"/>
    <w:rsid w:val="00CB6F5D"/>
    <w:rsid w:val="00CC008F"/>
    <w:rsid w:val="00CC00B4"/>
    <w:rsid w:val="00CC0D7B"/>
    <w:rsid w:val="00CC0E0E"/>
    <w:rsid w:val="00CC1FCD"/>
    <w:rsid w:val="00CC2D5D"/>
    <w:rsid w:val="00CC4A52"/>
    <w:rsid w:val="00CC6863"/>
    <w:rsid w:val="00CD0F7F"/>
    <w:rsid w:val="00CD2027"/>
    <w:rsid w:val="00CD2FEE"/>
    <w:rsid w:val="00CD399C"/>
    <w:rsid w:val="00CD412A"/>
    <w:rsid w:val="00CD4C5B"/>
    <w:rsid w:val="00CD62AA"/>
    <w:rsid w:val="00CE06DD"/>
    <w:rsid w:val="00CE1B51"/>
    <w:rsid w:val="00CE2127"/>
    <w:rsid w:val="00CE39DA"/>
    <w:rsid w:val="00CE4F0C"/>
    <w:rsid w:val="00CE6029"/>
    <w:rsid w:val="00CE62DD"/>
    <w:rsid w:val="00CE6351"/>
    <w:rsid w:val="00CE7D86"/>
    <w:rsid w:val="00CF2B05"/>
    <w:rsid w:val="00CF3D65"/>
    <w:rsid w:val="00CF5853"/>
    <w:rsid w:val="00CF60E9"/>
    <w:rsid w:val="00CF6102"/>
    <w:rsid w:val="00CF6B76"/>
    <w:rsid w:val="00D009C0"/>
    <w:rsid w:val="00D00CE1"/>
    <w:rsid w:val="00D01F45"/>
    <w:rsid w:val="00D04796"/>
    <w:rsid w:val="00D04950"/>
    <w:rsid w:val="00D05E61"/>
    <w:rsid w:val="00D06B22"/>
    <w:rsid w:val="00D06D50"/>
    <w:rsid w:val="00D1103F"/>
    <w:rsid w:val="00D11199"/>
    <w:rsid w:val="00D12543"/>
    <w:rsid w:val="00D12910"/>
    <w:rsid w:val="00D12C8C"/>
    <w:rsid w:val="00D21962"/>
    <w:rsid w:val="00D23DF3"/>
    <w:rsid w:val="00D2405A"/>
    <w:rsid w:val="00D2477E"/>
    <w:rsid w:val="00D24AEE"/>
    <w:rsid w:val="00D254B5"/>
    <w:rsid w:val="00D25A2D"/>
    <w:rsid w:val="00D2692F"/>
    <w:rsid w:val="00D26DC4"/>
    <w:rsid w:val="00D27375"/>
    <w:rsid w:val="00D3073F"/>
    <w:rsid w:val="00D30EDF"/>
    <w:rsid w:val="00D3128C"/>
    <w:rsid w:val="00D3149E"/>
    <w:rsid w:val="00D317C2"/>
    <w:rsid w:val="00D3391B"/>
    <w:rsid w:val="00D346B3"/>
    <w:rsid w:val="00D35903"/>
    <w:rsid w:val="00D35D30"/>
    <w:rsid w:val="00D37007"/>
    <w:rsid w:val="00D40418"/>
    <w:rsid w:val="00D40C07"/>
    <w:rsid w:val="00D41F4F"/>
    <w:rsid w:val="00D42166"/>
    <w:rsid w:val="00D434FA"/>
    <w:rsid w:val="00D434FC"/>
    <w:rsid w:val="00D439B9"/>
    <w:rsid w:val="00D4718B"/>
    <w:rsid w:val="00D47F00"/>
    <w:rsid w:val="00D50E13"/>
    <w:rsid w:val="00D5328B"/>
    <w:rsid w:val="00D54961"/>
    <w:rsid w:val="00D554ED"/>
    <w:rsid w:val="00D5665D"/>
    <w:rsid w:val="00D56975"/>
    <w:rsid w:val="00D57408"/>
    <w:rsid w:val="00D57458"/>
    <w:rsid w:val="00D60712"/>
    <w:rsid w:val="00D608F7"/>
    <w:rsid w:val="00D61165"/>
    <w:rsid w:val="00D61A44"/>
    <w:rsid w:val="00D61DA3"/>
    <w:rsid w:val="00D62430"/>
    <w:rsid w:val="00D64891"/>
    <w:rsid w:val="00D656D8"/>
    <w:rsid w:val="00D67A89"/>
    <w:rsid w:val="00D70424"/>
    <w:rsid w:val="00D709BE"/>
    <w:rsid w:val="00D70C48"/>
    <w:rsid w:val="00D70E0C"/>
    <w:rsid w:val="00D71A76"/>
    <w:rsid w:val="00D7261A"/>
    <w:rsid w:val="00D73D5D"/>
    <w:rsid w:val="00D76741"/>
    <w:rsid w:val="00D7747C"/>
    <w:rsid w:val="00D811E6"/>
    <w:rsid w:val="00D81358"/>
    <w:rsid w:val="00D84A3D"/>
    <w:rsid w:val="00D86DEC"/>
    <w:rsid w:val="00D87DC1"/>
    <w:rsid w:val="00D87FA7"/>
    <w:rsid w:val="00D9166F"/>
    <w:rsid w:val="00D9177D"/>
    <w:rsid w:val="00D9399E"/>
    <w:rsid w:val="00D95122"/>
    <w:rsid w:val="00D96E95"/>
    <w:rsid w:val="00D975DB"/>
    <w:rsid w:val="00DA0276"/>
    <w:rsid w:val="00DA09C1"/>
    <w:rsid w:val="00DA2963"/>
    <w:rsid w:val="00DA2A51"/>
    <w:rsid w:val="00DA57D9"/>
    <w:rsid w:val="00DA70E4"/>
    <w:rsid w:val="00DA736C"/>
    <w:rsid w:val="00DB0311"/>
    <w:rsid w:val="00DB1020"/>
    <w:rsid w:val="00DB127C"/>
    <w:rsid w:val="00DB1BB9"/>
    <w:rsid w:val="00DB333B"/>
    <w:rsid w:val="00DB7715"/>
    <w:rsid w:val="00DC4300"/>
    <w:rsid w:val="00DC4B40"/>
    <w:rsid w:val="00DC4CB0"/>
    <w:rsid w:val="00DC71B2"/>
    <w:rsid w:val="00DD05EB"/>
    <w:rsid w:val="00DD0D65"/>
    <w:rsid w:val="00DD2C96"/>
    <w:rsid w:val="00DD4060"/>
    <w:rsid w:val="00DD4679"/>
    <w:rsid w:val="00DD6031"/>
    <w:rsid w:val="00DD6C0F"/>
    <w:rsid w:val="00DE0A25"/>
    <w:rsid w:val="00DE1FE5"/>
    <w:rsid w:val="00DE29E1"/>
    <w:rsid w:val="00DE32FC"/>
    <w:rsid w:val="00DE38CE"/>
    <w:rsid w:val="00DE4357"/>
    <w:rsid w:val="00DE492B"/>
    <w:rsid w:val="00DE5572"/>
    <w:rsid w:val="00DE58BF"/>
    <w:rsid w:val="00DE7480"/>
    <w:rsid w:val="00DF000B"/>
    <w:rsid w:val="00DF2ADF"/>
    <w:rsid w:val="00DF40EF"/>
    <w:rsid w:val="00DF5492"/>
    <w:rsid w:val="00DF70B3"/>
    <w:rsid w:val="00DF7F99"/>
    <w:rsid w:val="00E0158E"/>
    <w:rsid w:val="00E02CF2"/>
    <w:rsid w:val="00E03837"/>
    <w:rsid w:val="00E043E7"/>
    <w:rsid w:val="00E048B9"/>
    <w:rsid w:val="00E05442"/>
    <w:rsid w:val="00E12365"/>
    <w:rsid w:val="00E130D0"/>
    <w:rsid w:val="00E135DC"/>
    <w:rsid w:val="00E21320"/>
    <w:rsid w:val="00E222A9"/>
    <w:rsid w:val="00E22973"/>
    <w:rsid w:val="00E23067"/>
    <w:rsid w:val="00E24A1B"/>
    <w:rsid w:val="00E25820"/>
    <w:rsid w:val="00E26AFA"/>
    <w:rsid w:val="00E27C04"/>
    <w:rsid w:val="00E27EDD"/>
    <w:rsid w:val="00E304B6"/>
    <w:rsid w:val="00E31B44"/>
    <w:rsid w:val="00E32A70"/>
    <w:rsid w:val="00E32D61"/>
    <w:rsid w:val="00E3390D"/>
    <w:rsid w:val="00E3622E"/>
    <w:rsid w:val="00E368F4"/>
    <w:rsid w:val="00E37458"/>
    <w:rsid w:val="00E416F8"/>
    <w:rsid w:val="00E4215F"/>
    <w:rsid w:val="00E435E6"/>
    <w:rsid w:val="00E43981"/>
    <w:rsid w:val="00E45287"/>
    <w:rsid w:val="00E458DA"/>
    <w:rsid w:val="00E45D57"/>
    <w:rsid w:val="00E466CA"/>
    <w:rsid w:val="00E46742"/>
    <w:rsid w:val="00E46C2E"/>
    <w:rsid w:val="00E4791F"/>
    <w:rsid w:val="00E534C6"/>
    <w:rsid w:val="00E53BDE"/>
    <w:rsid w:val="00E53D47"/>
    <w:rsid w:val="00E54100"/>
    <w:rsid w:val="00E54769"/>
    <w:rsid w:val="00E55F1A"/>
    <w:rsid w:val="00E57699"/>
    <w:rsid w:val="00E576F3"/>
    <w:rsid w:val="00E579E3"/>
    <w:rsid w:val="00E57E5A"/>
    <w:rsid w:val="00E60DE8"/>
    <w:rsid w:val="00E61BB2"/>
    <w:rsid w:val="00E66404"/>
    <w:rsid w:val="00E66877"/>
    <w:rsid w:val="00E66FC2"/>
    <w:rsid w:val="00E671F0"/>
    <w:rsid w:val="00E677D1"/>
    <w:rsid w:val="00E67EF1"/>
    <w:rsid w:val="00E81B85"/>
    <w:rsid w:val="00E83C0B"/>
    <w:rsid w:val="00E83D6D"/>
    <w:rsid w:val="00E85BCA"/>
    <w:rsid w:val="00E85C76"/>
    <w:rsid w:val="00E929C3"/>
    <w:rsid w:val="00E93938"/>
    <w:rsid w:val="00E93A03"/>
    <w:rsid w:val="00E94694"/>
    <w:rsid w:val="00E94DB9"/>
    <w:rsid w:val="00E95858"/>
    <w:rsid w:val="00E95880"/>
    <w:rsid w:val="00E968D7"/>
    <w:rsid w:val="00E97616"/>
    <w:rsid w:val="00E97825"/>
    <w:rsid w:val="00EA0496"/>
    <w:rsid w:val="00EA074D"/>
    <w:rsid w:val="00EA0CD5"/>
    <w:rsid w:val="00EA25E9"/>
    <w:rsid w:val="00EA313B"/>
    <w:rsid w:val="00EA3348"/>
    <w:rsid w:val="00EA3F26"/>
    <w:rsid w:val="00EA42B7"/>
    <w:rsid w:val="00EA5631"/>
    <w:rsid w:val="00EA6099"/>
    <w:rsid w:val="00EA6791"/>
    <w:rsid w:val="00EA70B3"/>
    <w:rsid w:val="00EB0A1B"/>
    <w:rsid w:val="00EB12EA"/>
    <w:rsid w:val="00EB19CA"/>
    <w:rsid w:val="00EB4BB6"/>
    <w:rsid w:val="00EB6470"/>
    <w:rsid w:val="00EB70DA"/>
    <w:rsid w:val="00EC08B7"/>
    <w:rsid w:val="00EC3913"/>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2B8"/>
    <w:rsid w:val="00EE5B13"/>
    <w:rsid w:val="00EE7C41"/>
    <w:rsid w:val="00EF310B"/>
    <w:rsid w:val="00EF4C14"/>
    <w:rsid w:val="00EF5009"/>
    <w:rsid w:val="00EF50C1"/>
    <w:rsid w:val="00EF51B4"/>
    <w:rsid w:val="00EF591D"/>
    <w:rsid w:val="00EF6D20"/>
    <w:rsid w:val="00EF6E2B"/>
    <w:rsid w:val="00EF7633"/>
    <w:rsid w:val="00F029A8"/>
    <w:rsid w:val="00F04375"/>
    <w:rsid w:val="00F0472C"/>
    <w:rsid w:val="00F04922"/>
    <w:rsid w:val="00F063D1"/>
    <w:rsid w:val="00F07223"/>
    <w:rsid w:val="00F074F3"/>
    <w:rsid w:val="00F13052"/>
    <w:rsid w:val="00F14E78"/>
    <w:rsid w:val="00F20D09"/>
    <w:rsid w:val="00F21CD8"/>
    <w:rsid w:val="00F2481E"/>
    <w:rsid w:val="00F2647D"/>
    <w:rsid w:val="00F31275"/>
    <w:rsid w:val="00F31E02"/>
    <w:rsid w:val="00F34617"/>
    <w:rsid w:val="00F3599C"/>
    <w:rsid w:val="00F37AEC"/>
    <w:rsid w:val="00F40182"/>
    <w:rsid w:val="00F41F30"/>
    <w:rsid w:val="00F421CE"/>
    <w:rsid w:val="00F42A56"/>
    <w:rsid w:val="00F460BE"/>
    <w:rsid w:val="00F51112"/>
    <w:rsid w:val="00F51FB3"/>
    <w:rsid w:val="00F524B1"/>
    <w:rsid w:val="00F54317"/>
    <w:rsid w:val="00F55B0D"/>
    <w:rsid w:val="00F562AF"/>
    <w:rsid w:val="00F576A8"/>
    <w:rsid w:val="00F602A4"/>
    <w:rsid w:val="00F6231A"/>
    <w:rsid w:val="00F62868"/>
    <w:rsid w:val="00F63701"/>
    <w:rsid w:val="00F64B90"/>
    <w:rsid w:val="00F64F1D"/>
    <w:rsid w:val="00F65FDD"/>
    <w:rsid w:val="00F665B4"/>
    <w:rsid w:val="00F67BFF"/>
    <w:rsid w:val="00F701CF"/>
    <w:rsid w:val="00F72740"/>
    <w:rsid w:val="00F7544D"/>
    <w:rsid w:val="00F75FE0"/>
    <w:rsid w:val="00F75FF8"/>
    <w:rsid w:val="00F775E2"/>
    <w:rsid w:val="00F82B39"/>
    <w:rsid w:val="00F84FF5"/>
    <w:rsid w:val="00F867AD"/>
    <w:rsid w:val="00F87049"/>
    <w:rsid w:val="00F9160D"/>
    <w:rsid w:val="00F946BB"/>
    <w:rsid w:val="00F95ACA"/>
    <w:rsid w:val="00F95BDA"/>
    <w:rsid w:val="00F96C4F"/>
    <w:rsid w:val="00F96D82"/>
    <w:rsid w:val="00F97000"/>
    <w:rsid w:val="00F9729A"/>
    <w:rsid w:val="00F97544"/>
    <w:rsid w:val="00FA070D"/>
    <w:rsid w:val="00FA113E"/>
    <w:rsid w:val="00FA18BD"/>
    <w:rsid w:val="00FA3E18"/>
    <w:rsid w:val="00FA404C"/>
    <w:rsid w:val="00FA4EA1"/>
    <w:rsid w:val="00FA5749"/>
    <w:rsid w:val="00FA5D0D"/>
    <w:rsid w:val="00FA5F42"/>
    <w:rsid w:val="00FB2426"/>
    <w:rsid w:val="00FB2D5E"/>
    <w:rsid w:val="00FB4E4C"/>
    <w:rsid w:val="00FB5E8E"/>
    <w:rsid w:val="00FB73A5"/>
    <w:rsid w:val="00FC12A8"/>
    <w:rsid w:val="00FC1794"/>
    <w:rsid w:val="00FC2777"/>
    <w:rsid w:val="00FC3BDC"/>
    <w:rsid w:val="00FC5EE1"/>
    <w:rsid w:val="00FC7573"/>
    <w:rsid w:val="00FC7A66"/>
    <w:rsid w:val="00FD053A"/>
    <w:rsid w:val="00FD0964"/>
    <w:rsid w:val="00FD1A91"/>
    <w:rsid w:val="00FD1F74"/>
    <w:rsid w:val="00FD5AE5"/>
    <w:rsid w:val="00FE2E7F"/>
    <w:rsid w:val="00FE331F"/>
    <w:rsid w:val="00FE4FEA"/>
    <w:rsid w:val="00FF15C7"/>
    <w:rsid w:val="00FF1A79"/>
    <w:rsid w:val="00FF295B"/>
    <w:rsid w:val="00FF3335"/>
    <w:rsid w:val="00FF41AD"/>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3Char">
    <w:name w:val="Nadpis 3 Char"/>
    <w:basedOn w:val="DefaultParagraphFont"/>
    <w:link w:val="Heading3"/>
    <w:uiPriority w:val="9"/>
    <w:semiHidden/>
    <w:locked/>
    <w:rPr>
      <w:rFonts w:ascii="Cambria" w:hAnsi="Cambria" w:cs="Times New Roman"/>
      <w:b/>
      <w:sz w:val="26"/>
      <w:rtl w:val="0"/>
      <w:cs w:val="0"/>
    </w:rPr>
  </w:style>
  <w:style w:type="paragraph" w:styleId="BalloonText">
    <w:name w:val="Balloon Text"/>
    <w:basedOn w:val="Normal"/>
    <w:link w:val="TextbublinyChar"/>
    <w:uiPriority w:val="99"/>
    <w:semiHidden/>
    <w:rsid w:val="00E95858"/>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PtaChar"/>
    <w:uiPriority w:val="99"/>
    <w:rsid w:val="00714570"/>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paragraph" w:customStyle="1" w:styleId="ColorfulList-Accent11">
    <w:name w:val="Colorful List - Accent 11"/>
    <w:basedOn w:val="Normal"/>
    <w:uiPriority w:val="34"/>
    <w:qFormat/>
    <w:rsid w:val="0051726D"/>
    <w:pPr>
      <w:ind w:left="708"/>
      <w:jc w:val="left"/>
    </w:pPr>
  </w:style>
  <w:style w:type="paragraph" w:styleId="FootnoteText">
    <w:name w:val="footnote text"/>
    <w:basedOn w:val="Normal"/>
    <w:link w:val="TextpoznmkypodiarouChar"/>
    <w:uiPriority w:val="99"/>
    <w:rsid w:val="0062142F"/>
    <w:pPr>
      <w:jc w:val="both"/>
    </w:pPr>
    <w:rPr>
      <w:sz w:val="20"/>
      <w:szCs w:val="20"/>
      <w:lang w:eastAsia="cs-CZ"/>
    </w:rPr>
  </w:style>
  <w:style w:type="character" w:customStyle="1" w:styleId="TextpoznmkypodiarouChar">
    <w:name w:val="Text poznámky pod čiarou Char"/>
    <w:basedOn w:val="DefaultParagraphFont"/>
    <w:link w:val="FootnoteText"/>
    <w:uiPriority w:val="99"/>
    <w:locked/>
    <w:rsid w:val="0062142F"/>
    <w:rPr>
      <w:rFonts w:cs="Times New Roman"/>
      <w:rtl w:val="0"/>
      <w:cs w:val="0"/>
      <w:lang w:val="x-none" w:eastAsia="cs-CZ"/>
    </w:rPr>
  </w:style>
  <w:style w:type="paragraph" w:styleId="Header">
    <w:name w:val="header"/>
    <w:basedOn w:val="Normal"/>
    <w:link w:val="HlavikaChar"/>
    <w:uiPriority w:val="99"/>
    <w:rsid w:val="00E93A03"/>
    <w:pPr>
      <w:tabs>
        <w:tab w:val="center" w:pos="4536"/>
        <w:tab w:val="right" w:pos="9072"/>
      </w:tabs>
      <w:jc w:val="left"/>
    </w:pPr>
  </w:style>
  <w:style w:type="character" w:customStyle="1" w:styleId="HlavikaChar">
    <w:name w:val="Hlavička Char"/>
    <w:basedOn w:val="DefaultParagraphFont"/>
    <w:link w:val="Header"/>
    <w:uiPriority w:val="99"/>
    <w:locked/>
    <w:rsid w:val="00E93A03"/>
    <w:rPr>
      <w:rFonts w:cs="Times New Roman"/>
      <w:sz w:val="24"/>
      <w:rtl w:val="0"/>
      <w:cs w:val="0"/>
    </w:rPr>
  </w:style>
  <w:style w:type="paragraph" w:customStyle="1" w:styleId="c01pointnumerotealtn">
    <w:name w:val="c01pointnumerotealtn"/>
    <w:basedOn w:val="Normal"/>
    <w:rsid w:val="006E4B63"/>
    <w:pPr>
      <w:spacing w:before="100" w:beforeAutospacing="1" w:after="240"/>
      <w:ind w:left="567" w:hanging="539"/>
      <w:jc w:val="both"/>
    </w:pPr>
  </w:style>
  <w:style w:type="paragraph" w:customStyle="1" w:styleId="c01pointaltn">
    <w:name w:val="c01pointaltn"/>
    <w:basedOn w:val="Normal"/>
    <w:rsid w:val="008A536C"/>
    <w:pPr>
      <w:spacing w:before="100" w:beforeAutospacing="1" w:after="100" w:afterAutospacing="1"/>
      <w:jc w:val="left"/>
    </w:pPr>
  </w:style>
  <w:style w:type="character" w:styleId="Emphasis">
    <w:name w:val="Emphasis"/>
    <w:basedOn w:val="DefaultParagraphFont"/>
    <w:uiPriority w:val="20"/>
    <w:qFormat/>
    <w:rsid w:val="00190B18"/>
    <w:rPr>
      <w:rFonts w:cs="Times New Roman"/>
      <w:i/>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65B31-78B4-414D-B0C1-35106592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4</Pages>
  <Words>1284</Words>
  <Characters>7837</Characters>
  <Application>Microsoft Office Word</Application>
  <DocSecurity>0</DocSecurity>
  <Lines>0</Lines>
  <Paragraphs>0</Paragraphs>
  <ScaleCrop>false</ScaleCrop>
  <Company>UVSR</Company>
  <LinksUpToDate>false</LinksUpToDate>
  <CharactersWithSpaces>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galinata</cp:lastModifiedBy>
  <cp:revision>2</cp:revision>
  <cp:lastPrinted>2016-09-23T15:35:00Z</cp:lastPrinted>
  <dcterms:created xsi:type="dcterms:W3CDTF">2016-09-23T15:49:00Z</dcterms:created>
  <dcterms:modified xsi:type="dcterms:W3CDTF">2016-09-23T15:49:00Z</dcterms:modified>
</cp:coreProperties>
</file>