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4B33">
      <w:pPr>
        <w:pBdr>
          <w:top w:val="nil"/>
          <w:left w:val="nil"/>
          <w:bottom w:val="single" w:sz="12" w:space="1" w:color="000000"/>
          <w:right w:val="nil"/>
        </w:pBd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AD4B33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AD4B3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AD4B3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DE68F5">
      <w:pPr>
        <w:bidi w:val="0"/>
        <w:spacing w:before="120" w:line="276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 w:rsidRPr="00DE68F5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:rsidR="00AD4B3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AD4B3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AD4B3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 ... 2016,</w:t>
      </w:r>
    </w:p>
    <w:p w:rsidR="00AD4B3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AD4B33">
      <w:pPr>
        <w:bidi w:val="0"/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ktorým sa mení a dopĺňa </w:t>
      </w:r>
      <w:r>
        <w:rPr>
          <w:rFonts w:ascii="Book Antiqua" w:hAnsi="Book Antiqua" w:cs="Book Antiqua"/>
          <w:b/>
          <w:sz w:val="22"/>
          <w:szCs w:val="22"/>
          <w:lang w:eastAsia="cs-CZ"/>
        </w:rPr>
        <w:t xml:space="preserve">zákon č. 513/1991 Zb. Obchodný zákonník </w:t>
      </w:r>
      <w:r>
        <w:rPr>
          <w:rFonts w:ascii="Book Antiqua" w:hAnsi="Book Antiqua" w:cs="Book Antiqua"/>
          <w:b/>
          <w:sz w:val="22"/>
          <w:szCs w:val="22"/>
        </w:rPr>
        <w:t>v znení neskorších predpisov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a ktorým sa menia a dopĺňajú niektoré zákony</w:t>
      </w:r>
    </w:p>
    <w:p w:rsidR="00AD4B33">
      <w:pPr>
        <w:bidi w:val="0"/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AD4B33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AD4B3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AD4B33">
      <w:pPr>
        <w:pStyle w:val="Nadpis3Podloha"/>
        <w:numPr>
          <w:ilvl w:val="0"/>
          <w:numId w:val="0"/>
        </w:numPr>
        <w:bidi w:val="0"/>
        <w:spacing w:line="276" w:lineRule="auto"/>
        <w:ind w:firstLine="0"/>
        <w:jc w:val="center"/>
        <w:rPr>
          <w:rFonts w:ascii="Book Antiqua" w:hAnsi="Book Antiqua" w:cs="Book Antiqua"/>
          <w:sz w:val="22"/>
          <w:szCs w:val="22"/>
          <w:lang w:eastAsia="cs-CZ"/>
        </w:rPr>
      </w:pPr>
      <w:r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AD4B33" w:rsidRPr="00DE68F5" w:rsidP="00DE68F5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noProof/>
          <w:sz w:val="22"/>
          <w:szCs w:val="22"/>
        </w:rPr>
      </w:pPr>
      <w:r>
        <w:rPr>
          <w:rFonts w:ascii="Book Antiqua" w:hAnsi="Book Antiqua" w:cs="Book Antiqua"/>
          <w:sz w:val="22"/>
          <w:szCs w:val="22"/>
          <w:lang w:eastAsia="cs-CZ"/>
        </w:rPr>
        <w:t xml:space="preserve">Zákon č. 513/1991 Zb. Obchodný zákonník v znení zákona č. 264/1992 Zb., zákona   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                č. 373/1996 Z. z., zákona č. 11/1998 Z. z., zákona č. 127/1999 Z. z., zákona č. 263/1999 Z. z., zákona č. 238/2000 Z. z., zákona č. 147/2001 Z. z., zákona č. 500/2001 Z. z., zákona                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       č. 454/2008 Z. z., zákona č. 477/2008 Z. z., zákona č. 276/2009 Z. z., zákona č. 487/2009 Z. z., zákona č. 492/2009 Z. z., zákona č. 546/2010 Z. z., zákona č. 193/2011 Z. z., zákona                č. 547/2011 Z. z., zákona č. 197/2012 Z. z., zákona č. 246/2012 Z. z., zákona č. 440/2012 Z. z., zákona č. 9/2013 Z. z., zákona č. 352/2013 Z. z., zákona č. 357/2013 Z. z., zákona č. 87/2015 Z. z., zákona č. 117/2015 Z. z., zákona č. 172/2015 Z. z., zákona č. 361/2015 Z. z., zákona </w:t>
      </w:r>
      <w:r w:rsidR="00DE68F5">
        <w:rPr>
          <w:rFonts w:ascii="Book Antiqua" w:hAnsi="Book Antiqua" w:cs="Book Antiqua"/>
          <w:sz w:val="22"/>
          <w:szCs w:val="22"/>
          <w:lang w:eastAsia="cs-CZ"/>
        </w:rPr>
        <w:t xml:space="preserve">      </w:t>
      </w:r>
      <w:r>
        <w:rPr>
          <w:rFonts w:ascii="Book Antiqua" w:hAnsi="Book Antiqua" w:cs="Book Antiqua"/>
          <w:sz w:val="22"/>
          <w:szCs w:val="22"/>
          <w:lang w:eastAsia="cs-CZ"/>
        </w:rPr>
        <w:t>č. 389/2015 Z. z. a zákona č. 125/2016 Z. z. sa mení a dopĺňa takto:</w:t>
      </w:r>
    </w:p>
    <w:p w:rsidR="00AD4B33">
      <w:pPr>
        <w:numPr>
          <w:ilvl w:val="0"/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Nadpis § 340a znie: „</w:t>
      </w:r>
      <w:r>
        <w:rPr>
          <w:rFonts w:ascii="Book Antiqua" w:hAnsi="Book Antiqua" w:cs="Book Antiqua"/>
          <w:b/>
          <w:bCs/>
          <w:sz w:val="22"/>
          <w:szCs w:val="22"/>
        </w:rPr>
        <w:t>Čas a poradie plnenia peňažného záväzku dlžníka</w:t>
      </w:r>
      <w:r>
        <w:rPr>
          <w:rFonts w:ascii="Book Antiqua" w:hAnsi="Book Antiqua" w:cs="Book Antiqua"/>
          <w:bCs/>
          <w:sz w:val="22"/>
          <w:szCs w:val="22"/>
        </w:rPr>
        <w:t>“.</w:t>
      </w:r>
    </w:p>
    <w:p w:rsidR="00AD4B33">
      <w:pPr>
        <w:numPr>
          <w:ilvl w:val="0"/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eastAsia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§ 340a sa dopĺňa odsekom 5, ktorý znie:</w:t>
      </w:r>
    </w:p>
    <w:p w:rsidR="00AD4B33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</w:rPr>
        <w:t>„</w:t>
      </w:r>
      <w:r>
        <w:rPr>
          <w:rFonts w:ascii="Book Antiqua" w:hAnsi="Book Antiqua" w:cs="Book Antiqua"/>
          <w:bCs/>
          <w:sz w:val="22"/>
          <w:szCs w:val="22"/>
        </w:rPr>
        <w:t xml:space="preserve">(5) </w:t>
        <w:tab/>
        <w:t>Dlžník je povinný plniť peňažné záväzky veriteľom z dodania tovaru alebo poskytnutia služby z dokladov podľa odseku 1 v poradí podľa lehoty ich splatnosti.“.</w:t>
      </w:r>
    </w:p>
    <w:p w:rsidR="00AD4B33">
      <w:pPr>
        <w:numPr>
          <w:ilvl w:val="0"/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 § 369d ods. 8 písm. c) sa za druhý bod vkladá nový tretí bod, ktorý znie:</w:t>
      </w:r>
    </w:p>
    <w:p w:rsidR="00AD4B33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 w:hint="default"/>
          <w:sz w:val="22"/>
          <w:szCs w:val="22"/>
        </w:rPr>
        <w:t>„</w:t>
      </w:r>
      <w:r>
        <w:rPr>
          <w:rFonts w:ascii="Book Antiqua" w:hAnsi="Book Antiqua" w:cs="Book Antiqua"/>
          <w:sz w:val="22"/>
          <w:szCs w:val="22"/>
        </w:rPr>
        <w:t>3. poradia plnenia záväzkov podľa § 340a ods. 5,“.</w:t>
      </w:r>
    </w:p>
    <w:p w:rsidR="00AD4B33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Doterajší tretí bod sa označuje ako štvrtý bod.</w:t>
      </w:r>
    </w:p>
    <w:p w:rsidR="00AD4B33">
      <w:pPr>
        <w:numPr>
          <w:ilvl w:val="0"/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Za § 768o sa vkladá § 768p, ktorý vrátane nadpisu znie:</w:t>
      </w:r>
    </w:p>
    <w:p w:rsidR="00AD4B33">
      <w:pPr>
        <w:pStyle w:val="Heading5"/>
        <w:numPr>
          <w:ilvl w:val="0"/>
          <w:numId w:val="0"/>
        </w:numPr>
        <w:bidi w:val="0"/>
        <w:spacing w:before="120" w:after="0" w:line="276" w:lineRule="auto"/>
        <w:ind w:left="426" w:firstLine="425"/>
        <w:jc w:val="center"/>
        <w:rPr>
          <w:rFonts w:ascii="Book Antiqua" w:hAnsi="Book Antiqua" w:cs="Book Antiqua"/>
          <w:i w:val="0"/>
          <w:sz w:val="22"/>
          <w:szCs w:val="22"/>
        </w:rPr>
      </w:pPr>
      <w:r>
        <w:rPr>
          <w:rFonts w:ascii="Book Antiqua" w:eastAsia="Book Antiqua" w:hAnsi="Book Antiqua" w:cs="Book Antiqua" w:hint="default"/>
          <w:b w:val="0"/>
          <w:i w:val="0"/>
          <w:sz w:val="22"/>
          <w:szCs w:val="22"/>
          <w:lang w:val="sk-SK"/>
        </w:rPr>
        <w:t>„</w:t>
      </w:r>
      <w:r>
        <w:rPr>
          <w:rFonts w:ascii="Book Antiqua" w:hAnsi="Book Antiqua" w:cs="Book Antiqua"/>
          <w:i w:val="0"/>
          <w:sz w:val="22"/>
          <w:szCs w:val="22"/>
        </w:rPr>
        <w:t>§ 768</w:t>
      </w:r>
      <w:r>
        <w:rPr>
          <w:rFonts w:ascii="Book Antiqua" w:hAnsi="Book Antiqua" w:cs="Book Antiqua"/>
          <w:i w:val="0"/>
          <w:sz w:val="22"/>
          <w:szCs w:val="22"/>
          <w:lang w:val="sk-SK"/>
        </w:rPr>
        <w:t>p</w:t>
      </w:r>
    </w:p>
    <w:p w:rsidR="00AD4B33">
      <w:pPr>
        <w:pStyle w:val="Heading5"/>
        <w:numPr>
          <w:ilvl w:val="0"/>
          <w:numId w:val="0"/>
        </w:numPr>
        <w:bidi w:val="0"/>
        <w:spacing w:before="120" w:after="0" w:line="276" w:lineRule="auto"/>
        <w:ind w:left="426" w:firstLine="425"/>
        <w:jc w:val="center"/>
        <w:rPr>
          <w:rFonts w:ascii="Book Antiqua" w:hAnsi="Book Antiqua" w:cs="Book Antiqua"/>
          <w:i w:val="0"/>
          <w:sz w:val="22"/>
          <w:szCs w:val="22"/>
        </w:rPr>
      </w:pPr>
      <w:r>
        <w:rPr>
          <w:rFonts w:ascii="Book Antiqua" w:hAnsi="Book Antiqua" w:cs="Book Antiqua"/>
          <w:i w:val="0"/>
          <w:sz w:val="22"/>
          <w:szCs w:val="22"/>
        </w:rPr>
        <w:t>Prechodné ustanoveni</w:t>
      </w:r>
      <w:r>
        <w:rPr>
          <w:rFonts w:ascii="Book Antiqua" w:hAnsi="Book Antiqua" w:cs="Book Antiqua"/>
          <w:i w:val="0"/>
          <w:sz w:val="22"/>
          <w:szCs w:val="22"/>
          <w:lang w:val="sk-SK"/>
        </w:rPr>
        <w:t>e</w:t>
      </w:r>
    </w:p>
    <w:p w:rsidR="00AD4B33">
      <w:pPr>
        <w:pStyle w:val="Heading5"/>
        <w:numPr>
          <w:ilvl w:val="0"/>
          <w:numId w:val="0"/>
        </w:numPr>
        <w:bidi w:val="0"/>
        <w:spacing w:before="120" w:after="0" w:line="276" w:lineRule="auto"/>
        <w:ind w:left="426" w:firstLine="425"/>
        <w:jc w:val="center"/>
        <w:rPr>
          <w:rFonts w:ascii="Book Antiqua" w:hAnsi="Book Antiqua" w:cs="Book Antiqua"/>
          <w:b w:val="0"/>
          <w:i w:val="0"/>
          <w:sz w:val="22"/>
          <w:szCs w:val="22"/>
        </w:rPr>
      </w:pPr>
      <w:r>
        <w:rPr>
          <w:rFonts w:ascii="Book Antiqua" w:hAnsi="Book Antiqua" w:cs="Book Antiqua"/>
          <w:i w:val="0"/>
          <w:sz w:val="22"/>
          <w:szCs w:val="22"/>
        </w:rPr>
        <w:t>k úprav</w:t>
      </w:r>
      <w:r>
        <w:rPr>
          <w:rFonts w:ascii="Book Antiqua" w:hAnsi="Book Antiqua" w:cs="Book Antiqua"/>
          <w:i w:val="0"/>
          <w:sz w:val="22"/>
          <w:szCs w:val="22"/>
          <w:lang w:val="sk-SK"/>
        </w:rPr>
        <w:t>ám</w:t>
      </w:r>
      <w:r>
        <w:rPr>
          <w:rFonts w:ascii="Book Antiqua" w:hAnsi="Book Antiqua" w:cs="Book Antiqua"/>
          <w:i w:val="0"/>
          <w:sz w:val="22"/>
          <w:szCs w:val="22"/>
        </w:rPr>
        <w:t xml:space="preserve"> účinn</w:t>
      </w:r>
      <w:r>
        <w:rPr>
          <w:rFonts w:ascii="Book Antiqua" w:hAnsi="Book Antiqua" w:cs="Book Antiqua"/>
          <w:i w:val="0"/>
          <w:sz w:val="22"/>
          <w:szCs w:val="22"/>
          <w:lang w:val="sk-SK"/>
        </w:rPr>
        <w:t>ým</w:t>
      </w:r>
      <w:r>
        <w:rPr>
          <w:rFonts w:ascii="Book Antiqua" w:hAnsi="Book Antiqua" w:cs="Book Antiqua"/>
          <w:i w:val="0"/>
          <w:sz w:val="22"/>
          <w:szCs w:val="22"/>
        </w:rPr>
        <w:t xml:space="preserve"> od 1. februára</w:t>
      </w:r>
      <w:r>
        <w:rPr>
          <w:rFonts w:ascii="Book Antiqua" w:hAnsi="Book Antiqua" w:cs="Book Antiqua"/>
          <w:i w:val="0"/>
          <w:sz w:val="22"/>
          <w:szCs w:val="22"/>
          <w:lang w:val="sk-SK"/>
        </w:rPr>
        <w:t xml:space="preserve"> 2017</w:t>
      </w:r>
    </w:p>
    <w:p w:rsidR="00AD4B33">
      <w:pPr>
        <w:pStyle w:val="Heading5"/>
        <w:numPr>
          <w:ilvl w:val="0"/>
          <w:numId w:val="0"/>
        </w:numPr>
        <w:bidi w:val="0"/>
        <w:spacing w:before="120" w:after="0" w:line="276" w:lineRule="auto"/>
        <w:ind w:left="851" w:firstLine="0"/>
        <w:jc w:val="both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 w:val="0"/>
          <w:i w:val="0"/>
          <w:sz w:val="22"/>
          <w:szCs w:val="22"/>
        </w:rPr>
        <w:t>Ustanovenia o </w:t>
      </w:r>
      <w:r>
        <w:rPr>
          <w:rFonts w:ascii="Book Antiqua" w:hAnsi="Book Antiqua" w:cs="Book Antiqua"/>
          <w:b w:val="0"/>
          <w:i w:val="0"/>
          <w:sz w:val="22"/>
          <w:szCs w:val="22"/>
          <w:lang w:val="sk-SK"/>
        </w:rPr>
        <w:t xml:space="preserve">čase a </w:t>
      </w:r>
      <w:r>
        <w:rPr>
          <w:rFonts w:ascii="Book Antiqua" w:hAnsi="Book Antiqua" w:cs="Book Antiqua"/>
          <w:b w:val="0"/>
          <w:i w:val="0"/>
          <w:sz w:val="22"/>
          <w:szCs w:val="22"/>
        </w:rPr>
        <w:t>poradí plnenia peňažného záväzku dlžníka (§ 340a) účinné od 1. februára 2017 sa nevzťahujú na záväzkové vzťahy uzavreté pred 1. februárom 2017.</w:t>
      </w:r>
    </w:p>
    <w:p w:rsidR="00AD4B33">
      <w:pPr>
        <w:pStyle w:val="BodyText"/>
        <w:bidi w:val="0"/>
        <w:spacing w:before="120" w:line="276" w:lineRule="auto"/>
        <w:rPr>
          <w:rFonts w:ascii="Book Antiqua" w:hAnsi="Book Antiqua" w:cs="Book Antiqua"/>
          <w:b/>
          <w:bCs/>
          <w:sz w:val="22"/>
          <w:szCs w:val="22"/>
          <w:lang w:val="sk-SK"/>
        </w:rPr>
      </w:pPr>
    </w:p>
    <w:p w:rsidR="00AD4B33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  <w:lang w:val="sk-SK"/>
        </w:rPr>
        <w:t>Čl. II</w:t>
      </w:r>
    </w:p>
    <w:p w:rsidR="00AD4B33">
      <w:pPr>
        <w:pStyle w:val="BodyText"/>
        <w:bidi w:val="0"/>
        <w:spacing w:before="120" w:line="276" w:lineRule="auto"/>
        <w:ind w:firstLine="708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sz w:val="22"/>
          <w:szCs w:val="22"/>
        </w:rPr>
        <w:t xml:space="preserve">Zákon č. 530/2003 Z. z. o obchodnom registri a o zmene a doplnení niektorých zákonov v znení zákona č. 432/2004 Z. z., zákona č. 562/2004 Z. z., zákona č. 24/2007 Z. z., zákona č. 657/2007 Z. z., zákona č. 659/2007 Z. z., zákona č. 477/2008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>č. 160/2009 Z. z., zákona č. 487/2009 Z. z., zákona č. 136/2010 Z. z., zákona č. 547/2011 Z. z., zákona č. 9/2013 Z. z., zákona č. 35</w:t>
      </w:r>
      <w:r>
        <w:rPr>
          <w:rFonts w:ascii="Book Antiqua" w:hAnsi="Book Antiqua" w:cs="Book Antiqua"/>
          <w:sz w:val="22"/>
          <w:szCs w:val="22"/>
          <w:lang w:val="sk-SK"/>
        </w:rPr>
        <w:t>7</w:t>
      </w:r>
      <w:r>
        <w:rPr>
          <w:rFonts w:ascii="Book Antiqua" w:hAnsi="Book Antiqua" w:cs="Book Antiqua"/>
          <w:sz w:val="22"/>
          <w:szCs w:val="22"/>
        </w:rPr>
        <w:t>/2013 Z. z.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, zákona č. 204/2014 Z. z., zákona č. 87/2015 Z. z., zákona č. 272/2015 Z. z., zákona č. 361/2015 Z. z., zákona č. 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389/2015 Z. z., zákona </w:t>
      </w:r>
      <w:r w:rsidR="00DE68F5">
        <w:rPr>
          <w:rFonts w:ascii="Book Antiqua" w:hAnsi="Book Antiqua" w:cs="Book Antiqua"/>
          <w:sz w:val="22"/>
          <w:szCs w:val="22"/>
          <w:lang w:val="sk-SK"/>
        </w:rPr>
        <w:t xml:space="preserve">    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č. 91/2016 Z. z. a zákona č. 125/2016 Z. z. </w:t>
      </w:r>
      <w:r>
        <w:rPr>
          <w:rFonts w:ascii="Book Antiqua" w:hAnsi="Book Antiqua" w:cs="Book Antiqua"/>
          <w:sz w:val="22"/>
          <w:szCs w:val="22"/>
        </w:rPr>
        <w:t>sa mení a dopĺňa takto:</w:t>
      </w:r>
    </w:p>
    <w:p w:rsidR="00AD4B33">
      <w:pPr>
        <w:pStyle w:val="BodyText"/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eastAsia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V § 2 ods. 1 sa za písmeno s) vkladá nové písmeno t), ktoré znie:</w:t>
      </w:r>
    </w:p>
    <w:p w:rsidR="00AD4B33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val="sk-SK"/>
        </w:rPr>
        <w:t>„</w:t>
      </w:r>
      <w:r>
        <w:rPr>
          <w:rFonts w:ascii="Book Antiqua" w:hAnsi="Book Antiqua" w:cs="Book Antiqua"/>
          <w:bCs/>
          <w:sz w:val="22"/>
          <w:szCs w:val="22"/>
          <w:lang w:val="sk-SK"/>
        </w:rPr>
        <w:t>t)</w:t>
      </w:r>
      <w:r>
        <w:rPr>
          <w:rFonts w:ascii="Book Antiqua" w:hAnsi="Book Antiqua" w:cs="Book Antiqua"/>
          <w:b/>
          <w:bCs/>
          <w:sz w:val="22"/>
          <w:szCs w:val="22"/>
          <w:lang w:val="sk-SK"/>
        </w:rPr>
        <w:t xml:space="preserve"> </w:t>
        <w:tab/>
      </w:r>
      <w:r>
        <w:rPr>
          <w:rFonts w:ascii="Book Antiqua" w:hAnsi="Book Antiqua" w:cs="Book Antiqua"/>
          <w:sz w:val="22"/>
          <w:szCs w:val="22"/>
          <w:lang w:val="sk-SK"/>
        </w:rPr>
        <w:t>počet dní, koľko je zapísaná osoba v omeškaní s platením dokladov podľa osobitného predpisu</w:t>
      </w:r>
      <w:r>
        <w:rPr>
          <w:rFonts w:ascii="Book Antiqua" w:hAnsi="Book Antiqua" w:cs="Book Antiqua"/>
          <w:sz w:val="22"/>
          <w:szCs w:val="22"/>
          <w:vertAlign w:val="superscript"/>
          <w:lang w:val="sk-SK"/>
        </w:rPr>
        <w:t>1aa)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v posledný deň predchádzajúceho kalendárneho mesiaca.“.</w:t>
      </w:r>
    </w:p>
    <w:p w:rsidR="00AD4B33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eastAsia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Poznámka pod čiarou k odkazu 1aa znie:</w:t>
      </w:r>
    </w:p>
    <w:p w:rsidR="00AD4B33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val="sk-SK"/>
        </w:rPr>
        <w:t>„</w:t>
      </w:r>
      <w:r>
        <w:rPr>
          <w:rFonts w:ascii="Book Antiqua" w:hAnsi="Book Antiqua" w:cs="Book Antiqua"/>
          <w:bCs/>
          <w:sz w:val="22"/>
          <w:szCs w:val="22"/>
          <w:vertAlign w:val="superscript"/>
          <w:lang w:val="sk-SK"/>
        </w:rPr>
        <w:t xml:space="preserve">1aa) </w:t>
      </w:r>
      <w:r>
        <w:rPr>
          <w:rFonts w:ascii="Book Antiqua" w:hAnsi="Book Antiqua" w:cs="Book Antiqua"/>
          <w:bCs/>
          <w:sz w:val="22"/>
          <w:szCs w:val="22"/>
          <w:lang w:val="sk-SK"/>
        </w:rPr>
        <w:t>§ 340a ods. 1 a 5 Obchodného zákonníka v znení zákona č. …/2016 Z. z.“.</w:t>
      </w:r>
    </w:p>
    <w:p w:rsidR="00AD4B33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Doterajšie písmeno t) sa označuje ako písmeno u).</w:t>
      </w:r>
    </w:p>
    <w:p w:rsidR="00AD4B33">
      <w:pPr>
        <w:pStyle w:val="BodyText"/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eastAsia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§ 5 sa dopĺňa odsekom 7, ktorý znie:</w:t>
      </w:r>
    </w:p>
    <w:p w:rsidR="00AD4B33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val="sk-SK"/>
        </w:rPr>
        <w:t>„</w:t>
      </w:r>
      <w:r>
        <w:rPr>
          <w:rFonts w:ascii="Book Antiqua" w:hAnsi="Book Antiqua" w:cs="Book Antiqua"/>
          <w:bCs/>
          <w:sz w:val="22"/>
          <w:szCs w:val="22"/>
          <w:lang w:val="sk-SK"/>
        </w:rPr>
        <w:t xml:space="preserve">(7) </w:t>
        <w:tab/>
        <w:t>Zapísaná osoba je povinná do piatich pracovných dní po uplynutí kalendárneho mesiaca informovať registrový súd o počte dní podľa § 2 ods. 1 písm. t) vo forme informácie o omeškaní s platením podľa § 5e.“.</w:t>
      </w:r>
    </w:p>
    <w:p w:rsidR="00AD4B33">
      <w:pPr>
        <w:pStyle w:val="BodyText"/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eastAsia="Book Antiqua" w:hAnsi="Book Antiqua" w:cs="Book Antiqua"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Za § 5d sa vkladá § 5e, ktorý vrátane nadpisu znie:</w:t>
      </w:r>
    </w:p>
    <w:p w:rsidR="00AD4B33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bCs/>
          <w:sz w:val="22"/>
          <w:szCs w:val="22"/>
          <w:lang w:val="sk-SK"/>
        </w:rPr>
      </w:pPr>
      <w:r>
        <w:rPr>
          <w:rFonts w:ascii="Book Antiqua" w:eastAsia="Book Antiqua" w:hAnsi="Book Antiqua" w:cs="Book Antiqua" w:hint="default"/>
          <w:sz w:val="22"/>
          <w:szCs w:val="22"/>
          <w:lang w:val="sk-SK"/>
        </w:rPr>
        <w:t>„</w:t>
      </w:r>
      <w:r>
        <w:rPr>
          <w:rFonts w:ascii="Book Antiqua" w:hAnsi="Book Antiqua" w:cs="Book Antiqua"/>
          <w:b/>
          <w:bCs/>
          <w:sz w:val="22"/>
          <w:szCs w:val="22"/>
          <w:lang w:val="sk-SK"/>
        </w:rPr>
        <w:t>§ 5e</w:t>
      </w:r>
    </w:p>
    <w:p w:rsidR="00AD4B33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  <w:lang w:val="sk-SK"/>
        </w:rPr>
        <w:t>Informácia o omeškaní s platením</w:t>
      </w:r>
    </w:p>
    <w:p w:rsidR="00AD4B33">
      <w:pPr>
        <w:pStyle w:val="BodyText"/>
        <w:numPr>
          <w:ilvl w:val="0"/>
          <w:numId w:val="7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Zapísaná osoba je povinná podať registrovému súdu informáciu o omeškaní s platením podľa § 5 ods. 7 elektronicky podpísané zaručeným elektronickým podpisom za každý kalendárny mesiac, v ktorom je v omeškaní s platením dokladov podľa osobitného predpisu</w:t>
      </w:r>
      <w:r>
        <w:rPr>
          <w:rFonts w:ascii="Book Antiqua" w:hAnsi="Book Antiqua" w:cs="Book Antiqua"/>
          <w:sz w:val="22"/>
          <w:szCs w:val="22"/>
          <w:vertAlign w:val="superscript"/>
        </w:rPr>
        <w:t>1aa)</w:t>
      </w:r>
      <w:r>
        <w:rPr>
          <w:rFonts w:ascii="Book Antiqua" w:hAnsi="Book Antiqua" w:cs="Book Antiqua"/>
          <w:sz w:val="22"/>
          <w:szCs w:val="22"/>
        </w:rPr>
        <w:t>.</w:t>
      </w:r>
    </w:p>
    <w:p w:rsidR="00AD4B33">
      <w:pPr>
        <w:pStyle w:val="BodyText"/>
        <w:numPr>
          <w:ilvl w:val="0"/>
          <w:numId w:val="7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Informácia o omeškaní s platením musí obsahovať údaje v tomto členení:</w:t>
      </w:r>
    </w:p>
    <w:p w:rsidR="00AD4B33">
      <w:pPr>
        <w:pStyle w:val="BodyText"/>
        <w:numPr>
          <w:ilvl w:val="0"/>
          <w:numId w:val="3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počet dní, koľko je zapísaná osoba v omeškaní s platením dokladov podľa osobitného predpisu</w:t>
      </w:r>
      <w:r>
        <w:rPr>
          <w:rFonts w:ascii="Book Antiqua" w:hAnsi="Book Antiqua" w:cs="Book Antiqua"/>
          <w:sz w:val="22"/>
          <w:szCs w:val="22"/>
          <w:vertAlign w:val="superscript"/>
        </w:rPr>
        <w:t>1aa)</w:t>
      </w:r>
      <w:r>
        <w:rPr>
          <w:rFonts w:ascii="Book Antiqua" w:hAnsi="Book Antiqua" w:cs="Book Antiqua"/>
          <w:sz w:val="22"/>
          <w:szCs w:val="22"/>
        </w:rPr>
        <w:t>,</w:t>
      </w:r>
    </w:p>
    <w:p w:rsidR="00AD4B33">
      <w:pPr>
        <w:pStyle w:val="BodyText"/>
        <w:numPr>
          <w:ilvl w:val="0"/>
          <w:numId w:val="3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obchodné meno, pri právnickej osobe sídlo, pri fyzickej osobe podnikateľovi meno a priezvisko, ak sa líši od obchodného mena a ich identifikačné číslo, ako aj miesto podnikania, voči ktorým je zapísaná osoba v omeškaní s platením dokladov podľa osobitného predpisu</w:t>
      </w:r>
      <w:r>
        <w:rPr>
          <w:rFonts w:ascii="Book Antiqua" w:hAnsi="Book Antiqua" w:cs="Book Antiqua"/>
          <w:sz w:val="22"/>
          <w:szCs w:val="22"/>
          <w:vertAlign w:val="superscript"/>
        </w:rPr>
        <w:t>1aa)</w:t>
      </w:r>
      <w:r>
        <w:rPr>
          <w:rFonts w:ascii="Book Antiqua" w:hAnsi="Book Antiqua" w:cs="Book Antiqua"/>
          <w:sz w:val="22"/>
          <w:szCs w:val="22"/>
        </w:rPr>
        <w:t>,</w:t>
      </w:r>
    </w:p>
    <w:p w:rsidR="00AD4B33">
      <w:pPr>
        <w:pStyle w:val="BodyText"/>
        <w:numPr>
          <w:ilvl w:val="0"/>
          <w:numId w:val="3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údaje z nesplneného peňažného záväzku zapísanej osoby z dodania tovaru alebo poskytnutia služby, podľa ktorých je možné identifikovať nesplnený peňažný záväzok</w:t>
      </w:r>
      <w:r>
        <w:rPr>
          <w:rFonts w:ascii="Book Antiqua" w:hAnsi="Book Antiqua" w:cs="Book Antiqua"/>
          <w:sz w:val="22"/>
          <w:szCs w:val="22"/>
          <w:lang w:val="sk-SK"/>
        </w:rPr>
        <w:t>,</w:t>
      </w:r>
    </w:p>
    <w:p w:rsidR="00AD4B33">
      <w:pPr>
        <w:pStyle w:val="BodyText"/>
        <w:numPr>
          <w:ilvl w:val="0"/>
          <w:numId w:val="3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poradové číslo faktúry alebo číselnú identifikáciu dokladu podľa písmena c), ak tento doklad číselnú identifikáciu obsahuje.</w:t>
      </w:r>
    </w:p>
    <w:p w:rsidR="00AD4B33">
      <w:pPr>
        <w:pStyle w:val="BodyText"/>
        <w:numPr>
          <w:ilvl w:val="0"/>
          <w:numId w:val="7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Ak zapísaná osoba, ktorá podala informáciu o omeškaní s platením, zistí pred uplynutím lehoty na jej podanie, že údaje uvedené v informácii o omeškaní s platením sú neúplné alebo nesprávne, podá opravnú informáciu o omeškaní s platením, pričom na pôvodne podanú informáciu o omeškaní s platením sa neprihliada. Ak zapísaná osoba, ktorá podala informáciu o omeškaní s platením, zistí po uplynutí lehoty na podanie informácie o omeškaní s platením, že údaje v informácii o omeškaní s platením sú neúplné alebo nesprávne, podá dodatočnú informáciu o omeškaní s platením, v ktorom uvedie len doplnené alebo opravené údaje.</w:t>
      </w:r>
    </w:p>
    <w:p w:rsidR="00AD4B33">
      <w:pPr>
        <w:pStyle w:val="BodyText"/>
        <w:numPr>
          <w:ilvl w:val="0"/>
          <w:numId w:val="7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Ak vzniknú pochybnosti o správnosti, pravdivosti alebo úplnosti podanej informácie o omeškaní s platením alebo o pravdivosti údajov v nej uvedených, oznámi registrový súd tieto pochybnosti zapísanej osobe, ktorá informáciu o omeškaní s platením podala, a vyzve ju, aby sa k nim vyjadrila, neúplné údaje doplnila, nejasnosti vysvetlila a nepravdivé údaje opravila alebo pravdivosť údajov riadne preukázala. Na základe tejto výzvy je zapísaná osoba povinná do piatich pracovných dní od doručenia výzvy nedostatky podanej informácie o omeškaní s platením odstrániť.</w:t>
      </w:r>
    </w:p>
    <w:p w:rsidR="00AD4B33">
      <w:pPr>
        <w:pStyle w:val="BodyText"/>
        <w:numPr>
          <w:ilvl w:val="0"/>
          <w:numId w:val="7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Zapísaná osoba uvedie údaje podľa odseku 2 v informácii o omeškaní s platením v členení, ktorého vzor ustanoví všeobecne záväzný právny predpis, ktorý vydá Ministerstvo spravodlivosti Slovenskej republiky (ďalej len </w:t>
      </w:r>
      <w:r>
        <w:rPr>
          <w:rFonts w:ascii="Book Antiqua" w:hAnsi="Book Antiqua" w:cs="Book Antiqua"/>
          <w:sz w:val="22"/>
          <w:szCs w:val="22"/>
          <w:lang w:val="sk-SK"/>
        </w:rPr>
        <w:t>„</w:t>
      </w:r>
      <w:r>
        <w:rPr>
          <w:rFonts w:ascii="Book Antiqua" w:hAnsi="Book Antiqua" w:cs="Book Antiqua"/>
          <w:sz w:val="22"/>
          <w:szCs w:val="22"/>
        </w:rPr>
        <w:t>ministerstvo</w:t>
      </w:r>
      <w:r>
        <w:rPr>
          <w:rFonts w:ascii="Book Antiqua" w:hAnsi="Book Antiqua" w:cs="Book Antiqua"/>
          <w:sz w:val="22"/>
          <w:szCs w:val="22"/>
          <w:lang w:val="sk-SK"/>
        </w:rPr>
        <w:t>“</w:t>
      </w:r>
      <w:r>
        <w:rPr>
          <w:rFonts w:ascii="Book Antiqua" w:hAnsi="Book Antiqua" w:cs="Book Antiqua"/>
          <w:sz w:val="22"/>
          <w:szCs w:val="22"/>
        </w:rPr>
        <w:t xml:space="preserve">). Informácia o omeškaní s platením sa podáva vo formáte Extensible Markup Language (XML), ktorého opis dátového rozhrania je zverejnený na webovom sídle </w:t>
      </w:r>
      <w:r>
        <w:rPr>
          <w:rFonts w:ascii="Book Antiqua" w:hAnsi="Book Antiqua" w:cs="Book Antiqua"/>
          <w:sz w:val="22"/>
          <w:szCs w:val="22"/>
          <w:lang w:val="sk-SK"/>
        </w:rPr>
        <w:t>ministerstva</w:t>
      </w:r>
      <w:r>
        <w:rPr>
          <w:rFonts w:ascii="Book Antiqua" w:hAnsi="Book Antiqua" w:cs="Book Antiqua"/>
          <w:sz w:val="22"/>
          <w:szCs w:val="22"/>
        </w:rPr>
        <w:t>.“.</w:t>
      </w:r>
    </w:p>
    <w:p w:rsidR="00AD4B33">
      <w:pPr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 § 9 ods. 7 sa slová „Ministerstvo spravodlivosti Slovenskej republiky (ďalej len „ministerstvo“)“ nahrádzajú slovami „Ministerstvo“.</w:t>
      </w:r>
    </w:p>
    <w:p w:rsidR="00AD4B33">
      <w:pPr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eastAsia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V § 11 sa za odsek 2 vkladá nový odsek 3, ktorý znie:</w:t>
      </w:r>
    </w:p>
    <w:p w:rsidR="00AD4B33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</w:rPr>
        <w:t>„</w:t>
      </w:r>
      <w:r>
        <w:rPr>
          <w:rFonts w:ascii="Book Antiqua" w:hAnsi="Book Antiqua" w:cs="Book Antiqua"/>
          <w:bCs/>
          <w:sz w:val="22"/>
          <w:szCs w:val="22"/>
        </w:rPr>
        <w:t>(3)</w:t>
      </w:r>
      <w:r>
        <w:rPr>
          <w:rFonts w:ascii="Book Antiqua" w:hAnsi="Book Antiqua" w:cs="Book Antiqua"/>
          <w:sz w:val="22"/>
          <w:szCs w:val="22"/>
        </w:rPr>
        <w:t xml:space="preserve"> </w:t>
        <w:tab/>
        <w:t>Registrový súd uloží zapísanej fyzickej osobe alebo fyzickej osobe oprávnenej konať v mene zapísanej právnickej osoby pokutu do výšky 3 310 eur, ak si táto osoba</w:t>
      </w:r>
    </w:p>
    <w:p w:rsidR="00AD4B33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a)</w:t>
        <w:tab/>
        <w:t>nesplní povinnosť doručiť informáciu o omeškaní s platením registrovému súdu,</w:t>
      </w:r>
    </w:p>
    <w:p w:rsidR="00AD4B33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b)</w:t>
        <w:tab/>
        <w:t>doručí informáciu o omeškaní s platením oneskorene,</w:t>
      </w:r>
    </w:p>
    <w:p w:rsidR="00AD4B33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c)</w:t>
        <w:tab/>
        <w:t>uvedie v informácii o omeškaní s platením neúplné alebo nesprávne údaje alebo v lehote určenej vo výzve registrového súdu neodstráni nedostatky podanej informácie o omeškaní s platením.</w:t>
      </w:r>
      <w:r>
        <w:rPr>
          <w:rFonts w:ascii="Book Antiqua" w:hAnsi="Book Antiqua" w:cs="Book Antiqua"/>
          <w:bCs/>
          <w:sz w:val="22"/>
          <w:szCs w:val="22"/>
        </w:rPr>
        <w:t>“.</w:t>
      </w:r>
    </w:p>
    <w:p w:rsidR="00AD4B33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Doterajší odsek 3 sa označuje ako odsek 4.</w:t>
      </w:r>
    </w:p>
    <w:p w:rsidR="00AD4B33">
      <w:pPr>
        <w:pStyle w:val="BodyText"/>
        <w:numPr>
          <w:ilvl w:val="0"/>
          <w:numId w:val="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eastAsia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Za § 15d sa vkladá § 15e, ktorý vrátane nadpisu znie:</w:t>
      </w:r>
    </w:p>
    <w:p w:rsidR="00AD4B33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val="sk-SK"/>
        </w:rPr>
        <w:t>„</w:t>
      </w:r>
      <w:r>
        <w:rPr>
          <w:rFonts w:ascii="Book Antiqua" w:hAnsi="Book Antiqua" w:cs="Book Antiqua"/>
          <w:b/>
          <w:bCs/>
          <w:sz w:val="22"/>
          <w:szCs w:val="22"/>
          <w:lang w:val="sk-SK"/>
        </w:rPr>
        <w:t>§ 15e</w:t>
      </w:r>
    </w:p>
    <w:p w:rsidR="00AD4B33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Prechodné ustanovenie k úpravám</w:t>
      </w:r>
    </w:p>
    <w:p w:rsidR="00AD4B33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 w:cs="Book Antiqua"/>
          <w:sz w:val="22"/>
          <w:szCs w:val="22"/>
          <w:lang w:val="sk-SK"/>
        </w:rPr>
      </w:pPr>
      <w:r>
        <w:rPr>
          <w:rFonts w:ascii="Book Antiqua" w:hAnsi="Book Antiqua" w:cs="Book Antiqua"/>
          <w:b/>
          <w:sz w:val="22"/>
          <w:szCs w:val="22"/>
        </w:rPr>
        <w:t xml:space="preserve">účinným od 1. februára </w:t>
      </w:r>
      <w:r>
        <w:rPr>
          <w:rFonts w:ascii="Book Antiqua" w:hAnsi="Book Antiqua" w:cs="Book Antiqua"/>
          <w:b/>
          <w:sz w:val="22"/>
          <w:szCs w:val="22"/>
          <w:lang w:val="sk-SK"/>
        </w:rPr>
        <w:t>2017</w:t>
      </w:r>
    </w:p>
    <w:p w:rsidR="00AD4B33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 w:cs="Book Antiqua"/>
          <w:b/>
          <w:bCs/>
          <w:sz w:val="22"/>
          <w:szCs w:val="22"/>
          <w:lang w:val="sk-SK"/>
        </w:rPr>
      </w:pPr>
      <w:r>
        <w:rPr>
          <w:rFonts w:ascii="Book Antiqua" w:hAnsi="Book Antiqua" w:cs="Book Antiqua"/>
          <w:sz w:val="22"/>
          <w:szCs w:val="22"/>
          <w:lang w:val="sk-SK"/>
        </w:rPr>
        <w:t xml:space="preserve">Zapísaná osoba upraví </w:t>
      </w:r>
      <w:r>
        <w:rPr>
          <w:rFonts w:ascii="Book Antiqua" w:hAnsi="Book Antiqua" w:cs="Book Antiqua"/>
          <w:sz w:val="22"/>
          <w:szCs w:val="22"/>
        </w:rPr>
        <w:t xml:space="preserve">svoje právne vzťahy v súlade s ustanoveniami § </w:t>
      </w:r>
      <w:r>
        <w:rPr>
          <w:rFonts w:ascii="Book Antiqua" w:hAnsi="Book Antiqua" w:cs="Book Antiqua"/>
          <w:sz w:val="22"/>
          <w:szCs w:val="22"/>
          <w:lang w:val="sk-SK"/>
        </w:rPr>
        <w:t>5 ods. 7</w:t>
      </w:r>
      <w:r>
        <w:rPr>
          <w:rFonts w:ascii="Book Antiqua" w:hAnsi="Book Antiqua" w:cs="Book Antiqua"/>
          <w:sz w:val="22"/>
          <w:szCs w:val="22"/>
        </w:rPr>
        <w:t xml:space="preserve"> do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troch</w:t>
      </w:r>
      <w:r>
        <w:rPr>
          <w:rFonts w:ascii="Book Antiqua" w:hAnsi="Book Antiqua" w:cs="Book Antiqua"/>
          <w:sz w:val="22"/>
          <w:szCs w:val="22"/>
        </w:rPr>
        <w:t xml:space="preserve"> mesiacov od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nadobudnutia </w:t>
      </w:r>
      <w:r>
        <w:rPr>
          <w:rFonts w:ascii="Book Antiqua" w:hAnsi="Book Antiqua" w:cs="Book Antiqua"/>
          <w:sz w:val="22"/>
          <w:szCs w:val="22"/>
        </w:rPr>
        <w:t>účinnosti tohto zákona.</w:t>
      </w:r>
      <w:r>
        <w:rPr>
          <w:rFonts w:ascii="Book Antiqua" w:hAnsi="Book Antiqua" w:cs="Book Antiqua"/>
          <w:sz w:val="22"/>
          <w:szCs w:val="22"/>
          <w:lang w:val="sk-SK"/>
        </w:rPr>
        <w:t>“.</w:t>
      </w:r>
    </w:p>
    <w:p w:rsidR="00AD4B33">
      <w:pPr>
        <w:pStyle w:val="BodyText"/>
        <w:bidi w:val="0"/>
        <w:spacing w:before="120" w:line="276" w:lineRule="auto"/>
        <w:rPr>
          <w:rFonts w:ascii="Book Antiqua" w:hAnsi="Book Antiqua" w:cs="Book Antiqua"/>
          <w:b/>
          <w:bCs/>
          <w:sz w:val="22"/>
          <w:szCs w:val="22"/>
          <w:lang w:val="sk-SK"/>
        </w:rPr>
      </w:pPr>
    </w:p>
    <w:p w:rsidR="00AD4B33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  <w:lang w:val="sk-SK"/>
        </w:rPr>
        <w:t>Čl. III</w:t>
      </w:r>
    </w:p>
    <w:p w:rsidR="00AD4B33">
      <w:pPr>
        <w:pStyle w:val="BodyText"/>
        <w:bidi w:val="0"/>
        <w:spacing w:before="120" w:line="276" w:lineRule="auto"/>
        <w:ind w:firstLine="708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sz w:val="22"/>
          <w:szCs w:val="22"/>
        </w:rPr>
        <w:t xml:space="preserve">Zákon č. 455/1991 Zb.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 </w:t>
      </w:r>
      <w:r>
        <w:rPr>
          <w:rFonts w:ascii="Book Antiqua" w:hAnsi="Book Antiqua" w:cs="Book Antiqua"/>
          <w:sz w:val="22"/>
          <w:szCs w:val="22"/>
        </w:rPr>
        <w:t xml:space="preserve">č. 289/1996 Z. z., zákona Národnej rady Slovenskej republiky č. 290/1996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</w:t>
      </w:r>
      <w:r>
        <w:rPr>
          <w:rFonts w:ascii="Book Antiqua" w:hAnsi="Book Antiqua" w:cs="Book Antiqua"/>
          <w:sz w:val="22"/>
          <w:szCs w:val="22"/>
        </w:rPr>
        <w:t xml:space="preserve">č. 288/1997 Z. z., zákona č. 379/1997 Z. z., zákona č. 70/1998 Z. z., zákona č. 76/1998 Z. z., zákona č. 126/1998 Z. z., zákona č. 129/1998 Z. z., zákona č. 140/1998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143/1998 Z. z., zákona č. 144/1998 Z. z., zákona č. 161/1998 Z. z., zákona č. 178/1998 Z. z., zákona č. 179/1998 Z. z., zákona č. 194/1998 Z. z., zákona č. 263/1999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264/1999 Z. z., zákona č. 119/2000 Z. z., zákona č. 142/2000 Z. z., zákona č. 236/2000 Z. z., zákona č. 238/2000 Z. z., zákona č. 268/2000 Z. z., zákona č. 338/2000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223/2001 Z. z., zákona č. 279/2001 Z. z., zákona č. 488/2001 Z. z., zákona č. 554/2001 Z. z., zákona č. 261/2002 Z. z., zákona č. 284/2002 Z. z., zákona č. 506/2002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190/2003 Z. z., zákona č. 219/2003 Z. z., zákona č. 245/2003 Z. z., zákona č. 423/2003 Z. z., zákona č. 515/2003 Z. z., zákona č. 586/2003 Z. z., zákona č. 602/2003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347/2004 Z. z., zákona č. 350/2004 Z. z., zákona č. 365/2004 Z. z., zákona č. 420/2004 Z. z., zákona č. 533/2004 Z. z., zákona č. 544/2004 Z. z., zákona č. 578/2004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</w:t>
      </w:r>
      <w:r>
        <w:rPr>
          <w:rFonts w:ascii="Book Antiqua" w:hAnsi="Book Antiqua" w:cs="Book Antiqua"/>
          <w:sz w:val="22"/>
          <w:szCs w:val="22"/>
        </w:rPr>
        <w:t xml:space="preserve">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</w:t>
      </w:r>
      <w:r>
        <w:rPr>
          <w:rFonts w:ascii="Book Antiqua" w:hAnsi="Book Antiqua" w:cs="Book Antiqua"/>
          <w:sz w:val="22"/>
          <w:szCs w:val="22"/>
        </w:rPr>
        <w:t xml:space="preserve">č. 112/2008 Z. z., zákona č. 445/2008 Z. z., zákona č. 448/2008 Z. z., zákona č. 186/2009 Z. z., zákona č. 492/2009 Z. z., zákona č. 568/2009 Z. z., zákona č. 129/2010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136/2010 Z. z., zákona č. 556/2010 Z. z., zákona č. 249/2011 Z. z., zákona č. 324/2011 Z. z., zákona č. 362/2011 Z. z., zákona č. 392/2011 Z. z., zákona č. 395/2011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251/2012 Z. z., zákona č. 314/2012 Z. z., zákona č. 321/2012 Z. z., zákona č. 351/2012 Z. z., zákona č. 447/2012 Z. z., zákona č. 39/2013 Z. z., zákona č. 94/2013 Z. z., zákona č. 95/2013 Z. z., zákona č. 180/2013 Z. z., zákona č. 218/2013 Z. z., zákona č. 1/2014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</w:t>
      </w:r>
      <w:r>
        <w:rPr>
          <w:rFonts w:ascii="Book Antiqua" w:hAnsi="Book Antiqua" w:cs="Book Antiqua"/>
          <w:sz w:val="22"/>
          <w:szCs w:val="22"/>
        </w:rPr>
        <w:t>č. 35/2014 Z. z., zákona č. 58/2014 Z. z.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, </w:t>
      </w:r>
      <w:r>
        <w:rPr>
          <w:rFonts w:ascii="Book Antiqua" w:hAnsi="Book Antiqua" w:cs="Book Antiqua"/>
          <w:sz w:val="22"/>
          <w:szCs w:val="22"/>
        </w:rPr>
        <w:t xml:space="preserve"> zákona č. 182/2014 Z. z.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zákona č. 204/2014 Z. z., zákona č. 219/2014 Z. z., zákona č. 321/2014 Z. z., zákona č. 333/2014 Z. z., 399/2014 Z. z., zákona č. 77/2015 Z. z., zákona č. 79/2015 Z. z., zákona č. 128/2015 Z. z., zákona č. 266/2015 Z. z., zákona č. 272/2015 Z. z., zákona č. 274/2015 Z. z., zákona č. 278/2015 Z. z., zákona </w:t>
      </w:r>
      <w:r w:rsidR="00DE68F5">
        <w:rPr>
          <w:rFonts w:ascii="Book Antiqua" w:hAnsi="Book Antiqua" w:cs="Book Antiqua"/>
          <w:sz w:val="22"/>
          <w:szCs w:val="22"/>
          <w:lang w:val="sk-SK"/>
        </w:rPr>
        <w:t xml:space="preserve">     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č. 331/2015 Z. z., zákona č. 348/2015 Z. z., zákona č. 387/2015 Z. z., zákona č. 440/2015 Z. z., zákona č. 412/2015 Z. z., zákona č. 89/2016 Z. z., zákona č. 91/2016 Z. z. a zákona </w:t>
      </w:r>
      <w:r w:rsidR="00DE68F5">
        <w:rPr>
          <w:rFonts w:ascii="Book Antiqua" w:hAnsi="Book Antiqua" w:cs="Book Antiqua"/>
          <w:sz w:val="22"/>
          <w:szCs w:val="22"/>
          <w:lang w:val="sk-SK"/>
        </w:rPr>
        <w:t xml:space="preserve">                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č. 125/2016 Z. z. </w:t>
      </w:r>
      <w:r>
        <w:rPr>
          <w:rFonts w:ascii="Book Antiqua" w:hAnsi="Book Antiqua" w:cs="Book Antiqua"/>
          <w:sz w:val="22"/>
          <w:szCs w:val="22"/>
        </w:rPr>
        <w:t>sa mení a dopĺňa takto:</w:t>
      </w:r>
    </w:p>
    <w:p w:rsidR="00AD4B33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Nadpis § 49 znie: „</w:t>
      </w:r>
      <w:r>
        <w:rPr>
          <w:rFonts w:ascii="Book Antiqua" w:hAnsi="Book Antiqua" w:cs="Book Antiqua"/>
          <w:b/>
          <w:bCs/>
          <w:sz w:val="22"/>
          <w:szCs w:val="22"/>
          <w:lang w:val="sk-SK"/>
        </w:rPr>
        <w:t>Zmeny údajov uvedených v ohlásení a iné údaje</w:t>
      </w:r>
      <w:r>
        <w:rPr>
          <w:rFonts w:ascii="Book Antiqua" w:hAnsi="Book Antiqua" w:cs="Book Antiqua"/>
          <w:bCs/>
          <w:sz w:val="22"/>
          <w:szCs w:val="22"/>
          <w:lang w:val="sk-SK"/>
        </w:rPr>
        <w:t>“.</w:t>
      </w:r>
    </w:p>
    <w:p w:rsidR="00AD4B33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eastAsia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§ 49 sa dopĺňa odsekom 5, ktorý znie:</w:t>
      </w:r>
    </w:p>
    <w:p w:rsidR="00AD4B33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val="sk-SK"/>
        </w:rPr>
        <w:t>„</w:t>
      </w:r>
      <w:r>
        <w:rPr>
          <w:rFonts w:ascii="Book Antiqua" w:hAnsi="Book Antiqua" w:cs="Book Antiqua"/>
          <w:bCs/>
          <w:sz w:val="22"/>
          <w:szCs w:val="22"/>
          <w:lang w:val="sk-SK"/>
        </w:rPr>
        <w:t xml:space="preserve">(5) </w:t>
      </w:r>
      <w:r>
        <w:rPr>
          <w:rFonts w:ascii="Book Antiqua" w:hAnsi="Book Antiqua" w:cs="Book Antiqua"/>
          <w:sz w:val="22"/>
          <w:szCs w:val="22"/>
        </w:rPr>
        <w:t xml:space="preserve">Podnikateľ je povinný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do piatich pracovných dní po uplynutí kalendárneho mesiaca </w:t>
      </w:r>
      <w:r>
        <w:rPr>
          <w:rFonts w:ascii="Book Antiqua" w:hAnsi="Book Antiqua" w:cs="Book Antiqua"/>
          <w:sz w:val="22"/>
          <w:szCs w:val="22"/>
        </w:rPr>
        <w:t xml:space="preserve">oznámiť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formou informácie o omeškaní s platením </w:t>
      </w:r>
      <w:r>
        <w:rPr>
          <w:rFonts w:ascii="Book Antiqua" w:hAnsi="Book Antiqua" w:cs="Book Antiqua"/>
          <w:sz w:val="22"/>
          <w:szCs w:val="22"/>
        </w:rPr>
        <w:t>príslušnému živnostenskému úradu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počet dní, koľko je v omeškaní s platením dokladov podľa osobitného predpisu</w:t>
      </w:r>
      <w:r>
        <w:rPr>
          <w:rFonts w:ascii="Book Antiqua" w:hAnsi="Book Antiqua" w:cs="Book Antiqua"/>
          <w:sz w:val="22"/>
          <w:szCs w:val="22"/>
          <w:vertAlign w:val="superscript"/>
          <w:lang w:val="sk-SK"/>
        </w:rPr>
        <w:t>36ia)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v posledný deň predchádzajúceho kalendárneho mesiaca.“.</w:t>
      </w:r>
    </w:p>
    <w:p w:rsidR="00AD4B33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eastAsia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Poznámka pod čiarou k odkazu 36ia znie:</w:t>
      </w:r>
    </w:p>
    <w:p w:rsidR="00AD4B33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val="sk-SK"/>
        </w:rPr>
        <w:t>„</w:t>
      </w:r>
      <w:r>
        <w:rPr>
          <w:rFonts w:ascii="Book Antiqua" w:hAnsi="Book Antiqua" w:cs="Book Antiqua"/>
          <w:bCs/>
          <w:sz w:val="22"/>
          <w:szCs w:val="22"/>
          <w:vertAlign w:val="superscript"/>
          <w:lang w:val="sk-SK"/>
        </w:rPr>
        <w:t xml:space="preserve">36ia) </w:t>
      </w:r>
      <w:r>
        <w:rPr>
          <w:rFonts w:ascii="Book Antiqua" w:hAnsi="Book Antiqua" w:cs="Book Antiqua"/>
          <w:bCs/>
          <w:sz w:val="22"/>
          <w:szCs w:val="22"/>
          <w:lang w:val="sk-SK"/>
        </w:rPr>
        <w:t>§ 340a ods. 1 a 5 Obchodného zákonníka v znení zákona č. …/2016 Z. z.“.</w:t>
      </w:r>
    </w:p>
    <w:p w:rsidR="00AD4B33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rPr>
          <w:rFonts w:ascii="Book Antiqua" w:eastAsia="Book Antiqua" w:hAnsi="Book Antiqua" w:cs="Book Antiqua"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Za § 49 sa vkladá § 49a, ktorý vrátane nadpisu znie:</w:t>
      </w:r>
    </w:p>
    <w:p w:rsidR="00AD4B33">
      <w:pPr>
        <w:pStyle w:val="BodyText"/>
        <w:tabs>
          <w:tab w:val="left" w:pos="851"/>
        </w:tabs>
        <w:bidi w:val="0"/>
        <w:spacing w:before="120" w:line="276" w:lineRule="auto"/>
        <w:ind w:left="720"/>
        <w:jc w:val="center"/>
        <w:rPr>
          <w:rFonts w:ascii="Book Antiqua" w:hAnsi="Book Antiqua" w:cs="Book Antiqua"/>
          <w:b/>
          <w:bCs/>
          <w:sz w:val="22"/>
          <w:szCs w:val="22"/>
          <w:lang w:val="sk-SK"/>
        </w:rPr>
      </w:pPr>
      <w:r>
        <w:rPr>
          <w:rFonts w:ascii="Book Antiqua" w:eastAsia="Book Antiqua" w:hAnsi="Book Antiqua" w:cs="Book Antiqua" w:hint="default"/>
          <w:sz w:val="22"/>
          <w:szCs w:val="22"/>
          <w:lang w:val="sk-SK"/>
        </w:rPr>
        <w:t>„</w:t>
      </w:r>
      <w:r>
        <w:rPr>
          <w:rFonts w:ascii="Book Antiqua" w:hAnsi="Book Antiqua" w:cs="Book Antiqua"/>
          <w:b/>
          <w:bCs/>
          <w:sz w:val="22"/>
          <w:szCs w:val="22"/>
          <w:lang w:val="sk-SK"/>
        </w:rPr>
        <w:t>§ 49a</w:t>
      </w:r>
    </w:p>
    <w:p w:rsidR="00AD4B33">
      <w:pPr>
        <w:pStyle w:val="BodyText"/>
        <w:tabs>
          <w:tab w:val="left" w:pos="851"/>
        </w:tabs>
        <w:bidi w:val="0"/>
        <w:spacing w:before="120" w:line="276" w:lineRule="auto"/>
        <w:ind w:left="72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  <w:lang w:val="sk-SK"/>
        </w:rPr>
        <w:t>Informácia o omeškaní s platením</w:t>
      </w:r>
    </w:p>
    <w:p w:rsidR="00AD4B33">
      <w:pPr>
        <w:numPr>
          <w:ilvl w:val="0"/>
          <w:numId w:val="9"/>
        </w:num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Podnikateľ je povinný podať príslušnému živnostenskému úradu informáciu o omeškaní s platením podľa § 49 ods. 5 elektronickými prostriedkami za každý kalendárny mesiac, v ktorom je v omeškaní s platením dokladov podľa osobitného predpisu</w:t>
      </w:r>
      <w:r>
        <w:rPr>
          <w:rFonts w:ascii="Book Antiqua" w:hAnsi="Book Antiqua" w:cs="Book Antiqua"/>
          <w:sz w:val="22"/>
          <w:szCs w:val="22"/>
          <w:vertAlign w:val="superscript"/>
        </w:rPr>
        <w:t>36ia)</w:t>
      </w:r>
      <w:r>
        <w:rPr>
          <w:rFonts w:ascii="Book Antiqua" w:hAnsi="Book Antiqua" w:cs="Book Antiqua"/>
          <w:sz w:val="22"/>
          <w:szCs w:val="22"/>
        </w:rPr>
        <w:t>.</w:t>
      </w:r>
    </w:p>
    <w:p w:rsidR="00AD4B33">
      <w:pPr>
        <w:numPr>
          <w:ilvl w:val="0"/>
          <w:numId w:val="9"/>
        </w:num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Informácia o omeškaní s platením musí obsahovať údaje v tomto členení:</w:t>
      </w:r>
    </w:p>
    <w:p w:rsidR="00AD4B33">
      <w:pPr>
        <w:numPr>
          <w:ilvl w:val="0"/>
          <w:numId w:val="6"/>
        </w:num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počet dní, koľko je podnikateľ v omeškaní s platením dokladov podľa osobitného predpisu</w:t>
      </w:r>
      <w:r>
        <w:rPr>
          <w:rFonts w:ascii="Book Antiqua" w:hAnsi="Book Antiqua" w:cs="Book Antiqua"/>
          <w:sz w:val="22"/>
          <w:szCs w:val="22"/>
          <w:vertAlign w:val="superscript"/>
        </w:rPr>
        <w:t>36ia)</w:t>
      </w:r>
      <w:r>
        <w:rPr>
          <w:rFonts w:ascii="Book Antiqua" w:hAnsi="Book Antiqua" w:cs="Book Antiqua"/>
          <w:sz w:val="22"/>
          <w:szCs w:val="22"/>
        </w:rPr>
        <w:t>,</w:t>
      </w:r>
    </w:p>
    <w:p w:rsidR="00AD4B33">
      <w:pPr>
        <w:numPr>
          <w:ilvl w:val="0"/>
          <w:numId w:val="6"/>
        </w:num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obchodné meno, pri právnickej osobe sídlo, pri fyzickej osobe podnikateľovi meno a priezvisko, ak sa líši od obchodného mena a ich identifikačné číslo, ako aj miesto podnikania, voči ktorým je podnikateľ v omeškaní s platením dokladov podľa osobitného predpisu</w:t>
      </w:r>
      <w:r>
        <w:rPr>
          <w:rFonts w:ascii="Book Antiqua" w:hAnsi="Book Antiqua" w:cs="Book Antiqua"/>
          <w:sz w:val="22"/>
          <w:szCs w:val="22"/>
          <w:vertAlign w:val="superscript"/>
        </w:rPr>
        <w:t>36ia)</w:t>
      </w:r>
      <w:r>
        <w:rPr>
          <w:rFonts w:ascii="Book Antiqua" w:hAnsi="Book Antiqua" w:cs="Book Antiqua"/>
          <w:sz w:val="22"/>
          <w:szCs w:val="22"/>
        </w:rPr>
        <w:t>,</w:t>
      </w:r>
    </w:p>
    <w:p w:rsidR="00AD4B33">
      <w:pPr>
        <w:numPr>
          <w:ilvl w:val="0"/>
          <w:numId w:val="6"/>
        </w:num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údaje z nesplneného peňažného záväzku podnikateľa z dodania tovaru alebo poskytnutia služby, podľa ktorých je možné identifikovať nesplnený peňažný záväzok,</w:t>
      </w:r>
    </w:p>
    <w:p w:rsidR="00AD4B33">
      <w:pPr>
        <w:numPr>
          <w:ilvl w:val="0"/>
          <w:numId w:val="6"/>
        </w:num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poradové číslo faktúry alebo číselnú identifikáciu dokladu podľa písmena c), ak tento doklad číselnú identifikáciu obsahuje.</w:t>
      </w:r>
    </w:p>
    <w:p w:rsidR="00AD4B33">
      <w:pPr>
        <w:numPr>
          <w:ilvl w:val="0"/>
          <w:numId w:val="9"/>
        </w:num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Ak podnikateľ, ktorý podal informáciu o omeškaní s platením, zistí pred uplynutím lehoty na jej podanie, že údaje uvedené v informácii o omeškaní s platením sú neúplné alebo nesprávne, podá opravnú informáciu o omeškaní s platením, pričom na pôvodne podanú informáciu o omeškaní s platením sa neprihliada. Ak podnikateľ, ktorý podal informáciu o omeškaní s platením, zistí po uplynutí lehoty na podanie informácie o omeškaní s platením, že údaje v informácii o omeškaní s platením sú neúplné alebo nesprávne, podá dodatočnú informáciu o omeškaní s platením, v ktorom uvedie len doplnené alebo opravené údaje.</w:t>
      </w:r>
    </w:p>
    <w:p w:rsidR="00AD4B33">
      <w:pPr>
        <w:numPr>
          <w:ilvl w:val="0"/>
          <w:numId w:val="9"/>
        </w:num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Ak vzniknú pochybnosti o správnosti, pravdivosti alebo úplnosti podanej informácie o omeškaní s platením alebo o pravdivosti údajov v ňom uvedených, oznámi príslušný živnostenský úrad tieto pochybnosti podnikateľovi, ktorý informáciu o omeškaní s platením podal, a vyzve ho, aby sa k nim vyjadril, neúplné údaje doplnil, nejasnosti vysvetlil a nepravdivé údaje opravil alebo pravdivosť údajov riadne preukázal. Na základe tejto výzvy je podnikateľ povinný do piatich pracovných dní od doručenia výzvy nedostatky podanej informácie o omeškaní s platením odstrániť.</w:t>
      </w:r>
    </w:p>
    <w:p w:rsidR="00AD4B33">
      <w:pPr>
        <w:numPr>
          <w:ilvl w:val="0"/>
          <w:numId w:val="9"/>
        </w:num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Podnikateľ uvedie údaje podľa odseku 2 v informácii o omeškaní s platením v členení, ktorého vzor ustanoví všeobecne záväzný právny predpis, ktorý vydá Ministerstvo vnútra Slovenskej republiky. Informácia o omeškaní s platením sa podáva vo formáte Extensible Markup Language (XML), ktorého opis dátového rozhrania je zverejnený na webovom sídle Ministerstva vnútra Slovenskej republiky.“.</w:t>
      </w:r>
    </w:p>
    <w:p w:rsidR="00AD4B33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eastAsia="Book Antiqua" w:hAnsi="Book Antiqua" w:cs="Book Antiqua"/>
          <w:sz w:val="22"/>
          <w:szCs w:val="22"/>
          <w:lang w:val="sk-SK"/>
        </w:rPr>
      </w:pPr>
      <w:r>
        <w:rPr>
          <w:rFonts w:ascii="Book Antiqua" w:hAnsi="Book Antiqua" w:cs="Book Antiqua"/>
          <w:sz w:val="22"/>
          <w:szCs w:val="22"/>
          <w:lang w:val="sk-SK"/>
        </w:rPr>
        <w:t>V § 60 ods. 2 sa za písmeno k) vkladá nové písmeno l), ktoré znie:</w:t>
      </w:r>
    </w:p>
    <w:p w:rsidR="00AD4B33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  <w:lang w:val="sk-SK"/>
        </w:rPr>
      </w:pPr>
      <w:r>
        <w:rPr>
          <w:rFonts w:ascii="Book Antiqua" w:eastAsia="Book Antiqua" w:hAnsi="Book Antiqua" w:cs="Book Antiqua" w:hint="default"/>
          <w:sz w:val="22"/>
          <w:szCs w:val="22"/>
          <w:lang w:val="sk-SK"/>
        </w:rPr>
        <w:t>„</w:t>
      </w:r>
      <w:r>
        <w:rPr>
          <w:rFonts w:ascii="Book Antiqua" w:eastAsia="Book Antiqua" w:hAnsi="Book Antiqua" w:cs="Book Antiqua" w:hint="default"/>
          <w:sz w:val="22"/>
          <w:szCs w:val="22"/>
          <w:lang w:val="sk-SK"/>
        </w:rPr>
        <w:t>l</w:t>
      </w:r>
      <w:r>
        <w:rPr>
          <w:rFonts w:ascii="Book Antiqua" w:hAnsi="Book Antiqua" w:cs="Book Antiqua"/>
          <w:sz w:val="22"/>
          <w:szCs w:val="22"/>
          <w:lang w:val="sk-SK"/>
        </w:rPr>
        <w:t>) počet dní, koľko je podnikateľ v omeškaní s platením dokladov podľa osobitného predpisu</w:t>
      </w:r>
      <w:r>
        <w:rPr>
          <w:rFonts w:ascii="Book Antiqua" w:hAnsi="Book Antiqua" w:cs="Book Antiqua"/>
          <w:sz w:val="22"/>
          <w:szCs w:val="22"/>
          <w:vertAlign w:val="superscript"/>
          <w:lang w:val="sk-SK"/>
        </w:rPr>
        <w:t>36ia)</w:t>
      </w:r>
      <w:r>
        <w:rPr>
          <w:rFonts w:ascii="Book Antiqua" w:hAnsi="Book Antiqua" w:cs="Book Antiqua"/>
          <w:sz w:val="22"/>
          <w:szCs w:val="22"/>
          <w:lang w:val="sk-SK"/>
        </w:rPr>
        <w:t>.“.</w:t>
      </w:r>
    </w:p>
    <w:p w:rsidR="00AD4B33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  <w:lang w:val="sk-SK"/>
        </w:rPr>
      </w:pPr>
      <w:r>
        <w:rPr>
          <w:rFonts w:ascii="Book Antiqua" w:hAnsi="Book Antiqua" w:cs="Book Antiqua"/>
          <w:sz w:val="22"/>
          <w:szCs w:val="22"/>
          <w:lang w:val="sk-SK"/>
        </w:rPr>
        <w:t>Doterajšie písmeno l) sa označuje ako písmeno m).</w:t>
      </w:r>
    </w:p>
    <w:p w:rsidR="00AD4B33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eastAsia="Book Antiqua" w:hAnsi="Book Antiqua" w:cs="Book Antiqua"/>
          <w:sz w:val="22"/>
          <w:szCs w:val="22"/>
          <w:lang w:val="sk-SK"/>
        </w:rPr>
      </w:pPr>
      <w:r>
        <w:rPr>
          <w:rFonts w:ascii="Book Antiqua" w:hAnsi="Book Antiqua" w:cs="Book Antiqua"/>
          <w:sz w:val="22"/>
          <w:szCs w:val="22"/>
          <w:lang w:val="sk-SK"/>
        </w:rPr>
        <w:t>V § 65a sa odsek 2 dopĺňa písmenom f), ktoré znie:</w:t>
      </w:r>
    </w:p>
    <w:p w:rsidR="00AD4B33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eastAsia="Book Antiqua" w:hAnsi="Book Antiqua" w:cs="Book Antiqua" w:hint="default"/>
          <w:sz w:val="22"/>
          <w:szCs w:val="22"/>
          <w:lang w:val="sk-SK"/>
        </w:rPr>
        <w:t>„</w:t>
      </w:r>
      <w:r>
        <w:rPr>
          <w:rFonts w:ascii="Book Antiqua" w:hAnsi="Book Antiqua" w:cs="Book Antiqua"/>
          <w:sz w:val="22"/>
          <w:szCs w:val="22"/>
          <w:lang w:val="sk-SK"/>
        </w:rPr>
        <w:t>f) poruší povinnosť podľa § 49 ods. 5 alebo podľa § 49a“.</w:t>
      </w:r>
    </w:p>
    <w:p w:rsidR="00AD4B33">
      <w:pPr>
        <w:pStyle w:val="BodyText"/>
        <w:numPr>
          <w:ilvl w:val="0"/>
          <w:numId w:val="8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eastAsia="Book Antiqua" w:hAnsi="Book Antiqua" w:cs="Book Antiqua"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Za § 80ab sa vkladá § 80ac, ktorý vrátane nadpisu znie:</w:t>
      </w:r>
    </w:p>
    <w:p w:rsidR="00AD4B33">
      <w:pPr>
        <w:pStyle w:val="BodyText"/>
        <w:bidi w:val="0"/>
        <w:spacing w:before="120" w:line="276" w:lineRule="auto"/>
        <w:ind w:left="720" w:firstLine="131"/>
        <w:jc w:val="center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 w:hint="default"/>
          <w:sz w:val="22"/>
          <w:szCs w:val="22"/>
          <w:lang w:val="sk-SK"/>
        </w:rPr>
        <w:t>„</w:t>
      </w:r>
      <w:r>
        <w:rPr>
          <w:rFonts w:ascii="Book Antiqua" w:hAnsi="Book Antiqua" w:cs="Book Antiqua"/>
          <w:b/>
          <w:bCs/>
          <w:sz w:val="22"/>
          <w:szCs w:val="22"/>
          <w:lang w:val="sk-SK"/>
        </w:rPr>
        <w:t>§ 80ac</w:t>
      </w:r>
    </w:p>
    <w:p w:rsidR="00AD4B33">
      <w:pPr>
        <w:pStyle w:val="BodyText"/>
        <w:bidi w:val="0"/>
        <w:spacing w:before="120" w:line="276" w:lineRule="auto"/>
        <w:ind w:left="720" w:firstLine="131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Prechodné ustanovenie k úpravám</w:t>
        <w:br/>
        <w:t>účinným od 1. februára</w:t>
      </w:r>
      <w:r>
        <w:rPr>
          <w:rFonts w:ascii="Book Antiqua" w:hAnsi="Book Antiqua" w:cs="Book Antiqua"/>
          <w:b/>
          <w:sz w:val="22"/>
          <w:szCs w:val="22"/>
          <w:lang w:val="sk-SK"/>
        </w:rPr>
        <w:t xml:space="preserve"> 2017</w:t>
      </w:r>
    </w:p>
    <w:p w:rsidR="00AD4B33">
      <w:pPr>
        <w:pStyle w:val="BodyText"/>
        <w:bidi w:val="0"/>
        <w:spacing w:before="120" w:line="276" w:lineRule="auto"/>
        <w:ind w:left="851"/>
        <w:rPr>
          <w:rFonts w:ascii="Book Antiqua" w:hAnsi="Book Antiqua" w:cs="Book Antiqua"/>
          <w:b/>
          <w:bCs/>
          <w:sz w:val="22"/>
          <w:szCs w:val="22"/>
          <w:lang w:val="sk-SK"/>
        </w:rPr>
      </w:pPr>
      <w:r>
        <w:rPr>
          <w:rFonts w:ascii="Book Antiqua" w:hAnsi="Book Antiqua" w:cs="Book Antiqua"/>
          <w:sz w:val="22"/>
          <w:szCs w:val="22"/>
        </w:rPr>
        <w:t>Podnikatelia, ktorým živnostenské oprávnenie vzniklo pred 1. februárom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2017</w:t>
      </w:r>
      <w:r>
        <w:rPr>
          <w:rFonts w:ascii="Book Antiqua" w:hAnsi="Book Antiqua" w:cs="Book Antiqua"/>
          <w:sz w:val="22"/>
          <w:szCs w:val="22"/>
        </w:rPr>
        <w:t xml:space="preserve">, upravia svoje právne vzťahy v súlade s ustanoveniami § </w:t>
      </w:r>
      <w:r>
        <w:rPr>
          <w:rFonts w:ascii="Book Antiqua" w:hAnsi="Book Antiqua" w:cs="Book Antiqua"/>
          <w:sz w:val="22"/>
          <w:szCs w:val="22"/>
          <w:lang w:val="sk-SK"/>
        </w:rPr>
        <w:t>49 ods. 5</w:t>
      </w:r>
      <w:r>
        <w:rPr>
          <w:rFonts w:ascii="Book Antiqua" w:hAnsi="Book Antiqua" w:cs="Book Antiqua"/>
          <w:sz w:val="22"/>
          <w:szCs w:val="22"/>
        </w:rPr>
        <w:t xml:space="preserve"> do </w:t>
      </w:r>
      <w:r>
        <w:rPr>
          <w:rFonts w:ascii="Book Antiqua" w:hAnsi="Book Antiqua" w:cs="Book Antiqua"/>
          <w:sz w:val="22"/>
          <w:szCs w:val="22"/>
          <w:lang w:val="sk-SK"/>
        </w:rPr>
        <w:t>troch</w:t>
      </w:r>
      <w:r>
        <w:rPr>
          <w:rFonts w:ascii="Book Antiqua" w:hAnsi="Book Antiqua" w:cs="Book Antiqua"/>
          <w:sz w:val="22"/>
          <w:szCs w:val="22"/>
        </w:rPr>
        <w:t xml:space="preserve"> mesiacov od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nadobudnutia </w:t>
      </w:r>
      <w:r>
        <w:rPr>
          <w:rFonts w:ascii="Book Antiqua" w:hAnsi="Book Antiqua" w:cs="Book Antiqua"/>
          <w:sz w:val="22"/>
          <w:szCs w:val="22"/>
        </w:rPr>
        <w:t>účinnosti tohto zákona.</w:t>
      </w:r>
      <w:r>
        <w:rPr>
          <w:rFonts w:ascii="Book Antiqua" w:hAnsi="Book Antiqua" w:cs="Book Antiqua"/>
          <w:sz w:val="22"/>
          <w:szCs w:val="22"/>
          <w:lang w:val="sk-SK"/>
        </w:rPr>
        <w:t>“.</w:t>
      </w:r>
    </w:p>
    <w:p w:rsidR="00AD4B33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  <w:lang w:val="sk-SK"/>
        </w:rPr>
      </w:pPr>
    </w:p>
    <w:p w:rsidR="00AD4B33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  <w:lang w:val="sk-SK"/>
        </w:rPr>
        <w:t>Čl. IV</w:t>
      </w:r>
    </w:p>
    <w:p w:rsidR="00AD4B33">
      <w:pPr>
        <w:pStyle w:val="BodyText"/>
        <w:bidi w:val="0"/>
        <w:spacing w:before="120" w:line="276" w:lineRule="auto"/>
        <w:ind w:firstLine="709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sz w:val="22"/>
          <w:szCs w:val="22"/>
        </w:rPr>
        <w:t>Zákon Slovenskej národnej rady č. 71/1992 Zb. o súdnych poplatkoch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    </w:t>
      </w:r>
      <w:r>
        <w:rPr>
          <w:rFonts w:ascii="Book Antiqua" w:hAnsi="Book Antiqua" w:cs="Book Antiqua"/>
          <w:sz w:val="22"/>
          <w:szCs w:val="22"/>
        </w:rPr>
        <w:t xml:space="preserve">č. 232/1995 Z. z., zákona č. 12/1998 Z. z., zákona č. 457/2000 Z. z., zákona č. 162/2001 Z. z., zákona č. 418/2002 Z. z., zákona č. 531/2003 Z. z., zákona č. 215/2004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382/2004 Z. z., zákona č. 420/2004 Z. z., zákona č. 432/2004 Z. z., zákona č. 341/2005 Z. z., zákona č. 621/2005 Z. z., zákona č. 24/2007 Z. z., zákona č. 273/2007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   </w:t>
      </w:r>
      <w:r>
        <w:rPr>
          <w:rFonts w:ascii="Book Antiqua" w:hAnsi="Book Antiqua" w:cs="Book Antiqua"/>
          <w:sz w:val="22"/>
          <w:szCs w:val="22"/>
        </w:rPr>
        <w:t xml:space="preserve">č. 330/2007 Z. z., zákona č. 511/2007 Z. z., zákona č. 264/2008 Z. z., zákona č. 465/2008 Z. z., zákona č. 71/2009 Z. z., zákona č. 503/2009 Z. z., zákona č. 136/2010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  </w:t>
      </w:r>
      <w:r>
        <w:rPr>
          <w:rFonts w:ascii="Book Antiqua" w:hAnsi="Book Antiqua" w:cs="Book Antiqua"/>
          <w:sz w:val="22"/>
          <w:szCs w:val="22"/>
        </w:rPr>
        <w:t xml:space="preserve">č. 381/2011 Z. z., zákona č. 286/2012 Z. z., nálezu Ústavného súdu Slovenskej republiky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</w:t>
      </w:r>
      <w:r>
        <w:rPr>
          <w:rFonts w:ascii="Book Antiqua" w:hAnsi="Book Antiqua" w:cs="Book Antiqua"/>
          <w:sz w:val="22"/>
          <w:szCs w:val="22"/>
        </w:rPr>
        <w:t>č. 297/2012 Z. z., zákona č. 64/2013 Z. z., zákona č. 125/2013 Z. z., zákona č. 347/2013 Z. z., zákona č. 357/2013 Z. z., zákona č. 204/2014 Z. z.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, zákona č. 87/2015 Z. z., zákona </w:t>
      </w:r>
      <w:r w:rsidR="00DE68F5">
        <w:rPr>
          <w:rFonts w:ascii="Book Antiqua" w:hAnsi="Book Antiqua" w:cs="Book Antiqua"/>
          <w:sz w:val="22"/>
          <w:szCs w:val="22"/>
          <w:lang w:val="sk-SK"/>
        </w:rPr>
        <w:t xml:space="preserve">                 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č. 253/2015 Z. z., zákona č. 267/2015 Z. z., zákona č. 273/2015 Z. z., zákona č. 390/2015 Z. z., zákona č. 402/2015 Z. z., zákona č. 438/2015 Z. z., zákona č. 91/2016 Z. z. a zákona </w:t>
      </w:r>
      <w:r w:rsidR="00DE68F5">
        <w:rPr>
          <w:rFonts w:ascii="Book Antiqua" w:hAnsi="Book Antiqua" w:cs="Book Antiqua"/>
          <w:sz w:val="22"/>
          <w:szCs w:val="22"/>
          <w:lang w:val="sk-SK"/>
        </w:rPr>
        <w:t xml:space="preserve">               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č. 125/2016 Z. z. </w:t>
      </w:r>
      <w:r>
        <w:rPr>
          <w:rFonts w:ascii="Book Antiqua" w:hAnsi="Book Antiqua" w:cs="Book Antiqua"/>
          <w:sz w:val="22"/>
          <w:szCs w:val="22"/>
        </w:rPr>
        <w:t>sa dopĺňa takto</w:t>
      </w:r>
      <w:r>
        <w:rPr>
          <w:rFonts w:ascii="Book Antiqua" w:hAnsi="Book Antiqua" w:cs="Book Antiqua"/>
          <w:sz w:val="22"/>
          <w:szCs w:val="22"/>
          <w:lang w:val="sk-SK"/>
        </w:rPr>
        <w:t>:</w:t>
      </w:r>
    </w:p>
    <w:p w:rsidR="00AD4B33">
      <w:pPr>
        <w:pStyle w:val="BodyText"/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V položke 17 poznámke 5 sa za slovami „námietky proti odmietnutiu vykonania zápisu“ vkladajú slová „zápis údajov podľa § 2 ods. 1 písm. t) zákona č. 530/2003 Z. z. o obchodnom registri a o zmene a doplnení niektorých zákonov v znení zákona č. .../2016 Z. z.“.</w:t>
      </w:r>
    </w:p>
    <w:p w:rsidR="00AD4B33">
      <w:pPr>
        <w:pStyle w:val="BodyText"/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  <w:lang w:val="sk-SK"/>
        </w:rPr>
      </w:pPr>
    </w:p>
    <w:p w:rsidR="00AD4B33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  <w:lang w:val="sk-SK"/>
        </w:rPr>
        <w:t>Čl. V</w:t>
      </w:r>
    </w:p>
    <w:p w:rsidR="00AD4B33">
      <w:pPr>
        <w:pStyle w:val="BodyText"/>
        <w:bidi w:val="0"/>
        <w:spacing w:before="120" w:line="276" w:lineRule="auto"/>
        <w:ind w:firstLine="709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sz w:val="22"/>
          <w:szCs w:val="22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  </w:t>
      </w:r>
      <w:r>
        <w:rPr>
          <w:rFonts w:ascii="Book Antiqua" w:hAnsi="Book Antiqua" w:cs="Book Antiqua"/>
          <w:sz w:val="22"/>
          <w:szCs w:val="22"/>
        </w:rPr>
        <w:t xml:space="preserve">č. 118/2002 Z. z., zákona č. 215/2002 Z. z., zákona č. 237/2002 Z. z., zákona č. 418/2002 Z. z., zákona č. 457/2002 Z. z., zákona č. 465/2002 Z. z., zákona č. 477/2002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</w:t>
      </w:r>
      <w:r>
        <w:rPr>
          <w:rFonts w:ascii="Book Antiqua" w:hAnsi="Book Antiqua" w:cs="Book Antiqua"/>
          <w:sz w:val="22"/>
          <w:szCs w:val="22"/>
        </w:rPr>
        <w:t xml:space="preserve">č. 382/2004 Z. z., zákona č. 434/2004 Z. z., zákona č. 533/2004 Z. z., zákona č. 541/2004 Z. z., zákona č. 572/2004 Z. z., zákona č. 578/2004 Z. z., zákona č. 581/2004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</w:t>
      </w:r>
      <w:r>
        <w:rPr>
          <w:rFonts w:ascii="Book Antiqua" w:hAnsi="Book Antiqua" w:cs="Book Antiqua"/>
          <w:sz w:val="22"/>
          <w:szCs w:val="22"/>
        </w:rPr>
        <w:t xml:space="preserve">č. 341/2005 Z. z., zákona č. 342/2005 Z. z., zákona č. 473/2005 Z. z., zákona č. 491/2005 Z. z., zákona č. 538/2005 Z. z., zákona č. 558/2005 Z. z., zákona č. 572/2005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573/2005 Z. z., zákona č. 610/2005 Z. z., zákona č. 14/2006 Z. z., zákona č. 15/2006 Z. z., zákona č. 24/2006 Z. z., zákona č. 117/2006 Z. z., zákona č. 124/2006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  </w:t>
      </w:r>
      <w:r>
        <w:rPr>
          <w:rFonts w:ascii="Book Antiqua" w:hAnsi="Book Antiqua" w:cs="Book Antiqua"/>
          <w:sz w:val="22"/>
          <w:szCs w:val="22"/>
        </w:rPr>
        <w:t xml:space="preserve">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</w:t>
      </w:r>
      <w:r>
        <w:rPr>
          <w:rFonts w:ascii="Book Antiqua" w:hAnsi="Book Antiqua" w:cs="Book Antiqua"/>
          <w:sz w:val="22"/>
          <w:szCs w:val="22"/>
        </w:rPr>
        <w:t xml:space="preserve">č. 295/2007 Z. z., zákona č. 309/2007 Z. z., zákona č. 342/2007 Z. z., zákona č. 343/2007 Z. z., zákona č. 344/2007 Z. z., zákona č. 355/2007 Z. z., zákona č. 358/2007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359/2007 Z. z., zákona č. 460/2007 Z. z., zákona č. 517/2007 Z. z., zákona č. 537/2007 Z. z., zákona č. 548/2007 Z. z., zákona č. 571/2007 Z. z., zákona č. 577/2007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647/2007 Z. z., zákona č. 661/2007 Z. z., zákona č. 92/2008 Z. z., zákona č. 112/2008 Z. z., zákona č. 167/2008 Z. z., zákona č. 214/2008 Z. z., zákona č. 264/2008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</w:t>
      </w:r>
      <w:r>
        <w:rPr>
          <w:rFonts w:ascii="Book Antiqua" w:hAnsi="Book Antiqua" w:cs="Book Antiqua"/>
          <w:sz w:val="22"/>
          <w:szCs w:val="22"/>
        </w:rPr>
        <w:t xml:space="preserve">č. 292/2009 Z. z., zákona č. 304/2009 Z. z., zákona č. 305/2009 Z. z., zákona č. 307/2009 Z. z., zákona č. 465/2009 Z. z., zákona č. 478/2009 Z. z., zákona č. 513/2009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568/2009 Z. z., zákona č. 570/2009 Z. z., zákona č. 594/2009 Z. z., zákona č. 67/2010 Z. z., zákona č. 92/2010 Z. z., zákona č. 136/2010 Z. z., zákona č. 144/2010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  </w:t>
      </w:r>
      <w:r>
        <w:rPr>
          <w:rFonts w:ascii="Book Antiqua" w:hAnsi="Book Antiqua" w:cs="Book Antiqua"/>
          <w:sz w:val="22"/>
          <w:szCs w:val="22"/>
        </w:rPr>
        <w:t xml:space="preserve">č. 514/2010 Z. z., zákona č. 556/2010 Z. z., zákona č. 39/2011 Z. z., zákona č. 119/2011 Z. z., zákona č. 200/2011 Z. z., zákona č. 223/2011 Z. z., zákona č. 254/2011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 </w:t>
      </w:r>
      <w:r>
        <w:rPr>
          <w:rFonts w:ascii="Book Antiqua" w:hAnsi="Book Antiqua" w:cs="Book Antiqua"/>
          <w:sz w:val="22"/>
          <w:szCs w:val="22"/>
        </w:rPr>
        <w:t xml:space="preserve">č. 256/2011 Z. z., zákona č. 258/2011 Z. z., zákona č. 324/2011 Z. z., zákona č. 342/2011 Z. z., zákona č. 363/2011 Z. z., zákona č. 381/2011 Z. z., zákona č. 392/2011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 </w:t>
      </w:r>
      <w:r>
        <w:rPr>
          <w:rFonts w:ascii="Book Antiqua" w:hAnsi="Book Antiqua" w:cs="Book Antiqua"/>
          <w:sz w:val="22"/>
          <w:szCs w:val="22"/>
        </w:rPr>
        <w:t>č. 404/2011 Z. z., zákona č. 405/2011 Z. z., zákona č. 409/2011 Z. z., zákona č. 519/2011 Z. z., zákona č. 547/2011 Z. z., zákona č. 49/2012 Z. z., zákona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 xml:space="preserve">č. 293/2014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Z. z., zákona </w:t>
      </w:r>
      <w:r>
        <w:rPr>
          <w:rFonts w:ascii="Book Antiqua" w:hAnsi="Book Antiqua" w:cs="Book Antiqua"/>
          <w:sz w:val="22"/>
          <w:szCs w:val="22"/>
        </w:rPr>
        <w:t xml:space="preserve">č. 96/2012 Z. z., zákona č. 251/2012 Z. z., zákona č. 286/2012 Z. z., zákona č. 336/2012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</w:t>
      </w:r>
      <w:r>
        <w:rPr>
          <w:rFonts w:ascii="Book Antiqua" w:hAnsi="Book Antiqua" w:cs="Book Antiqua"/>
          <w:sz w:val="22"/>
          <w:szCs w:val="22"/>
        </w:rPr>
        <w:t xml:space="preserve">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</w:t>
      </w:r>
      <w:r>
        <w:rPr>
          <w:rFonts w:ascii="Book Antiqua" w:hAnsi="Book Antiqua" w:cs="Book Antiqua"/>
          <w:sz w:val="22"/>
          <w:szCs w:val="22"/>
        </w:rPr>
        <w:t xml:space="preserve">č. 213/2013 Z. z., zákona č. 311/2013 Z. z., zákona č. 319/2013 Z. z., zákona č. 347/2013 Z. z., zákona č. 387/2013 Z. z., zákona č. 388/2013 Z. z., zákona č. 474/2013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 xml:space="preserve">č. 506/2013 Z. z., zákona č. 35/2014 Z. z., zákona č. 58/2014 Z. z., zákona č. 84/2014 Z. z., zákona č. 152/2014 Z. z., zákona č. 162/2014 Z. z., zákona č. 182/2014 Z. z., zákona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               </w:t>
      </w:r>
      <w:r>
        <w:rPr>
          <w:rFonts w:ascii="Book Antiqua" w:hAnsi="Book Antiqua" w:cs="Book Antiqua"/>
          <w:sz w:val="22"/>
          <w:szCs w:val="22"/>
        </w:rPr>
        <w:t>č. 204/2014 Z. z., zákona č. 262/2014 Z. z.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, zákona č. </w:t>
      </w:r>
      <w:r>
        <w:rPr>
          <w:rFonts w:ascii="Book Antiqua" w:hAnsi="Book Antiqua" w:cs="Book Antiqua"/>
          <w:sz w:val="22"/>
          <w:szCs w:val="22"/>
        </w:rPr>
        <w:t xml:space="preserve">293/2014 Z. z., zákona č. 335/2014 Z. z., zákona č. 399/2014 Z. z., zákona č. 40/2015 Z. z., zákona č. 79/2015 Z. z., zákona č. 120/2015 Z. z., zákona č. 128/2015 Z. z., zákona č. 129/2015 Z. z.,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zákona č. 247/2015 Z. z., zákona </w:t>
      </w:r>
      <w:r w:rsidR="00DE68F5">
        <w:rPr>
          <w:rFonts w:ascii="Book Antiqua" w:hAnsi="Book Antiqua" w:cs="Book Antiqua"/>
          <w:sz w:val="22"/>
          <w:szCs w:val="22"/>
          <w:lang w:val="sk-SK"/>
        </w:rPr>
        <w:t xml:space="preserve">      </w:t>
      </w:r>
      <w:r>
        <w:rPr>
          <w:rFonts w:ascii="Book Antiqua" w:hAnsi="Book Antiqua" w:cs="Book Antiqua"/>
          <w:sz w:val="22"/>
          <w:szCs w:val="22"/>
          <w:lang w:val="sk-SK"/>
        </w:rPr>
        <w:t xml:space="preserve">č. 253/2015 Z. z., zákona č. 259/2015 Z. z., zákona č. 262/2015 Z. z., zákona č. 273/2015 Z. z., zákona č. 387/2015 Z. z., zákona č. 403/2015 Z. z. a zákona č. 125/2016 Z. z. </w:t>
      </w:r>
      <w:r>
        <w:rPr>
          <w:rFonts w:ascii="Book Antiqua" w:hAnsi="Book Antiqua" w:cs="Book Antiqua"/>
          <w:sz w:val="22"/>
          <w:szCs w:val="22"/>
        </w:rPr>
        <w:t>sa dopĺňa takto:</w:t>
      </w:r>
    </w:p>
    <w:p w:rsidR="00AD4B33">
      <w:pPr>
        <w:pStyle w:val="BodyText"/>
        <w:bidi w:val="0"/>
        <w:spacing w:before="120" w:line="276" w:lineRule="auto"/>
        <w:rPr>
          <w:rFonts w:ascii="Book Antiqua" w:eastAsia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V položke 148 sa za písmeno n) vkladá nový text, ktorý vrátane nadpisu znie:</w:t>
      </w:r>
    </w:p>
    <w:p w:rsidR="00AD4B33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val="sk-SK"/>
        </w:rPr>
        <w:t>„</w:t>
      </w:r>
      <w:r>
        <w:rPr>
          <w:rFonts w:ascii="Book Antiqua" w:hAnsi="Book Antiqua" w:cs="Book Antiqua"/>
          <w:bCs/>
          <w:sz w:val="22"/>
          <w:szCs w:val="22"/>
          <w:lang w:val="sk-SK"/>
        </w:rPr>
        <w:t>Oslobodenie</w:t>
      </w:r>
    </w:p>
    <w:p w:rsidR="00AD4B33">
      <w:pPr>
        <w:pStyle w:val="BodyText"/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  <w:lang w:val="sk-SK"/>
        </w:rPr>
      </w:pPr>
      <w:r>
        <w:rPr>
          <w:rFonts w:ascii="Book Antiqua" w:hAnsi="Book Antiqua" w:cs="Book Antiqua"/>
          <w:bCs/>
          <w:sz w:val="22"/>
          <w:szCs w:val="22"/>
          <w:lang w:val="sk-SK"/>
        </w:rPr>
        <w:t>Od poplatku podľa písmena f) je oslobodený zápis údajov podľa § 49 ods. 5 zákona               č. 455/1991 Zb. o živnostenskom podnikaní (živnostenský zákon) v znení zákona č. .../2016 Z. z.“.</w:t>
      </w:r>
    </w:p>
    <w:p w:rsidR="00AD4B33">
      <w:pPr>
        <w:pStyle w:val="BodyText"/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  <w:lang w:val="sk-SK"/>
        </w:rPr>
      </w:pPr>
    </w:p>
    <w:p w:rsidR="00AD4B33">
      <w:pPr>
        <w:pStyle w:val="BodyText"/>
        <w:bidi w:val="0"/>
        <w:spacing w:before="120" w:line="276" w:lineRule="auto"/>
        <w:jc w:val="center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Čl. </w:t>
      </w:r>
      <w:r>
        <w:rPr>
          <w:rFonts w:ascii="Book Antiqua" w:hAnsi="Book Antiqua" w:cs="Book Antiqua"/>
          <w:b/>
          <w:bCs/>
          <w:sz w:val="22"/>
          <w:szCs w:val="22"/>
          <w:lang w:val="sk-SK"/>
        </w:rPr>
        <w:t>VI</w:t>
      </w:r>
    </w:p>
    <w:p w:rsidR="00AD4B33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Cs/>
          <w:sz w:val="22"/>
          <w:szCs w:val="22"/>
        </w:rPr>
        <w:t>Tento zákon nadobúda účinnosť 1. februára 2017 okrem čl. II piateho bodu a čl. III piateho bodu, ktoré nadobúdajú účinnosť 1. mája 2017.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  <w:rtl w:val="0"/>
        <w:cs w:val="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  <w:rtl w:val="0"/>
        <w:cs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  <w:rtl w:val="0"/>
        <w:cs w:val="0"/>
        <w:lang w:val="sk-SK" w:eastAsia="x-none"/>
      </w:rPr>
    </w:lvl>
  </w:abstractNum>
  <w:abstractNum w:abstractNumId="3">
    <w:nsid w:val="00000004"/>
    <w:multiLevelType w:val="multilevel"/>
    <w:tmpl w:val="00000004"/>
    <w:name w:val="WW8Num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  <w:rtl w:val="0"/>
        <w:cs w:val="0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  <w:rtl w:val="0"/>
        <w:cs w:val="0"/>
        <w:lang w:val="sk-SK" w:eastAsia="x-none"/>
      </w:rPr>
    </w:lvl>
  </w:abstractNum>
  <w:abstractNum w:abstractNumId="5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  <w:rtl w:val="0"/>
        <w:cs w:val="0"/>
      </w:rPr>
    </w:lvl>
  </w:abstractNum>
  <w:abstractNum w:abstractNumId="6">
    <w:nsid w:val="00000007"/>
    <w:multiLevelType w:val="singleLevel"/>
    <w:tmpl w:val="00000007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color w:val="auto"/>
        <w:sz w:val="22"/>
        <w:szCs w:val="22"/>
        <w:rtl w:val="0"/>
        <w:cs w:val="0"/>
      </w:rPr>
    </w:lvl>
  </w:abstractNum>
  <w:abstractNum w:abstractNumId="7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sz w:val="22"/>
        <w:szCs w:val="22"/>
        <w:rtl w:val="0"/>
        <w:cs w:val="0"/>
        <w:lang w:val="sk-SK" w:eastAsia="x-none"/>
      </w:rPr>
    </w:lvl>
  </w:abstractNum>
  <w:abstractNum w:abstractNumId="8">
    <w:nsid w:val="00000009"/>
    <w:multiLevelType w:val="singleLevel"/>
    <w:tmpl w:val="00000009"/>
    <w:name w:val="WW8Num36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sz w:val="22"/>
        <w:szCs w:val="22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DE68F5"/>
    <w:rsid w:val="00887D65"/>
    <w:rsid w:val="00AD4B33"/>
    <w:rsid w:val="00DE68F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zh-CN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tabs>
        <w:tab w:val="left" w:pos="3240"/>
      </w:tabs>
      <w:spacing w:before="240" w:after="60"/>
      <w:ind w:left="2880"/>
      <w:jc w:val="left"/>
      <w:outlineLvl w:val="4"/>
    </w:pPr>
    <w:rPr>
      <w:rFonts w:ascii="Calibri" w:hAnsi="Calibri" w:cs="Calibri"/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tabs>
        <w:tab w:val="left" w:pos="3960"/>
      </w:tabs>
      <w:spacing w:before="240" w:after="60"/>
      <w:ind w:left="3600"/>
      <w:jc w:val="left"/>
      <w:outlineLvl w:val="5"/>
    </w:pPr>
    <w:rPr>
      <w:rFonts w:ascii="Calibri" w:hAnsi="Calibri" w:cs="Calibri"/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tabs>
        <w:tab w:val="left" w:pos="4680"/>
      </w:tabs>
      <w:spacing w:before="240" w:after="60"/>
      <w:ind w:left="4320"/>
      <w:jc w:val="left"/>
      <w:outlineLvl w:val="6"/>
    </w:pPr>
    <w:rPr>
      <w:rFonts w:ascii="Calibri" w:hAnsi="Calibri" w:cs="Calibri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tabs>
        <w:tab w:val="left" w:pos="5400"/>
      </w:tabs>
      <w:spacing w:before="240" w:after="60"/>
      <w:ind w:left="5040"/>
      <w:jc w:val="left"/>
      <w:outlineLvl w:val="7"/>
    </w:pPr>
    <w:rPr>
      <w:rFonts w:ascii="Calibri" w:hAnsi="Calibri" w:cs="Calibri"/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4"/>
      </w:numPr>
      <w:tabs>
        <w:tab w:val="left" w:pos="6120"/>
      </w:tabs>
      <w:spacing w:before="240" w:after="60"/>
      <w:ind w:left="5760"/>
      <w:jc w:val="left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Book Antiqua"/>
      <w:sz w:val="22"/>
      <w:lang w:val="sk-SK" w:eastAsia="x-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sz w:val="24"/>
    </w:rPr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8z0">
    <w:name w:val="WW8Num8z0"/>
    <w:rPr>
      <w:rFonts w:ascii="Times New Roman" w:hAnsi="Times New Roman" w:cs="Times New Roman"/>
      <w:b/>
      <w:i w:val="0"/>
      <w:sz w:val="28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sz w:val="24"/>
    </w:rPr>
  </w:style>
  <w:style w:type="character" w:customStyle="1" w:styleId="WW8Num8z3">
    <w:name w:val="WW8Num8z3"/>
    <w:rPr>
      <w:rFonts w:ascii="Times New Roman" w:hAnsi="Times New Roman" w:cs="Times New Roman"/>
      <w:b w:val="0"/>
      <w:i/>
      <w:sz w:val="24"/>
    </w:rPr>
  </w:style>
  <w:style w:type="character" w:customStyle="1" w:styleId="WW8Num8z4">
    <w:name w:val="WW8Num8z4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1z0">
    <w:name w:val="WW8Num11z0"/>
  </w:style>
  <w:style w:type="character" w:customStyle="1" w:styleId="WW8Num12z0">
    <w:name w:val="WW8Num12z0"/>
    <w:rPr>
      <w:rFonts w:ascii="Book Antiqua" w:hAnsi="Book Antiqua" w:cs="Book Antiqua"/>
      <w:sz w:val="22"/>
      <w:lang w:val="sk-SK" w:eastAsia="x-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Book Antiqua" w:hAnsi="Book Antiqua" w:cs="Book Antiqua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hAnsi="Book Antiqua" w:cs="Book Antiqua"/>
      <w:color w:val="auto"/>
      <w:sz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rFonts w:ascii="Book Antiqua" w:hAnsi="Book Antiqua" w:cs="Book Antiqua"/>
      <w:sz w:val="22"/>
      <w:lang w:val="sk-SK" w:eastAsia="x-no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Book Antiqua" w:hAnsi="Book Antiqua" w:cs="Book Antiqua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 Antiqua" w:hAnsi="Book Antiqua" w:cs="Book Antiqua"/>
      <w:sz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Predvolenpsmoodseku1">
    <w:name w:val="Predvolené písmo odseku1"/>
  </w:style>
  <w:style w:type="character" w:customStyle="1" w:styleId="Nadpis7Char">
    <w:name w:val="Nadpis 7 Char"/>
    <w:rPr>
      <w:sz w:val="24"/>
    </w:rPr>
  </w:style>
  <w:style w:type="character" w:customStyle="1" w:styleId="Nadpis8Char">
    <w:name w:val="Nadpis 8 Char"/>
    <w:rPr>
      <w:i/>
      <w:sz w:val="24"/>
    </w:rPr>
  </w:style>
  <w:style w:type="character" w:customStyle="1" w:styleId="Nadpis9Char">
    <w:name w:val="Nadpis 9 Char"/>
  </w:style>
  <w:style w:type="character" w:customStyle="1" w:styleId="Nadpis6Char">
    <w:name w:val="Nadpis 6 Char"/>
    <w:rPr>
      <w:b/>
    </w:rPr>
  </w:style>
  <w:style w:type="character" w:customStyle="1" w:styleId="Nadpis5Char">
    <w:name w:val="Nadpis 5 Char"/>
    <w:rPr>
      <w:b/>
      <w:i/>
      <w:sz w:val="26"/>
    </w:rPr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1"/>
      <w:sz w:val="28"/>
    </w:rPr>
  </w:style>
  <w:style w:type="character" w:customStyle="1" w:styleId="ZkladntextChar">
    <w:name w:val="Základný text Char"/>
    <w:rPr>
      <w:rFonts w:ascii="Times New Roman" w:hAnsi="Times New Roman" w:cs="Times New Roman"/>
      <w:sz w:val="20"/>
    </w:rPr>
  </w:style>
  <w:style w:type="character" w:customStyle="1" w:styleId="TextkomentraChar">
    <w:name w:val="Text komentára Char"/>
    <w:rPr>
      <w:rFonts w:ascii="Times New Roman" w:hAnsi="Times New Roman" w:cs="Times New Roman"/>
      <w:sz w:val="2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sz w:val="2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pPr>
      <w:jc w:val="both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Nadpis2loha">
    <w:name w:val="Nadpis 2.Úloha"/>
    <w:basedOn w:val="Normal"/>
    <w:pPr>
      <w:numPr>
        <w:ilvl w:val="1"/>
        <w:numId w:val="4"/>
      </w:numPr>
      <w:tabs>
        <w:tab w:val="left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pPr>
      <w:keepNext/>
      <w:numPr>
        <w:numId w:val="4"/>
      </w:numPr>
      <w:tabs>
        <w:tab w:val="left" w:pos="567"/>
      </w:tabs>
      <w:spacing w:before="360"/>
      <w:ind w:left="567" w:hanging="567"/>
      <w:jc w:val="left"/>
      <w:outlineLvl w:val="0"/>
    </w:pPr>
    <w:rPr>
      <w:b/>
      <w:bCs/>
      <w:kern w:val="1"/>
      <w:sz w:val="28"/>
      <w:szCs w:val="28"/>
    </w:rPr>
  </w:style>
  <w:style w:type="paragraph" w:customStyle="1" w:styleId="Nadpis3Podloha">
    <w:name w:val="Nadpis 3.Podúloha"/>
    <w:basedOn w:val="Normal"/>
    <w:pPr>
      <w:keepNext/>
      <w:numPr>
        <w:ilvl w:val="2"/>
        <w:numId w:val="4"/>
      </w:numPr>
      <w:tabs>
        <w:tab w:val="left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4"/>
      </w:numPr>
      <w:tabs>
        <w:tab w:val="left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customStyle="1" w:styleId="Textkomentra1">
    <w:name w:val="Text komentára1"/>
    <w:basedOn w:val="Normal"/>
    <w:pPr>
      <w:jc w:val="left"/>
    </w:pPr>
  </w:style>
  <w:style w:type="paragraph" w:styleId="CommentSubject">
    <w:name w:val="annotation subject"/>
    <w:basedOn w:val="Textkomentra1"/>
    <w:next w:val="Textkomentra1"/>
    <w:pPr>
      <w:jc w:val="left"/>
    </w:pPr>
    <w:rPr>
      <w:b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</w:rPr>
  </w:style>
  <w:style w:type="paragraph" w:styleId="ListParagraph">
    <w:name w:val="List Paragraph"/>
    <w:basedOn w:val="Normal"/>
    <w:qFormat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9</Pages>
  <Words>3375</Words>
  <Characters>19240</Characters>
  <Application>Microsoft Office Word</Application>
  <DocSecurity>0</DocSecurity>
  <Lines>0</Lines>
  <Paragraphs>0</Paragraphs>
  <ScaleCrop>false</ScaleCrop>
  <Company>Kancelaria NR SR</Company>
  <LinksUpToDate>false</LinksUpToDate>
  <CharactersWithSpaces>22570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galinata</cp:lastModifiedBy>
  <cp:revision>2</cp:revision>
  <cp:lastPrinted>2016-09-20T09:09:00Z</cp:lastPrinted>
  <dcterms:created xsi:type="dcterms:W3CDTF">2016-09-20T09:10:00Z</dcterms:created>
  <dcterms:modified xsi:type="dcterms:W3CDTF">2016-09-20T09:10:00Z</dcterms:modified>
</cp:coreProperties>
</file>