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4A5D" w:rsidRPr="0080306F" w:rsidP="001B4A5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FF0000"/>
          <w:spacing w:val="30"/>
          <w:sz w:val="22"/>
          <w:szCs w:val="22"/>
        </w:rPr>
      </w:pPr>
      <w:r w:rsidRPr="0080306F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1B4A5D" w:rsidRPr="0080306F" w:rsidP="001B4A5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sz w:val="22"/>
          <w:szCs w:val="22"/>
        </w:rPr>
        <w:t> </w:t>
      </w:r>
    </w:p>
    <w:p w:rsidR="001B4A5D" w:rsidRPr="0080306F" w:rsidP="001B4A5D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sz w:val="22"/>
          <w:szCs w:val="22"/>
        </w:rPr>
        <w:t>A. Všeobecná časť</w:t>
      </w:r>
    </w:p>
    <w:p w:rsidR="0080306F" w:rsidP="0080306F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80306F" w:rsidR="001B4A5D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Pr="0080306F" w:rsidR="001B4A5D">
        <w:rPr>
          <w:rFonts w:ascii="Book Antiqua" w:hAnsi="Book Antiqua"/>
          <w:bCs/>
          <w:sz w:val="22"/>
          <w:szCs w:val="22"/>
        </w:rPr>
        <w:t>447/2008 Z. z. o peňažných príspevkoch na kompenzáciu ťažkého zdravotného postihnutia a o zmene a doplnení niektorých zákonov v znení neskorších predpisov</w:t>
      </w:r>
      <w:r w:rsidRPr="0080306F" w:rsidR="001B4A5D">
        <w:rPr>
          <w:rFonts w:ascii="Book Antiqua" w:hAnsi="Book Antiqua"/>
          <w:sz w:val="22"/>
          <w:szCs w:val="22"/>
        </w:rPr>
        <w:t xml:space="preserve"> (ďalej</w:t>
      </w:r>
      <w:r w:rsidRPr="0080306F" w:rsidR="00AB09EC">
        <w:rPr>
          <w:rFonts w:ascii="Book Antiqua" w:hAnsi="Book Antiqua"/>
          <w:sz w:val="22"/>
          <w:szCs w:val="22"/>
        </w:rPr>
        <w:t xml:space="preserve"> len „návrh zákona“) predkladá skupina poslancov Národnej rady Slovenskej republiky za hnutie OBYČAJNÍ ĽUDIA a nezávislé osobnosti (OĽaNO-NOVA).</w:t>
      </w:r>
    </w:p>
    <w:p w:rsidR="0080306F" w:rsidP="0080306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0306F" w:rsidR="00482F61">
        <w:rPr>
          <w:rFonts w:ascii="Book Antiqua" w:hAnsi="Book Antiqua"/>
          <w:sz w:val="22"/>
          <w:szCs w:val="22"/>
        </w:rPr>
        <w:t>Málokto si uvedomuje, že poskytnutie vecného daru, peňažného či nepeňažného plnenia na strane donora nie vždy predstavuje priamo úmerný prínos pre recipienta. Jedným z takto znevýhodnených príjemcov podpory sú aj zdr</w:t>
      </w:r>
      <w:r>
        <w:rPr>
          <w:rFonts w:ascii="Book Antiqua" w:hAnsi="Book Antiqua"/>
          <w:sz w:val="22"/>
          <w:szCs w:val="22"/>
        </w:rPr>
        <w:t>avotne ťažko postihnuté osoby.</w:t>
      </w:r>
    </w:p>
    <w:p w:rsidR="0080306F" w:rsidP="0080306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0306F" w:rsidR="00BE1A02">
        <w:rPr>
          <w:rFonts w:ascii="Book Antiqua" w:hAnsi="Book Antiqua"/>
          <w:sz w:val="22"/>
          <w:szCs w:val="22"/>
        </w:rPr>
        <w:t xml:space="preserve">Podľa súčasnej </w:t>
      </w:r>
      <w:r w:rsidRPr="0080306F" w:rsidR="00843312">
        <w:rPr>
          <w:rFonts w:ascii="Book Antiqua" w:hAnsi="Book Antiqua"/>
          <w:sz w:val="22"/>
          <w:szCs w:val="22"/>
        </w:rPr>
        <w:t xml:space="preserve">právnej </w:t>
      </w:r>
      <w:r w:rsidRPr="0080306F" w:rsidR="00BE1A02">
        <w:rPr>
          <w:rFonts w:ascii="Book Antiqua" w:hAnsi="Book Antiqua"/>
          <w:sz w:val="22"/>
          <w:szCs w:val="22"/>
        </w:rPr>
        <w:t>úpravy sa do príjmu zdravotne ťažko postihnutej osoby</w:t>
      </w:r>
      <w:r w:rsidRPr="0080306F" w:rsidR="00843312">
        <w:rPr>
          <w:rFonts w:ascii="Book Antiqua" w:hAnsi="Book Antiqua"/>
          <w:sz w:val="22"/>
          <w:szCs w:val="22"/>
        </w:rPr>
        <w:t>,</w:t>
      </w:r>
      <w:r w:rsidRPr="0080306F" w:rsidR="00BE1A02">
        <w:rPr>
          <w:rFonts w:ascii="Book Antiqua" w:hAnsi="Book Antiqua"/>
          <w:sz w:val="22"/>
          <w:szCs w:val="22"/>
        </w:rPr>
        <w:t xml:space="preserve"> pri hodnotení príjmu pre účel poskytovania kompenzačných príspevkov</w:t>
      </w:r>
      <w:r w:rsidRPr="0080306F" w:rsidR="00843312">
        <w:rPr>
          <w:rFonts w:ascii="Book Antiqua" w:hAnsi="Book Antiqua"/>
          <w:sz w:val="22"/>
          <w:szCs w:val="22"/>
        </w:rPr>
        <w:t>,</w:t>
      </w:r>
      <w:r w:rsidRPr="0080306F" w:rsidR="00BE1A02">
        <w:rPr>
          <w:rFonts w:ascii="Book Antiqua" w:hAnsi="Book Antiqua"/>
          <w:sz w:val="22"/>
          <w:szCs w:val="22"/>
        </w:rPr>
        <w:t xml:space="preserve"> nezapočítava príjem získaný od nadácií, občianskych združení, neziskových organizácií a neinvestičných fondov. </w:t>
      </w:r>
      <w:r w:rsidRPr="0080306F" w:rsidR="001B4A5D">
        <w:rPr>
          <w:rFonts w:ascii="Book Antiqua" w:hAnsi="Book Antiqua"/>
          <w:sz w:val="22"/>
          <w:szCs w:val="22"/>
        </w:rPr>
        <w:t>Okrem uvedených subjektov sú však častými donormi aj bežní ľudia</w:t>
      </w:r>
      <w:r>
        <w:rPr>
          <w:rFonts w:ascii="Book Antiqua" w:hAnsi="Book Antiqua"/>
          <w:sz w:val="22"/>
          <w:szCs w:val="22"/>
        </w:rPr>
        <w:t xml:space="preserve"> či firmy.</w:t>
      </w:r>
    </w:p>
    <w:p w:rsidR="0080306F" w:rsidP="0080306F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80306F" w:rsidR="00843312">
        <w:rPr>
          <w:rFonts w:ascii="Book Antiqua" w:hAnsi="Book Antiqua"/>
          <w:b/>
          <w:sz w:val="22"/>
          <w:szCs w:val="22"/>
        </w:rPr>
        <w:t>C</w:t>
      </w:r>
      <w:r w:rsidRPr="0080306F" w:rsidR="001B4A5D">
        <w:rPr>
          <w:rFonts w:ascii="Book Antiqua" w:hAnsi="Book Antiqua"/>
          <w:b/>
          <w:sz w:val="22"/>
          <w:szCs w:val="22"/>
        </w:rPr>
        <w:t>ieľom predloženého návrhu zákona</w:t>
      </w:r>
      <w:r w:rsidRPr="0080306F" w:rsidR="00BE1A02">
        <w:rPr>
          <w:rFonts w:ascii="Book Antiqua" w:hAnsi="Book Antiqua"/>
          <w:b/>
          <w:sz w:val="22"/>
          <w:szCs w:val="22"/>
        </w:rPr>
        <w:t xml:space="preserve"> </w:t>
      </w:r>
      <w:r w:rsidRPr="0080306F" w:rsidR="00843312">
        <w:rPr>
          <w:rFonts w:ascii="Book Antiqua" w:hAnsi="Book Antiqua"/>
          <w:b/>
          <w:sz w:val="22"/>
          <w:szCs w:val="22"/>
        </w:rPr>
        <w:t xml:space="preserve">je pri </w:t>
      </w:r>
      <w:r>
        <w:rPr>
          <w:rFonts w:ascii="Book Antiqua" w:hAnsi="Book Antiqua"/>
          <w:b/>
          <w:sz w:val="22"/>
          <w:szCs w:val="22"/>
        </w:rPr>
        <w:t>hodnotení príjmu na</w:t>
      </w:r>
      <w:r w:rsidRPr="0080306F" w:rsidR="00843312">
        <w:rPr>
          <w:rFonts w:ascii="Book Antiqua" w:hAnsi="Book Antiqua"/>
          <w:b/>
          <w:sz w:val="22"/>
          <w:szCs w:val="22"/>
        </w:rPr>
        <w:t xml:space="preserve"> účel poskytovania kompenzačných príspevkov,</w:t>
      </w:r>
      <w:r w:rsidRPr="0080306F" w:rsidR="00843312">
        <w:rPr>
          <w:rFonts w:ascii="Book Antiqua" w:hAnsi="Book Antiqua"/>
          <w:sz w:val="22"/>
          <w:szCs w:val="22"/>
        </w:rPr>
        <w:t xml:space="preserve"> </w:t>
      </w:r>
      <w:r w:rsidRPr="0080306F" w:rsidR="00843312">
        <w:rPr>
          <w:rFonts w:ascii="Book Antiqua" w:hAnsi="Book Antiqua"/>
          <w:b/>
          <w:sz w:val="22"/>
          <w:szCs w:val="22"/>
        </w:rPr>
        <w:t>vylúčiť spravidla veľmi nepravidelný príjem ťažko zdravotne postihnutej osoby, spočívajúci v prijatí vecného daru, peňažného či nepeňažného plnenia od fyzickej osoby alebo právnickej osoby.</w:t>
      </w:r>
    </w:p>
    <w:p w:rsidR="0080306F" w:rsidP="0080306F">
      <w:pPr>
        <w:bidi w:val="0"/>
        <w:spacing w:before="120" w:line="276" w:lineRule="auto"/>
        <w:ind w:firstLine="708"/>
        <w:jc w:val="both"/>
        <w:rPr>
          <w:rStyle w:val="PlaceholderText"/>
          <w:rFonts w:ascii="Book Antiqua" w:hAnsi="Book Antiqua"/>
          <w:b/>
          <w:color w:val="auto"/>
          <w:sz w:val="22"/>
          <w:szCs w:val="22"/>
        </w:rPr>
      </w:pPr>
      <w:r w:rsidRPr="0080306F" w:rsidR="00BE1A02">
        <w:rPr>
          <w:rFonts w:ascii="Book Antiqua" w:hAnsi="Book Antiqua"/>
          <w:sz w:val="22"/>
          <w:szCs w:val="22"/>
        </w:rPr>
        <w:t>Takúto pomoc mnohí ľudia alebo firmy poskytujú nezištne v dobrom úmysle pomôcť zdravotne ťažko postihnutej osobe. Preto je potrebné aj tieto príjmy postaviť na roveň pomoci, ktoré poskytujú uvedené organizácie tretieho sektora tak, aby to neovplyvňovalo hodnotenie príjmu žiad</w:t>
      </w:r>
      <w:r>
        <w:rPr>
          <w:rFonts w:ascii="Book Antiqua" w:hAnsi="Book Antiqua"/>
          <w:sz w:val="22"/>
          <w:szCs w:val="22"/>
        </w:rPr>
        <w:t>ateľov o kompenzačné príspevky.</w:t>
      </w:r>
    </w:p>
    <w:p w:rsidR="0080306F" w:rsidP="0080306F">
      <w:pPr>
        <w:bidi w:val="0"/>
        <w:spacing w:before="120" w:line="276" w:lineRule="auto"/>
        <w:ind w:firstLine="708"/>
        <w:jc w:val="both"/>
        <w:rPr>
          <w:rStyle w:val="PlaceholderText"/>
          <w:rFonts w:ascii="Book Antiqua" w:hAnsi="Book Antiqua"/>
          <w:color w:val="000000"/>
          <w:sz w:val="22"/>
          <w:szCs w:val="22"/>
        </w:rPr>
      </w:pPr>
      <w:r w:rsidRPr="0080306F" w:rsidR="00BE1A02">
        <w:rPr>
          <w:rStyle w:val="PlaceholderText"/>
          <w:rFonts w:ascii="Book Antiqua" w:hAnsi="Book Antiqua"/>
          <w:color w:val="000000"/>
          <w:sz w:val="22"/>
          <w:szCs w:val="22"/>
        </w:rPr>
        <w:t>Návrh zákona je v súlade s Ústavou Slovenskej republiky, ústavnými zákonmi a ostatnými všeobecne záväznými právnymi predpismi Slovenskej republiky, s právom Európskej únie, medzinárodnými zmluvami a inými medzinárodnými dokumentmi, ktorými j</w:t>
      </w:r>
      <w:r>
        <w:rPr>
          <w:rStyle w:val="PlaceholderText"/>
          <w:rFonts w:ascii="Book Antiqua" w:hAnsi="Book Antiqua"/>
          <w:color w:val="000000"/>
          <w:sz w:val="22"/>
          <w:szCs w:val="22"/>
        </w:rPr>
        <w:t>e Slovenská republika viazaná.</w:t>
      </w:r>
    </w:p>
    <w:p w:rsidR="00BE1A02" w:rsidRPr="0080306F" w:rsidP="0080306F">
      <w:pPr>
        <w:bidi w:val="0"/>
        <w:spacing w:before="120" w:line="276" w:lineRule="auto"/>
        <w:ind w:firstLine="708"/>
        <w:jc w:val="both"/>
        <w:rPr>
          <w:rStyle w:val="PlaceholderText"/>
          <w:rFonts w:ascii="Book Antiqua" w:hAnsi="Book Antiqua"/>
          <w:b/>
          <w:color w:val="auto"/>
          <w:sz w:val="22"/>
          <w:szCs w:val="22"/>
        </w:rPr>
      </w:pPr>
      <w:r w:rsidRPr="0080306F">
        <w:rPr>
          <w:rStyle w:val="PlaceholderText"/>
          <w:rFonts w:ascii="Book Antiqua" w:hAnsi="Book Antiqua"/>
          <w:color w:val="000000"/>
          <w:sz w:val="22"/>
          <w:szCs w:val="22"/>
        </w:rPr>
        <w:t xml:space="preserve">Návrh zákona bude mať </w:t>
      </w:r>
      <w:r w:rsidRPr="0080306F" w:rsidR="00746877">
        <w:rPr>
          <w:rStyle w:val="PlaceholderText"/>
          <w:rFonts w:ascii="Book Antiqua" w:hAnsi="Book Antiqua"/>
          <w:color w:val="000000"/>
          <w:sz w:val="22"/>
          <w:szCs w:val="22"/>
        </w:rPr>
        <w:t>výrazne pozitívne sociálne</w:t>
      </w:r>
      <w:r w:rsidRPr="0080306F">
        <w:rPr>
          <w:rStyle w:val="PlaceholderText"/>
          <w:rFonts w:ascii="Book Antiqua" w:hAnsi="Book Antiqua"/>
          <w:color w:val="000000"/>
          <w:sz w:val="22"/>
          <w:szCs w:val="22"/>
        </w:rPr>
        <w:t xml:space="preserve"> vplyv</w:t>
      </w:r>
      <w:r w:rsidRPr="0080306F" w:rsidR="00746877">
        <w:rPr>
          <w:rStyle w:val="PlaceholderText"/>
          <w:rFonts w:ascii="Book Antiqua" w:hAnsi="Book Antiqua"/>
          <w:color w:val="000000"/>
          <w:sz w:val="22"/>
          <w:szCs w:val="22"/>
        </w:rPr>
        <w:t>y</w:t>
      </w:r>
      <w:r w:rsidR="0080306F">
        <w:rPr>
          <w:rStyle w:val="PlaceholderText"/>
          <w:rFonts w:ascii="Book Antiqua" w:hAnsi="Book Antiqua"/>
          <w:color w:val="000000"/>
          <w:sz w:val="22"/>
          <w:szCs w:val="22"/>
        </w:rPr>
        <w:t xml:space="preserve"> a môže mať negatívny </w:t>
      </w:r>
      <w:r w:rsidRPr="0080306F" w:rsidR="00746877">
        <w:rPr>
          <w:rStyle w:val="PlaceholderText"/>
          <w:rFonts w:ascii="Book Antiqua" w:hAnsi="Book Antiqua"/>
          <w:color w:val="000000"/>
          <w:sz w:val="22"/>
          <w:szCs w:val="22"/>
        </w:rPr>
        <w:t>vplyv na rozpočet verejnej správy. Návrh zákona zároveň nemá žiaden</w:t>
      </w:r>
      <w:r w:rsidRPr="0080306F">
        <w:rPr>
          <w:rStyle w:val="PlaceholderText"/>
          <w:rFonts w:ascii="Book Antiqua" w:hAnsi="Book Antiqua"/>
          <w:color w:val="000000"/>
          <w:sz w:val="22"/>
          <w:szCs w:val="22"/>
        </w:rPr>
        <w:t xml:space="preserve"> vplyv na podnikateľské prostredie, na životné prostredie a</w:t>
      </w:r>
      <w:r w:rsidRPr="0080306F" w:rsidR="00746877">
        <w:rPr>
          <w:rStyle w:val="PlaceholderText"/>
          <w:rFonts w:ascii="Book Antiqua" w:hAnsi="Book Antiqua"/>
          <w:color w:val="000000"/>
          <w:sz w:val="22"/>
          <w:szCs w:val="22"/>
        </w:rPr>
        <w:t>ni</w:t>
      </w:r>
      <w:r w:rsidRPr="0080306F">
        <w:rPr>
          <w:rStyle w:val="PlaceholderText"/>
          <w:rFonts w:ascii="Book Antiqua" w:hAnsi="Book Antiqua"/>
          <w:color w:val="000000"/>
          <w:sz w:val="22"/>
          <w:szCs w:val="22"/>
        </w:rPr>
        <w:t xml:space="preserve"> na informatizáciu spoločnosti.</w:t>
      </w:r>
    </w:p>
    <w:p w:rsidR="00746877" w:rsidRPr="0080306F" w:rsidP="00BE1A02">
      <w:pPr>
        <w:bidi w:val="0"/>
        <w:spacing w:after="120" w:line="276" w:lineRule="auto"/>
        <w:ind w:firstLine="708"/>
        <w:jc w:val="both"/>
        <w:rPr>
          <w:rStyle w:val="PlaceholderText"/>
          <w:rFonts w:ascii="Book Antiqua" w:hAnsi="Book Antiqua"/>
          <w:color w:val="000000"/>
          <w:sz w:val="22"/>
          <w:szCs w:val="22"/>
        </w:rPr>
      </w:pPr>
    </w:p>
    <w:p w:rsidR="00746877" w:rsidRPr="0080306F" w:rsidP="00BE1A02">
      <w:pPr>
        <w:bidi w:val="0"/>
        <w:spacing w:after="120" w:line="276" w:lineRule="auto"/>
        <w:ind w:firstLine="708"/>
        <w:jc w:val="both"/>
        <w:rPr>
          <w:rStyle w:val="PlaceholderText"/>
          <w:rFonts w:ascii="Book Antiqua" w:hAnsi="Book Antiqua"/>
          <w:color w:val="000000"/>
          <w:sz w:val="22"/>
          <w:szCs w:val="22"/>
        </w:rPr>
      </w:pPr>
    </w:p>
    <w:p w:rsidR="00746877" w:rsidRPr="0080306F" w:rsidP="00BE1A02">
      <w:pPr>
        <w:bidi w:val="0"/>
        <w:spacing w:after="120" w:line="276" w:lineRule="auto"/>
        <w:ind w:firstLine="708"/>
        <w:jc w:val="both"/>
        <w:rPr>
          <w:rStyle w:val="PlaceholderText"/>
          <w:rFonts w:ascii="Book Antiqua" w:hAnsi="Book Antiqua"/>
          <w:color w:val="000000"/>
          <w:sz w:val="22"/>
          <w:szCs w:val="22"/>
        </w:rPr>
      </w:pPr>
    </w:p>
    <w:p w:rsidR="00746877" w:rsidRPr="0080306F" w:rsidP="00BE1A02">
      <w:pPr>
        <w:bidi w:val="0"/>
        <w:spacing w:after="120" w:line="276" w:lineRule="auto"/>
        <w:ind w:firstLine="708"/>
        <w:jc w:val="both"/>
        <w:rPr>
          <w:rStyle w:val="PlaceholderText"/>
          <w:rFonts w:ascii="Book Antiqua" w:hAnsi="Book Antiqua"/>
          <w:color w:val="000000"/>
          <w:sz w:val="22"/>
          <w:szCs w:val="22"/>
        </w:rPr>
      </w:pPr>
    </w:p>
    <w:p w:rsidR="00746877" w:rsidRPr="0080306F" w:rsidP="00BE1A02">
      <w:pPr>
        <w:bidi w:val="0"/>
        <w:spacing w:after="120" w:line="276" w:lineRule="auto"/>
        <w:ind w:firstLine="708"/>
        <w:jc w:val="both"/>
        <w:rPr>
          <w:rStyle w:val="PlaceholderText"/>
          <w:rFonts w:ascii="Book Antiqua" w:hAnsi="Book Antiqua"/>
          <w:color w:val="000000"/>
          <w:sz w:val="22"/>
          <w:szCs w:val="22"/>
        </w:rPr>
      </w:pPr>
    </w:p>
    <w:p w:rsidR="00746877" w:rsidRPr="0080306F" w:rsidP="00BE1A02">
      <w:pPr>
        <w:bidi w:val="0"/>
        <w:spacing w:after="120" w:line="276" w:lineRule="auto"/>
        <w:ind w:firstLine="708"/>
        <w:jc w:val="both"/>
        <w:rPr>
          <w:rStyle w:val="PlaceholderText"/>
          <w:rFonts w:ascii="Book Antiqua" w:hAnsi="Book Antiqua"/>
          <w:color w:val="000000"/>
          <w:sz w:val="22"/>
          <w:szCs w:val="22"/>
        </w:rPr>
      </w:pPr>
    </w:p>
    <w:p w:rsidR="00746877" w:rsidRPr="0080306F" w:rsidP="00BE1A02">
      <w:pPr>
        <w:bidi w:val="0"/>
        <w:spacing w:after="120" w:line="276" w:lineRule="auto"/>
        <w:ind w:firstLine="708"/>
        <w:jc w:val="both"/>
        <w:rPr>
          <w:rStyle w:val="PlaceholderText"/>
          <w:rFonts w:ascii="Book Antiqua" w:hAnsi="Book Antiqua"/>
          <w:color w:val="000000"/>
          <w:sz w:val="22"/>
          <w:szCs w:val="22"/>
        </w:rPr>
      </w:pPr>
    </w:p>
    <w:p w:rsidR="00746877" w:rsidRPr="0080306F" w:rsidP="00BE1A02">
      <w:pPr>
        <w:bidi w:val="0"/>
        <w:spacing w:after="120" w:line="276" w:lineRule="auto"/>
        <w:ind w:firstLine="708"/>
        <w:jc w:val="both"/>
        <w:rPr>
          <w:rStyle w:val="PlaceholderText"/>
          <w:rFonts w:ascii="Book Antiqua" w:hAnsi="Book Antiqua"/>
          <w:color w:val="000000"/>
          <w:sz w:val="22"/>
          <w:szCs w:val="22"/>
        </w:rPr>
      </w:pPr>
    </w:p>
    <w:p w:rsidR="00746877" w:rsidRPr="0080306F" w:rsidP="0074687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746877" w:rsidRPr="0080306F" w:rsidP="0074687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46877" w:rsidRPr="0080306F" w:rsidP="0074687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0306F">
        <w:rPr>
          <w:rFonts w:ascii="Book Antiqua" w:hAnsi="Book Antiqua"/>
          <w:b/>
          <w:bCs/>
          <w:sz w:val="22"/>
          <w:szCs w:val="22"/>
        </w:rPr>
        <w:t xml:space="preserve">K Čl. I </w:t>
      </w:r>
    </w:p>
    <w:p w:rsidR="0080306F" w:rsidP="0080306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bodu 1</w:t>
      </w:r>
    </w:p>
    <w:p w:rsidR="0080306F" w:rsidP="0080306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80306F" w:rsidR="00AB09EC">
        <w:rPr>
          <w:rFonts w:ascii="Book Antiqua" w:hAnsi="Book Antiqua"/>
          <w:b/>
          <w:color w:val="000000"/>
          <w:sz w:val="22"/>
          <w:szCs w:val="22"/>
        </w:rPr>
        <w:t>Účelom návrhu zákona je rozšírenie</w:t>
      </w:r>
      <w:r w:rsidRPr="0080306F" w:rsidR="00F350D7">
        <w:rPr>
          <w:rFonts w:ascii="Book Antiqua" w:hAnsi="Book Antiqua"/>
          <w:b/>
          <w:color w:val="000000"/>
          <w:sz w:val="22"/>
          <w:szCs w:val="22"/>
        </w:rPr>
        <w:t xml:space="preserve"> množiny podpôr pre ťažko zdravotne postihnuté osoby, ktoré sa na účely posúdenia poskytovania peňažných príspevkov na kompenzáciu ťažkého zdravotného postihnutia</w:t>
      </w:r>
      <w:r w:rsidRPr="0080306F">
        <w:rPr>
          <w:rFonts w:ascii="Book Antiqua" w:hAnsi="Book Antiqua"/>
          <w:b/>
          <w:color w:val="000000"/>
          <w:sz w:val="22"/>
          <w:szCs w:val="22"/>
        </w:rPr>
        <w:t xml:space="preserve"> nepovažujú za príjem, a to tak pokiaľ ide o druh podpory (nielen peňažné, ale aj nepeňažné plnenia), ako aj okruh subjektov (nielen nadácie, občianske združenia a pod., ale aj iné právnické osoby a fyzické osoby.</w:t>
      </w:r>
    </w:p>
    <w:p w:rsidR="0080306F" w:rsidP="0080306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80306F" w:rsidR="00EB17E3">
        <w:rPr>
          <w:rFonts w:ascii="Book Antiqua" w:hAnsi="Book Antiqua"/>
          <w:color w:val="000000"/>
          <w:sz w:val="22"/>
          <w:szCs w:val="22"/>
        </w:rPr>
        <w:t>C</w:t>
      </w:r>
      <w:r w:rsidRPr="0080306F" w:rsidR="00F350D7">
        <w:rPr>
          <w:rFonts w:ascii="Book Antiqua" w:hAnsi="Book Antiqua"/>
          <w:color w:val="000000"/>
          <w:sz w:val="22"/>
          <w:szCs w:val="22"/>
        </w:rPr>
        <w:t>hari</w:t>
      </w:r>
      <w:r w:rsidRPr="0080306F" w:rsidR="00EB17E3">
        <w:rPr>
          <w:rFonts w:ascii="Book Antiqua" w:hAnsi="Book Antiqua"/>
          <w:color w:val="000000"/>
          <w:sz w:val="22"/>
          <w:szCs w:val="22"/>
        </w:rPr>
        <w:t>tatívna činnosť má mnoho podôb. Asi najväčšmi je spoločnosťou vnímaná organizovaná charitatívna činnosť</w:t>
      </w:r>
      <w:r w:rsidRPr="0080306F" w:rsidR="00356132">
        <w:rPr>
          <w:rFonts w:ascii="Book Antiqua" w:hAnsi="Book Antiqua"/>
          <w:color w:val="000000"/>
          <w:sz w:val="22"/>
          <w:szCs w:val="22"/>
        </w:rPr>
        <w:t xml:space="preserve">. Vychádzajúc z cieľov charity za ňu </w:t>
      </w:r>
      <w:r w:rsidRPr="0080306F" w:rsidR="00D7200B">
        <w:rPr>
          <w:rFonts w:ascii="Book Antiqua" w:hAnsi="Book Antiqua"/>
          <w:color w:val="000000"/>
          <w:sz w:val="22"/>
          <w:szCs w:val="22"/>
        </w:rPr>
        <w:t xml:space="preserve">však </w:t>
      </w:r>
      <w:r w:rsidRPr="0080306F" w:rsidR="00356132">
        <w:rPr>
          <w:rFonts w:ascii="Book Antiqua" w:hAnsi="Book Antiqua"/>
          <w:color w:val="000000"/>
          <w:sz w:val="22"/>
          <w:szCs w:val="22"/>
        </w:rPr>
        <w:t>možno považovať aj obyčajné poskytnutie daru, alebo iného peňažného či nepeňažného plnenia.</w:t>
      </w:r>
      <w:r w:rsidRPr="0080306F" w:rsidR="00D7200B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0306F" w:rsidR="00F350D7">
        <w:rPr>
          <w:rFonts w:ascii="Book Antiqua" w:hAnsi="Book Antiqua"/>
          <w:color w:val="000000"/>
          <w:sz w:val="22"/>
          <w:szCs w:val="22"/>
        </w:rPr>
        <w:t xml:space="preserve">Spoločným znakom je </w:t>
      </w:r>
      <w:r w:rsidRPr="0080306F" w:rsidR="00D7200B">
        <w:rPr>
          <w:rFonts w:ascii="Book Antiqua" w:hAnsi="Book Antiqua"/>
          <w:color w:val="000000"/>
          <w:sz w:val="22"/>
          <w:szCs w:val="22"/>
        </w:rPr>
        <w:t>teda</w:t>
      </w:r>
      <w:r w:rsidRPr="0080306F" w:rsidR="00F350D7">
        <w:rPr>
          <w:rFonts w:ascii="Book Antiqua" w:hAnsi="Book Antiqua"/>
          <w:color w:val="000000"/>
          <w:sz w:val="22"/>
          <w:szCs w:val="22"/>
        </w:rPr>
        <w:t xml:space="preserve"> vždy snaha o zlepšenie životných podmienok </w:t>
      </w:r>
      <w:r w:rsidRPr="0080306F" w:rsidR="00EB17E3">
        <w:rPr>
          <w:rFonts w:ascii="Book Antiqua" w:hAnsi="Book Antiqua"/>
          <w:color w:val="000000"/>
          <w:sz w:val="22"/>
          <w:szCs w:val="22"/>
        </w:rPr>
        <w:t>spravidla znev</w:t>
      </w:r>
      <w:r>
        <w:rPr>
          <w:rFonts w:ascii="Book Antiqua" w:hAnsi="Book Antiqua"/>
          <w:color w:val="000000"/>
          <w:sz w:val="22"/>
          <w:szCs w:val="22"/>
        </w:rPr>
        <w:t>ýhodnených skupín obyvateľstva.</w:t>
      </w:r>
    </w:p>
    <w:p w:rsidR="0080306F" w:rsidP="0080306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80306F" w:rsidR="00D7200B">
        <w:rPr>
          <w:rFonts w:ascii="Book Antiqua" w:hAnsi="Book Antiqua"/>
          <w:color w:val="000000"/>
          <w:sz w:val="22"/>
          <w:szCs w:val="22"/>
        </w:rPr>
        <w:t>K</w:t>
      </w:r>
      <w:r w:rsidRPr="0080306F" w:rsidR="00EB17E3">
        <w:rPr>
          <w:rFonts w:ascii="Book Antiqua" w:hAnsi="Book Antiqua"/>
          <w:color w:val="000000"/>
          <w:sz w:val="22"/>
          <w:szCs w:val="22"/>
        </w:rPr>
        <w:t>eď</w:t>
      </w:r>
      <w:r w:rsidRPr="0080306F" w:rsidR="00D7200B">
        <w:rPr>
          <w:rFonts w:ascii="Book Antiqua" w:hAnsi="Book Antiqua"/>
          <w:color w:val="000000"/>
          <w:sz w:val="22"/>
          <w:szCs w:val="22"/>
        </w:rPr>
        <w:t>že</w:t>
      </w:r>
      <w:r w:rsidRPr="0080306F" w:rsidR="00EB17E3">
        <w:rPr>
          <w:rFonts w:ascii="Book Antiqua" w:hAnsi="Book Antiqua"/>
          <w:color w:val="000000"/>
          <w:sz w:val="22"/>
          <w:szCs w:val="22"/>
        </w:rPr>
        <w:t xml:space="preserve"> charitatívna činnosť neraz </w:t>
      </w:r>
      <w:r w:rsidRPr="0080306F" w:rsidR="00D7200B">
        <w:rPr>
          <w:rFonts w:ascii="Book Antiqua" w:hAnsi="Book Antiqua"/>
          <w:color w:val="000000"/>
          <w:sz w:val="22"/>
          <w:szCs w:val="22"/>
        </w:rPr>
        <w:t>suplu</w:t>
      </w:r>
      <w:r w:rsidRPr="0080306F" w:rsidR="00EB17E3">
        <w:rPr>
          <w:rFonts w:ascii="Book Antiqua" w:hAnsi="Book Antiqua"/>
          <w:color w:val="000000"/>
          <w:sz w:val="22"/>
          <w:szCs w:val="22"/>
        </w:rPr>
        <w:t>je štát v</w:t>
      </w:r>
      <w:r w:rsidRPr="0080306F" w:rsidR="00D7200B">
        <w:rPr>
          <w:rFonts w:ascii="Book Antiqua" w:hAnsi="Book Antiqua"/>
          <w:color w:val="000000"/>
          <w:sz w:val="22"/>
          <w:szCs w:val="22"/>
        </w:rPr>
        <w:t> </w:t>
      </w:r>
      <w:r w:rsidRPr="0080306F" w:rsidR="00EB17E3">
        <w:rPr>
          <w:rFonts w:ascii="Book Antiqua" w:hAnsi="Book Antiqua"/>
          <w:color w:val="000000"/>
          <w:sz w:val="22"/>
          <w:szCs w:val="22"/>
        </w:rPr>
        <w:t>oblastiach</w:t>
      </w:r>
      <w:r w:rsidRPr="0080306F" w:rsidR="00D7200B">
        <w:rPr>
          <w:rFonts w:ascii="Book Antiqua" w:hAnsi="Book Antiqua"/>
          <w:color w:val="000000"/>
          <w:sz w:val="22"/>
          <w:szCs w:val="22"/>
        </w:rPr>
        <w:t>,</w:t>
      </w:r>
      <w:r w:rsidRPr="0080306F" w:rsidR="00EB17E3">
        <w:rPr>
          <w:rFonts w:ascii="Book Antiqua" w:hAnsi="Book Antiqua"/>
          <w:color w:val="000000"/>
          <w:sz w:val="22"/>
          <w:szCs w:val="22"/>
        </w:rPr>
        <w:t xml:space="preserve"> v ktorých zlyháva</w:t>
      </w:r>
      <w:r w:rsidRPr="0080306F" w:rsidR="00D7200B">
        <w:rPr>
          <w:rFonts w:ascii="Book Antiqua" w:hAnsi="Book Antiqua"/>
          <w:color w:val="000000"/>
          <w:sz w:val="22"/>
          <w:szCs w:val="22"/>
        </w:rPr>
        <w:t>, resp. v oblastiach kde sa znevýhodne</w:t>
      </w:r>
      <w:r w:rsidRPr="0080306F" w:rsidR="00B72BC3">
        <w:rPr>
          <w:rFonts w:ascii="Book Antiqua" w:hAnsi="Book Antiqua"/>
          <w:color w:val="000000"/>
          <w:sz w:val="22"/>
          <w:szCs w:val="22"/>
        </w:rPr>
        <w:t>né skupiny občanov len s veľkými ťažkosťami približujú čo i len k štandardnej životnej úrovni v krajine.</w:t>
      </w:r>
    </w:p>
    <w:p w:rsidR="0080306F" w:rsidP="0080306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80306F" w:rsidR="00B72BC3">
        <w:rPr>
          <w:rFonts w:ascii="Book Antiqua" w:hAnsi="Book Antiqua"/>
          <w:b/>
          <w:color w:val="000000"/>
          <w:sz w:val="22"/>
          <w:szCs w:val="22"/>
        </w:rPr>
        <w:t xml:space="preserve">Súčasná právna úprava do značnej miery znevýhodňuje ťažko zdravotne postihnuté osoby </w:t>
      </w:r>
      <w:r w:rsidRPr="0080306F" w:rsidR="00EC2995">
        <w:rPr>
          <w:rFonts w:ascii="Book Antiqua" w:hAnsi="Book Antiqua"/>
          <w:b/>
          <w:color w:val="000000"/>
          <w:sz w:val="22"/>
          <w:szCs w:val="22"/>
        </w:rPr>
        <w:t>ako príjemcov pomoci od fyzických osôb alebo právnických osôb</w:t>
      </w:r>
      <w:r w:rsidRPr="0080306F" w:rsidR="00EC2995">
        <w:rPr>
          <w:rFonts w:ascii="Book Antiqua" w:hAnsi="Book Antiqua"/>
          <w:color w:val="000000"/>
          <w:sz w:val="22"/>
          <w:szCs w:val="22"/>
        </w:rPr>
        <w:t xml:space="preserve">. Ak ťažko zdravotne postihnutá osoba príjme vecný či peňažný dar alebo iné nemajetkové plnenie na </w:t>
      </w:r>
      <w:r w:rsidRPr="0080306F" w:rsidR="00EC2995">
        <w:rPr>
          <w:rFonts w:ascii="Book Antiqua" w:hAnsi="Book Antiqua" w:cs="Helvetica"/>
          <w:sz w:val="22"/>
          <w:szCs w:val="22"/>
        </w:rPr>
        <w:t>zmiernenie alebo prekonanie sociálneho dôsledku jej ťažkého zdravotného postihnutia</w:t>
      </w:r>
      <w:r w:rsidRPr="0080306F" w:rsidR="00EC2995">
        <w:rPr>
          <w:rFonts w:ascii="Book Antiqua" w:hAnsi="Book Antiqua"/>
          <w:color w:val="000000"/>
          <w:sz w:val="22"/>
          <w:szCs w:val="22"/>
        </w:rPr>
        <w:t xml:space="preserve">, reálne jej hrozí zníženie </w:t>
      </w:r>
      <w:r w:rsidRPr="0080306F" w:rsidR="00523299">
        <w:rPr>
          <w:rFonts w:ascii="Book Antiqua" w:hAnsi="Book Antiqua"/>
          <w:color w:val="000000"/>
          <w:sz w:val="22"/>
          <w:szCs w:val="22"/>
        </w:rPr>
        <w:t xml:space="preserve">všetkých ostatných poberaných </w:t>
      </w:r>
      <w:r w:rsidRPr="0080306F" w:rsidR="00E815EB">
        <w:rPr>
          <w:rFonts w:ascii="Book Antiqua" w:hAnsi="Book Antiqua"/>
          <w:color w:val="000000"/>
          <w:sz w:val="22"/>
          <w:szCs w:val="22"/>
        </w:rPr>
        <w:t>peňažných príspevkov na kompenzáciu</w:t>
      </w:r>
      <w:r w:rsidRPr="0080306F" w:rsidR="00523299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0306F" w:rsidR="00523299">
        <w:rPr>
          <w:rFonts w:ascii="Book Antiqua" w:hAnsi="Book Antiqua" w:cs="Helvetica"/>
          <w:sz w:val="22"/>
          <w:szCs w:val="22"/>
        </w:rPr>
        <w:t>jej ťažkého zdravotného postihnutia</w:t>
      </w:r>
      <w:r w:rsidRPr="0080306F" w:rsidR="00E815EB">
        <w:rPr>
          <w:rFonts w:ascii="Book Antiqua" w:hAnsi="Book Antiqua"/>
          <w:color w:val="000000"/>
          <w:sz w:val="22"/>
          <w:szCs w:val="22"/>
        </w:rPr>
        <w:t xml:space="preserve">. </w:t>
      </w:r>
    </w:p>
    <w:p w:rsidR="0080306F" w:rsidP="0080306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80306F" w:rsidR="00523299">
        <w:rPr>
          <w:rFonts w:ascii="Book Antiqua" w:hAnsi="Book Antiqua"/>
          <w:color w:val="000000"/>
          <w:sz w:val="22"/>
          <w:szCs w:val="22"/>
        </w:rPr>
        <w:t>Uvedený stav spôsobuje to, že snaha fyzických a právnických osôb vychádza neraz nazmar. Ťažko zdravotne postihnutá osoba si tak v konečnom dôsledku nijako nepolepší, ba práve naopak reálne jej hrozí do</w:t>
      </w:r>
      <w:r>
        <w:rPr>
          <w:rFonts w:ascii="Book Antiqua" w:hAnsi="Book Antiqua"/>
          <w:color w:val="000000"/>
          <w:sz w:val="22"/>
          <w:szCs w:val="22"/>
        </w:rPr>
        <w:t>konca zníženie životnej úrovne.</w:t>
      </w:r>
    </w:p>
    <w:p w:rsidR="00523299" w:rsidRPr="0080306F" w:rsidP="0080306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80306F">
        <w:rPr>
          <w:rFonts w:ascii="Book Antiqua" w:hAnsi="Book Antiqua"/>
          <w:b/>
          <w:color w:val="000000"/>
          <w:sz w:val="22"/>
          <w:szCs w:val="22"/>
        </w:rPr>
        <w:t>Zámerom predloženého návrhu zákona je teda umožnenie prijatia podpory, príspevku či iného nepeňažného plnenia</w:t>
      </w:r>
      <w:r w:rsidRPr="0080306F" w:rsidR="00C11DD1">
        <w:rPr>
          <w:rFonts w:ascii="Book Antiqua" w:hAnsi="Book Antiqua"/>
          <w:b/>
          <w:color w:val="000000"/>
          <w:sz w:val="22"/>
          <w:szCs w:val="22"/>
        </w:rPr>
        <w:t xml:space="preserve"> aj od fyzickej osoby</w:t>
      </w:r>
      <w:r w:rsidR="0080306F">
        <w:rPr>
          <w:rFonts w:ascii="Book Antiqua" w:hAnsi="Book Antiqua"/>
          <w:b/>
          <w:color w:val="000000"/>
          <w:sz w:val="22"/>
          <w:szCs w:val="22"/>
        </w:rPr>
        <w:t>, najmä blízkej osoby,</w:t>
      </w:r>
      <w:r w:rsidRPr="0080306F" w:rsidR="00C11DD1">
        <w:rPr>
          <w:rFonts w:ascii="Book Antiqua" w:hAnsi="Book Antiqua"/>
          <w:b/>
          <w:color w:val="000000"/>
          <w:sz w:val="22"/>
          <w:szCs w:val="22"/>
        </w:rPr>
        <w:t xml:space="preserve"> alebo právnickej osoby, bez hrozby následného zníženia ostatných poberaných peňažných príspevkov na kompenzáciu </w:t>
      </w:r>
      <w:r w:rsidRPr="0080306F" w:rsidR="00C11DD1">
        <w:rPr>
          <w:rFonts w:ascii="Book Antiqua" w:hAnsi="Book Antiqua" w:cs="Helvetica"/>
          <w:b/>
          <w:sz w:val="22"/>
          <w:szCs w:val="22"/>
        </w:rPr>
        <w:t xml:space="preserve">jej ťažkého zdravotného postihnutia, poskytovaných príslušným úradom práce, sociálnych vecí a rodiny. </w:t>
      </w:r>
    </w:p>
    <w:p w:rsidR="008E23B9" w:rsidRPr="0080306F" w:rsidP="008E23B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80306F">
        <w:rPr>
          <w:rFonts w:ascii="Book Antiqua" w:hAnsi="Book Antiqua"/>
          <w:bCs/>
          <w:sz w:val="22"/>
          <w:szCs w:val="22"/>
          <w:u w:val="single"/>
        </w:rPr>
        <w:t>K bodu 2</w:t>
      </w:r>
    </w:p>
    <w:p w:rsidR="008E23B9" w:rsidRPr="0080306F" w:rsidP="008E23B9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Cs/>
          <w:sz w:val="22"/>
          <w:szCs w:val="22"/>
        </w:rPr>
        <w:t>Zavádzajú sa intertemporálne ustanovenia, ktoré určujú, že novo navrhovaná úprava nemá retroaktívne účinky a uplatní sa až od 1. februára 2017.</w:t>
      </w:r>
    </w:p>
    <w:p w:rsidR="00BE1A02" w:rsidRPr="0080306F" w:rsidP="00BE1A02">
      <w:pPr>
        <w:bidi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46877" w:rsidRPr="0080306F" w:rsidP="0074687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0306F">
        <w:rPr>
          <w:rFonts w:ascii="Book Antiqua" w:hAnsi="Book Antiqua"/>
          <w:b/>
          <w:bCs/>
          <w:sz w:val="22"/>
          <w:szCs w:val="22"/>
        </w:rPr>
        <w:t>K Čl. II</w:t>
      </w:r>
    </w:p>
    <w:p w:rsidR="00746877" w:rsidRPr="0080306F" w:rsidP="0074687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80306F">
        <w:rPr>
          <w:rFonts w:ascii="Book Antiqua" w:hAnsi="Book Antiqua"/>
          <w:bCs/>
          <w:sz w:val="22"/>
          <w:szCs w:val="22"/>
        </w:rPr>
        <w:t>Navrhuje sa účinnosť predkladaného zákona so zohľadnením legisvakančnej lehoty, a to od 1. </w:t>
      </w:r>
      <w:r w:rsidRPr="0080306F" w:rsidR="004359CA">
        <w:rPr>
          <w:rFonts w:ascii="Book Antiqua" w:hAnsi="Book Antiqua"/>
          <w:bCs/>
          <w:sz w:val="22"/>
          <w:szCs w:val="22"/>
        </w:rPr>
        <w:t>februá</w:t>
      </w:r>
      <w:r w:rsidRPr="0080306F">
        <w:rPr>
          <w:rFonts w:ascii="Book Antiqua" w:hAnsi="Book Antiqua"/>
          <w:bCs/>
          <w:sz w:val="22"/>
          <w:szCs w:val="22"/>
        </w:rPr>
        <w:t>ra 2017.</w:t>
      </w:r>
    </w:p>
    <w:p w:rsidR="00BE1A02" w:rsidRPr="0080306F" w:rsidP="00BE1A02">
      <w:pPr>
        <w:bidi w:val="0"/>
        <w:rPr>
          <w:rFonts w:ascii="Book Antiqua" w:hAnsi="Book Antiqua"/>
          <w:sz w:val="22"/>
          <w:szCs w:val="22"/>
        </w:rPr>
      </w:pPr>
    </w:p>
    <w:p w:rsidR="00823A52" w:rsidRPr="0080306F">
      <w:pPr>
        <w:bidi w:val="0"/>
        <w:rPr>
          <w:rFonts w:ascii="Book Antiqua" w:hAnsi="Book Antiqua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sz w:val="22"/>
          <w:szCs w:val="22"/>
        </w:rPr>
        <w:t>návrhu zákona</w:t>
      </w:r>
      <w:r w:rsidRPr="0080306F">
        <w:rPr>
          <w:rFonts w:ascii="Book Antiqua" w:hAnsi="Book Antiqua"/>
          <w:sz w:val="22"/>
          <w:szCs w:val="22"/>
        </w:rPr>
        <w:t xml:space="preserve"> </w:t>
      </w:r>
      <w:r w:rsidRPr="0080306F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sz w:val="22"/>
          <w:szCs w:val="22"/>
        </w:rPr>
        <w:t> </w:t>
      </w:r>
    </w:p>
    <w:p w:rsidR="00823A52" w:rsidRPr="0080306F" w:rsidP="00823A52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sz w:val="22"/>
          <w:szCs w:val="22"/>
        </w:rPr>
        <w:t>Navrhovateľ zákona:</w:t>
      </w:r>
      <w:r w:rsidRPr="0080306F">
        <w:rPr>
          <w:rFonts w:ascii="Book Antiqua" w:hAnsi="Book Antiqua"/>
          <w:sz w:val="22"/>
          <w:szCs w:val="22"/>
        </w:rPr>
        <w:t xml:space="preserve"> skupina poslancov Národnej rady Slovenskej republiky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sz w:val="22"/>
          <w:szCs w:val="22"/>
        </w:rPr>
        <w:t> </w:t>
      </w:r>
    </w:p>
    <w:p w:rsidR="00823A52" w:rsidRPr="0080306F" w:rsidP="00823A52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80306F">
        <w:rPr>
          <w:rFonts w:ascii="Book Antiqua" w:hAnsi="Book Antiqua"/>
          <w:b/>
          <w:bCs/>
          <w:sz w:val="22"/>
          <w:szCs w:val="22"/>
        </w:rPr>
        <w:t>Názov návrhu zákona</w:t>
      </w:r>
      <w:r w:rsidRPr="0080306F">
        <w:rPr>
          <w:rFonts w:ascii="Book Antiqua" w:hAnsi="Book Antiqua"/>
          <w:bCs/>
          <w:sz w:val="22"/>
          <w:szCs w:val="22"/>
        </w:rPr>
        <w:t xml:space="preserve">: </w:t>
      </w:r>
      <w:r w:rsidRPr="0080306F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Pr="0080306F">
        <w:rPr>
          <w:rFonts w:ascii="Book Antiqua" w:hAnsi="Book Antiqua"/>
          <w:bCs/>
          <w:sz w:val="22"/>
          <w:szCs w:val="22"/>
        </w:rPr>
        <w:t>447/2008 Z. z. o peňažných príspevkoch na kompenzáciu ťažkého zdravotného postihnutia a o zmene a doplnení niektorých zákonov v znení neskorších predpisov</w:t>
      </w:r>
    </w:p>
    <w:p w:rsidR="0080306F" w:rsidRPr="0080306F" w:rsidP="0080306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0306F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413B70" w:rsidRPr="0080306F" w:rsidP="00413B70">
      <w:pPr>
        <w:pStyle w:val="NormalWeb"/>
        <w:numPr>
          <w:numId w:val="3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0306F">
        <w:rPr>
          <w:rFonts w:ascii="Book Antiqua" w:hAnsi="Book Antiqua"/>
          <w:bCs/>
          <w:sz w:val="22"/>
          <w:szCs w:val="22"/>
        </w:rPr>
        <w:t>je upravený v primárnom práve Európskej únie, a to v:</w:t>
      </w:r>
    </w:p>
    <w:p w:rsidR="00413B70" w:rsidRPr="0080306F" w:rsidP="00413B70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0306F">
        <w:rPr>
          <w:rFonts w:ascii="Book Antiqua" w:hAnsi="Book Antiqua"/>
          <w:sz w:val="22"/>
          <w:szCs w:val="22"/>
        </w:rPr>
        <w:t xml:space="preserve">čl. 151 a 153 Zmluvy o fungovaní Európskej únie, ktoré zabezpečujú primeranú sociálnu ochranu  </w:t>
      </w:r>
    </w:p>
    <w:p w:rsidR="00823A52" w:rsidRPr="0080306F" w:rsidP="00823A52">
      <w:pPr>
        <w:pStyle w:val="NormalWeb"/>
        <w:numPr>
          <w:numId w:val="3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0306F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823A52" w:rsidRPr="0080306F" w:rsidP="00823A52">
      <w:pPr>
        <w:pStyle w:val="NormalWeb"/>
        <w:numPr>
          <w:numId w:val="3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0306F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80306F">
        <w:rPr>
          <w:rFonts w:ascii="Book Antiqua" w:hAnsi="Book Antiqua"/>
          <w:sz w:val="22"/>
          <w:szCs w:val="22"/>
        </w:rPr>
        <w:t> 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0306F">
        <w:rPr>
          <w:rFonts w:ascii="Book Antiqua" w:hAnsi="Book Antiqua"/>
          <w:b/>
          <w:bCs/>
          <w:sz w:val="22"/>
          <w:szCs w:val="22"/>
        </w:rPr>
        <w:t xml:space="preserve">Vzhľadom na to, že predmet návrhu zákona nie je upravený v práve Európskej únie, je bezpredmetné vyjadrovať sa k bodom </w:t>
      </w:r>
      <w:smartTag w:uri="urn:schemas-microsoft-com:office:smarttags" w:element="metricconverter">
        <w:smartTagPr>
          <w:attr w:name="ProductID" w:val="4. a"/>
        </w:smartTagPr>
        <w:r w:rsidRPr="0080306F">
          <w:rPr>
            <w:rFonts w:ascii="Book Antiqua" w:hAnsi="Book Antiqua"/>
            <w:b/>
            <w:bCs/>
            <w:sz w:val="22"/>
            <w:szCs w:val="22"/>
          </w:rPr>
          <w:t>4. a</w:t>
        </w:r>
      </w:smartTag>
      <w:r w:rsidRPr="0080306F">
        <w:rPr>
          <w:rFonts w:ascii="Book Antiqua" w:hAnsi="Book Antiqua"/>
          <w:b/>
          <w:bCs/>
          <w:sz w:val="22"/>
          <w:szCs w:val="22"/>
        </w:rPr>
        <w:t xml:space="preserve"> 5.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  <w:t>Doložka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color w:val="000000"/>
          <w:sz w:val="22"/>
          <w:szCs w:val="22"/>
        </w:rPr>
        <w:t> </w:t>
      </w:r>
    </w:p>
    <w:p w:rsidR="00823A52" w:rsidRPr="0080306F" w:rsidP="00823A5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80306F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Pr="0080306F">
        <w:rPr>
          <w:rFonts w:ascii="Book Antiqua" w:hAnsi="Book Antiqua"/>
          <w:bCs/>
          <w:sz w:val="22"/>
          <w:szCs w:val="22"/>
        </w:rPr>
        <w:t>447/2008 Z. z. o peňažných príspevkoch na kompenzáciu ťažkého zdravotného postihnutia a o zmene a doplnení niektorých zákonov v znení neskorších predpisov</w:t>
      </w:r>
      <w:r w:rsidRPr="0080306F">
        <w:rPr>
          <w:rFonts w:ascii="Book Antiqua" w:hAnsi="Book Antiqua"/>
          <w:sz w:val="22"/>
          <w:szCs w:val="22"/>
        </w:rPr>
        <w:t xml:space="preserve"> 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80306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0306F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="0080306F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 w:rsidR="00AB09EC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823A52" w:rsidRPr="0080306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0306F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color w:val="000000"/>
          <w:sz w:val="22"/>
          <w:szCs w:val="22"/>
        </w:rPr>
        <w:t> 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543582" w:rsidP="005435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E75A1D">
        <w:rPr>
          <w:rFonts w:ascii="Book Antiqua" w:hAnsi="Book Antiqua"/>
          <w:bCs/>
          <w:i/>
          <w:color w:val="000000"/>
          <w:sz w:val="22"/>
          <w:szCs w:val="22"/>
        </w:rPr>
        <w:t>Pozitívny vplyv návrhu zákona sa predpokladá v oblasti sociálnych vplyvov</w:t>
      </w:r>
      <w:r>
        <w:rPr>
          <w:rFonts w:ascii="Book Antiqua" w:hAnsi="Book Antiqua"/>
          <w:bCs/>
          <w:i/>
          <w:color w:val="000000"/>
          <w:sz w:val="22"/>
          <w:szCs w:val="22"/>
        </w:rPr>
        <w:t>,</w:t>
      </w:r>
      <w:r w:rsidRPr="00E75A1D">
        <w:rPr>
          <w:rFonts w:ascii="Book Antiqua" w:hAnsi="Book Antiqua"/>
          <w:bCs/>
          <w:i/>
          <w:color w:val="000000"/>
          <w:sz w:val="22"/>
          <w:szCs w:val="22"/>
        </w:rPr>
        <w:t xml:space="preserve"> najmä v oblasti vplyvov na </w:t>
      </w:r>
      <w:r>
        <w:rPr>
          <w:rFonts w:ascii="Book Antiqua" w:hAnsi="Book Antiqua"/>
          <w:bCs/>
          <w:i/>
          <w:color w:val="000000"/>
          <w:sz w:val="22"/>
          <w:szCs w:val="22"/>
        </w:rPr>
        <w:t>hospodárenie obyvateľstva, osobitne ťažko zdravotne postihnutých osôb</w:t>
      </w:r>
      <w:r w:rsidRPr="00E75A1D">
        <w:rPr>
          <w:rFonts w:ascii="Book Antiqua" w:hAnsi="Book Antiqua"/>
          <w:bCs/>
          <w:i/>
          <w:color w:val="000000"/>
          <w:sz w:val="22"/>
          <w:szCs w:val="22"/>
        </w:rPr>
        <w:t xml:space="preserve">. Návrh </w:t>
      </w:r>
      <w:r>
        <w:rPr>
          <w:rFonts w:ascii="Book Antiqua" w:hAnsi="Book Antiqua"/>
          <w:bCs/>
          <w:i/>
          <w:color w:val="000000"/>
          <w:sz w:val="22"/>
          <w:szCs w:val="22"/>
        </w:rPr>
        <w:t xml:space="preserve">zákona nemá vplyv na informatizáciu spoločnosti, na </w:t>
      </w:r>
      <w:r w:rsidRPr="00E75A1D">
        <w:rPr>
          <w:rFonts w:ascii="Book Antiqua" w:hAnsi="Book Antiqua"/>
          <w:bCs/>
          <w:i/>
          <w:color w:val="000000"/>
          <w:sz w:val="22"/>
          <w:szCs w:val="22"/>
        </w:rPr>
        <w:t>životné prostredie a</w:t>
      </w:r>
      <w:r>
        <w:rPr>
          <w:rFonts w:ascii="Book Antiqua" w:hAnsi="Book Antiqua"/>
          <w:bCs/>
          <w:i/>
          <w:color w:val="000000"/>
          <w:sz w:val="22"/>
          <w:szCs w:val="22"/>
        </w:rPr>
        <w:t xml:space="preserve">ni na podnikateľské prostredie. </w:t>
      </w:r>
    </w:p>
    <w:p w:rsidR="00823A52" w:rsidRPr="0080306F" w:rsidP="005435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="00543582">
        <w:rPr>
          <w:rFonts w:ascii="Book Antiqua" w:hAnsi="Book Antiqua"/>
          <w:bCs/>
          <w:i/>
          <w:color w:val="000000"/>
          <w:sz w:val="22"/>
          <w:szCs w:val="22"/>
        </w:rPr>
        <w:t xml:space="preserve">Na druhej strane má návrh potenciálne negatívny vplyv na rozpočet verejnej správy, keďže nemožno vylúčiť, že sa jeho uplatňovaním zvýši okruh ťažko zdravotne postihnutých osôb, ktoré poberajú dávky v hmotnej núdzi. Presný počet takto dotknutých osôb vrátane negatívneho dopadu návrhu zákona na rozpočet verejnej správy však nemožno vyčísliť. 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Za roky 2017 a</w:t>
      </w:r>
      <w:r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ž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 2020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 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v</w:t>
      </w:r>
      <w:r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š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ak 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m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ôž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u 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by</w:t>
      </w:r>
      <w:r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ť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 tieto 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dodato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č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n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é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 n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á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roky na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 rozpo</w:t>
      </w:r>
      <w:r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č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et verejnej spr</w:t>
      </w:r>
      <w:r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á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vy pokryt</w:t>
      </w:r>
      <w:r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é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 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ú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sporami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 v rezorte dopravy poch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á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dzaj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ú</w:t>
      </w:r>
      <w:r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cimi z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 v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ý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davkov na prev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á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dzku, opravu a 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ú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dr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ž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bu ciest a dia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ľ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nic. Pod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ľ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a anal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ý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zy v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ý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davkov rezortu dopravy cez projekt 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“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hodnota za peniaze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”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 sa odkryla mo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ž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n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á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 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ú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spora vo v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ýš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>ke 468.000.000 eur n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a roky 2017 </w:t>
      </w:r>
      <w:r w:rsidRPr="00B657CE" w:rsidR="00543582">
        <w:rPr>
          <w:rFonts w:ascii="Times New Roman" w:eastAsia="Times New Roman" w:hAnsi="Book Antiqua" w:cs="TimesNewRomanPSMT" w:hint="default"/>
          <w:i/>
          <w:iCs/>
          <w:sz w:val="22"/>
          <w:szCs w:val="22"/>
        </w:rPr>
        <w:t>–</w:t>
      </w:r>
      <w:r w:rsidRPr="00B657CE" w:rsidR="00543582">
        <w:rPr>
          <w:rFonts w:ascii="Times New Roman" w:eastAsia="Times New Roman" w:hAnsi="Book Antiqua" w:cs="TimesNewRomanPSMT"/>
          <w:i/>
          <w:iCs/>
          <w:sz w:val="22"/>
          <w:szCs w:val="22"/>
        </w:rPr>
        <w:t xml:space="preserve"> 2020.</w:t>
      </w:r>
      <w:r w:rsidRPr="0080306F">
        <w:rPr>
          <w:rFonts w:ascii="Book Antiqua" w:hAnsi="Book Antiqua"/>
          <w:bCs/>
          <w:i/>
          <w:color w:val="000000"/>
          <w:sz w:val="22"/>
          <w:szCs w:val="22"/>
        </w:rPr>
        <w:t xml:space="preserve"> </w:t>
      </w:r>
    </w:p>
    <w:p w:rsidR="00823A52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4358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="0080306F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80306F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823A52" w:rsidRPr="0080306F" w:rsidP="00823A5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0306F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175A"/>
    <w:multiLevelType w:val="hybridMultilevel"/>
    <w:tmpl w:val="818C55FE"/>
    <w:lvl w:ilvl="0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2867720"/>
    <w:multiLevelType w:val="hybridMultilevel"/>
    <w:tmpl w:val="F59615A6"/>
    <w:lvl w:ilvl="0">
      <w:start w:val="1"/>
      <w:numFmt w:val="upperLetter"/>
      <w:lvlText w:val="%1.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E1A02"/>
    <w:rsid w:val="00024F5A"/>
    <w:rsid w:val="001B4A5D"/>
    <w:rsid w:val="00217AB4"/>
    <w:rsid w:val="002A1B37"/>
    <w:rsid w:val="00356132"/>
    <w:rsid w:val="00390610"/>
    <w:rsid w:val="00413B70"/>
    <w:rsid w:val="004359CA"/>
    <w:rsid w:val="00482F61"/>
    <w:rsid w:val="00523299"/>
    <w:rsid w:val="00543582"/>
    <w:rsid w:val="005E1E60"/>
    <w:rsid w:val="006337B9"/>
    <w:rsid w:val="00746877"/>
    <w:rsid w:val="00782C45"/>
    <w:rsid w:val="0080306F"/>
    <w:rsid w:val="00823A52"/>
    <w:rsid w:val="00843312"/>
    <w:rsid w:val="008D0507"/>
    <w:rsid w:val="008E23B9"/>
    <w:rsid w:val="00903444"/>
    <w:rsid w:val="00961900"/>
    <w:rsid w:val="0096641C"/>
    <w:rsid w:val="00A0089F"/>
    <w:rsid w:val="00A82F09"/>
    <w:rsid w:val="00AB09EC"/>
    <w:rsid w:val="00B50DFA"/>
    <w:rsid w:val="00B657CE"/>
    <w:rsid w:val="00B72BC3"/>
    <w:rsid w:val="00BE1A02"/>
    <w:rsid w:val="00C11DD1"/>
    <w:rsid w:val="00CC2EC2"/>
    <w:rsid w:val="00CC3105"/>
    <w:rsid w:val="00D7200B"/>
    <w:rsid w:val="00E75A1D"/>
    <w:rsid w:val="00E815EB"/>
    <w:rsid w:val="00E84BA9"/>
    <w:rsid w:val="00EB17E3"/>
    <w:rsid w:val="00EC2995"/>
    <w:rsid w:val="00EE7F01"/>
    <w:rsid w:val="00F350D7"/>
    <w:rsid w:val="00FA02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A0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B4A5D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B4A5D"/>
    <w:rPr>
      <w:rFonts w:ascii="Cambria" w:hAnsi="Cambria" w:cs="Times New Roman"/>
      <w:b/>
      <w:kern w:val="32"/>
      <w:sz w:val="20"/>
      <w:szCs w:val="20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BE1A02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unhideWhenUsed/>
    <w:rsid w:val="001B4A5D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80306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994</Words>
  <Characters>6159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Pavlovic</dc:creator>
  <cp:lastModifiedBy>galinata</cp:lastModifiedBy>
  <cp:revision>2</cp:revision>
  <dcterms:created xsi:type="dcterms:W3CDTF">2016-09-23T11:18:00Z</dcterms:created>
  <dcterms:modified xsi:type="dcterms:W3CDTF">2016-09-23T11:18:00Z</dcterms:modified>
</cp:coreProperties>
</file>