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EC3CB0" w:rsidP="00EC3CB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Noví klienti – pedagógovia:</w:t>
            </w:r>
          </w:p>
          <w:p w:rsidR="00EC3CB0" w:rsidP="00EC3CB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1. Zníženie</w:t>
            </w:r>
            <w:r w:rsidRPr="00EC3CB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istiny po 5 rokoch výkonu pedagogickej činnosti od poskytnutia pôžičky z 2 % na 3 %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z</w:t>
            </w:r>
            <w:r w:rsidRPr="00EC3CB0">
              <w:rPr>
                <w:rFonts w:ascii="Times New Roman" w:hAnsi="Times New Roman"/>
                <w:sz w:val="20"/>
                <w:szCs w:val="20"/>
                <w:lang w:eastAsia="sk-SK"/>
              </w:rPr>
              <w:t>apočítavanie trvania materskej a rodičovskej dovolenky do tohto času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  <w:p w:rsidR="00224847" w:rsidRPr="0040544D" w:rsidP="00EC3CB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EC3CB0">
              <w:rPr>
                <w:rFonts w:ascii="Times New Roman" w:hAnsi="Times New Roman"/>
                <w:sz w:val="20"/>
                <w:szCs w:val="20"/>
                <w:lang w:eastAsia="sk-SK"/>
              </w:rPr>
              <w:t>2. V prípade, že</w:t>
            </w:r>
            <w:r w:rsidRPr="00EC3CB0" w:rsidR="00EC3CB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dlžník fondu prestane vykonávať pedagogickú činnosť </w:t>
            </w:r>
            <w:r w:rsidR="00EC3CB0">
              <w:rPr>
                <w:rFonts w:ascii="Times New Roman" w:hAnsi="Times New Roman"/>
                <w:sz w:val="20"/>
                <w:szCs w:val="20"/>
                <w:lang w:eastAsia="sk-SK"/>
              </w:rPr>
              <w:t>alebo odbornú činnosť</w:t>
            </w:r>
            <w:r w:rsidR="004D0AA1">
              <w:rPr>
                <w:rFonts w:ascii="Times New Roman" w:hAnsi="Times New Roman"/>
                <w:sz w:val="20"/>
                <w:szCs w:val="20"/>
                <w:lang w:eastAsia="sk-SK"/>
              </w:rPr>
              <w:t>, činnosť vysokoškolského učiteľa, činnosť výskumného pracovníka alebo umeleckého pracovníka</w:t>
            </w:r>
            <w:r w:rsidR="00EC3CB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EC3CB0" w:rsidR="00EC3CB0">
              <w:rPr>
                <w:rFonts w:ascii="Times New Roman" w:hAnsi="Times New Roman"/>
                <w:sz w:val="20"/>
                <w:szCs w:val="20"/>
                <w:lang w:eastAsia="sk-SK"/>
              </w:rPr>
              <w:t>po 5 rokoch od poskytnutia pôžičky, úroková miera sa nebude zvyšovať</w:t>
            </w:r>
            <w:r w:rsidR="00EC3CB0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7427A1" w:rsidP="00D40C3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D40C39">
              <w:rPr>
                <w:rFonts w:ascii="Times New Roman" w:hAnsi="Times New Roman"/>
                <w:sz w:val="20"/>
                <w:lang w:eastAsia="sk-SK"/>
              </w:rPr>
              <w:t>1. P</w:t>
            </w:r>
            <w:r w:rsidR="007427A1">
              <w:rPr>
                <w:rFonts w:ascii="Times New Roman" w:hAnsi="Times New Roman"/>
                <w:sz w:val="20"/>
                <w:lang w:eastAsia="sk-SK"/>
              </w:rPr>
              <w:t>edagogick</w:t>
            </w:r>
            <w:r w:rsidR="00D40C39">
              <w:rPr>
                <w:rFonts w:ascii="Times New Roman" w:hAnsi="Times New Roman"/>
                <w:sz w:val="20"/>
                <w:lang w:eastAsia="sk-SK"/>
              </w:rPr>
              <w:t>í</w:t>
            </w:r>
            <w:r w:rsidR="007427A1">
              <w:rPr>
                <w:rFonts w:ascii="Times New Roman" w:hAnsi="Times New Roman"/>
                <w:sz w:val="20"/>
                <w:lang w:eastAsia="sk-SK"/>
              </w:rPr>
              <w:t xml:space="preserve"> zamestnanc</w:t>
            </w:r>
            <w:r w:rsidR="00D40C39">
              <w:rPr>
                <w:rFonts w:ascii="Times New Roman" w:hAnsi="Times New Roman"/>
                <w:sz w:val="20"/>
                <w:lang w:eastAsia="sk-SK"/>
              </w:rPr>
              <w:t>i</w:t>
            </w:r>
            <w:r w:rsidR="007427A1">
              <w:rPr>
                <w:rFonts w:ascii="Times New Roman" w:hAnsi="Times New Roman"/>
                <w:sz w:val="20"/>
                <w:lang w:eastAsia="sk-SK"/>
              </w:rPr>
              <w:t xml:space="preserve"> a odborn</w:t>
            </w:r>
            <w:r w:rsidR="00D40C39">
              <w:rPr>
                <w:rFonts w:ascii="Times New Roman" w:hAnsi="Times New Roman"/>
                <w:sz w:val="20"/>
                <w:lang w:eastAsia="sk-SK"/>
              </w:rPr>
              <w:t>í</w:t>
            </w:r>
            <w:r w:rsidR="007427A1">
              <w:rPr>
                <w:rFonts w:ascii="Times New Roman" w:hAnsi="Times New Roman"/>
                <w:sz w:val="20"/>
                <w:lang w:eastAsia="sk-SK"/>
              </w:rPr>
              <w:t xml:space="preserve"> zamestnanc</w:t>
            </w:r>
            <w:r w:rsidR="00D40C39">
              <w:rPr>
                <w:rFonts w:ascii="Times New Roman" w:hAnsi="Times New Roman"/>
                <w:sz w:val="20"/>
                <w:lang w:eastAsia="sk-SK"/>
              </w:rPr>
              <w:t>i</w:t>
            </w:r>
            <w:r w:rsidR="007427A1">
              <w:rPr>
                <w:rFonts w:ascii="Times New Roman" w:hAnsi="Times New Roman"/>
                <w:sz w:val="20"/>
                <w:lang w:eastAsia="sk-SK"/>
              </w:rPr>
              <w:t xml:space="preserve"> v regionálnom školstve.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E538C0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4D0AA1" w:rsidRPr="0040544D" w:rsidP="00E1659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Z</w:t>
            </w:r>
            <w:r w:rsidRPr="004D0AA1">
              <w:rPr>
                <w:rFonts w:ascii="Times New Roman" w:hAnsi="Times New Roman"/>
                <w:sz w:val="20"/>
                <w:szCs w:val="20"/>
                <w:lang w:eastAsia="sk-SK"/>
              </w:rPr>
              <w:t>men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  <w:r w:rsidRPr="004D0AA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úrokovej sadzby pôžičiek pre pôžičky poskytnuté podľa novelizovaného zákona (pokiaľ by nedošlo k zmenám ukazovateľov, tak úroková miera sa zvýši z 0,89 % na 3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,25</w:t>
            </w:r>
            <w:r w:rsidRPr="004D0AA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%, teda o 2,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36</w:t>
            </w:r>
            <w:r w:rsidRPr="004D0AA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percentuálneho bodu) a negatívny vplyv spojený so zrušením ďalšieho znižovania isti</w:t>
            </w:r>
            <w:r w:rsidR="00DE2E53">
              <w:rPr>
                <w:rFonts w:ascii="Times New Roman" w:hAnsi="Times New Roman"/>
                <w:sz w:val="20"/>
                <w:szCs w:val="20"/>
                <w:lang w:eastAsia="sk-SK"/>
              </w:rPr>
              <w:t>ny podľa novelizačného bodu 12.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7A1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427A1" w:rsidP="00692F45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D40C39">
              <w:rPr>
                <w:rFonts w:ascii="Times New Roman" w:hAnsi="Times New Roman"/>
                <w:sz w:val="20"/>
                <w:lang w:eastAsia="sk-SK"/>
              </w:rPr>
              <w:t>1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. </w:t>
            </w:r>
            <w:r w:rsidR="00D40C39">
              <w:rPr>
                <w:rFonts w:ascii="Times New Roman" w:hAnsi="Times New Roman"/>
                <w:sz w:val="20"/>
                <w:lang w:eastAsia="sk-SK"/>
              </w:rPr>
              <w:t>pedagogickí zamestnanci a odborní zamestnanci v regionálnom školstve.</w:t>
            </w:r>
          </w:p>
          <w:p w:rsidR="00D40C39" w:rsidRPr="007427A1" w:rsidP="00B4312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2. študenti vysokých škôl alebo osoby, ktoré uvažujú o štúdiu na vysokej škole; ide o skupinu prevažne mladých ľudí medzi 18 a 2</w:t>
            </w:r>
            <w:r w:rsidR="00B43123">
              <w:rPr>
                <w:rFonts w:ascii="Times New Roman" w:hAnsi="Times New Roman"/>
                <w:sz w:val="20"/>
                <w:lang w:eastAsia="sk-SK"/>
              </w:rPr>
              <w:t>5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rokom veku.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427A1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7427A1" w:rsidRPr="0040544D" w:rsidP="00AD225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Nie je možné vylúčiť, že medzi žiadateľmi</w:t>
            </w:r>
            <w:r w:rsidR="003C2699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 pôžičku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resp. klientmi fondu sú občania v riziku chudoby.</w:t>
            </w:r>
            <w:r w:rsidR="00AD225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Počet týchto občanov je vzhľadom na disciplinovanosť klientov fondu v splácaní pôžičiek nepodstatný.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363189" w:rsidP="00D40C3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363189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D40C39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1</w:t>
            </w:r>
            <w:r w:rsidRPr="00363189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363189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36318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2621E1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 w:rsidR="00AD2250">
              <w:rPr>
                <w:rFonts w:ascii="Times New Roman" w:hAnsi="Times New Roman"/>
                <w:sz w:val="20"/>
                <w:szCs w:val="20"/>
                <w:lang w:eastAsia="sk-SK"/>
              </w:rPr>
              <w:t>---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363189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36318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224847" w:rsidRPr="002621E1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 w:rsidR="00AD2250">
              <w:rPr>
                <w:rFonts w:ascii="Times New Roman" w:hAnsi="Times New Roman"/>
                <w:sz w:val="20"/>
                <w:szCs w:val="20"/>
                <w:lang w:eastAsia="sk-SK"/>
              </w:rPr>
              <w:t>---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FA1" w:rsidRPr="00363189" w:rsidP="00253C23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36318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03FA1" w:rsidRPr="002621E1" w:rsidP="0036318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 w:rsidR="00363189">
              <w:rPr>
                <w:rFonts w:ascii="Times New Roman" w:hAnsi="Times New Roman"/>
                <w:sz w:val="20"/>
                <w:szCs w:val="20"/>
                <w:lang w:eastAsia="sk-SK"/>
              </w:rPr>
              <w:t>K 31. 3. 2016 je v 2. skupine 89 701 zamestnancov.</w:t>
            </w:r>
          </w:p>
          <w:p w:rsidR="0090081A" w:rsidRPr="002621E1" w:rsidP="009008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V školskom roku 2015/2016 fond poskytol pôžičky 276 pedagógom v celkovej výške 2 296 800 eur.</w:t>
            </w:r>
          </w:p>
          <w:p w:rsidR="0090081A" w:rsidRPr="002621E1" w:rsidP="009008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V prípade nedofinancovania fondu by v ďalších rokoch bolo možné poskytnúť pôžičku najviac cca 260 pedagógom v celkovej výške max. 2,2 mil. eur.</w:t>
            </w:r>
          </w:p>
          <w:p w:rsidR="0090081A" w:rsidRPr="002621E1" w:rsidP="00D177A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 prípade navýšenia finančných prostriedkov na pôžičky pre pedagógov zo zdrojov štátneho rozpočtu o cca 1 mil. eur ročne, by bolo možné poskytnúť pôžičku celkovo cca </w:t>
            </w:r>
            <w:r w:rsidRPr="002621E1" w:rsidR="00D177A6">
              <w:rPr>
                <w:rFonts w:ascii="Times New Roman" w:hAnsi="Times New Roman"/>
                <w:sz w:val="20"/>
                <w:szCs w:val="20"/>
                <w:lang w:eastAsia="sk-SK"/>
              </w:rPr>
              <w:t>380 pedagógom</w:t>
            </w: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2250" w:rsidRPr="002621E1" w:rsidP="00D40C3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Pr="002621E1" w:rsidR="00D40C39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2</w:t>
            </w:r>
            <w:r w:rsidRPr="002621E1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D2250" w:rsidRPr="00363189" w:rsidP="00AD225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36318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D2250" w:rsidRPr="002621E1" w:rsidP="00AD225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---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D2250" w:rsidRPr="00363189" w:rsidP="00AD2250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36318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AD2250" w:rsidRPr="002621E1" w:rsidP="00AD225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---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2250" w:rsidRPr="00363189" w:rsidP="00AD2250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363189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0C39" w:rsidRPr="002621E1" w:rsidP="00D40C3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Skupinu možno kvantifikovať len čiastočne:</w:t>
            </w:r>
          </w:p>
          <w:p w:rsidR="00D40C39" w:rsidRPr="002621E1" w:rsidP="00D40C3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K 1. 7. 2016 je v 1. skupine 91 006 študentov vysokých škôl v dennej forme štúdia a 31 563 študentov v externej forme štúdia na vysokých školách v Slovenskej republike. Údaj zahŕňa aj zahraničných študentov, ktorí nespĺňajú kritérium na poskytnutie pôžičky podľa § 10 ods. 2 zákona a nezahŕňa oprávnených žiadateľov o pôžičku študujúcich v zahraničí.</w:t>
            </w:r>
          </w:p>
          <w:p w:rsidR="00AD2250" w:rsidRPr="002621E1" w:rsidP="00D40C3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 w:rsidR="00D40C39">
              <w:rPr>
                <w:rFonts w:ascii="Times New Roman" w:hAnsi="Times New Roman"/>
                <w:sz w:val="20"/>
                <w:szCs w:val="20"/>
                <w:lang w:eastAsia="sk-SK"/>
              </w:rPr>
              <w:t>Počet záujemcov o štúdium nie je zistiteľný.</w:t>
            </w:r>
          </w:p>
          <w:p w:rsidR="0090081A" w:rsidRPr="002621E1" w:rsidP="00D40C3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90081A" w:rsidRPr="002621E1" w:rsidP="009008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V akademickom roku 2015/2016 fond poskytol pôžičky 1425 študentom v celkovej výške 3 367 800 eur.</w:t>
            </w:r>
          </w:p>
          <w:p w:rsidR="0090081A" w:rsidRPr="002621E1" w:rsidP="009008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V prípade nedofinancovania fondu by v ďalších rokoch bolo možné poskytnúť pôžičku najviac cca 1100 študento</w:t>
            </w:r>
            <w:r w:rsidRPr="002621E1" w:rsidR="00D177A6">
              <w:rPr>
                <w:rFonts w:ascii="Times New Roman" w:hAnsi="Times New Roman"/>
                <w:sz w:val="20"/>
                <w:szCs w:val="20"/>
                <w:lang w:eastAsia="sk-SK"/>
              </w:rPr>
              <w:t>m</w:t>
            </w: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celkovej výške max. 2,5 mil. eur.</w:t>
            </w:r>
          </w:p>
          <w:p w:rsidR="0090081A" w:rsidRPr="002621E1" w:rsidP="009008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V prípade navýšenia finančných prostriedkov na pôžičky pre študentov len zo zdrojov štátneho rozpočtu o cca 1,5 mil. eur ročne, by bolo možné poskytnúť pôžičku celkovo cca 1750 študentom.</w:t>
            </w:r>
          </w:p>
          <w:p w:rsidR="0090081A" w:rsidRPr="002621E1" w:rsidP="0090081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V prípade navýšenia finančných prostriedkov na pôžičky pre študentov zo zdrojov štátneho rozpočtu aj z úverových zdrojov o cca 3,5 mil. eur ročne, by bolo možné poskytnúť pôžičku celkovo cca 2600 študentom.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2250" w:rsidRPr="00E03FA1" w:rsidP="00253C2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E03FA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2250" w:rsidRPr="002621E1" w:rsidP="00AD225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Z dostupných údajov nie je možné presne uviesť priemerný rast ani pokles výdavkov alebo príjmov v</w:t>
            </w:r>
            <w:r w:rsidRPr="002621E1" w:rsidR="00E03FA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 ani jednej </w:t>
            </w: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skupine, pretože fond nespracúva údaje o celkovej finančnej situácii klienta a jeho rodiny a potenciálnych žiadateľov a ich rodín, ktoré významne ovplyvňujú príjmy a výdavky domácností.</w:t>
            </w:r>
          </w:p>
          <w:p w:rsidR="00D177A6" w:rsidRPr="002621E1" w:rsidP="00D177A6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Presné vyčíslenie počtu študentov a pedagógov, ktorým by mohla byť v budúcnosti poskytnutá pôžička závisí od výšky finančných prostriedkov získaných zo zdrojov štátneho rozpočtu a prípadných úverových zdrojov a ich rozdelenia medzi študentov a pedagógov podľa podmienok stanovených inštitúciou poskytujúcou finančné prostriedky.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2250" w:rsidRPr="00E03FA1" w:rsidP="00AD225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E03FA1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D2250" w:rsidRPr="002621E1" w:rsidP="00253C2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2621E1">
              <w:rPr>
                <w:rFonts w:ascii="Times New Roman" w:hAnsi="Times New Roman"/>
                <w:sz w:val="20"/>
                <w:szCs w:val="20"/>
                <w:lang w:eastAsia="sk-SK"/>
              </w:rPr>
              <w:t>bezpredmetné</w:t>
            </w:r>
          </w:p>
        </w:tc>
      </w:tr>
    </w:tbl>
    <w:p w:rsidR="00224847" w:rsidRPr="00A30F1C" w:rsidP="00224847">
      <w:pPr>
        <w:bidi w:val="0"/>
        <w:rPr>
          <w:rFonts w:ascii="Times New Roman" w:hAnsi="Times New Roman"/>
          <w:sz w:val="20"/>
          <w:szCs w:val="20"/>
        </w:rPr>
      </w:pPr>
    </w:p>
    <w:p w:rsidR="00A30F1C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6815AD" w:rsidP="007427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Získanie peňazí formou pôžičky za oveľa priaznivejších podmienok ako ponúkajú komerčné bankové a nebankové inštitúcie (nižšia úroková sadzba oproti priemernej úrokovej miere 4,1% u bánk, možnosť odkladov splácania pri sociálnych udalostiach, odklad splátok z dôvodu štúdia na vysokej škole nižšie zaťaženie poplatkami počas trvania zmluvného vzťahu).</w:t>
            </w:r>
          </w:p>
          <w:p w:rsidR="006815AD" w:rsidP="007427A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DE2E53" w:rsidP="00DE2E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Potenciálne významný vplyv má na tri skupiny:</w:t>
            </w:r>
          </w:p>
          <w:p w:rsidR="00DE2E53" w:rsidRPr="00D04811" w:rsidP="00DE2E53">
            <w:pPr>
              <w:pStyle w:val="ListParagraph"/>
              <w:numPr>
                <w:numId w:val="14"/>
              </w:numPr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lang w:eastAsia="sk-SK"/>
              </w:rPr>
            </w:pPr>
            <w:r w:rsidRPr="00D04811">
              <w:rPr>
                <w:rFonts w:ascii="Times New Roman" w:hAnsi="Times New Roman"/>
                <w:sz w:val="20"/>
                <w:lang w:eastAsia="sk-SK"/>
              </w:rPr>
              <w:t xml:space="preserve">mladých ľudí medzi 18 a 25 rokom veku, ktorí sú študentmi vysokých škôl alebo uvažujú o štúdiu </w:t>
            </w:r>
            <w:r>
              <w:rPr>
                <w:rFonts w:ascii="Times New Roman" w:hAnsi="Times New Roman"/>
                <w:sz w:val="20"/>
                <w:lang w:eastAsia="sk-SK"/>
              </w:rPr>
              <w:t>na vysokej škole.</w:t>
            </w:r>
          </w:p>
          <w:p w:rsidR="00DE2E53" w:rsidRPr="00D04811" w:rsidP="00DE2E53">
            <w:pPr>
              <w:pStyle w:val="ListParagraph"/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04811">
              <w:rPr>
                <w:rFonts w:ascii="Times New Roman" w:hAnsi="Times New Roman"/>
                <w:sz w:val="20"/>
                <w:lang w:eastAsia="sk-SK"/>
              </w:rPr>
              <w:t>Počet potenciálnych žiadateľov o pôžičku je: 122 569 k 1. 7. 2016.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</w:t>
            </w:r>
            <w:r w:rsidRPr="00D04811">
              <w:rPr>
                <w:rFonts w:ascii="Times New Roman" w:hAnsi="Times New Roman"/>
                <w:sz w:val="20"/>
                <w:szCs w:val="20"/>
                <w:lang w:eastAsia="sk-SK"/>
              </w:rPr>
              <w:t>Údaj zahŕňa aj zahraničných študentov, ktorí nespĺňajú kritérium na poskytnutie pôžičky podľa § 10 ods. 2 zákona a nezahŕňa oprávnených žiadateľov o pôžičku študujúcich v zahraničí.</w:t>
            </w:r>
          </w:p>
          <w:p w:rsidR="00DE2E53" w:rsidP="00DE2E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DE2E53" w:rsidRPr="00D04811" w:rsidP="00DE2E53">
            <w:pPr>
              <w:pStyle w:val="ListParagraph"/>
              <w:numPr>
                <w:numId w:val="14"/>
              </w:numPr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lang w:eastAsia="sk-SK"/>
              </w:rPr>
            </w:pPr>
            <w:r w:rsidRPr="00D04811">
              <w:rPr>
                <w:rFonts w:ascii="Times New Roman" w:hAnsi="Times New Roman"/>
                <w:sz w:val="20"/>
                <w:lang w:eastAsia="sk-SK"/>
              </w:rPr>
              <w:t>pedagogických zamestnancov a odborných zame</w:t>
            </w:r>
            <w:r>
              <w:rPr>
                <w:rFonts w:ascii="Times New Roman" w:hAnsi="Times New Roman"/>
                <w:sz w:val="20"/>
                <w:lang w:eastAsia="sk-SK"/>
              </w:rPr>
              <w:t>stnancov v regionálnom školstve;</w:t>
            </w:r>
          </w:p>
          <w:p w:rsidR="00DE2E53" w:rsidRPr="00D04811" w:rsidP="00DE2E53">
            <w:pPr>
              <w:pStyle w:val="ListParagraph"/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</w:t>
            </w:r>
            <w:r w:rsidRPr="00D04811">
              <w:rPr>
                <w:rFonts w:ascii="Times New Roman" w:hAnsi="Times New Roman"/>
                <w:sz w:val="20"/>
                <w:lang w:eastAsia="sk-SK"/>
              </w:rPr>
              <w:t xml:space="preserve">očet potenciálnych žiadateľov o pôžičku je: </w:t>
            </w:r>
            <w:r w:rsidRPr="00D0481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89 701 </w:t>
            </w:r>
            <w:r w:rsidRPr="00D04811">
              <w:rPr>
                <w:rFonts w:ascii="Times New Roman" w:hAnsi="Times New Roman"/>
                <w:sz w:val="20"/>
                <w:lang w:eastAsia="sk-SK"/>
              </w:rPr>
              <w:t xml:space="preserve"> k 31. 3. 2016.</w:t>
            </w:r>
          </w:p>
          <w:p w:rsidR="00DE2E53" w:rsidP="00DE2E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DE2E53" w:rsidRPr="00D04811" w:rsidP="00DE2E53">
            <w:pPr>
              <w:pStyle w:val="ListParagraph"/>
              <w:numPr>
                <w:numId w:val="14"/>
              </w:numPr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lang w:eastAsia="sk-SK"/>
              </w:rPr>
            </w:pPr>
            <w:r w:rsidRPr="00D04811">
              <w:rPr>
                <w:rFonts w:ascii="Times New Roman" w:hAnsi="Times New Roman"/>
                <w:sz w:val="20"/>
                <w:lang w:eastAsia="sk-SK"/>
              </w:rPr>
              <w:t>vysokoškolských učiteľov a výskumných pracovníkov a umeleckých pracovníkov</w:t>
            </w:r>
            <w:r>
              <w:rPr>
                <w:rFonts w:ascii="Times New Roman" w:hAnsi="Times New Roman"/>
                <w:sz w:val="20"/>
                <w:lang w:eastAsia="sk-SK"/>
              </w:rPr>
              <w:t xml:space="preserve"> vysokých škôl do 35 rokov veku;</w:t>
            </w:r>
          </w:p>
          <w:p w:rsidR="00DE2E53" w:rsidRPr="00D04811" w:rsidP="00DE2E53">
            <w:pPr>
              <w:pStyle w:val="ListParagraph"/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p</w:t>
            </w:r>
            <w:r w:rsidRPr="00D04811">
              <w:rPr>
                <w:rFonts w:ascii="Times New Roman" w:hAnsi="Times New Roman"/>
                <w:sz w:val="20"/>
                <w:lang w:eastAsia="sk-SK"/>
              </w:rPr>
              <w:t>očet potenciálnych žiadateľov o pôžičku do 35 rokov veku je cca 3 000 k 30. 6. 2016.</w:t>
            </w:r>
          </w:p>
          <w:p w:rsidR="00DE2E53" w:rsidP="00DE2E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DE2E53" w:rsidP="00DE2E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t>Vplyvom sa rozumie:</w:t>
            </w:r>
          </w:p>
          <w:p w:rsidR="00DE2E53" w:rsidRPr="00DE2E53" w:rsidP="00DE2E53">
            <w:pPr>
              <w:pStyle w:val="ListParagraph"/>
              <w:numPr>
                <w:numId w:val="16"/>
              </w:numPr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lang w:eastAsia="sk-SK"/>
              </w:rPr>
            </w:pPr>
            <w:r w:rsidRPr="00DE2E53">
              <w:rPr>
                <w:rFonts w:ascii="Times New Roman" w:hAnsi="Times New Roman"/>
                <w:sz w:val="20"/>
                <w:lang w:eastAsia="sk-SK"/>
              </w:rPr>
              <w:t>zachovanie ponuky výhodne úročených pôžičiek pre skupiny 1. až 3 v dlhodobom horizonte.</w:t>
            </w:r>
          </w:p>
          <w:p w:rsidR="00DE2E53" w:rsidRPr="00DE2E53" w:rsidP="00DE2E53">
            <w:pPr>
              <w:pStyle w:val="ListParagraph"/>
              <w:numPr>
                <w:numId w:val="16"/>
              </w:numPr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lang w:eastAsia="sk-SK"/>
              </w:rPr>
            </w:pPr>
            <w:r w:rsidRPr="00DE2E53">
              <w:rPr>
                <w:rFonts w:ascii="Times New Roman" w:hAnsi="Times New Roman"/>
                <w:sz w:val="20"/>
                <w:lang w:eastAsia="sk-SK"/>
              </w:rPr>
              <w:t xml:space="preserve">získanie prístupu k výhodne úročeným pôžičkám pre novú skupinu </w:t>
            </w:r>
          </w:p>
          <w:p w:rsidR="00DE2E53" w:rsidRPr="00DE2E53" w:rsidP="00DE2E53">
            <w:pPr>
              <w:pStyle w:val="ListParagraph"/>
              <w:numPr>
                <w:numId w:val="16"/>
              </w:numPr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lang w:eastAsia="sk-SK"/>
              </w:rPr>
            </w:pPr>
            <w:r w:rsidRPr="00DE2E53">
              <w:rPr>
                <w:rFonts w:ascii="Times New Roman" w:hAnsi="Times New Roman"/>
                <w:sz w:val="20"/>
                <w:lang w:eastAsia="sk-SK"/>
              </w:rPr>
              <w:t>v prípade nedostatku finančných prostriedkov na pokrytie všetkých pôžičiek pre študentov pri splnení rovnakého počtu kritérií budú zvýhodnení študenti - žiadatelia s priznaným sociálnym štipendiom alebo v hmotnej núdzi a študenti so špecifickými potrebami.</w:t>
            </w:r>
          </w:p>
          <w:p w:rsidR="00DE2E53" w:rsidRPr="00DE2E53" w:rsidP="00DE2E53">
            <w:pPr>
              <w:pStyle w:val="ListParagraph"/>
              <w:numPr>
                <w:numId w:val="16"/>
              </w:num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Pr="00DE2E53">
              <w:rPr>
                <w:rFonts w:ascii="Times New Roman" w:hAnsi="Times New Roman"/>
                <w:sz w:val="20"/>
                <w:lang w:eastAsia="sk-SK"/>
              </w:rPr>
              <w:t>v prípade nedostatku finančných prostriedkov na pokrytie všetkých pôžičiek pre pedagogických a odborných zamestnancov v regionálnom školstve a VŠ učiteľov, výskumných a umeleckých pracovníkov VŠ do 35 rokov pri splnení rovnakého počtu kritérií budú zvýhodnení žiadatelia so statusom osamelého zamestnanca.</w:t>
            </w:r>
          </w:p>
          <w:p w:rsidR="00DE2E53" w:rsidRPr="00DE2E53" w:rsidP="00DE2E53">
            <w:pPr>
              <w:pStyle w:val="ListParagraph"/>
              <w:numPr>
                <w:numId w:val="16"/>
              </w:num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DE2E53" w:rsidR="008C6367">
              <w:rPr>
                <w:rFonts w:ascii="Times New Roman" w:hAnsi="Times New Roman"/>
                <w:sz w:val="20"/>
                <w:szCs w:val="20"/>
                <w:lang w:eastAsia="sk-SK"/>
              </w:rPr>
              <w:t>Ak dlžník fondu stratí zamestnanie a je evidovaný na úrade práce ako uchádzač o zamestnanie, po písomnom požiadaní môže počas jedného roka platiť len úroky z istiny.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CD4982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04811" w:rsidRPr="00D04811" w:rsidP="00DE2E53">
            <w:pPr>
              <w:pStyle w:val="ListParagraph"/>
              <w:bidi w:val="0"/>
              <w:spacing w:after="0" w:line="240" w:lineRule="auto"/>
              <w:ind w:left="360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>
      <w:pPr>
        <w:bidi w:val="0"/>
      </w:pPr>
    </w:p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CD4982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CD4982" w:rsidRPr="0040544D" w:rsidP="005E554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  <w:r w:rsidR="005E5543">
              <w:rPr>
                <w:rFonts w:ascii="Times New Roman" w:hAnsi="Times New Roman"/>
                <w:sz w:val="20"/>
                <w:lang w:eastAsia="sk-SK"/>
              </w:rPr>
              <w:t>Návrh pozitívne diskriminuje tú časť zamestnancov vysokých škôl, ktorú je vzhľadom na jej kvalifikáciu a vek potrebné udržať vo vysokom školstve, aby mohlo dlhodobo napĺňať svoje poslanie zakotvené v § 1 zákona č. 131/2002 Z. z. o vysokých školách a o zmene a doplnení niektorých zákonov v znení zákona č. 390/2011 Z. z.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CD4982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CD4982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A6BAF" w:rsidRPr="00CA6BAF" w:rsidP="005E554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="005E5543">
              <w:rPr>
                <w:rFonts w:ascii="Times New Roman" w:hAnsi="Times New Roman"/>
                <w:sz w:val="20"/>
                <w:lang w:eastAsia="sk-SK"/>
              </w:rPr>
              <w:t>Návrh nemá vplyv na rovnosť žien a mužov.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2243C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2243C0">
              <w:rPr>
                <w:rFonts w:ascii="Times New Roman" w:hAnsi="Times New Roman"/>
                <w:sz w:val="20"/>
                <w:szCs w:val="18"/>
              </w:rPr>
              <w:t>Návrh nevedie k vzniku nových pracovných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2243C0">
              <w:rPr>
                <w:rFonts w:ascii="Times New Roman" w:hAnsi="Times New Roman"/>
                <w:sz w:val="20"/>
                <w:szCs w:val="18"/>
              </w:rPr>
              <w:t>Návrh nevedie k zániku existujúcich pracovných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2243C0">
              <w:rPr>
                <w:rFonts w:ascii="Times New Roman" w:hAnsi="Times New Roman"/>
                <w:sz w:val="20"/>
                <w:szCs w:val="18"/>
              </w:rPr>
              <w:t>Vplyv je marginálny.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2243C0">
              <w:rPr>
                <w:rFonts w:ascii="Times New Roman" w:hAnsi="Times New Roman"/>
                <w:sz w:val="20"/>
                <w:szCs w:val="18"/>
              </w:rPr>
              <w:t>Vplyv je marginálny.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2243C0">
              <w:rPr>
                <w:rFonts w:ascii="Times New Roman" w:hAnsi="Times New Roman"/>
                <w:sz w:val="20"/>
                <w:szCs w:val="18"/>
              </w:rPr>
              <w:t>Návrh nemá žiadne špecifické negatívne dôsledky.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994C53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A30F1C" w:rsidP="00692F45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="002243C0">
              <w:rPr>
                <w:rFonts w:ascii="Times New Roman" w:hAnsi="Times New Roman"/>
                <w:sz w:val="20"/>
                <w:szCs w:val="18"/>
              </w:rPr>
              <w:t xml:space="preserve">Návrh môže potenciálne pozitívne ovplyvniť vekovú skupinu zamestnancov vysokých škôl od skončenia štúdia do 35 rokov veku tým, že </w:t>
            </w:r>
            <w:r w:rsidRPr="000D6538" w:rsidR="000D6538">
              <w:rPr>
                <w:rFonts w:ascii="Times New Roman" w:hAnsi="Times New Roman"/>
                <w:sz w:val="20"/>
                <w:szCs w:val="18"/>
              </w:rPr>
              <w:t>poskytnutie výhodnejšej než trhovej pôžičky môže pozitívne ovplyvniť rozhodnutie dotknutej skupiny, či zostanú pracovať na vysokých školách.</w:t>
            </w:r>
          </w:p>
        </w:tc>
      </w:tr>
    </w:tbl>
    <w:p w:rsidR="00CB3623" w:rsidP="007B7DEA">
      <w:pPr>
        <w:bidi w:val="0"/>
        <w:spacing w:after="0" w:line="240" w:lineRule="auto"/>
        <w:outlineLvl w:val="0"/>
      </w:pPr>
    </w:p>
    <w:sectPr w:rsidSect="007B7DEA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43123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B43123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30AD"/>
    <w:multiLevelType w:val="hybridMultilevel"/>
    <w:tmpl w:val="40D6A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5B157554"/>
    <w:multiLevelType w:val="hybridMultilevel"/>
    <w:tmpl w:val="CF3E2378"/>
    <w:lvl w:ilvl="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11">
    <w:nsid w:val="602701E8"/>
    <w:multiLevelType w:val="hybridMultilevel"/>
    <w:tmpl w:val="B066D9A2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F1954"/>
    <w:multiLevelType w:val="hybridMultilevel"/>
    <w:tmpl w:val="31F4BF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  <w:num w:numId="14">
    <w:abstractNumId w:val="1"/>
  </w:num>
  <w:num w:numId="15">
    <w:abstractNumId w:val="1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ocumentProtection w:edit="forms" w:enforcement="1"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274D0"/>
    <w:rsid w:val="0004217B"/>
    <w:rsid w:val="000B271D"/>
    <w:rsid w:val="000D226A"/>
    <w:rsid w:val="000D6538"/>
    <w:rsid w:val="000F33F7"/>
    <w:rsid w:val="00113701"/>
    <w:rsid w:val="00165321"/>
    <w:rsid w:val="001C58A2"/>
    <w:rsid w:val="001D6749"/>
    <w:rsid w:val="001E4A5C"/>
    <w:rsid w:val="001F7932"/>
    <w:rsid w:val="00204D10"/>
    <w:rsid w:val="002243C0"/>
    <w:rsid w:val="00224847"/>
    <w:rsid w:val="00227A26"/>
    <w:rsid w:val="00253C23"/>
    <w:rsid w:val="002621E1"/>
    <w:rsid w:val="00275F99"/>
    <w:rsid w:val="003316B7"/>
    <w:rsid w:val="00337B5D"/>
    <w:rsid w:val="003541E9"/>
    <w:rsid w:val="00357E2A"/>
    <w:rsid w:val="00362CBF"/>
    <w:rsid w:val="00363189"/>
    <w:rsid w:val="003849C7"/>
    <w:rsid w:val="003C2699"/>
    <w:rsid w:val="0040429B"/>
    <w:rsid w:val="0040544D"/>
    <w:rsid w:val="00466488"/>
    <w:rsid w:val="004A4070"/>
    <w:rsid w:val="004D0AA1"/>
    <w:rsid w:val="004F2664"/>
    <w:rsid w:val="004F3F50"/>
    <w:rsid w:val="0051643C"/>
    <w:rsid w:val="00520808"/>
    <w:rsid w:val="0056062A"/>
    <w:rsid w:val="00585AD3"/>
    <w:rsid w:val="005A57C8"/>
    <w:rsid w:val="005E5543"/>
    <w:rsid w:val="006815AD"/>
    <w:rsid w:val="00692F45"/>
    <w:rsid w:val="006A7493"/>
    <w:rsid w:val="006B34DA"/>
    <w:rsid w:val="006D1C56"/>
    <w:rsid w:val="00706D06"/>
    <w:rsid w:val="00712891"/>
    <w:rsid w:val="007427A1"/>
    <w:rsid w:val="00756765"/>
    <w:rsid w:val="007B003C"/>
    <w:rsid w:val="007B7DEA"/>
    <w:rsid w:val="007C57DD"/>
    <w:rsid w:val="00841008"/>
    <w:rsid w:val="0088142A"/>
    <w:rsid w:val="00881728"/>
    <w:rsid w:val="008A4F7C"/>
    <w:rsid w:val="008B64A4"/>
    <w:rsid w:val="008C6367"/>
    <w:rsid w:val="008F6B86"/>
    <w:rsid w:val="0090081A"/>
    <w:rsid w:val="009034CC"/>
    <w:rsid w:val="00921D53"/>
    <w:rsid w:val="00943698"/>
    <w:rsid w:val="00972E46"/>
    <w:rsid w:val="00994C53"/>
    <w:rsid w:val="00997B26"/>
    <w:rsid w:val="009B755F"/>
    <w:rsid w:val="009F385D"/>
    <w:rsid w:val="00A30F1C"/>
    <w:rsid w:val="00A53AFA"/>
    <w:rsid w:val="00A605B0"/>
    <w:rsid w:val="00A87D5B"/>
    <w:rsid w:val="00AD2250"/>
    <w:rsid w:val="00AE1DAE"/>
    <w:rsid w:val="00AF39B8"/>
    <w:rsid w:val="00B26370"/>
    <w:rsid w:val="00B4080A"/>
    <w:rsid w:val="00B43123"/>
    <w:rsid w:val="00B437B3"/>
    <w:rsid w:val="00B90A2F"/>
    <w:rsid w:val="00BB3E2E"/>
    <w:rsid w:val="00BC22E3"/>
    <w:rsid w:val="00BF401C"/>
    <w:rsid w:val="00C63956"/>
    <w:rsid w:val="00C77AA2"/>
    <w:rsid w:val="00C86A69"/>
    <w:rsid w:val="00CA023C"/>
    <w:rsid w:val="00CA3E12"/>
    <w:rsid w:val="00CA6BAF"/>
    <w:rsid w:val="00CB3623"/>
    <w:rsid w:val="00CD4982"/>
    <w:rsid w:val="00D04811"/>
    <w:rsid w:val="00D177A6"/>
    <w:rsid w:val="00D40C39"/>
    <w:rsid w:val="00D829FE"/>
    <w:rsid w:val="00D921AE"/>
    <w:rsid w:val="00D929A7"/>
    <w:rsid w:val="00DA4453"/>
    <w:rsid w:val="00DD6BD6"/>
    <w:rsid w:val="00DE2E53"/>
    <w:rsid w:val="00E03FA1"/>
    <w:rsid w:val="00E1659F"/>
    <w:rsid w:val="00E22685"/>
    <w:rsid w:val="00E40428"/>
    <w:rsid w:val="00E538C0"/>
    <w:rsid w:val="00EC3CB0"/>
    <w:rsid w:val="00EF0C21"/>
    <w:rsid w:val="00F2597D"/>
    <w:rsid w:val="00F30B4E"/>
    <w:rsid w:val="00F34B6B"/>
    <w:rsid w:val="00F61C39"/>
    <w:rsid w:val="00F74B56"/>
    <w:rsid w:val="00F7696B"/>
    <w:rsid w:val="00F77D10"/>
    <w:rsid w:val="00F938A1"/>
    <w:rsid w:val="00FA11DD"/>
    <w:rsid w:val="00FB766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D04811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AB19-DC67-4A59-97D1-1F5BCE34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5</Pages>
  <Words>2108</Words>
  <Characters>12017</Characters>
  <Application>Microsoft Office Word</Application>
  <DocSecurity>0</DocSecurity>
  <Lines>0</Lines>
  <Paragraphs>0</Paragraphs>
  <ScaleCrop>false</ScaleCrop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Viliam Bokol</cp:lastModifiedBy>
  <cp:revision>4</cp:revision>
  <cp:lastPrinted>2016-03-03T10:34:00Z</cp:lastPrinted>
  <dcterms:created xsi:type="dcterms:W3CDTF">2016-08-30T18:13:00Z</dcterms:created>
  <dcterms:modified xsi:type="dcterms:W3CDTF">2016-08-30T18:48:00Z</dcterms:modified>
</cp:coreProperties>
</file>