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2987" w:rsidRPr="00EA0618">
      <w:pPr>
        <w:bidi w:val="0"/>
        <w:rPr>
          <w:rFonts w:ascii="Times New Roman" w:hAnsi="Times New Roman"/>
          <w:sz w:val="24"/>
          <w:szCs w:val="24"/>
        </w:rPr>
      </w:pPr>
      <w:r w:rsidRPr="00EA0618" w:rsidR="0082232C">
        <w:rPr>
          <w:rFonts w:ascii="Times New Roman" w:hAnsi="Times New Roman"/>
          <w:sz w:val="24"/>
          <w:szCs w:val="24"/>
        </w:rPr>
        <w:t>DÔVODOVÁ SPRÁVA</w:t>
      </w:r>
    </w:p>
    <w:p w:rsidR="0082232C">
      <w:pPr>
        <w:bidi w:val="0"/>
        <w:rPr>
          <w:rFonts w:ascii="Times New Roman" w:hAnsi="Times New Roman"/>
          <w:sz w:val="24"/>
          <w:szCs w:val="24"/>
        </w:rPr>
      </w:pPr>
      <w:r w:rsidRPr="00EA0618">
        <w:rPr>
          <w:rFonts w:ascii="Times New Roman" w:hAnsi="Times New Roman"/>
          <w:sz w:val="24"/>
          <w:szCs w:val="24"/>
        </w:rPr>
        <w:t>A. VŠEOBECNÁ ČASŤ</w:t>
      </w:r>
    </w:p>
    <w:p w:rsidR="00197CF1" w:rsidP="00197CF1">
      <w:p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Pr="00197CF1">
        <w:rPr>
          <w:rStyle w:val="PlaceholderText"/>
          <w:color w:val="000000"/>
          <w:sz w:val="24"/>
        </w:rPr>
        <w:t>Fond na podporu vzdelávania (ďalej len „fond“) bol zriadený 1. 1. 2013 ako právny nástupca Študentského pôžičkového fondu a Pôžičkového fondu pre začínajúcich pedagógov</w:t>
      </w:r>
      <w:r w:rsidR="0047061B">
        <w:rPr>
          <w:rStyle w:val="PlaceholderText"/>
          <w:color w:val="000000"/>
          <w:sz w:val="24"/>
        </w:rPr>
        <w:t>.</w:t>
      </w:r>
      <w:r w:rsidR="00741C9F">
        <w:rPr>
          <w:rStyle w:val="PlaceholderText"/>
          <w:color w:val="000000"/>
          <w:sz w:val="24"/>
        </w:rPr>
        <w:t xml:space="preserve"> </w:t>
      </w:r>
      <w:r w:rsidRPr="00197CF1">
        <w:rPr>
          <w:rStyle w:val="PlaceholderText"/>
          <w:color w:val="000000"/>
          <w:sz w:val="24"/>
        </w:rPr>
        <w:t>Fond bol zriadený ako neštátny účelový fond plniaci úlohy vo verejnom záujme.</w:t>
      </w:r>
      <w:r w:rsidRPr="00F579E4" w:rsidR="00F579E4">
        <w:rPr>
          <w:rFonts w:ascii="Times New Roman" w:hAnsi="Times New Roman"/>
          <w:color w:val="000000"/>
          <w:sz w:val="24"/>
        </w:rPr>
        <w:t xml:space="preserve"> </w:t>
      </w:r>
      <w:r w:rsidRPr="00197CF1" w:rsidR="00F579E4">
        <w:rPr>
          <w:rStyle w:val="PlaceholderText"/>
          <w:color w:val="000000"/>
          <w:sz w:val="24"/>
        </w:rPr>
        <w:t>Fond poskytuje zvýhodnene úročen</w:t>
      </w:r>
      <w:r w:rsidR="00F579E4">
        <w:rPr>
          <w:rStyle w:val="PlaceholderText"/>
          <w:color w:val="000000"/>
          <w:sz w:val="24"/>
        </w:rPr>
        <w:t xml:space="preserve">é </w:t>
      </w:r>
      <w:r w:rsidRPr="00197CF1" w:rsidR="00F579E4">
        <w:rPr>
          <w:rStyle w:val="PlaceholderText"/>
          <w:color w:val="000000"/>
          <w:sz w:val="24"/>
        </w:rPr>
        <w:t>pôžič</w:t>
      </w:r>
      <w:r w:rsidR="00F579E4">
        <w:rPr>
          <w:rStyle w:val="PlaceholderText"/>
          <w:color w:val="000000"/>
          <w:sz w:val="24"/>
        </w:rPr>
        <w:t>ky</w:t>
      </w:r>
      <w:r w:rsidRPr="00197CF1" w:rsidR="00F579E4">
        <w:rPr>
          <w:rStyle w:val="PlaceholderText"/>
          <w:color w:val="000000"/>
          <w:sz w:val="24"/>
        </w:rPr>
        <w:t xml:space="preserve"> pre vybrané cieľové skupi</w:t>
      </w:r>
      <w:r w:rsidR="008F0D8D">
        <w:rPr>
          <w:rStyle w:val="PlaceholderText"/>
          <w:color w:val="000000"/>
          <w:sz w:val="24"/>
        </w:rPr>
        <w:t>ny – študentov vysokých škôl vo </w:t>
      </w:r>
      <w:r w:rsidRPr="00197CF1" w:rsidR="00F579E4">
        <w:rPr>
          <w:rStyle w:val="PlaceholderText"/>
          <w:color w:val="000000"/>
          <w:sz w:val="24"/>
        </w:rPr>
        <w:t>všetkých stupňoch štúdia</w:t>
      </w:r>
      <w:r w:rsidR="007B3D29">
        <w:rPr>
          <w:rStyle w:val="PlaceholderText"/>
          <w:color w:val="000000"/>
          <w:sz w:val="24"/>
        </w:rPr>
        <w:t xml:space="preserve"> a</w:t>
      </w:r>
      <w:r w:rsidRPr="00197CF1" w:rsidR="00F579E4">
        <w:rPr>
          <w:rStyle w:val="PlaceholderText"/>
          <w:color w:val="000000"/>
          <w:sz w:val="24"/>
        </w:rPr>
        <w:t xml:space="preserve"> pedag</w:t>
      </w:r>
      <w:r w:rsidR="00F579E4">
        <w:rPr>
          <w:rStyle w:val="PlaceholderText"/>
          <w:color w:val="000000"/>
          <w:sz w:val="24"/>
        </w:rPr>
        <w:t xml:space="preserve">ogických zamestnancov a odborných zamestnancov </w:t>
      </w:r>
      <w:r w:rsidR="00917C35">
        <w:rPr>
          <w:rStyle w:val="PlaceholderText"/>
          <w:color w:val="000000"/>
          <w:sz w:val="24"/>
        </w:rPr>
        <w:t>podľa zákona č. 317/2009 Z. z. o pedagogických zamestnancoch a odborných zamestnancoch a o zmene a doplnení niektorých zákonov v znení neskorších predpisov</w:t>
      </w:r>
      <w:r w:rsidRPr="00197CF1" w:rsidR="00F579E4">
        <w:rPr>
          <w:rStyle w:val="PlaceholderText"/>
          <w:color w:val="000000"/>
          <w:sz w:val="24"/>
        </w:rPr>
        <w:t>.</w:t>
      </w:r>
      <w:r w:rsidR="00F579E4">
        <w:rPr>
          <w:rStyle w:val="PlaceholderText"/>
          <w:color w:val="000000"/>
          <w:sz w:val="24"/>
        </w:rPr>
        <w:t xml:space="preserve"> </w:t>
      </w:r>
      <w:r w:rsidR="00F579E4">
        <w:rPr>
          <w:rFonts w:ascii="Times New Roman" w:hAnsi="Times New Roman"/>
          <w:color w:val="000000"/>
          <w:sz w:val="24"/>
        </w:rPr>
        <w:t>Fond poskytol od svojho vzniku v januári roku 201</w:t>
      </w:r>
      <w:r w:rsidR="00E2172A">
        <w:rPr>
          <w:rFonts w:ascii="Times New Roman" w:hAnsi="Times New Roman"/>
          <w:color w:val="000000"/>
          <w:sz w:val="24"/>
        </w:rPr>
        <w:t>3</w:t>
      </w:r>
      <w:r w:rsidR="00F579E4">
        <w:rPr>
          <w:rFonts w:ascii="Times New Roman" w:hAnsi="Times New Roman"/>
          <w:color w:val="000000"/>
          <w:sz w:val="24"/>
        </w:rPr>
        <w:t xml:space="preserve"> </w:t>
      </w:r>
      <w:r w:rsidR="00E2172A">
        <w:rPr>
          <w:rFonts w:ascii="Times New Roman" w:hAnsi="Times New Roman"/>
          <w:color w:val="000000"/>
          <w:sz w:val="24"/>
        </w:rPr>
        <w:t xml:space="preserve">takmer 6 000 </w:t>
      </w:r>
      <w:r w:rsidR="00F579E4">
        <w:rPr>
          <w:rFonts w:ascii="Times New Roman" w:hAnsi="Times New Roman"/>
          <w:color w:val="000000"/>
          <w:sz w:val="24"/>
        </w:rPr>
        <w:t>pôžič</w:t>
      </w:r>
      <w:r w:rsidR="00E2172A">
        <w:rPr>
          <w:rFonts w:ascii="Times New Roman" w:hAnsi="Times New Roman"/>
          <w:color w:val="000000"/>
          <w:sz w:val="24"/>
        </w:rPr>
        <w:t>iek</w:t>
      </w:r>
      <w:r w:rsidR="00F579E4">
        <w:rPr>
          <w:rFonts w:ascii="Times New Roman" w:hAnsi="Times New Roman"/>
          <w:color w:val="000000"/>
          <w:sz w:val="24"/>
        </w:rPr>
        <w:t xml:space="preserve"> študentom a pedagógom.</w:t>
      </w:r>
    </w:p>
    <w:p w:rsidR="00F579E4" w:rsidP="007E2A7C">
      <w:pPr>
        <w:bidi w:val="0"/>
        <w:spacing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Základným problémom fondu pri poskytovaní pôžičiek je však nedostatok finančných prostriedkov, čo sa prejavuje aj tým, že fond dokázal v akademických/školských rokoch 2013/2014 a</w:t>
      </w:r>
      <w:r w:rsidR="00E2172A">
        <w:rPr>
          <w:rFonts w:ascii="Times New Roman" w:hAnsi="Times New Roman"/>
          <w:color w:val="000000"/>
          <w:sz w:val="24"/>
        </w:rPr>
        <w:t>ž</w:t>
      </w:r>
      <w:r>
        <w:rPr>
          <w:rFonts w:ascii="Times New Roman" w:hAnsi="Times New Roman"/>
          <w:color w:val="000000"/>
          <w:sz w:val="24"/>
        </w:rPr>
        <w:t> 201</w:t>
      </w:r>
      <w:r w:rsidR="00E2172A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>/201</w:t>
      </w:r>
      <w:r w:rsidR="00E2172A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uspokojiť len necelých 60% žiadateľov. Nedostatok finančných prostriedkov negatívne ovplyvňujú:</w:t>
      </w:r>
    </w:p>
    <w:p w:rsidR="00F579E4" w:rsidP="007E2A7C">
      <w:pPr>
        <w:pStyle w:val="ListParagraph"/>
        <w:numPr>
          <w:numId w:val="1"/>
        </w:numPr>
        <w:bidi w:val="0"/>
        <w:spacing w:after="100" w:afterAutospacing="1"/>
        <w:jc w:val="both"/>
        <w:rPr>
          <w:rFonts w:ascii="Times New Roman" w:hAnsi="Times New Roman"/>
          <w:color w:val="000000"/>
          <w:sz w:val="24"/>
        </w:rPr>
      </w:pPr>
      <w:r w:rsidRPr="00881B5D">
        <w:rPr>
          <w:rFonts w:ascii="Times New Roman" w:hAnsi="Times New Roman"/>
          <w:color w:val="000000"/>
          <w:sz w:val="24"/>
        </w:rPr>
        <w:t>dlhodobý neúmerný pokles výnosov štátnych dlhopisov s</w:t>
      </w:r>
      <w:r w:rsidR="008F0D8D">
        <w:rPr>
          <w:rFonts w:ascii="Times New Roman" w:hAnsi="Times New Roman"/>
          <w:color w:val="000000"/>
          <w:sz w:val="24"/>
        </w:rPr>
        <w:t> desaťročnou splatnosťou, podľa </w:t>
      </w:r>
      <w:r w:rsidRPr="00881B5D">
        <w:rPr>
          <w:rFonts w:ascii="Times New Roman" w:hAnsi="Times New Roman"/>
          <w:color w:val="000000"/>
          <w:sz w:val="24"/>
        </w:rPr>
        <w:t xml:space="preserve">ktorých sa </w:t>
      </w:r>
      <w:r w:rsidR="007B3D29">
        <w:rPr>
          <w:rFonts w:ascii="Times New Roman" w:hAnsi="Times New Roman"/>
          <w:color w:val="000000"/>
          <w:sz w:val="24"/>
        </w:rPr>
        <w:t>u</w:t>
      </w:r>
      <w:r w:rsidRPr="00881B5D">
        <w:rPr>
          <w:rFonts w:ascii="Times New Roman" w:hAnsi="Times New Roman"/>
          <w:color w:val="000000"/>
          <w:sz w:val="24"/>
        </w:rPr>
        <w:t>stanovuje výška úročenia poskytovaných pôžičiek</w:t>
      </w:r>
      <w:r>
        <w:rPr>
          <w:rFonts w:ascii="Times New Roman" w:hAnsi="Times New Roman"/>
          <w:color w:val="000000"/>
          <w:sz w:val="24"/>
        </w:rPr>
        <w:t>,</w:t>
      </w:r>
    </w:p>
    <w:p w:rsidR="00F579E4" w:rsidP="00F579E4">
      <w:pPr>
        <w:pStyle w:val="ListParagraph"/>
        <w:numPr>
          <w:numId w:val="1"/>
        </w:num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Pr="00881B5D">
        <w:rPr>
          <w:rFonts w:ascii="Times New Roman" w:hAnsi="Times New Roman"/>
          <w:color w:val="000000"/>
          <w:sz w:val="24"/>
        </w:rPr>
        <w:t>zákaz zhodnocovania voľných finančných prostried</w:t>
      </w:r>
      <w:r>
        <w:rPr>
          <w:rFonts w:ascii="Times New Roman" w:hAnsi="Times New Roman"/>
          <w:color w:val="000000"/>
          <w:sz w:val="24"/>
        </w:rPr>
        <w:t>kov fondu v komerčných bankách,</w:t>
      </w:r>
    </w:p>
    <w:p w:rsidR="00F579E4" w:rsidP="00F579E4">
      <w:pPr>
        <w:pStyle w:val="ListParagraph"/>
        <w:numPr>
          <w:numId w:val="1"/>
        </w:num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Pr="00881B5D">
        <w:rPr>
          <w:rFonts w:ascii="Times New Roman" w:hAnsi="Times New Roman"/>
          <w:color w:val="000000"/>
          <w:sz w:val="24"/>
        </w:rPr>
        <w:t>nemožnosť od júna 2013 vyberať poplatky za vedenie a správu pôžičkových účtov</w:t>
      </w:r>
      <w:r>
        <w:rPr>
          <w:rFonts w:ascii="Times New Roman" w:hAnsi="Times New Roman"/>
          <w:color w:val="000000"/>
          <w:sz w:val="24"/>
        </w:rPr>
        <w:t>,</w:t>
      </w:r>
    </w:p>
    <w:p w:rsidR="00F579E4" w:rsidP="00F579E4">
      <w:pPr>
        <w:pStyle w:val="ListParagraph"/>
        <w:numPr>
          <w:numId w:val="1"/>
        </w:num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Pr="00881B5D">
        <w:rPr>
          <w:rFonts w:ascii="Times New Roman" w:hAnsi="Times New Roman"/>
          <w:color w:val="000000"/>
          <w:sz w:val="24"/>
        </w:rPr>
        <w:t>objem prostriedkov</w:t>
      </w:r>
      <w:r>
        <w:rPr>
          <w:rFonts w:ascii="Times New Roman" w:hAnsi="Times New Roman"/>
          <w:color w:val="000000"/>
          <w:sz w:val="24"/>
        </w:rPr>
        <w:t>,</w:t>
      </w:r>
      <w:r w:rsidRPr="00881B5D">
        <w:rPr>
          <w:rFonts w:ascii="Times New Roman" w:hAnsi="Times New Roman"/>
          <w:color w:val="000000"/>
          <w:sz w:val="24"/>
        </w:rPr>
        <w:t xml:space="preserve"> o ktoré sa každoročne znižuje nesplatená istina pôžičiek poskytnutých pedagógom</w:t>
      </w:r>
      <w:r>
        <w:rPr>
          <w:rFonts w:ascii="Times New Roman" w:hAnsi="Times New Roman"/>
          <w:color w:val="000000"/>
          <w:sz w:val="24"/>
        </w:rPr>
        <w:t xml:space="preserve"> a</w:t>
      </w:r>
    </w:p>
    <w:p w:rsidR="00F579E4" w:rsidP="007E2A7C">
      <w:pPr>
        <w:pStyle w:val="ListParagraph"/>
        <w:numPr>
          <w:numId w:val="1"/>
        </w:numPr>
        <w:bidi w:val="0"/>
        <w:spacing w:after="2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dĺžka odkladu splátok pôžičiek najmä v prípade študentov, čo sa prejavuje odloženou návratnosťou finančných prostriedkov poskytnutých študentom v priemere o cca 3</w:t>
      </w:r>
      <w:r w:rsidR="00E2172A">
        <w:rPr>
          <w:rFonts w:ascii="Times New Roman" w:hAnsi="Times New Roman"/>
          <w:color w:val="000000"/>
          <w:sz w:val="24"/>
        </w:rPr>
        <w:t>,5</w:t>
      </w:r>
      <w:r>
        <w:rPr>
          <w:rFonts w:ascii="Times New Roman" w:hAnsi="Times New Roman"/>
          <w:color w:val="000000"/>
          <w:sz w:val="24"/>
        </w:rPr>
        <w:t xml:space="preserve"> rok</w:t>
      </w:r>
      <w:r w:rsidR="00E2172A">
        <w:rPr>
          <w:rFonts w:ascii="Times New Roman" w:hAnsi="Times New Roman"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>.</w:t>
      </w:r>
    </w:p>
    <w:p w:rsidR="003275E0" w:rsidP="003275E0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roku 2012 do roku 2016 poklesol priemerný výnos </w:t>
      </w:r>
      <w:r w:rsidRPr="00881B5D" w:rsidR="007E2A7C">
        <w:rPr>
          <w:rFonts w:ascii="Times New Roman" w:hAnsi="Times New Roman"/>
          <w:color w:val="000000"/>
          <w:sz w:val="24"/>
        </w:rPr>
        <w:t>štátnych dlhopisov s desaťročnou splatnosťou</w:t>
      </w:r>
      <w:r w:rsidR="007E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 4,57% p. a. na 0,89 % p. a. s výhľadom ďalšieho poklesu v roku 2017. </w:t>
      </w:r>
      <w:r w:rsidRPr="00282741">
        <w:rPr>
          <w:rFonts w:ascii="Times New Roman" w:hAnsi="Times New Roman"/>
          <w:sz w:val="24"/>
          <w:szCs w:val="24"/>
        </w:rPr>
        <w:t xml:space="preserve">(zdroj: </w:t>
      </w:r>
      <w:hyperlink r:id="rId5" w:history="1">
        <w:r w:rsidRPr="00282741">
          <w:rPr>
            <w:rStyle w:val="Hyperlink"/>
            <w:rFonts w:ascii="Times New Roman" w:hAnsi="Times New Roman"/>
            <w:sz w:val="24"/>
            <w:szCs w:val="24"/>
          </w:rPr>
          <w:t>http://www.nbs.sk/sk/statisticke-udaje/menova-a-bankova-statistika/statistika-dlhodobych-urokovych-sadzieb</w:t>
        </w:r>
      </w:hyperlink>
      <w:r w:rsidRPr="00282741">
        <w:rPr>
          <w:rFonts w:ascii="Times New Roman" w:hAnsi="Times New Roman"/>
          <w:sz w:val="24"/>
          <w:szCs w:val="24"/>
        </w:rPr>
        <w:t>, online).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D8D" w:rsidR="008F0D8D">
        <w:rPr>
          <w:rFonts w:ascii="Times New Roman" w:hAnsi="Times New Roman"/>
          <w:sz w:val="24"/>
          <w:szCs w:val="24"/>
        </w:rPr>
        <w:t>Pri ponechaní súčasn</w:t>
      </w:r>
      <w:r w:rsidR="008F0D8D">
        <w:rPr>
          <w:rFonts w:ascii="Times New Roman" w:hAnsi="Times New Roman"/>
          <w:sz w:val="24"/>
          <w:szCs w:val="24"/>
        </w:rPr>
        <w:t>ého nastavenia úrokovej miery a </w:t>
      </w:r>
      <w:r w:rsidRPr="008F0D8D" w:rsidR="008F0D8D">
        <w:rPr>
          <w:rFonts w:ascii="Times New Roman" w:hAnsi="Times New Roman"/>
          <w:sz w:val="24"/>
          <w:szCs w:val="24"/>
        </w:rPr>
        <w:t>nedofinancovaní fondu zo zdrojov štátneho rozpočtu alebo z iných zdrojov, bude pokračovať pokles počtu podporených žiadateľov o pôžičku na maximálne cca 1 300 ročne (spolu študentov aj pedagógov), čo predstavuje pokles viac ako 40% oproti akademickému / školskému roku 2014/2015.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Návrh </w:t>
      </w:r>
      <w:r w:rsidRPr="00881B5D">
        <w:rPr>
          <w:rFonts w:ascii="Times New Roman" w:hAnsi="Times New Roman"/>
          <w:color w:val="000000"/>
          <w:sz w:val="24"/>
        </w:rPr>
        <w:t xml:space="preserve">zákona </w:t>
      </w:r>
      <w:r>
        <w:rPr>
          <w:rFonts w:ascii="Times New Roman" w:hAnsi="Times New Roman"/>
          <w:color w:val="000000"/>
          <w:sz w:val="24"/>
        </w:rPr>
        <w:t>preto upravuje</w:t>
      </w:r>
      <w:r w:rsidRPr="00881B5D">
        <w:rPr>
          <w:rFonts w:ascii="Times New Roman" w:hAnsi="Times New Roman"/>
          <w:color w:val="000000"/>
          <w:sz w:val="24"/>
        </w:rPr>
        <w:t xml:space="preserve"> spôsob výpočtu úrokovej sadzby poskytovaných pôžičiek</w:t>
      </w:r>
      <w:r w:rsidR="007E2A7C">
        <w:rPr>
          <w:rFonts w:ascii="Times New Roman" w:hAnsi="Times New Roman"/>
          <w:color w:val="000000"/>
          <w:sz w:val="24"/>
        </w:rPr>
        <w:t xml:space="preserve"> naviazaním na dlhodobo stabilnú základnú úrokovú mieru ustanovenú Európskou centrálnou bankou</w:t>
      </w:r>
      <w:r w:rsidRPr="00881B5D">
        <w:rPr>
          <w:rFonts w:ascii="Times New Roman" w:hAnsi="Times New Roman"/>
          <w:color w:val="000000"/>
          <w:sz w:val="24"/>
        </w:rPr>
        <w:t xml:space="preserve">, pričom </w:t>
      </w:r>
      <w:r w:rsidR="007E2A7C">
        <w:rPr>
          <w:rFonts w:ascii="Times New Roman" w:hAnsi="Times New Roman"/>
          <w:color w:val="000000"/>
          <w:sz w:val="24"/>
        </w:rPr>
        <w:t xml:space="preserve">výška úrokovej miery </w:t>
      </w:r>
      <w:r w:rsidRPr="00881B5D">
        <w:rPr>
          <w:rFonts w:ascii="Times New Roman" w:hAnsi="Times New Roman"/>
          <w:color w:val="000000"/>
          <w:sz w:val="24"/>
        </w:rPr>
        <w:t xml:space="preserve">ostane aj naďalej </w:t>
      </w:r>
      <w:r w:rsidR="00811560">
        <w:rPr>
          <w:rFonts w:ascii="Times New Roman" w:hAnsi="Times New Roman"/>
          <w:color w:val="000000"/>
          <w:sz w:val="24"/>
        </w:rPr>
        <w:t>výrazne</w:t>
      </w:r>
      <w:r w:rsidRPr="00881B5D">
        <w:rPr>
          <w:rFonts w:ascii="Times New Roman" w:hAnsi="Times New Roman"/>
          <w:color w:val="000000"/>
          <w:sz w:val="24"/>
        </w:rPr>
        <w:t xml:space="preserve"> nižšia ako úročenie porovnateľných </w:t>
      </w:r>
      <w:r w:rsidR="00E2172A">
        <w:rPr>
          <w:rFonts w:ascii="Times New Roman" w:hAnsi="Times New Roman"/>
          <w:color w:val="000000"/>
          <w:sz w:val="24"/>
        </w:rPr>
        <w:t xml:space="preserve">spotrebných úverov </w:t>
      </w:r>
      <w:r>
        <w:rPr>
          <w:rFonts w:ascii="Times New Roman" w:hAnsi="Times New Roman"/>
          <w:color w:val="000000"/>
          <w:sz w:val="24"/>
        </w:rPr>
        <w:t>v</w:t>
      </w:r>
      <w:r w:rsidRPr="00881B5D">
        <w:rPr>
          <w:rFonts w:ascii="Times New Roman" w:hAnsi="Times New Roman"/>
          <w:color w:val="000000"/>
          <w:sz w:val="24"/>
        </w:rPr>
        <w:t> komerčných b</w:t>
      </w:r>
      <w:r>
        <w:rPr>
          <w:rFonts w:ascii="Times New Roman" w:hAnsi="Times New Roman"/>
          <w:color w:val="000000"/>
          <w:sz w:val="24"/>
        </w:rPr>
        <w:t>a</w:t>
      </w:r>
      <w:r w:rsidRPr="00881B5D">
        <w:rPr>
          <w:rFonts w:ascii="Times New Roman" w:hAnsi="Times New Roman"/>
          <w:color w:val="000000"/>
          <w:sz w:val="24"/>
        </w:rPr>
        <w:t>nk</w:t>
      </w:r>
      <w:r>
        <w:rPr>
          <w:rFonts w:ascii="Times New Roman" w:hAnsi="Times New Roman"/>
          <w:color w:val="000000"/>
          <w:sz w:val="24"/>
        </w:rPr>
        <w:t>ách</w:t>
      </w:r>
      <w:r w:rsidR="007E2A7C">
        <w:rPr>
          <w:rFonts w:ascii="Times New Roman" w:hAnsi="Times New Roman"/>
          <w:color w:val="000000"/>
          <w:sz w:val="24"/>
        </w:rPr>
        <w:t xml:space="preserve"> a jej maximálna výška </w:t>
      </w:r>
      <w:r w:rsidR="00811560">
        <w:rPr>
          <w:rFonts w:ascii="Times New Roman" w:hAnsi="Times New Roman"/>
          <w:color w:val="000000"/>
          <w:sz w:val="24"/>
        </w:rPr>
        <w:t xml:space="preserve">sa znižuje </w:t>
      </w:r>
      <w:r w:rsidR="008F0D8D">
        <w:rPr>
          <w:rFonts w:ascii="Times New Roman" w:hAnsi="Times New Roman"/>
          <w:color w:val="000000"/>
          <w:sz w:val="24"/>
        </w:rPr>
        <w:t>na </w:t>
      </w:r>
      <w:r w:rsidR="007E2A7C">
        <w:rPr>
          <w:rFonts w:ascii="Times New Roman" w:hAnsi="Times New Roman"/>
          <w:color w:val="000000"/>
          <w:sz w:val="24"/>
        </w:rPr>
        <w:t>4 % p. a.</w:t>
      </w:r>
    </w:p>
    <w:p w:rsidR="003275E0" w:rsidP="003275E0">
      <w:pPr>
        <w:bidi w:val="0"/>
        <w:jc w:val="both"/>
        <w:rPr>
          <w:rFonts w:ascii="Times New Roman" w:hAnsi="Times New Roman"/>
          <w:sz w:val="24"/>
          <w:szCs w:val="24"/>
        </w:rPr>
      </w:pPr>
      <w:r w:rsidR="007E2A7C">
        <w:rPr>
          <w:rFonts w:ascii="Times New Roman" w:hAnsi="Times New Roman"/>
          <w:sz w:val="24"/>
          <w:szCs w:val="24"/>
        </w:rPr>
        <w:t xml:space="preserve">Za významný zdroj udržateľnosti hlavnej činnosti fondu treba považovať </w:t>
      </w:r>
      <w:r w:rsidR="00BF588E">
        <w:rPr>
          <w:rFonts w:ascii="Times New Roman" w:hAnsi="Times New Roman"/>
          <w:sz w:val="24"/>
          <w:szCs w:val="24"/>
        </w:rPr>
        <w:t xml:space="preserve">možnosť získať </w:t>
      </w:r>
      <w:r w:rsidR="007E2A7C">
        <w:rPr>
          <w:rFonts w:ascii="Times New Roman" w:hAnsi="Times New Roman"/>
          <w:sz w:val="24"/>
          <w:szCs w:val="24"/>
        </w:rPr>
        <w:t>dotáciu zo štátneho ro</w:t>
      </w:r>
      <w:r w:rsidR="00BF588E">
        <w:rPr>
          <w:rFonts w:ascii="Times New Roman" w:hAnsi="Times New Roman"/>
          <w:sz w:val="24"/>
          <w:szCs w:val="24"/>
        </w:rPr>
        <w:t>z</w:t>
      </w:r>
      <w:r w:rsidR="007E2A7C">
        <w:rPr>
          <w:rFonts w:ascii="Times New Roman" w:hAnsi="Times New Roman"/>
          <w:sz w:val="24"/>
          <w:szCs w:val="24"/>
        </w:rPr>
        <w:t>počtu, preto sa v návrhu precizujú po</w:t>
      </w:r>
      <w:r w:rsidR="00BF588E">
        <w:rPr>
          <w:rFonts w:ascii="Times New Roman" w:hAnsi="Times New Roman"/>
          <w:sz w:val="24"/>
          <w:szCs w:val="24"/>
        </w:rPr>
        <w:t>d</w:t>
      </w:r>
      <w:r w:rsidR="007E2A7C">
        <w:rPr>
          <w:rFonts w:ascii="Times New Roman" w:hAnsi="Times New Roman"/>
          <w:sz w:val="24"/>
          <w:szCs w:val="24"/>
        </w:rPr>
        <w:t>mienky jej pos</w:t>
      </w:r>
      <w:r w:rsidR="00BF588E">
        <w:rPr>
          <w:rFonts w:ascii="Times New Roman" w:hAnsi="Times New Roman"/>
          <w:sz w:val="24"/>
          <w:szCs w:val="24"/>
        </w:rPr>
        <w:t>ky</w:t>
      </w:r>
      <w:r w:rsidR="007E2A7C">
        <w:rPr>
          <w:rFonts w:ascii="Times New Roman" w:hAnsi="Times New Roman"/>
          <w:sz w:val="24"/>
          <w:szCs w:val="24"/>
        </w:rPr>
        <w:t>tnutia – určuje sa zdroj dotácie,</w:t>
      </w:r>
      <w:r w:rsidR="00BF588E">
        <w:rPr>
          <w:rFonts w:ascii="Times New Roman" w:hAnsi="Times New Roman"/>
          <w:sz w:val="24"/>
          <w:szCs w:val="24"/>
        </w:rPr>
        <w:t xml:space="preserve"> ktorým je rozpočtová kapitola Mi</w:t>
      </w:r>
      <w:r w:rsidR="007E2A7C">
        <w:rPr>
          <w:rFonts w:ascii="Times New Roman" w:hAnsi="Times New Roman"/>
          <w:sz w:val="24"/>
          <w:szCs w:val="24"/>
        </w:rPr>
        <w:t xml:space="preserve">nisterstva školstva, vedy, výskumu a športu </w:t>
      </w:r>
      <w:r w:rsidR="00BF588E">
        <w:rPr>
          <w:rFonts w:ascii="Times New Roman" w:hAnsi="Times New Roman"/>
          <w:sz w:val="24"/>
          <w:szCs w:val="24"/>
        </w:rPr>
        <w:t>S</w:t>
      </w:r>
      <w:r w:rsidR="007E2A7C">
        <w:rPr>
          <w:rFonts w:ascii="Times New Roman" w:hAnsi="Times New Roman"/>
          <w:sz w:val="24"/>
          <w:szCs w:val="24"/>
        </w:rPr>
        <w:t>lovenskej republiky a</w:t>
      </w:r>
      <w:r w:rsidR="00BF588E">
        <w:rPr>
          <w:rFonts w:ascii="Times New Roman" w:hAnsi="Times New Roman"/>
          <w:sz w:val="24"/>
          <w:szCs w:val="24"/>
        </w:rPr>
        <w:t>  účel dotácie,</w:t>
      </w:r>
      <w:r w:rsidRPr="00BF588E" w:rsidR="00BF588E">
        <w:rPr>
          <w:rFonts w:ascii="Times New Roman" w:hAnsi="Times New Roman"/>
          <w:color w:val="000000"/>
          <w:sz w:val="24"/>
        </w:rPr>
        <w:t xml:space="preserve"> </w:t>
      </w:r>
      <w:r w:rsidR="00BF588E">
        <w:rPr>
          <w:rFonts w:ascii="Times New Roman" w:hAnsi="Times New Roman"/>
          <w:color w:val="000000"/>
          <w:sz w:val="24"/>
        </w:rPr>
        <w:t>ktorým môže byť len poskytovanie pôžičiek.</w:t>
      </w:r>
    </w:p>
    <w:p w:rsidR="00F579E4" w:rsidP="00BF588E">
      <w:pPr>
        <w:bidi w:val="0"/>
        <w:spacing w:after="100" w:afterAutospacing="1"/>
        <w:jc w:val="both"/>
        <w:rPr>
          <w:rFonts w:ascii="Times New Roman" w:hAnsi="Times New Roman"/>
          <w:color w:val="000000"/>
          <w:sz w:val="24"/>
        </w:rPr>
      </w:pPr>
      <w:r w:rsidRPr="00881B5D">
        <w:rPr>
          <w:rFonts w:ascii="Times New Roman" w:hAnsi="Times New Roman"/>
          <w:color w:val="000000"/>
          <w:sz w:val="24"/>
        </w:rPr>
        <w:t>Zároveň sa umožňuje fondu prijímať pôžičky a úvery z</w:t>
      </w:r>
      <w:r>
        <w:rPr>
          <w:rFonts w:ascii="Times New Roman" w:hAnsi="Times New Roman"/>
          <w:color w:val="000000"/>
          <w:sz w:val="24"/>
        </w:rPr>
        <w:t> medzinárodných finančných inštitúcií (</w:t>
      </w:r>
      <w:r w:rsidR="00BF588E">
        <w:rPr>
          <w:rFonts w:ascii="Times New Roman" w:hAnsi="Times New Roman"/>
          <w:color w:val="000000"/>
          <w:sz w:val="24"/>
        </w:rPr>
        <w:t xml:space="preserve">napr. </w:t>
      </w:r>
      <w:r>
        <w:rPr>
          <w:rFonts w:ascii="Times New Roman" w:hAnsi="Times New Roman"/>
          <w:color w:val="000000"/>
          <w:sz w:val="24"/>
        </w:rPr>
        <w:t xml:space="preserve">EIB, CEB), ktorých je Slovenská republika členom a </w:t>
      </w:r>
      <w:r w:rsidRPr="00881B5D">
        <w:rPr>
          <w:rFonts w:ascii="Times New Roman" w:hAnsi="Times New Roman"/>
          <w:color w:val="000000"/>
          <w:sz w:val="24"/>
        </w:rPr>
        <w:t xml:space="preserve">komerčných bánk za presne </w:t>
      </w:r>
      <w:r w:rsidR="007B3D29">
        <w:rPr>
          <w:rFonts w:ascii="Times New Roman" w:hAnsi="Times New Roman"/>
          <w:color w:val="000000"/>
          <w:sz w:val="24"/>
        </w:rPr>
        <w:t>určených</w:t>
      </w:r>
      <w:r w:rsidRPr="00881B5D" w:rsidR="007B3D29">
        <w:rPr>
          <w:rFonts w:ascii="Times New Roman" w:hAnsi="Times New Roman"/>
          <w:color w:val="000000"/>
          <w:sz w:val="24"/>
        </w:rPr>
        <w:t xml:space="preserve"> </w:t>
      </w:r>
      <w:r w:rsidRPr="00881B5D">
        <w:rPr>
          <w:rFonts w:ascii="Times New Roman" w:hAnsi="Times New Roman"/>
          <w:color w:val="000000"/>
          <w:sz w:val="24"/>
        </w:rPr>
        <w:t>podmienok</w:t>
      </w:r>
      <w:r>
        <w:rPr>
          <w:rFonts w:ascii="Times New Roman" w:hAnsi="Times New Roman"/>
          <w:color w:val="000000"/>
          <w:sz w:val="24"/>
        </w:rPr>
        <w:t>.</w:t>
      </w:r>
    </w:p>
    <w:p w:rsidR="00391F26" w:rsidP="00391F26">
      <w:pPr>
        <w:bidi w:val="0"/>
        <w:spacing w:after="100" w:afterAutospacing="1"/>
        <w:jc w:val="both"/>
        <w:rPr>
          <w:rFonts w:ascii="Times New Roman" w:hAnsi="Times New Roman"/>
          <w:color w:val="000000"/>
          <w:sz w:val="24"/>
        </w:rPr>
      </w:pPr>
      <w:r w:rsidRPr="00391F26">
        <w:rPr>
          <w:rFonts w:ascii="Times New Roman" w:hAnsi="Times New Roman"/>
          <w:color w:val="000000"/>
          <w:sz w:val="24"/>
        </w:rPr>
        <w:t xml:space="preserve">Uvažovať s udržateľnosťou činnosti fondu a následne </w:t>
      </w:r>
      <w:r>
        <w:rPr>
          <w:rFonts w:ascii="Times New Roman" w:hAnsi="Times New Roman"/>
          <w:color w:val="000000"/>
          <w:sz w:val="24"/>
        </w:rPr>
        <w:t>s využitím dotácie, úveru alebo ich kombinácie</w:t>
      </w:r>
      <w:r w:rsidRPr="00391F26">
        <w:rPr>
          <w:rFonts w:ascii="Times New Roman" w:hAnsi="Times New Roman"/>
          <w:color w:val="000000"/>
          <w:sz w:val="24"/>
        </w:rPr>
        <w:t xml:space="preserve"> je možné len v prípade zákonnej úpravy výšky úrokovej sadzby pôžičiek. </w:t>
      </w:r>
      <w:r>
        <w:rPr>
          <w:rFonts w:ascii="Times New Roman" w:hAnsi="Times New Roman"/>
          <w:color w:val="000000"/>
          <w:sz w:val="24"/>
        </w:rPr>
        <w:t>Efektívna r</w:t>
      </w:r>
      <w:r w:rsidRPr="00391F26">
        <w:rPr>
          <w:rFonts w:ascii="Times New Roman" w:hAnsi="Times New Roman"/>
          <w:color w:val="000000"/>
          <w:sz w:val="24"/>
        </w:rPr>
        <w:t xml:space="preserve">ealizácia </w:t>
      </w:r>
      <w:r>
        <w:rPr>
          <w:rFonts w:ascii="Times New Roman" w:hAnsi="Times New Roman"/>
          <w:color w:val="000000"/>
          <w:sz w:val="24"/>
        </w:rPr>
        <w:t>zdroja financovania, ktorým je</w:t>
      </w:r>
      <w:r w:rsidRPr="00391F26">
        <w:rPr>
          <w:rFonts w:ascii="Times New Roman" w:hAnsi="Times New Roman"/>
          <w:color w:val="000000"/>
          <w:sz w:val="24"/>
        </w:rPr>
        <w:t xml:space="preserve"> úver</w:t>
      </w:r>
      <w:r>
        <w:rPr>
          <w:rFonts w:ascii="Times New Roman" w:hAnsi="Times New Roman"/>
          <w:color w:val="000000"/>
          <w:sz w:val="24"/>
        </w:rPr>
        <w:t>,</w:t>
      </w:r>
      <w:r w:rsidRPr="00391F26">
        <w:rPr>
          <w:rFonts w:ascii="Times New Roman" w:hAnsi="Times New Roman"/>
          <w:color w:val="000000"/>
          <w:sz w:val="24"/>
        </w:rPr>
        <w:t xml:space="preserve"> alebo </w:t>
      </w:r>
      <w:r>
        <w:rPr>
          <w:rFonts w:ascii="Times New Roman" w:hAnsi="Times New Roman"/>
          <w:color w:val="000000"/>
          <w:sz w:val="24"/>
        </w:rPr>
        <w:t>kombinácie</w:t>
      </w:r>
      <w:r w:rsidRPr="00391F26">
        <w:rPr>
          <w:rFonts w:ascii="Times New Roman" w:hAnsi="Times New Roman"/>
          <w:color w:val="000000"/>
          <w:sz w:val="24"/>
        </w:rPr>
        <w:t xml:space="preserve"> štátnej dotácie a úveru je možná len v prípade, že úročenie pôžičiek poskytovaných fondom</w:t>
      </w:r>
      <w:r w:rsidR="008F0D8D">
        <w:rPr>
          <w:rFonts w:ascii="Times New Roman" w:hAnsi="Times New Roman"/>
          <w:color w:val="000000"/>
          <w:sz w:val="24"/>
        </w:rPr>
        <w:t xml:space="preserve"> bude minimálne o 1% vyššie ako </w:t>
      </w:r>
      <w:r w:rsidRPr="00391F26">
        <w:rPr>
          <w:rFonts w:ascii="Times New Roman" w:hAnsi="Times New Roman"/>
          <w:color w:val="000000"/>
          <w:sz w:val="24"/>
        </w:rPr>
        <w:t>úročenie úveru.</w:t>
      </w:r>
    </w:p>
    <w:p w:rsidR="003275E0" w:rsidP="00BF588E">
      <w:pPr>
        <w:bidi w:val="0"/>
        <w:spacing w:after="10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</w:t>
      </w:r>
      <w:r w:rsidRPr="00881B5D">
        <w:rPr>
          <w:rFonts w:ascii="Times New Roman" w:hAnsi="Times New Roman"/>
          <w:color w:val="000000"/>
          <w:sz w:val="24"/>
        </w:rPr>
        <w:t xml:space="preserve">pravuje sa aj maximálna </w:t>
      </w:r>
      <w:r>
        <w:rPr>
          <w:rFonts w:ascii="Times New Roman" w:hAnsi="Times New Roman"/>
          <w:color w:val="000000"/>
          <w:sz w:val="24"/>
        </w:rPr>
        <w:t>suma,</w:t>
      </w:r>
      <w:r w:rsidRPr="00881B5D">
        <w:rPr>
          <w:rFonts w:ascii="Times New Roman" w:hAnsi="Times New Roman"/>
          <w:color w:val="000000"/>
          <w:sz w:val="24"/>
        </w:rPr>
        <w:t xml:space="preserve"> o ktorú sa znižuje nesplatená istina pôžičiek poskytnutých pedagógom po odpracovaní piatich rokov v rezorte školstva.</w:t>
      </w:r>
      <w:r w:rsidR="007E2A7C">
        <w:rPr>
          <w:rFonts w:ascii="Times New Roman" w:hAnsi="Times New Roman"/>
          <w:color w:val="000000"/>
          <w:sz w:val="24"/>
        </w:rPr>
        <w:t xml:space="preserve"> Zníženie istiny </w:t>
      </w:r>
      <w:r w:rsidR="00BF588E">
        <w:rPr>
          <w:rFonts w:ascii="Times New Roman" w:hAnsi="Times New Roman"/>
          <w:color w:val="000000"/>
          <w:sz w:val="24"/>
        </w:rPr>
        <w:t>sa navrhuje</w:t>
      </w:r>
      <w:r w:rsidR="008F0D8D">
        <w:rPr>
          <w:rFonts w:ascii="Times New Roman" w:hAnsi="Times New Roman"/>
          <w:color w:val="000000"/>
          <w:sz w:val="24"/>
        </w:rPr>
        <w:t xml:space="preserve"> oproti </w:t>
      </w:r>
      <w:r w:rsidR="007E2A7C">
        <w:rPr>
          <w:rFonts w:ascii="Times New Roman" w:hAnsi="Times New Roman"/>
          <w:color w:val="000000"/>
          <w:sz w:val="24"/>
        </w:rPr>
        <w:t xml:space="preserve">doterajšiemu stavu len </w:t>
      </w:r>
      <w:r w:rsidR="00BF588E">
        <w:rPr>
          <w:rFonts w:ascii="Times New Roman" w:hAnsi="Times New Roman"/>
          <w:color w:val="000000"/>
          <w:sz w:val="24"/>
        </w:rPr>
        <w:t xml:space="preserve">ako </w:t>
      </w:r>
      <w:r w:rsidR="007E2A7C">
        <w:rPr>
          <w:rFonts w:ascii="Times New Roman" w:hAnsi="Times New Roman"/>
          <w:color w:val="000000"/>
          <w:sz w:val="24"/>
        </w:rPr>
        <w:t>jednorazové.</w:t>
      </w:r>
    </w:p>
    <w:p w:rsidR="003F2310" w:rsidP="003F231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881B5D" w:rsidR="00DD5B1F">
        <w:rPr>
          <w:rFonts w:ascii="Times New Roman" w:hAnsi="Times New Roman"/>
          <w:color w:val="000000"/>
          <w:sz w:val="24"/>
        </w:rPr>
        <w:t>N</w:t>
      </w:r>
      <w:r w:rsidRPr="00881B5D" w:rsidR="00BE146E">
        <w:rPr>
          <w:rFonts w:ascii="Times New Roman" w:hAnsi="Times New Roman"/>
          <w:color w:val="000000"/>
          <w:sz w:val="24"/>
        </w:rPr>
        <w:t xml:space="preserve">ajčastejšími požiadavkami </w:t>
      </w:r>
      <w:r w:rsidRPr="00881B5D" w:rsidR="00DD5B1F">
        <w:rPr>
          <w:rFonts w:ascii="Times New Roman" w:hAnsi="Times New Roman"/>
          <w:color w:val="000000"/>
          <w:sz w:val="24"/>
        </w:rPr>
        <w:t>a odporúčania</w:t>
      </w:r>
      <w:r w:rsidR="00C807C8">
        <w:rPr>
          <w:rFonts w:ascii="Times New Roman" w:hAnsi="Times New Roman"/>
          <w:color w:val="000000"/>
          <w:sz w:val="24"/>
        </w:rPr>
        <w:t>mi</w:t>
      </w:r>
      <w:r w:rsidRPr="00881B5D" w:rsidR="00DD5B1F">
        <w:rPr>
          <w:rFonts w:ascii="Times New Roman" w:hAnsi="Times New Roman"/>
          <w:color w:val="000000"/>
          <w:sz w:val="24"/>
        </w:rPr>
        <w:t xml:space="preserve"> </w:t>
      </w:r>
      <w:r w:rsidR="00F579E4">
        <w:rPr>
          <w:rFonts w:ascii="Times New Roman" w:hAnsi="Times New Roman"/>
          <w:color w:val="000000"/>
          <w:sz w:val="24"/>
        </w:rPr>
        <w:t xml:space="preserve">klientov fondu a potenciálnych </w:t>
      </w:r>
      <w:r w:rsidRPr="00881B5D" w:rsidR="00BE146E">
        <w:rPr>
          <w:rFonts w:ascii="Times New Roman" w:hAnsi="Times New Roman"/>
          <w:color w:val="000000"/>
          <w:sz w:val="24"/>
        </w:rPr>
        <w:t xml:space="preserve">žiadateľov o pôžičku </w:t>
      </w:r>
      <w:r w:rsidRPr="00881B5D" w:rsidR="00DD5B1F">
        <w:rPr>
          <w:rFonts w:ascii="Times New Roman" w:hAnsi="Times New Roman"/>
          <w:color w:val="000000"/>
          <w:sz w:val="24"/>
        </w:rPr>
        <w:t xml:space="preserve">vo vzťahu k podmienkam poskytovania pôžičiek </w:t>
      </w:r>
      <w:r w:rsidR="008F0D8D">
        <w:rPr>
          <w:rFonts w:ascii="Times New Roman" w:hAnsi="Times New Roman"/>
          <w:color w:val="000000"/>
          <w:sz w:val="24"/>
        </w:rPr>
        <w:t>bolo zvýšenie počtu termínov na </w:t>
      </w:r>
      <w:r w:rsidRPr="00881B5D" w:rsidR="00BE146E">
        <w:rPr>
          <w:rFonts w:ascii="Times New Roman" w:hAnsi="Times New Roman"/>
          <w:color w:val="000000"/>
          <w:sz w:val="24"/>
        </w:rPr>
        <w:t>p</w:t>
      </w:r>
      <w:r w:rsidRPr="00881B5D" w:rsidR="00881B5D">
        <w:rPr>
          <w:rFonts w:ascii="Times New Roman" w:hAnsi="Times New Roman"/>
          <w:color w:val="000000"/>
          <w:sz w:val="24"/>
        </w:rPr>
        <w:t>odanie</w:t>
      </w:r>
      <w:r w:rsidRPr="00881B5D" w:rsidR="00BE146E">
        <w:rPr>
          <w:rFonts w:ascii="Times New Roman" w:hAnsi="Times New Roman"/>
          <w:color w:val="000000"/>
          <w:sz w:val="24"/>
        </w:rPr>
        <w:t xml:space="preserve"> žiadostí o pôžičku, prehodnotenie, doplnenie a úprava poradia prednostných kritérií na posudzovanie predložených žiadostí o pôžičku v prípade, ak fond nemá dostatok prostriedkov na poskytnutie pôžičky všetkým žiadateľom o pôžičku, ako aj zrýchlenie doby posudzovania predložených žiadostí o pôžičku.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649A9">
        <w:rPr>
          <w:rFonts w:ascii="Times New Roman" w:hAnsi="Times New Roman"/>
          <w:sz w:val="24"/>
          <w:szCs w:val="24"/>
        </w:rPr>
        <w:t xml:space="preserve">Nová úprava </w:t>
      </w:r>
      <w:r w:rsidR="00F579E4">
        <w:rPr>
          <w:rFonts w:ascii="Times New Roman" w:hAnsi="Times New Roman"/>
          <w:sz w:val="24"/>
          <w:szCs w:val="24"/>
        </w:rPr>
        <w:t xml:space="preserve">podmienok poskytovania pôžičiek </w:t>
      </w:r>
      <w:r w:rsidRPr="008649A9">
        <w:rPr>
          <w:rFonts w:ascii="Times New Roman" w:hAnsi="Times New Roman"/>
          <w:sz w:val="24"/>
          <w:szCs w:val="24"/>
        </w:rPr>
        <w:t xml:space="preserve">vychádza </w:t>
      </w:r>
      <w:r w:rsidR="00F579E4">
        <w:rPr>
          <w:rFonts w:ascii="Times New Roman" w:hAnsi="Times New Roman"/>
          <w:sz w:val="24"/>
          <w:szCs w:val="24"/>
        </w:rPr>
        <w:t xml:space="preserve">preto </w:t>
      </w:r>
      <w:r w:rsidRPr="008649A9">
        <w:rPr>
          <w:rFonts w:ascii="Times New Roman" w:hAnsi="Times New Roman"/>
          <w:sz w:val="24"/>
          <w:szCs w:val="24"/>
        </w:rPr>
        <w:t>z návrhov a požiadaviek súčasných aj potenciálnych žiadateľov o pôžičku, komunikovaných prostredníctvom dotazníkovej kampane, sociálnej siete</w:t>
      </w:r>
      <w:r>
        <w:rPr>
          <w:rFonts w:ascii="Times New Roman" w:hAnsi="Times New Roman"/>
          <w:sz w:val="24"/>
          <w:szCs w:val="24"/>
        </w:rPr>
        <w:t>, osobných stretnutí, telefonických podnetov</w:t>
      </w:r>
      <w:r w:rsidRPr="008649A9">
        <w:rPr>
          <w:rFonts w:ascii="Times New Roman" w:hAnsi="Times New Roman"/>
          <w:sz w:val="24"/>
          <w:szCs w:val="24"/>
        </w:rPr>
        <w:t xml:space="preserve"> a cez webové sídlo fondu.</w:t>
      </w:r>
    </w:p>
    <w:p w:rsidR="00CD63E7" w:rsidP="003275E0">
      <w:p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="003275E0">
        <w:rPr>
          <w:rFonts w:ascii="Times New Roman" w:hAnsi="Times New Roman"/>
          <w:color w:val="000000"/>
          <w:sz w:val="24"/>
        </w:rPr>
        <w:t xml:space="preserve">Návrh novely zároveň pomôže zlepšiť sociálnu situáciu </w:t>
      </w:r>
      <w:r w:rsidR="00BF588E">
        <w:rPr>
          <w:rFonts w:ascii="Times New Roman" w:hAnsi="Times New Roman"/>
          <w:color w:val="000000"/>
          <w:sz w:val="24"/>
        </w:rPr>
        <w:t xml:space="preserve">doteraz neoprávnenej skupine žiadateľov - </w:t>
      </w:r>
      <w:r w:rsidR="003275E0">
        <w:rPr>
          <w:rFonts w:ascii="Times New Roman" w:hAnsi="Times New Roman"/>
          <w:color w:val="000000"/>
          <w:sz w:val="24"/>
        </w:rPr>
        <w:t>mladých vysokoškolských učiteľov, výskumných pracovníkov a umeleckých pracovníkov do 35 rokov</w:t>
      </w:r>
      <w:r>
        <w:rPr>
          <w:rFonts w:ascii="Times New Roman" w:hAnsi="Times New Roman"/>
          <w:color w:val="000000"/>
          <w:sz w:val="24"/>
        </w:rPr>
        <w:t>.</w:t>
      </w:r>
    </w:p>
    <w:p w:rsidR="00F579E4" w:rsidP="00197CF1">
      <w:pPr>
        <w:bidi w:val="0"/>
        <w:spacing w:after="280" w:afterAutospacing="1"/>
        <w:jc w:val="both"/>
        <w:rPr>
          <w:rFonts w:ascii="Times New Roman" w:hAnsi="Times New Roman"/>
          <w:color w:val="000000"/>
          <w:sz w:val="24"/>
        </w:rPr>
      </w:pPr>
      <w:r w:rsidR="00CA04A4">
        <w:rPr>
          <w:rFonts w:ascii="Times New Roman" w:hAnsi="Times New Roman"/>
          <w:color w:val="000000"/>
          <w:sz w:val="24"/>
        </w:rPr>
        <w:t>Predložený n</w:t>
      </w:r>
      <w:r w:rsidRPr="00CA04A4" w:rsidR="00CA04A4">
        <w:rPr>
          <w:rFonts w:ascii="Times New Roman" w:hAnsi="Times New Roman"/>
          <w:color w:val="000000"/>
          <w:sz w:val="24"/>
        </w:rPr>
        <w:t xml:space="preserve">ávrh zákona </w:t>
      </w:r>
      <w:r w:rsidR="003275E0">
        <w:rPr>
          <w:rFonts w:ascii="Times New Roman" w:hAnsi="Times New Roman"/>
          <w:color w:val="000000"/>
          <w:sz w:val="24"/>
        </w:rPr>
        <w:t xml:space="preserve">tiež </w:t>
      </w:r>
      <w:r>
        <w:rPr>
          <w:rFonts w:ascii="Times New Roman" w:hAnsi="Times New Roman"/>
          <w:color w:val="000000"/>
          <w:sz w:val="24"/>
        </w:rPr>
        <w:t>odstraňuje problémy pri aplikácii n</w:t>
      </w:r>
      <w:r w:rsidR="008F0D8D">
        <w:rPr>
          <w:rFonts w:ascii="Times New Roman" w:hAnsi="Times New Roman"/>
          <w:color w:val="000000"/>
          <w:sz w:val="24"/>
        </w:rPr>
        <w:t>iektorých ustanovení zákona pri </w:t>
      </w:r>
      <w:r>
        <w:rPr>
          <w:rFonts w:ascii="Times New Roman" w:hAnsi="Times New Roman"/>
          <w:color w:val="000000"/>
          <w:sz w:val="24"/>
        </w:rPr>
        <w:t>preukazovaní niektorých skutočností žiadateľmi a klientmi fondu a spracúvaní poskytnutých údajov.</w:t>
      </w:r>
    </w:p>
    <w:p w:rsidR="00197CF1" w:rsidRPr="00533F57" w:rsidP="00533F57">
      <w:pPr>
        <w:pStyle w:val="NormalWeb"/>
        <w:bidi w:val="0"/>
        <w:jc w:val="both"/>
        <w:rPr>
          <w:rStyle w:val="PlaceholderText"/>
          <w:color w:val="auto"/>
        </w:rPr>
      </w:pPr>
      <w:r w:rsidR="00533F57">
        <w:rPr>
          <w:rFonts w:ascii="Times New Roman" w:hAnsi="Times New Roman"/>
        </w:rPr>
        <w:t xml:space="preserve">Návrh predpokladá pozitívne sociálne vplyvy aj negatívne sociálne vplyvy a pozitívny vplyv na služby pre občana. Návrh zákona nemá vplyv na rozpočet verejnej správy, na podnikateľské prostredie, na životné prostredie ani na informatizáciu. </w:t>
      </w:r>
    </w:p>
    <w:p w:rsidR="0013111F" w:rsidRPr="00EA0618" w:rsidP="003F2310">
      <w:pPr>
        <w:bidi w:val="0"/>
        <w:spacing w:after="280" w:afterAutospacing="1"/>
        <w:jc w:val="both"/>
        <w:rPr>
          <w:rFonts w:ascii="Times New Roman" w:hAnsi="Times New Roman"/>
          <w:sz w:val="24"/>
          <w:szCs w:val="24"/>
        </w:rPr>
      </w:pPr>
      <w:r w:rsidRPr="00197CF1" w:rsidR="00197CF1">
        <w:rPr>
          <w:rStyle w:val="PlaceholderText"/>
          <w:color w:val="000000"/>
          <w:sz w:val="24"/>
        </w:rPr>
        <w:t xml:space="preserve">Návrh </w:t>
      </w:r>
      <w:r w:rsidR="006F7D84">
        <w:rPr>
          <w:rStyle w:val="PlaceholderText"/>
          <w:color w:val="000000"/>
          <w:sz w:val="24"/>
        </w:rPr>
        <w:t xml:space="preserve">materiálu </w:t>
      </w:r>
      <w:r w:rsidRPr="00197CF1" w:rsidR="00197CF1">
        <w:rPr>
          <w:rStyle w:val="PlaceholderText"/>
          <w:color w:val="000000"/>
          <w:sz w:val="24"/>
        </w:rPr>
        <w:t>je v súlade s Ústavou SR, ostatnými všeobecne záväznými právnymi predpismi, medzinárodnými zmluvami a inými medzinárodnými dokumentmi, ktorými je Slovenská republika viazaná</w:t>
      </w:r>
      <w:r w:rsidR="00F1146E">
        <w:rPr>
          <w:rStyle w:val="PlaceholderText"/>
          <w:color w:val="000000"/>
          <w:sz w:val="24"/>
        </w:rPr>
        <w:t xml:space="preserve"> ako aj s nálezmi Ústavného súdu SR.</w:t>
      </w:r>
    </w:p>
    <w:sectPr w:rsidSect="00712155">
      <w:pgSz w:w="12240" w:h="15840"/>
      <w:pgMar w:top="1418" w:right="1418" w:bottom="1418" w:left="1418" w:header="709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BF2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abstractNum w:abstractNumId="1">
    <w:nsid w:val="31EC78A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abstractNum w:abstractNumId="2">
    <w:nsid w:val="5AEB3BD9"/>
    <w:multiLevelType w:val="hybridMultilevel"/>
    <w:tmpl w:val="91A87A06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977C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  <w:rtl w:val="0"/>
        <w:cs w:val="0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  <w:rtl w:val="0"/>
        <w:cs w:val="0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  <w:rtl w:val="0"/>
        <w:cs w:val="0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 w:hint="default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2232C"/>
    <w:rsid w:val="00023EF2"/>
    <w:rsid w:val="000267C4"/>
    <w:rsid w:val="00045434"/>
    <w:rsid w:val="0005258B"/>
    <w:rsid w:val="0005673F"/>
    <w:rsid w:val="000737BB"/>
    <w:rsid w:val="00083941"/>
    <w:rsid w:val="000C329A"/>
    <w:rsid w:val="000D6001"/>
    <w:rsid w:val="000E5B82"/>
    <w:rsid w:val="000F0760"/>
    <w:rsid w:val="00102F76"/>
    <w:rsid w:val="001058DF"/>
    <w:rsid w:val="0013111F"/>
    <w:rsid w:val="00161216"/>
    <w:rsid w:val="00197CF1"/>
    <w:rsid w:val="001A26A4"/>
    <w:rsid w:val="001A4524"/>
    <w:rsid w:val="001B7691"/>
    <w:rsid w:val="001C715E"/>
    <w:rsid w:val="001D43BF"/>
    <w:rsid w:val="001E23EB"/>
    <w:rsid w:val="001F3706"/>
    <w:rsid w:val="00201CC4"/>
    <w:rsid w:val="002021C5"/>
    <w:rsid w:val="0020293D"/>
    <w:rsid w:val="002068A7"/>
    <w:rsid w:val="00222A93"/>
    <w:rsid w:val="0025758B"/>
    <w:rsid w:val="00282327"/>
    <w:rsid w:val="00282741"/>
    <w:rsid w:val="00284691"/>
    <w:rsid w:val="00284A55"/>
    <w:rsid w:val="0029278E"/>
    <w:rsid w:val="00293FFF"/>
    <w:rsid w:val="002B2F10"/>
    <w:rsid w:val="002C7EAC"/>
    <w:rsid w:val="002D0456"/>
    <w:rsid w:val="002E2B02"/>
    <w:rsid w:val="002E4442"/>
    <w:rsid w:val="002F3699"/>
    <w:rsid w:val="00310F6E"/>
    <w:rsid w:val="0031677A"/>
    <w:rsid w:val="003275E0"/>
    <w:rsid w:val="003505BC"/>
    <w:rsid w:val="00350F9C"/>
    <w:rsid w:val="00371B63"/>
    <w:rsid w:val="00387F67"/>
    <w:rsid w:val="00391F26"/>
    <w:rsid w:val="003961E7"/>
    <w:rsid w:val="003B25F6"/>
    <w:rsid w:val="003F2310"/>
    <w:rsid w:val="003F6E50"/>
    <w:rsid w:val="00403182"/>
    <w:rsid w:val="00411422"/>
    <w:rsid w:val="0041263B"/>
    <w:rsid w:val="00427603"/>
    <w:rsid w:val="004322EE"/>
    <w:rsid w:val="004467A7"/>
    <w:rsid w:val="0046373D"/>
    <w:rsid w:val="0046776A"/>
    <w:rsid w:val="00467FAB"/>
    <w:rsid w:val="0047061B"/>
    <w:rsid w:val="00494508"/>
    <w:rsid w:val="00496527"/>
    <w:rsid w:val="004C2E93"/>
    <w:rsid w:val="004D3156"/>
    <w:rsid w:val="004F1653"/>
    <w:rsid w:val="004F4621"/>
    <w:rsid w:val="005058DF"/>
    <w:rsid w:val="005115C6"/>
    <w:rsid w:val="0051249C"/>
    <w:rsid w:val="00513F36"/>
    <w:rsid w:val="005226B2"/>
    <w:rsid w:val="00533F57"/>
    <w:rsid w:val="005551F9"/>
    <w:rsid w:val="005806A8"/>
    <w:rsid w:val="00584832"/>
    <w:rsid w:val="005912C2"/>
    <w:rsid w:val="005A3A8C"/>
    <w:rsid w:val="005B053D"/>
    <w:rsid w:val="005B17B4"/>
    <w:rsid w:val="005B55E6"/>
    <w:rsid w:val="005C71CF"/>
    <w:rsid w:val="005D2682"/>
    <w:rsid w:val="005D685C"/>
    <w:rsid w:val="005D68D9"/>
    <w:rsid w:val="005D730A"/>
    <w:rsid w:val="006045A1"/>
    <w:rsid w:val="00616D41"/>
    <w:rsid w:val="00663643"/>
    <w:rsid w:val="0068311D"/>
    <w:rsid w:val="006869EB"/>
    <w:rsid w:val="006C46C4"/>
    <w:rsid w:val="006D177B"/>
    <w:rsid w:val="006D7C84"/>
    <w:rsid w:val="006E3EB0"/>
    <w:rsid w:val="006E6C05"/>
    <w:rsid w:val="006F30FE"/>
    <w:rsid w:val="006F7D84"/>
    <w:rsid w:val="00702B7C"/>
    <w:rsid w:val="00710CE8"/>
    <w:rsid w:val="00712155"/>
    <w:rsid w:val="00713BCF"/>
    <w:rsid w:val="00741C9F"/>
    <w:rsid w:val="00757622"/>
    <w:rsid w:val="00774159"/>
    <w:rsid w:val="00780F9E"/>
    <w:rsid w:val="00781C73"/>
    <w:rsid w:val="00794979"/>
    <w:rsid w:val="007A07F8"/>
    <w:rsid w:val="007A5F4C"/>
    <w:rsid w:val="007B0EEC"/>
    <w:rsid w:val="007B3B72"/>
    <w:rsid w:val="007B3D29"/>
    <w:rsid w:val="007B4B60"/>
    <w:rsid w:val="007B7859"/>
    <w:rsid w:val="007D282D"/>
    <w:rsid w:val="007E26FC"/>
    <w:rsid w:val="007E2A7C"/>
    <w:rsid w:val="007E7B91"/>
    <w:rsid w:val="007F626B"/>
    <w:rsid w:val="00802FD0"/>
    <w:rsid w:val="00807C4F"/>
    <w:rsid w:val="008114A8"/>
    <w:rsid w:val="00811560"/>
    <w:rsid w:val="008176AD"/>
    <w:rsid w:val="0082232C"/>
    <w:rsid w:val="00833B06"/>
    <w:rsid w:val="008349F9"/>
    <w:rsid w:val="00836FA6"/>
    <w:rsid w:val="008649A9"/>
    <w:rsid w:val="00881B5D"/>
    <w:rsid w:val="00896607"/>
    <w:rsid w:val="008B5272"/>
    <w:rsid w:val="008C2E3A"/>
    <w:rsid w:val="008E4D07"/>
    <w:rsid w:val="008E78CB"/>
    <w:rsid w:val="008F0D8D"/>
    <w:rsid w:val="008F17FF"/>
    <w:rsid w:val="008F3B1C"/>
    <w:rsid w:val="0091090F"/>
    <w:rsid w:val="00917C35"/>
    <w:rsid w:val="00942AF0"/>
    <w:rsid w:val="0094376E"/>
    <w:rsid w:val="00957F49"/>
    <w:rsid w:val="009664D7"/>
    <w:rsid w:val="0097086F"/>
    <w:rsid w:val="009735FC"/>
    <w:rsid w:val="00982303"/>
    <w:rsid w:val="009A4E90"/>
    <w:rsid w:val="009B635B"/>
    <w:rsid w:val="009E57E0"/>
    <w:rsid w:val="00A0085F"/>
    <w:rsid w:val="00A42987"/>
    <w:rsid w:val="00A6415E"/>
    <w:rsid w:val="00A64B6A"/>
    <w:rsid w:val="00A6549F"/>
    <w:rsid w:val="00A77CE8"/>
    <w:rsid w:val="00A85B4F"/>
    <w:rsid w:val="00A874C7"/>
    <w:rsid w:val="00A9039B"/>
    <w:rsid w:val="00AA7034"/>
    <w:rsid w:val="00AB0DDA"/>
    <w:rsid w:val="00AB55AA"/>
    <w:rsid w:val="00B159B9"/>
    <w:rsid w:val="00B16AD6"/>
    <w:rsid w:val="00B25F1D"/>
    <w:rsid w:val="00B36334"/>
    <w:rsid w:val="00B40237"/>
    <w:rsid w:val="00B818D1"/>
    <w:rsid w:val="00B82F2C"/>
    <w:rsid w:val="00B95EC1"/>
    <w:rsid w:val="00BC028D"/>
    <w:rsid w:val="00BC0A6A"/>
    <w:rsid w:val="00BD4611"/>
    <w:rsid w:val="00BD737E"/>
    <w:rsid w:val="00BE146E"/>
    <w:rsid w:val="00BE643C"/>
    <w:rsid w:val="00BF588E"/>
    <w:rsid w:val="00C34746"/>
    <w:rsid w:val="00C428BD"/>
    <w:rsid w:val="00C807C8"/>
    <w:rsid w:val="00C85539"/>
    <w:rsid w:val="00CA04A4"/>
    <w:rsid w:val="00CC0697"/>
    <w:rsid w:val="00CC17E0"/>
    <w:rsid w:val="00CC1905"/>
    <w:rsid w:val="00CD2124"/>
    <w:rsid w:val="00CD63E7"/>
    <w:rsid w:val="00CE687C"/>
    <w:rsid w:val="00CF28B9"/>
    <w:rsid w:val="00D0730D"/>
    <w:rsid w:val="00D32B94"/>
    <w:rsid w:val="00D429ED"/>
    <w:rsid w:val="00D71BC0"/>
    <w:rsid w:val="00DA5E2F"/>
    <w:rsid w:val="00DD5B1F"/>
    <w:rsid w:val="00DF52E6"/>
    <w:rsid w:val="00E0544F"/>
    <w:rsid w:val="00E17DD7"/>
    <w:rsid w:val="00E2172A"/>
    <w:rsid w:val="00E22220"/>
    <w:rsid w:val="00E24C21"/>
    <w:rsid w:val="00E526A4"/>
    <w:rsid w:val="00E64BA4"/>
    <w:rsid w:val="00E77321"/>
    <w:rsid w:val="00E803AA"/>
    <w:rsid w:val="00E961CA"/>
    <w:rsid w:val="00E96BB6"/>
    <w:rsid w:val="00EA0618"/>
    <w:rsid w:val="00EB6A58"/>
    <w:rsid w:val="00EC1D96"/>
    <w:rsid w:val="00ED3716"/>
    <w:rsid w:val="00EE4A56"/>
    <w:rsid w:val="00EF7E13"/>
    <w:rsid w:val="00F0190B"/>
    <w:rsid w:val="00F1146E"/>
    <w:rsid w:val="00F275BA"/>
    <w:rsid w:val="00F32962"/>
    <w:rsid w:val="00F364B2"/>
    <w:rsid w:val="00F54912"/>
    <w:rsid w:val="00F579E4"/>
    <w:rsid w:val="00F62ECA"/>
    <w:rsid w:val="00F65906"/>
    <w:rsid w:val="00F9594A"/>
    <w:rsid w:val="00FC5F52"/>
    <w:rsid w:val="00FD0A5F"/>
    <w:rsid w:val="00FD354E"/>
    <w:rsid w:val="00FE7F3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A0618"/>
    <w:rPr>
      <w:rFonts w:ascii="Times New Roman" w:hAnsi="Times New Roman" w:cs="Times New Roman"/>
      <w:color w:val="808080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D371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D371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D371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D371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D371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D371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D3716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282741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282741"/>
    <w:rPr>
      <w:rFonts w:cs="Times New Roman"/>
      <w:color w:val="800080" w:themeColor="folHlink" w:themeShade="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942AF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Footer">
    <w:name w:val="footer"/>
    <w:basedOn w:val="Normal"/>
    <w:link w:val="PtaChar"/>
    <w:uiPriority w:val="99"/>
    <w:rsid w:val="006869E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68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869EB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6869E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6869E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81B5D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unhideWhenUsed/>
    <w:rsid w:val="001F3706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F370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F3706"/>
    <w:rPr>
      <w:rFonts w:ascii="Times New Roman" w:hAnsi="Times New Roman"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nbs.sk/sk/statisticke-udaje/menova-a-bankova-statistika/statistika-dlhodobych-urokovych-sadzieb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8B5C-A7A7-40B7-B8A6-05D9EDB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811</Words>
  <Characters>4623</Characters>
  <Application>Microsoft Office Word</Application>
  <DocSecurity>0</DocSecurity>
  <Lines>0</Lines>
  <Paragraphs>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Viliam Bokol</cp:lastModifiedBy>
  <cp:revision>9</cp:revision>
  <cp:lastPrinted>2016-09-07T16:51:00Z</cp:lastPrinted>
  <dcterms:created xsi:type="dcterms:W3CDTF">2016-08-30T09:25:00Z</dcterms:created>
  <dcterms:modified xsi:type="dcterms:W3CDTF">2016-09-09T10:20:00Z</dcterms:modified>
</cp:coreProperties>
</file>