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0C087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63488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 w:rsidR="0063488E">
              <w:rPr>
                <w:rFonts w:ascii="Times New Roman" w:hAnsi="Times New Roman"/>
                <w:sz w:val="24"/>
                <w:szCs w:val="24"/>
                <w:lang w:eastAsia="sk-SK"/>
              </w:rPr>
              <w:t>Ministerstvo spravodlivosti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Sociálna poisťovňa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CB75D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B7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CB75D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B7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674 592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CB75D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B7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674 592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CB75D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B7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674 592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zdravotné poisťovne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CB75D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B7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CB75D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B7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274 962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CB75D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B7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274 962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CB75D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B75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274 962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3488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4 975 224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3488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3 572 208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63488E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3 572 208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7D5748" w:rsidP="0063488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Ministerstvo spravodlivosti SR (08P)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414BD6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414BD6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4 975 224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414BD6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3 572 208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414BD6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3 572 208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414BD6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4 975 224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3 572 208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 xml:space="preserve">3 572 208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414BD6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414BD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4 975 224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3 572 208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3 572 208   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831631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316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Sociálna poisťovňa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831631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316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32A02" w:rsidRPr="00831631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212 000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32A02" w:rsidRPr="00831631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212 000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832A02" w:rsidRPr="00831631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  <w:t>212 000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zdravotné poisťovne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832A0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32A02" w:rsidR="00832A0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32A0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32A0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43195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43195" w:rsidR="006348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832A0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832A0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149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Sociálna poisťovňa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6A542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A54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6A542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A54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6A5425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6A54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10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1 998 514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1 998 514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1 998 514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1 840 452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1 840 452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63488E" w:rsidRPr="0063488E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63488E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1 840 452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Sociálna poisťovňa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158 062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158 062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158 062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63488E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 w:rsidR="0063488E">
              <w:rPr>
                <w:rFonts w:ascii="Times New Roman" w:hAnsi="Times New Roman"/>
                <w:sz w:val="24"/>
                <w:szCs w:val="24"/>
                <w:lang w:eastAsia="sk-SK"/>
              </w:rPr>
              <w:t>Ministerstvo spravodlivosti SR (08P)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63488E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63488E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63488E" w:rsidRPr="00832A02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32A02" w:rsidR="00832A0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5 187 224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63488E" w:rsidRPr="00832A02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32A02" w:rsidR="00832A0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3 784 208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63488E" w:rsidRPr="00832A02" w:rsidP="00E54749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32A02" w:rsidR="00832A0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3 784 208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bookmarkEnd w:id="0"/>
    </w:p>
    <w:p w:rsidR="007D5748" w:rsidRPr="007D5748" w:rsidP="00832A02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E963A3"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7D5748" w:rsidRPr="007D5748" w:rsidP="003F27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E54749">
        <w:rPr>
          <w:rFonts w:ascii="Times New Roman" w:hAnsi="Times New Roman"/>
          <w:sz w:val="24"/>
          <w:szCs w:val="24"/>
        </w:rPr>
        <w:t xml:space="preserve">Objem rozpočtových prostriedkov </w:t>
      </w:r>
      <w:r w:rsidR="003F274A">
        <w:rPr>
          <w:rFonts w:ascii="Times New Roman" w:hAnsi="Times New Roman"/>
          <w:sz w:val="24"/>
          <w:szCs w:val="24"/>
        </w:rPr>
        <w:t>súvisiacich v plnom rozsahu s</w:t>
      </w:r>
      <w:r w:rsidR="00E54749">
        <w:rPr>
          <w:rFonts w:ascii="Times New Roman" w:hAnsi="Times New Roman"/>
          <w:sz w:val="24"/>
          <w:szCs w:val="24"/>
        </w:rPr>
        <w:t xml:space="preserve"> novovzniknutý</w:t>
      </w:r>
      <w:r w:rsidR="003F274A">
        <w:rPr>
          <w:rFonts w:ascii="Times New Roman" w:hAnsi="Times New Roman"/>
          <w:sz w:val="24"/>
          <w:szCs w:val="24"/>
        </w:rPr>
        <w:t>m</w:t>
      </w:r>
      <w:r w:rsidR="00E54749">
        <w:rPr>
          <w:rFonts w:ascii="Times New Roman" w:hAnsi="Times New Roman"/>
          <w:sz w:val="24"/>
          <w:szCs w:val="24"/>
        </w:rPr>
        <w:t xml:space="preserve"> útvar</w:t>
      </w:r>
      <w:r w:rsidR="003F274A">
        <w:rPr>
          <w:rFonts w:ascii="Times New Roman" w:hAnsi="Times New Roman"/>
          <w:sz w:val="24"/>
          <w:szCs w:val="24"/>
        </w:rPr>
        <w:t>om</w:t>
      </w:r>
      <w:r w:rsidR="00E54749">
        <w:rPr>
          <w:rFonts w:ascii="Times New Roman" w:hAnsi="Times New Roman"/>
          <w:sz w:val="24"/>
          <w:szCs w:val="24"/>
        </w:rPr>
        <w:t xml:space="preserve"> pod okresným súdom riešiť navýšením rozpočtu kapitoly</w:t>
      </w:r>
      <w:r w:rsidRPr="00E54749" w:rsidR="00E54749">
        <w:rPr>
          <w:rFonts w:ascii="Times New Roman" w:hAnsi="Times New Roman"/>
          <w:sz w:val="24"/>
          <w:szCs w:val="24"/>
        </w:rPr>
        <w:t xml:space="preserve"> </w:t>
      </w:r>
      <w:r w:rsidR="00E54749">
        <w:rPr>
          <w:rFonts w:ascii="Times New Roman" w:hAnsi="Times New Roman"/>
          <w:sz w:val="24"/>
          <w:szCs w:val="24"/>
        </w:rPr>
        <w:t>Ministerstvo spravodlivosti Slovenskej republiky</w:t>
      </w:r>
      <w:r w:rsidR="003F274A">
        <w:rPr>
          <w:rFonts w:ascii="Times New Roman" w:hAnsi="Times New Roman"/>
          <w:sz w:val="24"/>
          <w:szCs w:val="24"/>
        </w:rPr>
        <w:t xml:space="preserve"> v príslušných rokoch</w:t>
      </w:r>
      <w:r w:rsidR="00E54749">
        <w:rPr>
          <w:rFonts w:ascii="Times New Roman" w:hAnsi="Times New Roman"/>
          <w:sz w:val="24"/>
          <w:szCs w:val="24"/>
        </w:rPr>
        <w:t>.</w:t>
      </w:r>
    </w:p>
    <w:p w:rsidR="00E5474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BA3843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3843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23236A" w:rsidP="0023236A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23236A" w:rsidRPr="0023236A" w:rsidP="0023236A">
      <w:pPr>
        <w:bidi w:val="0"/>
        <w:spacing w:line="240" w:lineRule="auto"/>
        <w:jc w:val="both"/>
        <w:rPr>
          <w:rStyle w:val="PlaceholderText"/>
          <w:color w:val="000000"/>
          <w:sz w:val="24"/>
          <w:szCs w:val="24"/>
        </w:rPr>
      </w:pPr>
      <w:r w:rsidRPr="0023236A">
        <w:rPr>
          <w:rStyle w:val="PlaceholderText"/>
          <w:color w:val="000000"/>
          <w:sz w:val="24"/>
          <w:szCs w:val="24"/>
        </w:rPr>
        <w:t>Účelom návrhu zákona je pripraviť komplexnú právnu úpravu exekučných konaní s cieľom zefektívniť vymáhanie pohľadávok pre veriteľov a zároveň poskytnúť primeranú ochranu základným právam dlžníka a na ten účel ustanoviť jednoznačný spôsob a rozsah určovania výšky trov exekúcie a zaviesť procesné pravidlá umožňujúce rýchlejšiu a funkčnejšiu vymožiteľnosť právom chránených nárokov</w:t>
      </w:r>
      <w:r>
        <w:rPr>
          <w:rStyle w:val="PlaceholderText"/>
          <w:color w:val="000000"/>
          <w:sz w:val="24"/>
          <w:szCs w:val="24"/>
        </w:rPr>
        <w:t>.</w:t>
      </w:r>
    </w:p>
    <w:p w:rsidR="0023236A" w:rsidRPr="0023236A" w:rsidP="0023236A">
      <w:pPr>
        <w:bidi w:val="0"/>
        <w:spacing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23236A">
        <w:rPr>
          <w:rFonts w:ascii="Times New Roman" w:hAnsi="Times New Roman"/>
          <w:sz w:val="24"/>
          <w:szCs w:val="24"/>
        </w:rPr>
        <w:t>Nová právna úprava je postavená na týchto základných pilieroch:</w:t>
      </w:r>
    </w:p>
    <w:p w:rsidR="0023236A" w:rsidRPr="0023236A" w:rsidP="0023236A">
      <w:pPr>
        <w:widowControl w:val="0"/>
        <w:numPr>
          <w:numId w:val="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náhodný výber súdneho exekútora pre jednotlivé exekučné konania</w:t>
      </w:r>
      <w:r w:rsidRPr="0023236A">
        <w:rPr>
          <w:rFonts w:ascii="Times New Roman" w:hAnsi="Times New Roman"/>
          <w:sz w:val="24"/>
          <w:szCs w:val="24"/>
        </w:rPr>
        <w:t xml:space="preserve">, </w:t>
      </w:r>
    </w:p>
    <w:p w:rsidR="0023236A" w:rsidP="0023236A">
      <w:pPr>
        <w:widowControl w:val="0"/>
        <w:numPr>
          <w:numId w:val="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rovnomerné rozdeľovanie exekučných vecí medzi súdnych exekútorov na krajovom územnom princípe,</w:t>
      </w:r>
    </w:p>
    <w:p w:rsidR="0023236A" w:rsidP="0023236A">
      <w:pPr>
        <w:widowControl w:val="0"/>
        <w:numPr>
          <w:numId w:val="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jediný exekučný súd v Slovenskej republike,</w:t>
      </w:r>
    </w:p>
    <w:p w:rsidR="0023236A" w:rsidP="0023236A">
      <w:pPr>
        <w:widowControl w:val="0"/>
        <w:numPr>
          <w:numId w:val="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dôraz na elektronickú komunikáciu,</w:t>
      </w:r>
    </w:p>
    <w:p w:rsidR="0023236A" w:rsidP="0023236A">
      <w:pPr>
        <w:widowControl w:val="0"/>
        <w:numPr>
          <w:numId w:val="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zavedenie jasných preddavkov na trovy exekúcie,</w:t>
      </w:r>
    </w:p>
    <w:p w:rsidR="0023236A" w:rsidP="0023236A">
      <w:pPr>
        <w:widowControl w:val="0"/>
        <w:numPr>
          <w:numId w:val="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paušálne odmeňovanie súdnych exekútorov,</w:t>
      </w:r>
    </w:p>
    <w:p w:rsidR="0023236A" w:rsidP="0023236A">
      <w:pPr>
        <w:widowControl w:val="0"/>
        <w:numPr>
          <w:numId w:val="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výrazné zníženie počtu úkonov súdu v exekučnom konaní, odbúranie potreby rozhodovať </w:t>
      </w:r>
      <w:r w:rsidR="00BA3843">
        <w:rPr>
          <w:rFonts w:ascii="Times New Roman" w:hAnsi="Times New Roman"/>
          <w:sz w:val="24"/>
          <w:szCs w:val="24"/>
        </w:rPr>
        <w:t>o trovách exekúcie pri jej zastavení,</w:t>
      </w:r>
    </w:p>
    <w:p w:rsidR="00BA3843" w:rsidRPr="005F4418" w:rsidP="0023236A">
      <w:pPr>
        <w:widowControl w:val="0"/>
        <w:numPr>
          <w:numId w:val="4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418">
        <w:rPr>
          <w:rStyle w:val="PlaceholderText"/>
          <w:color w:val="000000"/>
          <w:sz w:val="24"/>
          <w:szCs w:val="24"/>
        </w:rPr>
        <w:t xml:space="preserve">prenesenie rozhodovania o niektorých 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>vybraný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 xml:space="preserve">ch </w:t>
      </w:r>
      <w:r w:rsidRPr="005F4418">
        <w:rPr>
          <w:rStyle w:val="PlaceholderText"/>
          <w:color w:val="000000"/>
          <w:sz w:val="24"/>
          <w:szCs w:val="24"/>
        </w:rPr>
        <w:t>otázkach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 xml:space="preserve"> exekuč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>né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>ho konania na sú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>dneho exekú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>tora bez potreby ingerencie exekuč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>né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>ho sú</w:t>
      </w:r>
      <w:r w:rsidRPr="005F4418">
        <w:rPr>
          <w:rStyle w:val="PlaceholderText"/>
          <w:rFonts w:eastAsiaTheme="minorEastAsia" w:hint="default"/>
          <w:color w:val="000000"/>
          <w:sz w:val="24"/>
          <w:szCs w:val="24"/>
        </w:rPr>
        <w:t>du.</w:t>
      </w:r>
    </w:p>
    <w:p w:rsidR="007D5748" w:rsidRPr="0023236A" w:rsidP="0023236A">
      <w:pPr>
        <w:bidi w:val="0"/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:rsidR="007D5748" w:rsidRPr="000C087A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:rsidR="007D5748" w:rsidRPr="00BA3843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A3843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BA3843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BA3843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A3843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BA3843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BA3843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BA3843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A3843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A3843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BA3843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A3843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BA3843" w:rsidR="0023236A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BA3843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BA3843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BA3843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A3843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A3843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BA3843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BA3843">
        <w:rPr>
          <w:rFonts w:ascii="Times New Roman" w:hAnsi="Times New Roman"/>
          <w:sz w:val="24"/>
          <w:szCs w:val="24"/>
          <w:lang w:eastAsia="sk-SK"/>
        </w:rPr>
        <w:t xml:space="preserve">  iné</w:t>
      </w:r>
      <w:r w:rsidRPr="007D5748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D5748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3C37EA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C37EA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C37EA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C37EA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7D5748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E54749">
        <w:rPr>
          <w:rFonts w:ascii="Times New Roman" w:hAnsi="Times New Roman"/>
          <w:sz w:val="24"/>
          <w:szCs w:val="24"/>
          <w:lang w:eastAsia="sk-SK"/>
        </w:rPr>
        <w:t>Uvedený návrh zohľadňuje náklady na novovzniknutý útvar pod okresným súdom, ktorý bude umiestnený v samostatnom objekte (predpoklad získania objektu bezodplatným prevodom).</w:t>
      </w:r>
    </w:p>
    <w:p w:rsidR="00E54749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F425C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E54749">
        <w:rPr>
          <w:rFonts w:ascii="Times New Roman" w:hAnsi="Times New Roman"/>
          <w:sz w:val="24"/>
          <w:szCs w:val="24"/>
          <w:lang w:eastAsia="sk-SK"/>
        </w:rPr>
        <w:t>Náklady v oblasti osobných výdavkov zohľadňujú navýšenie počtu zamestnancov o 149, z toho 9 sudcov vrátane jedného podpredsedu súdu, 131 štátnych zamestnancov</w:t>
      </w:r>
      <w:r w:rsidR="003B450D">
        <w:rPr>
          <w:rFonts w:ascii="Times New Roman" w:hAnsi="Times New Roman"/>
          <w:sz w:val="24"/>
          <w:szCs w:val="24"/>
          <w:lang w:eastAsia="sk-SK"/>
        </w:rPr>
        <w:t xml:space="preserve">, z ktorých </w:t>
      </w:r>
      <w:r w:rsidR="00E54749">
        <w:rPr>
          <w:rFonts w:ascii="Times New Roman" w:hAnsi="Times New Roman"/>
          <w:sz w:val="24"/>
          <w:szCs w:val="24"/>
          <w:lang w:eastAsia="sk-SK"/>
        </w:rPr>
        <w:t>118 patrí pod aparát sudcu</w:t>
      </w:r>
      <w:r w:rsidR="00414BD6">
        <w:rPr>
          <w:rFonts w:ascii="Times New Roman" w:hAnsi="Times New Roman"/>
          <w:sz w:val="24"/>
          <w:szCs w:val="24"/>
          <w:lang w:eastAsia="sk-SK"/>
        </w:rPr>
        <w:t xml:space="preserve"> (výkon súdnictva)</w:t>
      </w:r>
      <w:r w:rsidR="003B450D">
        <w:rPr>
          <w:rFonts w:ascii="Times New Roman" w:hAnsi="Times New Roman"/>
          <w:sz w:val="24"/>
          <w:szCs w:val="24"/>
          <w:lang w:eastAsia="sk-SK"/>
        </w:rPr>
        <w:t>, 6 do všeobecného súdneho oddelenia</w:t>
      </w:r>
      <w:r w:rsidR="00F4791E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3B450D">
        <w:rPr>
          <w:rFonts w:ascii="Times New Roman" w:hAnsi="Times New Roman"/>
          <w:sz w:val="24"/>
          <w:szCs w:val="24"/>
          <w:lang w:eastAsia="sk-SK"/>
        </w:rPr>
        <w:t xml:space="preserve">a 7 </w:t>
      </w:r>
      <w:r w:rsidR="00F4791E">
        <w:rPr>
          <w:rFonts w:ascii="Times New Roman" w:hAnsi="Times New Roman"/>
          <w:sz w:val="24"/>
          <w:szCs w:val="24"/>
          <w:lang w:eastAsia="sk-SK"/>
        </w:rPr>
        <w:t>d</w:t>
      </w:r>
      <w:r w:rsidR="003B450D">
        <w:rPr>
          <w:rFonts w:ascii="Times New Roman" w:hAnsi="Times New Roman"/>
          <w:sz w:val="24"/>
          <w:szCs w:val="24"/>
          <w:lang w:eastAsia="sk-SK"/>
        </w:rPr>
        <w:t>o správy súdu</w:t>
      </w:r>
      <w:r w:rsidR="003131B1">
        <w:rPr>
          <w:rFonts w:ascii="Times New Roman" w:hAnsi="Times New Roman"/>
          <w:sz w:val="24"/>
          <w:szCs w:val="24"/>
          <w:lang w:eastAsia="sk-SK"/>
        </w:rPr>
        <w:t xml:space="preserve"> s ohľadom na rozšírenie činností okresného súdu </w:t>
      </w:r>
      <w:r w:rsidR="00E54749">
        <w:rPr>
          <w:rFonts w:ascii="Times New Roman" w:hAnsi="Times New Roman"/>
          <w:sz w:val="24"/>
          <w:szCs w:val="24"/>
          <w:lang w:eastAsia="sk-SK"/>
        </w:rPr>
        <w:t>a 9 zamestnancov pri výkone práce vo verejnom záujme</w:t>
      </w:r>
      <w:r w:rsidR="00F4791E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3B450D">
        <w:rPr>
          <w:rFonts w:ascii="Times New Roman" w:hAnsi="Times New Roman"/>
          <w:sz w:val="24"/>
          <w:szCs w:val="24"/>
          <w:lang w:eastAsia="sk-SK"/>
        </w:rPr>
        <w:t xml:space="preserve">ktorí majú posilniť </w:t>
      </w:r>
      <w:r>
        <w:rPr>
          <w:rFonts w:ascii="Times New Roman" w:hAnsi="Times New Roman"/>
          <w:sz w:val="24"/>
          <w:szCs w:val="24"/>
          <w:lang w:eastAsia="sk-SK"/>
        </w:rPr>
        <w:t xml:space="preserve">oblasť </w:t>
      </w:r>
      <w:r w:rsidR="003B450D">
        <w:rPr>
          <w:rFonts w:ascii="Times New Roman" w:hAnsi="Times New Roman"/>
          <w:sz w:val="24"/>
          <w:szCs w:val="24"/>
          <w:lang w:eastAsia="sk-SK"/>
        </w:rPr>
        <w:t>správ</w:t>
      </w:r>
      <w:r>
        <w:rPr>
          <w:rFonts w:ascii="Times New Roman" w:hAnsi="Times New Roman"/>
          <w:sz w:val="24"/>
          <w:szCs w:val="24"/>
          <w:lang w:eastAsia="sk-SK"/>
        </w:rPr>
        <w:t>y</w:t>
      </w:r>
      <w:r w:rsidR="003B450D">
        <w:rPr>
          <w:rFonts w:ascii="Times New Roman" w:hAnsi="Times New Roman"/>
          <w:sz w:val="24"/>
          <w:szCs w:val="24"/>
          <w:lang w:eastAsia="sk-SK"/>
        </w:rPr>
        <w:t xml:space="preserve"> súdu</w:t>
      </w:r>
      <w:r w:rsidR="009A26E9">
        <w:rPr>
          <w:rFonts w:ascii="Times New Roman" w:hAnsi="Times New Roman"/>
          <w:sz w:val="24"/>
          <w:szCs w:val="24"/>
          <w:lang w:eastAsia="sk-SK"/>
        </w:rPr>
        <w:t xml:space="preserve"> s ohľadom na pribudnutie nového objektu do správy</w:t>
      </w:r>
      <w:r w:rsidR="00E54749">
        <w:rPr>
          <w:rFonts w:ascii="Times New Roman" w:hAnsi="Times New Roman"/>
          <w:sz w:val="24"/>
          <w:szCs w:val="24"/>
          <w:lang w:eastAsia="sk-SK"/>
        </w:rPr>
        <w:t>.</w:t>
      </w:r>
    </w:p>
    <w:p w:rsidR="00EF425C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54749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EF425C">
        <w:rPr>
          <w:rFonts w:ascii="Times New Roman" w:hAnsi="Times New Roman"/>
          <w:sz w:val="24"/>
          <w:szCs w:val="24"/>
          <w:lang w:eastAsia="sk-SK"/>
        </w:rPr>
        <w:t>Osobné výdavky sú počítané v prípade sudcov vrátane nároku na vyplatenie 13. a 14. platu, v prípade podpredsedu zvýšené o príslušný príplatok, v prípade ostatných zamestnancov na základe zaradenia do príslušných tried, k tomu je počítané osobné ohodnotenie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EF425C">
        <w:rPr>
          <w:rFonts w:ascii="Times New Roman" w:hAnsi="Times New Roman"/>
          <w:sz w:val="24"/>
          <w:szCs w:val="24"/>
          <w:lang w:eastAsia="sk-SK"/>
        </w:rPr>
        <w:t>(v priemere cca 30 %) a príslušné odvody do poisťovní.</w:t>
      </w:r>
    </w:p>
    <w:p w:rsidR="009A26E9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EF425C">
        <w:rPr>
          <w:rFonts w:ascii="Times New Roman" w:hAnsi="Times New Roman"/>
          <w:sz w:val="24"/>
          <w:szCs w:val="24"/>
          <w:lang w:eastAsia="sk-SK"/>
        </w:rPr>
        <w:t xml:space="preserve">V prípade ostatných bežných výdavkov, ktoré sú v prvom roku zvýšené ide o výdavky na prvotné zariadenie </w:t>
      </w:r>
      <w:r w:rsidR="00224AD8">
        <w:rPr>
          <w:rFonts w:ascii="Times New Roman" w:hAnsi="Times New Roman"/>
          <w:sz w:val="24"/>
          <w:szCs w:val="24"/>
          <w:lang w:eastAsia="sk-SK"/>
        </w:rPr>
        <w:t>objektu a jeho prispôsobenie výkonu činnosti súdu</w:t>
      </w:r>
      <w:r w:rsidR="00EF425C">
        <w:rPr>
          <w:rFonts w:ascii="Times New Roman" w:hAnsi="Times New Roman"/>
          <w:sz w:val="24"/>
          <w:szCs w:val="24"/>
          <w:lang w:eastAsia="sk-SK"/>
        </w:rPr>
        <w:t xml:space="preserve"> vrátane prvotného </w:t>
      </w:r>
      <w:r w:rsidR="00224AD8">
        <w:rPr>
          <w:rFonts w:ascii="Times New Roman" w:hAnsi="Times New Roman"/>
          <w:sz w:val="24"/>
          <w:szCs w:val="24"/>
          <w:lang w:eastAsia="sk-SK"/>
        </w:rPr>
        <w:t>vybavenia</w:t>
      </w:r>
      <w:r w:rsidR="00EF425C">
        <w:rPr>
          <w:rFonts w:ascii="Times New Roman" w:hAnsi="Times New Roman"/>
          <w:sz w:val="24"/>
          <w:szCs w:val="24"/>
          <w:lang w:eastAsia="sk-SK"/>
        </w:rPr>
        <w:t xml:space="preserve"> pre zamestnancov</w:t>
      </w:r>
      <w:r>
        <w:rPr>
          <w:rFonts w:ascii="Times New Roman" w:hAnsi="Times New Roman"/>
          <w:sz w:val="24"/>
          <w:szCs w:val="24"/>
          <w:lang w:eastAsia="sk-SK"/>
        </w:rPr>
        <w:t xml:space="preserve"> (iba v roku 2017) a</w:t>
      </w:r>
      <w:r w:rsidR="00176841">
        <w:rPr>
          <w:rFonts w:ascii="Times New Roman" w:hAnsi="Times New Roman"/>
          <w:sz w:val="24"/>
          <w:szCs w:val="24"/>
          <w:lang w:eastAsia="sk-SK"/>
        </w:rPr>
        <w:t xml:space="preserve"> bežné </w:t>
      </w:r>
      <w:r>
        <w:rPr>
          <w:rFonts w:ascii="Times New Roman" w:hAnsi="Times New Roman"/>
          <w:sz w:val="24"/>
          <w:szCs w:val="24"/>
          <w:lang w:eastAsia="sk-SK"/>
        </w:rPr>
        <w:t>prevádzkové výdavky na budovu</w:t>
      </w:r>
      <w:r w:rsidR="003131B1">
        <w:rPr>
          <w:rFonts w:ascii="Times New Roman" w:hAnsi="Times New Roman"/>
          <w:sz w:val="24"/>
          <w:szCs w:val="24"/>
          <w:lang w:eastAsia="sk-SK"/>
        </w:rPr>
        <w:t xml:space="preserve">, výkon činnosti útvaru 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="00176841">
        <w:rPr>
          <w:rFonts w:ascii="Times New Roman" w:hAnsi="Times New Roman"/>
          <w:sz w:val="24"/>
          <w:szCs w:val="24"/>
          <w:lang w:eastAsia="sk-SK"/>
        </w:rPr>
        <w:t> </w:t>
      </w:r>
      <w:r>
        <w:rPr>
          <w:rFonts w:ascii="Times New Roman" w:hAnsi="Times New Roman"/>
          <w:sz w:val="24"/>
          <w:szCs w:val="24"/>
          <w:lang w:eastAsia="sk-SK"/>
        </w:rPr>
        <w:t>zamestnancov</w:t>
      </w:r>
      <w:r w:rsidR="00176841">
        <w:rPr>
          <w:rFonts w:ascii="Times New Roman" w:hAnsi="Times New Roman"/>
          <w:sz w:val="24"/>
          <w:szCs w:val="24"/>
          <w:lang w:eastAsia="sk-SK"/>
        </w:rPr>
        <w:t xml:space="preserve"> vrátane nákladov na hybridnú poštu</w:t>
      </w:r>
      <w:r>
        <w:rPr>
          <w:rFonts w:ascii="Times New Roman" w:hAnsi="Times New Roman"/>
          <w:sz w:val="24"/>
          <w:szCs w:val="24"/>
          <w:lang w:eastAsia="sk-SK"/>
        </w:rPr>
        <w:t>, ktoré sú uplatňované každoročne.</w:t>
      </w:r>
    </w:p>
    <w:p w:rsidR="00224AD8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24AD8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 prípade kapitálových výdavkov ide </w:t>
      </w:r>
      <w:r w:rsidR="003131B1">
        <w:rPr>
          <w:rFonts w:ascii="Times New Roman" w:hAnsi="Times New Roman"/>
          <w:sz w:val="24"/>
          <w:szCs w:val="24"/>
          <w:lang w:eastAsia="sk-SK"/>
        </w:rPr>
        <w:t xml:space="preserve">v prvom roku </w:t>
      </w:r>
      <w:r>
        <w:rPr>
          <w:rFonts w:ascii="Times New Roman" w:hAnsi="Times New Roman"/>
          <w:sz w:val="24"/>
          <w:szCs w:val="24"/>
          <w:lang w:eastAsia="sk-SK"/>
        </w:rPr>
        <w:t xml:space="preserve">o výdavky na softvér – úpravu </w:t>
      </w:r>
      <w:r w:rsidR="003131B1">
        <w:rPr>
          <w:rFonts w:ascii="Times New Roman" w:hAnsi="Times New Roman"/>
          <w:sz w:val="24"/>
          <w:szCs w:val="24"/>
          <w:lang w:eastAsia="sk-SK"/>
        </w:rPr>
        <w:t xml:space="preserve">príslušných </w:t>
      </w:r>
      <w:r>
        <w:rPr>
          <w:rFonts w:ascii="Times New Roman" w:hAnsi="Times New Roman"/>
          <w:sz w:val="24"/>
          <w:szCs w:val="24"/>
          <w:lang w:eastAsia="sk-SK"/>
        </w:rPr>
        <w:t xml:space="preserve">aplikácií, hardvér a sieťové </w:t>
      </w:r>
      <w:r w:rsidR="003131B1">
        <w:rPr>
          <w:rFonts w:ascii="Times New Roman" w:hAnsi="Times New Roman"/>
          <w:sz w:val="24"/>
          <w:szCs w:val="24"/>
          <w:lang w:eastAsia="sk-SK"/>
        </w:rPr>
        <w:t>zariadenia a nákup jedného osobného motorového vozidla v predpokladanej sume 20 000 eur. V ďalších rokoch ide o výdavky na softvér – úpravu príslušných aplikácií.</w:t>
      </w:r>
    </w:p>
    <w:p w:rsidR="00832A02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32A02" w:rsidP="00832A0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B) V súvislosti s rozšíreným pôsobnosti Sociálnej poisťovne v oblasti vymáhania pohľadávok (t. z. priamy výkon rozhodnutia) sa predpokladá zvýšenie počtu zamestnancov Sociálnej poisťovne o 10, pričom ročné výdavky budú predstavovať približne 212 tisíc eur (vrátane príslušných odvodov do poisťovní).  </w:t>
      </w:r>
    </w:p>
    <w:p w:rsidR="00832A02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3F274A" w:rsidP="007D574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B2B5F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E54749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832A02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7D5748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7D5748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7D5748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832A0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E32E0A" w:rsidP="00832A02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E32E0A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Poistné (150)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E32E0A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E32E0A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E32E0A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E32E0A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E32E0A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E32E0A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 w:rsidRPr="00E32E0A"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E32E0A" w:rsidP="00832A02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E32E0A" w:rsidP="00832A02">
            <w:pPr>
              <w:bidi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32E0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Poistné (151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- 158</w:t>
            </w:r>
            <w:r w:rsidRPr="00E32E0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E32E0A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E32E0A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32E0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E32E0A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32E0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E32E0A" w:rsidP="00832A0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</w:pPr>
            <w:r w:rsidRPr="00E32E0A">
              <w:rPr>
                <w:rFonts w:ascii="Times New Roman" w:hAnsi="Times New Roman"/>
                <w:bCs/>
                <w:sz w:val="24"/>
                <w:szCs w:val="24"/>
                <w:lang w:eastAsia="sk-SK"/>
              </w:rPr>
              <w:t>949 554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E32E0A" w:rsidP="00832A0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 w:rsidR="00832A02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</w:t>
            </w:r>
            <w:r w:rsidR="00832A02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plyv na štátny rozpočet (MS SR – 08P)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B2B5F" w:rsid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C93F4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3 934 824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031A6E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</w:t>
            </w:r>
            <w:r w:rsidR="0001348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457 208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01348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3 457 208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7D5748" w:rsidP="00C93F4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1 840 452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1 840 452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031A6E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31A6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1 840 452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3F49" w:rsidRPr="007D5748" w:rsidP="00C93F4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7D5748" w:rsidP="00C93F49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636 756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7D5748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636 756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3F49" w:rsidRPr="00031A6E" w:rsidP="00C93F4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31A6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636 756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3F49" w:rsidRPr="007D5748" w:rsidP="00C93F49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6DFF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D6DF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632, 633, 635,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C93F49">
              <w:rPr>
                <w:rFonts w:ascii="Times New Roman" w:hAnsi="Times New Roman"/>
                <w:sz w:val="20"/>
                <w:szCs w:val="20"/>
                <w:lang w:eastAsia="sk-SK"/>
              </w:rPr>
              <w:t>1 457 616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C93F49">
              <w:rPr>
                <w:rFonts w:ascii="Times New Roman" w:hAnsi="Times New Roman"/>
                <w:sz w:val="20"/>
                <w:szCs w:val="20"/>
                <w:lang w:eastAsia="sk-SK"/>
              </w:rPr>
              <w:t>980 000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1A6E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31A6E" w:rsidR="00C93F49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980 000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8D339D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Pr="008D339D" w:rsid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C93F4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1 040 400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C93F4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C93F49" w:rsidR="00C93F4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115  000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DD6DFF" w:rsidP="00DD6DF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DD6DF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711 (v roku 2017 suma 20 000 eur 714)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C93F49">
              <w:rPr>
                <w:rFonts w:ascii="Times New Roman" w:hAnsi="Times New Roman"/>
                <w:sz w:val="20"/>
                <w:szCs w:val="20"/>
                <w:lang w:eastAsia="sk-SK"/>
              </w:rPr>
              <w:t>1 040 400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C93F49">
              <w:rPr>
                <w:rFonts w:ascii="Times New Roman" w:hAnsi="Times New Roman"/>
                <w:sz w:val="20"/>
                <w:szCs w:val="20"/>
                <w:lang w:eastAsia="sk-SK"/>
              </w:rPr>
              <w:t>115 000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031A6E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31A6E" w:rsidR="00C93F49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115 000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C93F4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C93F4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4 975 224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031A6E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3 572 208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C93F49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01348B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3 572 208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A02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plyv na rozpočet Sociálnej poisťovne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212 000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158 062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158 062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158 062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5E4D6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53 938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5E4D6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53 938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5E4D6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53 938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DD6DFF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632, 633, 635,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F655F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406920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8C194A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831631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831631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C73A25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5E4D6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266AE7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66AE7">
              <w:rPr>
                <w:rFonts w:ascii="Times New Roman" w:hAnsi="Times New Roman"/>
                <w:sz w:val="20"/>
                <w:szCs w:val="20"/>
              </w:rPr>
              <w:t>Transfery nefinančným subjektom a transfery príspevkovým organizáciám nezaradeným vo verejnej správe v registri organizácií vedenom Štatistickým úradom Slovenskej republiky (644)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C73A25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5E4D6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>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5E4D6D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5E4D6D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Sociálnej poisťovne</w:t>
            </w: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 xml:space="preserve">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1F65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212 000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A02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832A02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832A02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4B2B5F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 4 146 824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3 669 208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C93F49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3 669 208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1 998 514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1 998 514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031A6E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31A6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 998 514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690 694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690 694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031A6E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31A6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90 694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DD6DFF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632, 633, 635,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1 457 616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980 000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031A6E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31A6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980 000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C73A25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C93F49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266AE7">
              <w:rPr>
                <w:rFonts w:ascii="Times New Roman" w:hAnsi="Times New Roman"/>
                <w:sz w:val="20"/>
                <w:szCs w:val="20"/>
              </w:rPr>
              <w:t>Transfery nefinančným subjektom a transfery príspevkovým organizáciám nezaradeným vo verejnej správe v registri organizácií vedenom Štatistickým úradom Slovenskej republiky (644)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C73A25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C93F49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1 040 400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C93F49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C93F4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115  000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DD6DFF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711 (v roku 2017 suma 20 000 eur 714)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1 040 400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115 000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031A6E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031A6E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115 000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C93F49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832A02" w:rsidRPr="00C93F49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C93F49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C73A2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  5 187 224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3 784 208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C93F49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3 784 208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32A02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832A02" w:rsidP="00832A02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7D5748" w:rsidR="007D5748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762"/>
        <w:gridCol w:w="1275"/>
        <w:gridCol w:w="1276"/>
        <w:gridCol w:w="1276"/>
        <w:gridCol w:w="4657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plyv na štátny rozpočet (MS SR)</w:t>
            </w:r>
          </w:p>
        </w:tc>
        <w:tc>
          <w:tcPr>
            <w:tcW w:w="4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4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9 x sudca, 131 x ŠS, 9 x VZ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sudca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3 538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3 538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3 538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9 sudcov (vrátane 13. a 14. platu)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štátny zamestnanec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154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154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154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131 štátnych zamestnancov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zamestnanec vo VZ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9 zamestnancov pri výkone práce vo VZ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2 477 208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2 477 208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2 477 208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1 840 452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1 840 452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1 840 452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636 756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636 756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636 756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:rsidR="00832A02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762"/>
        <w:gridCol w:w="1275"/>
        <w:gridCol w:w="1276"/>
        <w:gridCol w:w="1276"/>
        <w:gridCol w:w="4657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plyv na Sociálnu poisťovňu</w:t>
            </w:r>
          </w:p>
        </w:tc>
        <w:tc>
          <w:tcPr>
            <w:tcW w:w="4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4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1 277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1 277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1 277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212 000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212 000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158 062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158 062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158 062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53 938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53 938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2A02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53 938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2A02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:rsidR="00832A02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832A02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CB3623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p w:rsidR="00C73A25" w:rsidP="004B2B5F">
      <w:pPr>
        <w:bidi w:val="0"/>
        <w:spacing w:after="0" w:line="240" w:lineRule="auto"/>
        <w:jc w:val="center"/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762"/>
        <w:gridCol w:w="1275"/>
        <w:gridCol w:w="1276"/>
        <w:gridCol w:w="1276"/>
        <w:gridCol w:w="4657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4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4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159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149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9 x sudca, 131 x ŠS, 9 x VZ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sudca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3 538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3 538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3 538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3538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3538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9 x sudca, 131 x ŠS, 9 x VZ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štátny zamestnanec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154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154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1545F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889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131 štátnych zamestnancov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zamestnanec vo VZ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A1545F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564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9 zamestnancov pri výkone práce vo VZ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zamestnanec Sociálna poisťovňa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1 277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1 277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1 277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2 689 208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2 689 209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2 689 208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1 998 514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1 998 514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1 998 514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1 840 452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1 840 452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1 840 452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690 694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690 694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690 694 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636 756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636 756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636 756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C73A25" w:rsidP="004B2B5F">
      <w:pPr>
        <w:bidi w:val="0"/>
        <w:spacing w:after="0" w:line="240" w:lineRule="auto"/>
        <w:jc w:val="center"/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8862"/>
        <w:gridCol w:w="1091"/>
        <w:gridCol w:w="1826"/>
        <w:gridCol w:w="1827"/>
        <w:gridCol w:w="1279"/>
        <w:gridCol w:w="549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77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C73A25" w:rsidRPr="007D5748" w:rsidP="00584444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gridAfter w:val="1"/>
          <w:trHeight w:val="255"/>
        </w:trPr>
        <w:tc>
          <w:tcPr>
            <w:tcW w:w="103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C73A25" w:rsidRPr="007D5748" w:rsidP="00584444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</w:t>
            </w:r>
          </w:p>
        </w:tc>
      </w:tr>
    </w:tbl>
    <w:p w:rsidR="00C73A25" w:rsidP="004B2B5F">
      <w:pPr>
        <w:bidi w:val="0"/>
        <w:spacing w:after="0" w:line="240" w:lineRule="auto"/>
        <w:jc w:val="center"/>
      </w:pPr>
    </w:p>
    <w:sectPr w:rsidSect="004B2B5F">
      <w:pgSz w:w="16838" w:h="11906" w:orient="landscape"/>
      <w:pgMar w:top="1418" w:right="1418" w:bottom="141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E5474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976E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E54749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E54749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E54749" w:rsidRPr="00EB59C8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749" w:rsidRPr="000A15AE" w:rsidP="00E54749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6331"/>
    <w:multiLevelType w:val="hybridMultilevel"/>
    <w:tmpl w:val="2EC0D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5005EC"/>
    <w:rsid w:val="0001348B"/>
    <w:rsid w:val="00014120"/>
    <w:rsid w:val="00031A6E"/>
    <w:rsid w:val="00035EB6"/>
    <w:rsid w:val="00057135"/>
    <w:rsid w:val="000A15AE"/>
    <w:rsid w:val="000A60D4"/>
    <w:rsid w:val="000C0823"/>
    <w:rsid w:val="000C087A"/>
    <w:rsid w:val="000E389D"/>
    <w:rsid w:val="001127A8"/>
    <w:rsid w:val="0013379A"/>
    <w:rsid w:val="00170D2B"/>
    <w:rsid w:val="00176841"/>
    <w:rsid w:val="001F655F"/>
    <w:rsid w:val="00200898"/>
    <w:rsid w:val="00212894"/>
    <w:rsid w:val="00224AD8"/>
    <w:rsid w:val="0023236A"/>
    <w:rsid w:val="00241A2A"/>
    <w:rsid w:val="00266AE7"/>
    <w:rsid w:val="002923A9"/>
    <w:rsid w:val="002A4CEC"/>
    <w:rsid w:val="002C19C0"/>
    <w:rsid w:val="003131B1"/>
    <w:rsid w:val="00317B90"/>
    <w:rsid w:val="00354CEA"/>
    <w:rsid w:val="003B450D"/>
    <w:rsid w:val="003C37EA"/>
    <w:rsid w:val="003C7AD6"/>
    <w:rsid w:val="003F274A"/>
    <w:rsid w:val="00406920"/>
    <w:rsid w:val="00414BD6"/>
    <w:rsid w:val="00487203"/>
    <w:rsid w:val="004B2B5F"/>
    <w:rsid w:val="005005EC"/>
    <w:rsid w:val="00503A38"/>
    <w:rsid w:val="005454B9"/>
    <w:rsid w:val="00584444"/>
    <w:rsid w:val="00590C2F"/>
    <w:rsid w:val="005E4D6D"/>
    <w:rsid w:val="005F4418"/>
    <w:rsid w:val="0063488E"/>
    <w:rsid w:val="006863A5"/>
    <w:rsid w:val="006A5425"/>
    <w:rsid w:val="006E1363"/>
    <w:rsid w:val="007246BD"/>
    <w:rsid w:val="00743195"/>
    <w:rsid w:val="007976EA"/>
    <w:rsid w:val="007D35D5"/>
    <w:rsid w:val="007D5748"/>
    <w:rsid w:val="00821EAF"/>
    <w:rsid w:val="00831631"/>
    <w:rsid w:val="00832A02"/>
    <w:rsid w:val="008C194A"/>
    <w:rsid w:val="008D339D"/>
    <w:rsid w:val="008E2736"/>
    <w:rsid w:val="00900C22"/>
    <w:rsid w:val="00911AEB"/>
    <w:rsid w:val="00961105"/>
    <w:rsid w:val="009640B0"/>
    <w:rsid w:val="009706B7"/>
    <w:rsid w:val="009A26E9"/>
    <w:rsid w:val="009A6150"/>
    <w:rsid w:val="00A1545F"/>
    <w:rsid w:val="00A34ACC"/>
    <w:rsid w:val="00A93AE1"/>
    <w:rsid w:val="00AF0B63"/>
    <w:rsid w:val="00B5535C"/>
    <w:rsid w:val="00B87E89"/>
    <w:rsid w:val="00B92FA2"/>
    <w:rsid w:val="00BA3843"/>
    <w:rsid w:val="00C15212"/>
    <w:rsid w:val="00C51FD4"/>
    <w:rsid w:val="00C73A25"/>
    <w:rsid w:val="00C93F49"/>
    <w:rsid w:val="00CB3623"/>
    <w:rsid w:val="00CB75D5"/>
    <w:rsid w:val="00CE299A"/>
    <w:rsid w:val="00CE7765"/>
    <w:rsid w:val="00D25446"/>
    <w:rsid w:val="00D528C9"/>
    <w:rsid w:val="00DD6DFF"/>
    <w:rsid w:val="00DE5BF1"/>
    <w:rsid w:val="00E07CE9"/>
    <w:rsid w:val="00E32E0A"/>
    <w:rsid w:val="00E54749"/>
    <w:rsid w:val="00E61F1E"/>
    <w:rsid w:val="00E960F9"/>
    <w:rsid w:val="00E963A3"/>
    <w:rsid w:val="00EA1E90"/>
    <w:rsid w:val="00EB59C8"/>
    <w:rsid w:val="00EC5EE3"/>
    <w:rsid w:val="00EF425C"/>
    <w:rsid w:val="00F25B94"/>
    <w:rsid w:val="00F40136"/>
    <w:rsid w:val="00F4791E"/>
    <w:rsid w:val="00F536CE"/>
    <w:rsid w:val="00F57860"/>
    <w:rsid w:val="00F73B9B"/>
    <w:rsid w:val="00FA63A1"/>
    <w:rsid w:val="00FB0BF8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23236A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B5F6C9D-9275-45E9-9E5B-2278572A2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1809</Words>
  <Characters>10312</Characters>
  <Application>Microsoft Office Word</Application>
  <DocSecurity>0</DocSecurity>
  <Lines>0</Lines>
  <Paragraphs>0</Paragraphs>
  <ScaleCrop>false</ScaleCrop>
  <Company>MH SR</Company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GIBALOVA Janka</cp:lastModifiedBy>
  <cp:revision>2</cp:revision>
  <cp:lastPrinted>2016-07-01T13:08:00Z</cp:lastPrinted>
  <dcterms:created xsi:type="dcterms:W3CDTF">2016-09-23T09:12:00Z</dcterms:created>
  <dcterms:modified xsi:type="dcterms:W3CDTF">2016-09-23T09:12:00Z</dcterms:modified>
</cp:coreProperties>
</file>