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8025E" w:rsidRPr="00DB0ADF" w:rsidP="00DB0ADF">
      <w:pPr>
        <w:bidi w:val="0"/>
        <w:spacing w:after="0" w:line="240" w:lineRule="auto"/>
        <w:rPr>
          <w:rFonts w:ascii="Times New Roman" w:hAnsi="Times New Roman"/>
          <w:sz w:val="24"/>
          <w:szCs w:val="24"/>
          <w:lang w:val="sk-SK"/>
        </w:rPr>
      </w:pPr>
      <w:r w:rsidRPr="00DB0ADF" w:rsidR="00010C9D">
        <w:rPr>
          <w:rFonts w:ascii="Times New Roman" w:hAnsi="Times New Roman"/>
          <w:sz w:val="24"/>
          <w:szCs w:val="24"/>
          <w:lang w:val="sk-SK"/>
        </w:rPr>
        <w:t>Dôvodová správa</w:t>
      </w:r>
    </w:p>
    <w:p w:rsidR="00010C9D" w:rsidP="00010C9D">
      <w:pPr>
        <w:bidi w:val="0"/>
        <w:spacing w:after="0" w:line="240" w:lineRule="auto"/>
        <w:rPr>
          <w:rFonts w:ascii="Times New Roman" w:hAnsi="Times New Roman"/>
          <w:sz w:val="24"/>
          <w:szCs w:val="24"/>
          <w:lang w:val="sk-SK"/>
        </w:rPr>
      </w:pPr>
    </w:p>
    <w:p w:rsidR="00E65DF5" w:rsidRPr="00010C9D" w:rsidP="00010C9D">
      <w:pPr>
        <w:bidi w:val="0"/>
        <w:spacing w:after="0" w:line="240" w:lineRule="auto"/>
        <w:rPr>
          <w:rFonts w:ascii="Times New Roman" w:hAnsi="Times New Roman"/>
          <w:sz w:val="24"/>
          <w:szCs w:val="24"/>
          <w:lang w:val="sk-SK"/>
        </w:rPr>
      </w:pPr>
    </w:p>
    <w:p w:rsidR="00CF0A3A" w:rsidRPr="003B1444" w:rsidP="009C2F33">
      <w:pPr>
        <w:pStyle w:val="ListParagraph"/>
        <w:numPr>
          <w:numId w:val="4"/>
        </w:numPr>
        <w:bidi w:val="0"/>
        <w:spacing w:after="0" w:line="240" w:lineRule="auto"/>
        <w:jc w:val="both"/>
        <w:rPr>
          <w:rFonts w:ascii="Times New Roman" w:hAnsi="Times New Roman"/>
          <w:b/>
          <w:sz w:val="24"/>
          <w:szCs w:val="24"/>
        </w:rPr>
      </w:pPr>
      <w:r w:rsidRPr="003B1444">
        <w:rPr>
          <w:rFonts w:ascii="Times New Roman" w:hAnsi="Times New Roman"/>
          <w:b/>
          <w:sz w:val="24"/>
          <w:szCs w:val="24"/>
        </w:rPr>
        <w:t>Všeobecná časť</w:t>
      </w:r>
    </w:p>
    <w:p w:rsidR="00010C9D" w:rsidP="00010C9D">
      <w:pPr>
        <w:bidi w:val="0"/>
        <w:spacing w:after="0" w:line="240" w:lineRule="auto"/>
        <w:ind w:left="284"/>
        <w:jc w:val="both"/>
        <w:rPr>
          <w:rFonts w:ascii="Times New Roman" w:hAnsi="Times New Roman"/>
          <w:sz w:val="24"/>
          <w:szCs w:val="24"/>
        </w:rPr>
      </w:pPr>
    </w:p>
    <w:p w:rsidR="003B1444" w:rsidRPr="00CE5F29" w:rsidP="008C2661">
      <w:pPr>
        <w:widowControl/>
        <w:bidi w:val="0"/>
        <w:spacing w:after="0" w:line="240" w:lineRule="auto"/>
        <w:ind w:firstLine="708"/>
        <w:jc w:val="both"/>
        <w:rPr>
          <w:rStyle w:val="PlaceholderText"/>
          <w:sz w:val="24"/>
          <w:szCs w:val="24"/>
          <w:lang w:val="sk-SK"/>
        </w:rPr>
      </w:pPr>
      <w:r w:rsidR="00DB0ADF">
        <w:rPr>
          <w:rStyle w:val="PlaceholderText"/>
          <w:sz w:val="24"/>
          <w:szCs w:val="24"/>
          <w:lang w:val="sk-SK"/>
        </w:rPr>
        <w:t>Vládny n</w:t>
      </w:r>
      <w:r w:rsidRPr="00CE5F29">
        <w:rPr>
          <w:rStyle w:val="PlaceholderText"/>
          <w:sz w:val="24"/>
          <w:szCs w:val="24"/>
          <w:lang w:val="sk-SK"/>
        </w:rPr>
        <w:t xml:space="preserve">ávrh zákona, </w:t>
      </w:r>
      <w:r w:rsidRPr="00CE5F29">
        <w:rPr>
          <w:rFonts w:ascii="Times New Roman" w:hAnsi="Times New Roman"/>
          <w:sz w:val="24"/>
          <w:szCs w:val="24"/>
          <w:lang w:val="sk-SK"/>
        </w:rPr>
        <w:t>ktorým sa mení a dopĺňa zákon Národnej</w:t>
      </w:r>
      <w:r w:rsidR="00DB0ADF">
        <w:rPr>
          <w:rFonts w:ascii="Times New Roman" w:hAnsi="Times New Roman"/>
          <w:sz w:val="24"/>
          <w:szCs w:val="24"/>
          <w:lang w:val="sk-SK"/>
        </w:rPr>
        <w:t xml:space="preserve"> rady Slovenskej republiky</w:t>
      </w:r>
      <w:r w:rsidRPr="00CE5F29">
        <w:rPr>
          <w:rFonts w:ascii="Times New Roman" w:hAnsi="Times New Roman"/>
          <w:sz w:val="24"/>
          <w:szCs w:val="24"/>
          <w:lang w:val="sk-SK"/>
        </w:rPr>
        <w:t xml:space="preserve">  č. 145/1995 Z. z. o správnych poplatkoch v znení neskorších predpisov a ktorým sa mení a dopĺňa zákon Slovenskej národnej rady č. 71/1992 Zb. o súdnych poplatkoch a poplatku za výpis z registra trestov v znení neskorších predpisov </w:t>
      </w:r>
      <w:r w:rsidR="00DB0ADF">
        <w:rPr>
          <w:rFonts w:ascii="Times New Roman" w:hAnsi="Times New Roman"/>
          <w:sz w:val="24"/>
          <w:szCs w:val="24"/>
          <w:lang w:val="sk-SK"/>
        </w:rPr>
        <w:t xml:space="preserve">je </w:t>
      </w:r>
      <w:r w:rsidRPr="00CE5F29">
        <w:rPr>
          <w:rFonts w:ascii="Times New Roman" w:hAnsi="Times New Roman"/>
          <w:color w:val="000000"/>
          <w:sz w:val="24"/>
          <w:szCs w:val="24"/>
          <w:lang w:val="sk-SK"/>
        </w:rPr>
        <w:t>vypracova</w:t>
      </w:r>
      <w:r w:rsidR="00DB0ADF">
        <w:rPr>
          <w:rFonts w:ascii="Times New Roman" w:hAnsi="Times New Roman"/>
          <w:color w:val="000000"/>
          <w:sz w:val="24"/>
          <w:szCs w:val="24"/>
          <w:lang w:val="sk-SK"/>
        </w:rPr>
        <w:t>ný</w:t>
      </w:r>
      <w:r w:rsidRPr="00CE5F29">
        <w:rPr>
          <w:rFonts w:ascii="Times New Roman" w:hAnsi="Times New Roman"/>
          <w:color w:val="000000"/>
          <w:sz w:val="24"/>
          <w:szCs w:val="24"/>
          <w:lang w:val="sk-SK"/>
        </w:rPr>
        <w:t xml:space="preserve"> na základe Plánu legislatívnych úloh vlády Slovenskej republiky na mesiace jún až december 2016</w:t>
      </w:r>
      <w:r w:rsidRPr="00CE5F29">
        <w:rPr>
          <w:rFonts w:ascii="Times New Roman" w:hAnsi="Times New Roman"/>
          <w:sz w:val="24"/>
          <w:szCs w:val="24"/>
          <w:lang w:val="sk-SK"/>
        </w:rPr>
        <w:t>.</w:t>
      </w:r>
    </w:p>
    <w:p w:rsidR="003B1444" w:rsidRPr="00CE5F29" w:rsidP="008C2661">
      <w:pPr>
        <w:bidi w:val="0"/>
        <w:spacing w:after="0" w:line="240" w:lineRule="auto"/>
        <w:ind w:right="85"/>
        <w:jc w:val="both"/>
        <w:rPr>
          <w:rFonts w:ascii="Times New Roman" w:hAnsi="Times New Roman"/>
          <w:sz w:val="24"/>
          <w:szCs w:val="24"/>
          <w:lang w:val="sk-SK"/>
        </w:rPr>
      </w:pPr>
    </w:p>
    <w:p w:rsidR="003B1444" w:rsidRPr="00CE5F29" w:rsidP="00CE5F29">
      <w:pPr>
        <w:bidi w:val="0"/>
        <w:spacing w:line="240" w:lineRule="auto"/>
        <w:ind w:right="85" w:firstLine="708"/>
        <w:jc w:val="both"/>
        <w:rPr>
          <w:rFonts w:ascii="Times New Roman" w:hAnsi="Times New Roman"/>
          <w:sz w:val="24"/>
          <w:szCs w:val="24"/>
          <w:lang w:val="sk-SK"/>
        </w:rPr>
      </w:pPr>
      <w:r w:rsidRPr="00CE5F29">
        <w:rPr>
          <w:rFonts w:ascii="Times New Roman" w:hAnsi="Times New Roman"/>
          <w:sz w:val="24"/>
          <w:szCs w:val="24"/>
          <w:lang w:val="sk-SK"/>
        </w:rPr>
        <w:t>Navrhuje sa upraviť v sadzobníku správnych poplatkov suma poplatku za evidenciu vozidla nielen v závislosti od výkonu motora, ale aj od hodnoty vozidla, ktorá sa s vekom  vozidla znižuje. Práve pomer hodnoty vozidla k veku vozidla je vyjadrený koeficientom priamo uvedeným v konkrétnej položke sadzobníka poplatkov, ktorým sa suma poplatku zodpovedajúca výkonu motora znižuje. Rovnako sa zavádza aj možnosť individuálneho ohodnotenia vozidla znaleckým posudkom obstaraným poplatníkom vo vlastnej réžii. Návrh tiež zavádza 50% zníženie sadzieb poplatku na vozidlá s alternatívnymi palivami a pohonom (vozidlá s pohonom na CNG, LNG, vodík, hybridné motorové vozidlá a hybridné elektrické vozidlá), čím sa cieli environmentálny aspekt registračného poplatku tak, aby návrh novely podporoval znižovanie tvorby emisií v doprave. Navrhuje sa tiež vyňatie z poplatkovej povinnosti pre tie vozidlá, ktoré sa trvalo vyradia z evidencie, ak sa zlikvidujú podľa zákona o odpadoch.</w:t>
      </w:r>
    </w:p>
    <w:p w:rsidR="003B1444" w:rsidRPr="00CE5F29" w:rsidP="00CE5F29">
      <w:pPr>
        <w:bidi w:val="0"/>
        <w:spacing w:line="240" w:lineRule="auto"/>
        <w:ind w:right="85" w:firstLine="709"/>
        <w:jc w:val="both"/>
        <w:rPr>
          <w:rFonts w:ascii="Times New Roman" w:hAnsi="Times New Roman"/>
          <w:sz w:val="24"/>
          <w:szCs w:val="24"/>
          <w:lang w:val="sk-SK"/>
        </w:rPr>
      </w:pPr>
      <w:r w:rsidRPr="00CE5F29">
        <w:rPr>
          <w:rFonts w:ascii="Times New Roman" w:hAnsi="Times New Roman"/>
          <w:sz w:val="24"/>
          <w:szCs w:val="24"/>
          <w:lang w:val="sk-SK"/>
        </w:rPr>
        <w:t>Návrhom sa obsiahlo zvýšenie poplatkov za udelenie a zmenu licencie na prevádzkovanie hazardných hier, čím sa cieli regulácia vydávania povolení a dodatkov k prevádzkovaniu hazardných hier.</w:t>
      </w:r>
    </w:p>
    <w:p w:rsidR="003B1444" w:rsidRPr="00CE5F29" w:rsidP="00CE5F29">
      <w:pPr>
        <w:bidi w:val="0"/>
        <w:spacing w:line="240" w:lineRule="auto"/>
        <w:ind w:right="85" w:firstLine="709"/>
        <w:jc w:val="both"/>
        <w:rPr>
          <w:rFonts w:ascii="Times New Roman" w:hAnsi="Times New Roman"/>
          <w:sz w:val="24"/>
          <w:szCs w:val="24"/>
          <w:lang w:val="sk-SK"/>
        </w:rPr>
      </w:pPr>
      <w:r w:rsidRPr="00CE5F29">
        <w:rPr>
          <w:rFonts w:ascii="Times New Roman" w:hAnsi="Times New Roman"/>
          <w:sz w:val="24"/>
          <w:szCs w:val="24"/>
          <w:lang w:val="sk-SK"/>
        </w:rPr>
        <w:t>Súčasne je potrebné reagovať aj na požiadavky z aplikácie centrálneho systému evidencie poplatkov tak, aby sa zabezpečilo zvýšenie efektívnosti systému (napr. zníženie papierovej archivácie tam, kde to nie je nevyhnutné).</w:t>
      </w:r>
    </w:p>
    <w:p w:rsidR="003B1444" w:rsidRPr="00CE5F29" w:rsidP="00CE5F29">
      <w:pPr>
        <w:bidi w:val="0"/>
        <w:spacing w:line="240" w:lineRule="auto"/>
        <w:ind w:firstLine="708"/>
        <w:jc w:val="both"/>
        <w:rPr>
          <w:rFonts w:ascii="Times New Roman" w:hAnsi="Times New Roman"/>
          <w:sz w:val="24"/>
          <w:szCs w:val="24"/>
          <w:lang w:val="sk-SK"/>
        </w:rPr>
      </w:pPr>
      <w:r w:rsidRPr="00CE5F29">
        <w:rPr>
          <w:rFonts w:ascii="Times New Roman" w:hAnsi="Times New Roman"/>
          <w:sz w:val="24"/>
          <w:szCs w:val="24"/>
          <w:lang w:val="sk-SK"/>
        </w:rPr>
        <w:t>Návrh zákona má pozitívny a negatívny vplyv na rozpočet verejnej správy, pozitívny a negatívny vplyv na podnikateľské prostredie, pozitívne a negatívne sociálne vplyvy a hospodárenie obyvateľstva. Návrh má pozitívny vplyv na životné prostredie a informatizáciu spoločnosti. Návrh nemá vplyv na  služby verejnej správy pre občana.</w:t>
      </w:r>
    </w:p>
    <w:p w:rsidR="003B1444" w:rsidRPr="00CE5F29" w:rsidP="00CE5F29">
      <w:pPr>
        <w:pStyle w:val="ListParagraph"/>
        <w:bidi w:val="0"/>
        <w:spacing w:after="120" w:line="240" w:lineRule="auto"/>
        <w:ind w:left="0" w:firstLine="720"/>
        <w:jc w:val="both"/>
        <w:rPr>
          <w:rFonts w:ascii="Times New Roman" w:hAnsi="Times New Roman"/>
          <w:sz w:val="24"/>
          <w:szCs w:val="24"/>
        </w:rPr>
      </w:pPr>
      <w:r w:rsidRPr="00CE5F29">
        <w:rPr>
          <w:rFonts w:ascii="Times New Roman" w:hAnsi="Times New Roman"/>
          <w:color w:val="000000"/>
          <w:sz w:val="24"/>
          <w:szCs w:val="24"/>
        </w:rPr>
        <w:t xml:space="preserve">Návrh zákona je v súlade s Ústavou Slovenskej republiky, s ústavnými zákonmi a nálezmi Ústavného súdu Slovenskej republiky, s inými zákonmi a medzinárodnými zmluvami a inými medzinárodnými dokumentmi, ktorými je Slovenská republika viazaná a s právom Európskej únie. </w:t>
      </w:r>
      <w:r w:rsidRPr="00CE5F29">
        <w:rPr>
          <w:rFonts w:ascii="Times New Roman" w:hAnsi="Times New Roman"/>
          <w:sz w:val="24"/>
          <w:szCs w:val="24"/>
        </w:rPr>
        <w:t xml:space="preserve">Predmet úpravy správnych a súdnych poplatkov nie je upravený v práve Európskej únie. </w:t>
      </w:r>
    </w:p>
    <w:p w:rsidR="003B1444" w:rsidRPr="003B1444" w:rsidP="00CE5F29">
      <w:pPr>
        <w:bidi w:val="0"/>
        <w:spacing w:line="240" w:lineRule="auto"/>
        <w:rPr>
          <w:rFonts w:ascii="Times New Roman" w:hAnsi="Times New Roman"/>
          <w:sz w:val="24"/>
          <w:szCs w:val="24"/>
        </w:rPr>
      </w:pPr>
    </w:p>
    <w:p w:rsidR="00C96668" w:rsidP="00C96668">
      <w:pPr>
        <w:pStyle w:val="Title"/>
        <w:pBdr>
          <w:bottom w:val="none" w:sz="0" w:space="0" w:color="auto"/>
        </w:pBdr>
        <w:bidi w:val="0"/>
        <w:rPr>
          <w:rFonts w:ascii="Times New Roman" w:hAnsi="Times New Roman"/>
        </w:rPr>
      </w:pPr>
    </w:p>
    <w:p w:rsidR="00CE5F29" w:rsidP="00C96668">
      <w:pPr>
        <w:pStyle w:val="Title"/>
        <w:pBdr>
          <w:bottom w:val="none" w:sz="0" w:space="0" w:color="auto"/>
        </w:pBdr>
        <w:bidi w:val="0"/>
        <w:rPr>
          <w:rFonts w:ascii="Times New Roman" w:hAnsi="Times New Roman"/>
        </w:rPr>
      </w:pPr>
    </w:p>
    <w:p w:rsidR="00CE5F29" w:rsidP="00C96668">
      <w:pPr>
        <w:pStyle w:val="Title"/>
        <w:pBdr>
          <w:bottom w:val="none" w:sz="0" w:space="0" w:color="auto"/>
        </w:pBdr>
        <w:bidi w:val="0"/>
        <w:rPr>
          <w:rFonts w:ascii="Times New Roman" w:hAnsi="Times New Roman"/>
        </w:rPr>
      </w:pPr>
    </w:p>
    <w:p w:rsidR="00DB0ADF" w:rsidP="00C96668">
      <w:pPr>
        <w:pStyle w:val="Title"/>
        <w:pBdr>
          <w:bottom w:val="none" w:sz="0" w:space="0" w:color="auto"/>
        </w:pBdr>
        <w:bidi w:val="0"/>
        <w:rPr>
          <w:rFonts w:ascii="Times New Roman" w:hAnsi="Times New Roman"/>
        </w:rPr>
      </w:pPr>
    </w:p>
    <w:p w:rsidR="00DB0ADF" w:rsidP="00C96668">
      <w:pPr>
        <w:pStyle w:val="Title"/>
        <w:pBdr>
          <w:bottom w:val="none" w:sz="0" w:space="0" w:color="auto"/>
        </w:pBdr>
        <w:bidi w:val="0"/>
        <w:rPr>
          <w:rFonts w:ascii="Times New Roman" w:hAnsi="Times New Roman"/>
        </w:rPr>
      </w:pPr>
    </w:p>
    <w:p w:rsidR="00CE5F29" w:rsidP="00C96668">
      <w:pPr>
        <w:pStyle w:val="Title"/>
        <w:pBdr>
          <w:bottom w:val="none" w:sz="0" w:space="0" w:color="auto"/>
        </w:pBdr>
        <w:bidi w:val="0"/>
        <w:rPr>
          <w:rFonts w:ascii="Times New Roman" w:hAnsi="Times New Roman"/>
        </w:rPr>
      </w:pPr>
    </w:p>
    <w:p w:rsidR="00DB0ADF" w:rsidP="00C96668">
      <w:pPr>
        <w:pStyle w:val="Title"/>
        <w:pBdr>
          <w:bottom w:val="none" w:sz="0" w:space="0" w:color="auto"/>
        </w:pBdr>
        <w:bidi w:val="0"/>
        <w:rPr>
          <w:rFonts w:ascii="Times New Roman" w:hAnsi="Times New Roman"/>
        </w:rPr>
      </w:pPr>
    </w:p>
    <w:p w:rsidR="00CE5F29" w:rsidP="00C96668">
      <w:pPr>
        <w:pStyle w:val="Title"/>
        <w:pBdr>
          <w:bottom w:val="none" w:sz="0" w:space="0" w:color="auto"/>
        </w:pBdr>
        <w:bidi w:val="0"/>
        <w:rPr>
          <w:rFonts w:ascii="Times New Roman" w:hAnsi="Times New Roman"/>
        </w:rPr>
      </w:pPr>
    </w:p>
    <w:p w:rsidR="002151F6" w:rsidRPr="002151F6" w:rsidP="002151F6">
      <w:pPr>
        <w:bidi w:val="0"/>
        <w:ind w:left="567" w:hanging="567"/>
        <w:jc w:val="center"/>
        <w:rPr>
          <w:rFonts w:ascii="Times New Roman" w:hAnsi="Times New Roman"/>
          <w:b/>
          <w:bCs/>
          <w:sz w:val="24"/>
          <w:szCs w:val="24"/>
          <w:lang w:val="sk-SK"/>
        </w:rPr>
      </w:pPr>
      <w:r w:rsidRPr="002151F6">
        <w:rPr>
          <w:rFonts w:ascii="Times New Roman" w:hAnsi="Times New Roman"/>
          <w:b/>
          <w:bCs/>
          <w:sz w:val="24"/>
          <w:szCs w:val="24"/>
          <w:lang w:val="sk-SK"/>
        </w:rPr>
        <w:t>DOLOŽKA ZLUČITEĽNOSTI</w:t>
      </w:r>
    </w:p>
    <w:p w:rsidR="002151F6" w:rsidRPr="00B55757" w:rsidP="00B55757">
      <w:pPr>
        <w:pBdr>
          <w:bottom w:val="single" w:sz="6" w:space="0" w:color="auto"/>
        </w:pBdr>
        <w:bidi w:val="0"/>
        <w:spacing w:line="240" w:lineRule="auto"/>
        <w:jc w:val="center"/>
        <w:rPr>
          <w:rFonts w:ascii="Times New Roman" w:hAnsi="Times New Roman"/>
          <w:b/>
          <w:sz w:val="24"/>
          <w:szCs w:val="24"/>
          <w:lang w:val="sk-SK"/>
        </w:rPr>
      </w:pPr>
      <w:r w:rsidRPr="002151F6">
        <w:rPr>
          <w:rFonts w:ascii="Times New Roman" w:hAnsi="Times New Roman"/>
          <w:b/>
          <w:bCs/>
          <w:sz w:val="24"/>
          <w:szCs w:val="24"/>
          <w:lang w:val="sk-SK"/>
        </w:rPr>
        <w:t xml:space="preserve">návrhu zákona, </w:t>
      </w:r>
      <w:r w:rsidRPr="002151F6">
        <w:rPr>
          <w:rFonts w:ascii="Times New Roman" w:hAnsi="Times New Roman"/>
          <w:b/>
          <w:sz w:val="24"/>
          <w:szCs w:val="24"/>
          <w:lang w:val="sk-SK"/>
        </w:rPr>
        <w:t>ktorým sa mení a dopĺňa zákon Národnej rady Slovenskej republiky č. 145/1995 Z. z. o správnych poplatkoch v znení neskorších predpisov a ktorým sa mení a dopĺňa zákon Slovenskej národnej rady č. 71/1992 Zb. o súdnych poplatkoch a poplatku za výpis z registra trestov v znení neskorších predpisov</w:t>
      </w:r>
      <w:r w:rsidR="00B55757">
        <w:rPr>
          <w:rFonts w:ascii="Times New Roman" w:hAnsi="Times New Roman"/>
          <w:b/>
          <w:sz w:val="24"/>
          <w:szCs w:val="24"/>
          <w:lang w:val="sk-SK"/>
        </w:rPr>
        <w:t xml:space="preserve">                                      </w:t>
      </w:r>
      <w:r w:rsidRPr="002151F6">
        <w:rPr>
          <w:rStyle w:val="PlaceholderText"/>
          <w:b/>
          <w:sz w:val="24"/>
          <w:szCs w:val="24"/>
          <w:lang w:val="sk-SK"/>
        </w:rPr>
        <w:t xml:space="preserve">s </w:t>
      </w:r>
      <w:r w:rsidRPr="002151F6">
        <w:rPr>
          <w:rFonts w:ascii="Times New Roman" w:hAnsi="Times New Roman"/>
          <w:b/>
          <w:bCs/>
          <w:sz w:val="24"/>
          <w:szCs w:val="24"/>
          <w:lang w:val="sk-SK"/>
        </w:rPr>
        <w:t>právom Európskej únie</w:t>
      </w:r>
    </w:p>
    <w:p w:rsidR="002151F6" w:rsidRPr="00B55757" w:rsidP="00B55757">
      <w:pPr>
        <w:widowControl/>
        <w:numPr>
          <w:numId w:val="5"/>
        </w:numPr>
        <w:bidi w:val="0"/>
        <w:adjustRightInd/>
        <w:spacing w:after="0" w:line="240" w:lineRule="auto"/>
        <w:jc w:val="both"/>
        <w:rPr>
          <w:rFonts w:ascii="Times New Roman" w:hAnsi="Times New Roman"/>
          <w:sz w:val="24"/>
          <w:szCs w:val="24"/>
          <w:lang w:val="sk-SK"/>
        </w:rPr>
      </w:pPr>
      <w:r w:rsidRPr="002151F6">
        <w:rPr>
          <w:rFonts w:ascii="Times New Roman" w:hAnsi="Times New Roman"/>
          <w:b/>
          <w:bCs/>
          <w:sz w:val="24"/>
          <w:szCs w:val="24"/>
          <w:lang w:val="sk-SK"/>
        </w:rPr>
        <w:t>Predkladateľ návrhu zákona:</w:t>
      </w:r>
    </w:p>
    <w:p w:rsidR="00B55757" w:rsidRPr="002151F6" w:rsidP="00B55757">
      <w:pPr>
        <w:widowControl/>
        <w:bidi w:val="0"/>
        <w:adjustRightInd/>
        <w:spacing w:after="0" w:line="240" w:lineRule="auto"/>
        <w:ind w:left="425"/>
        <w:jc w:val="both"/>
        <w:rPr>
          <w:rFonts w:ascii="Times New Roman" w:hAnsi="Times New Roman"/>
          <w:sz w:val="24"/>
          <w:szCs w:val="24"/>
          <w:lang w:val="sk-SK"/>
        </w:rPr>
      </w:pPr>
    </w:p>
    <w:p w:rsidR="002151F6" w:rsidRPr="002151F6" w:rsidP="00B55757">
      <w:pPr>
        <w:bidi w:val="0"/>
        <w:spacing w:after="0" w:line="240" w:lineRule="auto"/>
        <w:ind w:firstLine="425"/>
        <w:jc w:val="both"/>
        <w:rPr>
          <w:rFonts w:ascii="Times New Roman" w:hAnsi="Times New Roman"/>
          <w:sz w:val="24"/>
          <w:szCs w:val="24"/>
          <w:lang w:val="sk-SK"/>
        </w:rPr>
      </w:pPr>
      <w:r w:rsidRPr="002151F6">
        <w:rPr>
          <w:rFonts w:ascii="Times New Roman" w:hAnsi="Times New Roman"/>
          <w:sz w:val="24"/>
          <w:szCs w:val="24"/>
          <w:lang w:val="sk-SK"/>
        </w:rPr>
        <w:t xml:space="preserve">Vláda Slovenskej republiky. </w:t>
      </w:r>
    </w:p>
    <w:p w:rsidR="002151F6" w:rsidRPr="002151F6" w:rsidP="00AD5A74">
      <w:pPr>
        <w:bidi w:val="0"/>
        <w:spacing w:after="0" w:line="240" w:lineRule="auto"/>
        <w:jc w:val="both"/>
        <w:rPr>
          <w:rFonts w:ascii="Times New Roman" w:hAnsi="Times New Roman"/>
          <w:b/>
          <w:bCs/>
          <w:sz w:val="24"/>
          <w:szCs w:val="24"/>
          <w:lang w:val="sk-SK"/>
        </w:rPr>
      </w:pPr>
    </w:p>
    <w:p w:rsidR="002151F6" w:rsidP="00B55757">
      <w:pPr>
        <w:widowControl/>
        <w:numPr>
          <w:numId w:val="5"/>
        </w:numPr>
        <w:bidi w:val="0"/>
        <w:adjustRightInd/>
        <w:spacing w:after="0" w:line="240" w:lineRule="auto"/>
        <w:jc w:val="both"/>
        <w:rPr>
          <w:rFonts w:ascii="Times New Roman" w:hAnsi="Times New Roman"/>
          <w:b/>
          <w:bCs/>
          <w:sz w:val="24"/>
          <w:szCs w:val="24"/>
          <w:lang w:val="sk-SK"/>
        </w:rPr>
      </w:pPr>
      <w:r w:rsidRPr="002151F6">
        <w:rPr>
          <w:rFonts w:ascii="Times New Roman" w:hAnsi="Times New Roman"/>
          <w:b/>
          <w:bCs/>
          <w:sz w:val="24"/>
          <w:szCs w:val="24"/>
          <w:lang w:val="sk-SK"/>
        </w:rPr>
        <w:t>Názov návrhu zákona:</w:t>
      </w:r>
    </w:p>
    <w:p w:rsidR="00B55757" w:rsidRPr="002151F6" w:rsidP="00B55757">
      <w:pPr>
        <w:widowControl/>
        <w:bidi w:val="0"/>
        <w:adjustRightInd/>
        <w:spacing w:after="0" w:line="240" w:lineRule="auto"/>
        <w:ind w:left="425"/>
        <w:jc w:val="both"/>
        <w:rPr>
          <w:rFonts w:ascii="Times New Roman" w:hAnsi="Times New Roman"/>
          <w:b/>
          <w:bCs/>
          <w:sz w:val="24"/>
          <w:szCs w:val="24"/>
          <w:lang w:val="sk-SK"/>
        </w:rPr>
      </w:pPr>
    </w:p>
    <w:p w:rsidR="002151F6" w:rsidRPr="002151F6" w:rsidP="00B55757">
      <w:pPr>
        <w:bidi w:val="0"/>
        <w:spacing w:after="0" w:line="240" w:lineRule="auto"/>
        <w:ind w:left="426"/>
        <w:jc w:val="both"/>
        <w:rPr>
          <w:rFonts w:ascii="Times New Roman" w:hAnsi="Times New Roman"/>
          <w:sz w:val="24"/>
          <w:szCs w:val="24"/>
          <w:lang w:val="sk-SK"/>
        </w:rPr>
      </w:pPr>
      <w:r w:rsidRPr="002151F6">
        <w:rPr>
          <w:rFonts w:ascii="Times New Roman" w:hAnsi="Times New Roman"/>
          <w:sz w:val="24"/>
          <w:szCs w:val="24"/>
          <w:lang w:val="sk-SK"/>
        </w:rPr>
        <w:t>Návrh zákona, ktorým sa mení a dopĺňa zákon Národnej rady Slovenskej republiky č. 145/1995 Z. z. o správnych poplatkoch v znení neskorších predpisov a ktorým sa mení a dopĺňa zákon Slovenskej národnej rady č. 71/1992 Zb. o súdnych poplatkoch a poplatku za výpis z registra trestov v znení neskorších predpisov.</w:t>
      </w:r>
    </w:p>
    <w:p w:rsidR="002151F6" w:rsidRPr="002151F6" w:rsidP="00B55757">
      <w:pPr>
        <w:bidi w:val="0"/>
        <w:spacing w:after="0" w:line="240" w:lineRule="auto"/>
        <w:ind w:left="426"/>
        <w:jc w:val="both"/>
        <w:rPr>
          <w:rFonts w:ascii="Times New Roman" w:hAnsi="Times New Roman"/>
          <w:b/>
          <w:bCs/>
          <w:sz w:val="24"/>
          <w:szCs w:val="24"/>
          <w:lang w:val="sk-SK"/>
        </w:rPr>
      </w:pPr>
    </w:p>
    <w:p w:rsidR="002151F6" w:rsidP="00B55757">
      <w:pPr>
        <w:widowControl/>
        <w:numPr>
          <w:numId w:val="5"/>
        </w:numPr>
        <w:bidi w:val="0"/>
        <w:adjustRightInd/>
        <w:spacing w:after="0" w:line="240" w:lineRule="auto"/>
        <w:jc w:val="both"/>
        <w:rPr>
          <w:rFonts w:ascii="Times New Roman" w:hAnsi="Times New Roman"/>
          <w:b/>
          <w:bCs/>
          <w:sz w:val="24"/>
          <w:szCs w:val="24"/>
          <w:lang w:val="sk-SK"/>
        </w:rPr>
      </w:pPr>
      <w:r w:rsidRPr="002151F6">
        <w:rPr>
          <w:rFonts w:ascii="Times New Roman" w:hAnsi="Times New Roman"/>
          <w:b/>
          <w:bCs/>
          <w:sz w:val="24"/>
          <w:szCs w:val="24"/>
          <w:lang w:val="sk-SK"/>
        </w:rPr>
        <w:t xml:space="preserve">Problematika návrhu zákona: </w:t>
      </w:r>
    </w:p>
    <w:p w:rsidR="00B55757" w:rsidRPr="002151F6" w:rsidP="00B55757">
      <w:pPr>
        <w:widowControl/>
        <w:bidi w:val="0"/>
        <w:adjustRightInd/>
        <w:spacing w:after="0" w:line="240" w:lineRule="auto"/>
        <w:ind w:left="425"/>
        <w:jc w:val="both"/>
        <w:rPr>
          <w:rFonts w:ascii="Times New Roman" w:hAnsi="Times New Roman"/>
          <w:b/>
          <w:bCs/>
          <w:sz w:val="24"/>
          <w:szCs w:val="24"/>
          <w:lang w:val="sk-SK"/>
        </w:rPr>
      </w:pPr>
    </w:p>
    <w:p w:rsidR="002151F6" w:rsidP="00B55757">
      <w:pPr>
        <w:widowControl/>
        <w:numPr>
          <w:ilvl w:val="1"/>
          <w:numId w:val="5"/>
        </w:numPr>
        <w:bidi w:val="0"/>
        <w:adjustRightInd/>
        <w:spacing w:after="0" w:line="240" w:lineRule="auto"/>
        <w:rPr>
          <w:rFonts w:ascii="Times New Roman" w:hAnsi="Times New Roman"/>
          <w:sz w:val="24"/>
          <w:szCs w:val="24"/>
          <w:lang w:val="sk-SK" w:eastAsia="cs-CZ"/>
        </w:rPr>
      </w:pPr>
      <w:r w:rsidRPr="002151F6">
        <w:rPr>
          <w:rFonts w:ascii="Times New Roman" w:hAnsi="Times New Roman"/>
          <w:sz w:val="24"/>
          <w:szCs w:val="24"/>
          <w:lang w:val="sk-SK" w:eastAsia="cs-CZ"/>
        </w:rPr>
        <w:t>je upravená v práve Európskej únie:</w:t>
      </w:r>
    </w:p>
    <w:p w:rsidR="00B55757" w:rsidRPr="002151F6" w:rsidP="00B55757">
      <w:pPr>
        <w:widowControl/>
        <w:bidi w:val="0"/>
        <w:adjustRightInd/>
        <w:spacing w:after="0" w:line="240" w:lineRule="auto"/>
        <w:ind w:left="850"/>
        <w:rPr>
          <w:rFonts w:ascii="Times New Roman" w:hAnsi="Times New Roman"/>
          <w:sz w:val="24"/>
          <w:szCs w:val="24"/>
          <w:lang w:val="sk-SK" w:eastAsia="cs-CZ"/>
        </w:rPr>
      </w:pPr>
    </w:p>
    <w:p w:rsidR="002151F6" w:rsidP="00B55757">
      <w:pPr>
        <w:bidi w:val="0"/>
        <w:spacing w:after="0" w:line="240" w:lineRule="auto"/>
        <w:ind w:left="900" w:hanging="425"/>
        <w:rPr>
          <w:rFonts w:ascii="Times New Roman" w:hAnsi="Times New Roman"/>
          <w:b/>
          <w:bCs/>
          <w:iCs/>
          <w:sz w:val="24"/>
          <w:szCs w:val="24"/>
          <w:lang w:val="sk-SK" w:eastAsia="cs-CZ"/>
        </w:rPr>
      </w:pPr>
      <w:r w:rsidRPr="002151F6">
        <w:rPr>
          <w:rFonts w:ascii="Times New Roman" w:hAnsi="Times New Roman"/>
          <w:b/>
          <w:bCs/>
          <w:iCs/>
          <w:sz w:val="24"/>
          <w:szCs w:val="24"/>
          <w:lang w:val="sk-SK" w:eastAsia="cs-CZ"/>
        </w:rPr>
        <w:t xml:space="preserve">Primárne právo: </w:t>
      </w:r>
    </w:p>
    <w:p w:rsidR="00B55757" w:rsidRPr="002151F6" w:rsidP="00B55757">
      <w:pPr>
        <w:bidi w:val="0"/>
        <w:spacing w:after="0" w:line="240" w:lineRule="auto"/>
        <w:ind w:left="900" w:hanging="425"/>
        <w:rPr>
          <w:rFonts w:ascii="Times New Roman" w:hAnsi="Times New Roman"/>
          <w:b/>
          <w:bCs/>
          <w:iCs/>
          <w:sz w:val="24"/>
          <w:szCs w:val="24"/>
          <w:lang w:val="sk-SK" w:eastAsia="cs-CZ"/>
        </w:rPr>
      </w:pPr>
    </w:p>
    <w:p w:rsidR="002151F6" w:rsidP="00B55757">
      <w:pPr>
        <w:widowControl/>
        <w:numPr>
          <w:numId w:val="13"/>
        </w:numPr>
        <w:bidi w:val="0"/>
        <w:adjustRightInd/>
        <w:spacing w:after="0" w:line="240" w:lineRule="auto"/>
        <w:rPr>
          <w:rFonts w:ascii="Times New Roman" w:hAnsi="Times New Roman"/>
          <w:sz w:val="24"/>
          <w:szCs w:val="24"/>
          <w:lang w:val="sk-SK" w:eastAsia="cs-CZ"/>
        </w:rPr>
      </w:pPr>
      <w:r w:rsidRPr="002151F6">
        <w:rPr>
          <w:rFonts w:ascii="Times New Roman" w:hAnsi="Times New Roman"/>
          <w:sz w:val="24"/>
          <w:szCs w:val="24"/>
          <w:lang w:val="sk-SK" w:eastAsia="cs-CZ"/>
        </w:rPr>
        <w:t xml:space="preserve">čl. 110 Zmluvy o fungovaní Európskej únie. </w:t>
      </w:r>
    </w:p>
    <w:p w:rsidR="00B55757" w:rsidRPr="002151F6" w:rsidP="00B55757">
      <w:pPr>
        <w:widowControl/>
        <w:bidi w:val="0"/>
        <w:adjustRightInd/>
        <w:spacing w:after="0" w:line="240" w:lineRule="auto"/>
        <w:ind w:left="835"/>
        <w:rPr>
          <w:rFonts w:ascii="Times New Roman" w:hAnsi="Times New Roman"/>
          <w:sz w:val="24"/>
          <w:szCs w:val="24"/>
          <w:lang w:val="sk-SK" w:eastAsia="cs-CZ"/>
        </w:rPr>
      </w:pPr>
    </w:p>
    <w:p w:rsidR="002151F6" w:rsidP="00B55757">
      <w:pPr>
        <w:widowControl/>
        <w:numPr>
          <w:ilvl w:val="1"/>
          <w:numId w:val="5"/>
        </w:numPr>
        <w:bidi w:val="0"/>
        <w:adjustRightInd/>
        <w:spacing w:after="0" w:line="240" w:lineRule="auto"/>
        <w:rPr>
          <w:rFonts w:ascii="Times New Roman" w:hAnsi="Times New Roman"/>
          <w:sz w:val="24"/>
          <w:szCs w:val="24"/>
          <w:lang w:val="sk-SK" w:eastAsia="cs-CZ"/>
        </w:rPr>
      </w:pPr>
      <w:r w:rsidRPr="002151F6">
        <w:rPr>
          <w:rFonts w:ascii="Times New Roman" w:hAnsi="Times New Roman"/>
          <w:sz w:val="24"/>
          <w:szCs w:val="24"/>
          <w:lang w:val="sk-SK" w:eastAsia="cs-CZ"/>
        </w:rPr>
        <w:t>je obsiahnutá v judikatúre Súdneho dvora Európskej únie:</w:t>
      </w:r>
    </w:p>
    <w:p w:rsidR="002151F6" w:rsidP="00B55757">
      <w:pPr>
        <w:pStyle w:val="BodyText"/>
        <w:numPr>
          <w:numId w:val="12"/>
        </w:numPr>
        <w:bidi w:val="0"/>
        <w:spacing w:after="0"/>
        <w:ind w:left="709" w:hanging="283"/>
        <w:jc w:val="both"/>
        <w:rPr>
          <w:rFonts w:ascii="Times New Roman" w:hAnsi="Times New Roman"/>
        </w:rPr>
      </w:pPr>
      <w:r w:rsidRPr="002151F6">
        <w:rPr>
          <w:rFonts w:ascii="Times New Roman" w:hAnsi="Times New Roman"/>
          <w:noProof/>
        </w:rPr>
        <w:t xml:space="preserve">rozhodnutie Súdneho dvora v spojených veciach </w:t>
      </w:r>
      <w:r w:rsidRPr="002151F6">
        <w:rPr>
          <w:rStyle w:val="apple-converted-space"/>
          <w:rFonts w:ascii="Times New Roman" w:hAnsi="Times New Roman"/>
          <w:b/>
          <w:bCs/>
          <w:noProof/>
          <w:shd w:val="clear" w:color="auto" w:fill="FFFFFF"/>
        </w:rPr>
        <w:t> </w:t>
      </w:r>
      <w:hyperlink r:id="rId5" w:tgtFrame="_blank" w:history="1">
        <w:r w:rsidRPr="002151F6">
          <w:rPr>
            <w:rStyle w:val="Hyperlink"/>
            <w:rFonts w:ascii="Times New Roman" w:hAnsi="Times New Roman"/>
            <w:bCs/>
            <w:noProof/>
            <w:shd w:val="clear" w:color="auto" w:fill="FFFFFF"/>
          </w:rPr>
          <w:t>C-290/05</w:t>
        </w:r>
      </w:hyperlink>
      <w:r w:rsidRPr="002151F6">
        <w:rPr>
          <w:rStyle w:val="apple-converted-space"/>
          <w:rFonts w:ascii="Times New Roman" w:hAnsi="Times New Roman"/>
          <w:bCs/>
          <w:noProof/>
          <w:shd w:val="clear" w:color="auto" w:fill="FFFFFF"/>
        </w:rPr>
        <w:t> </w:t>
      </w:r>
      <w:r w:rsidRPr="002151F6">
        <w:rPr>
          <w:rFonts w:ascii="Times New Roman" w:hAnsi="Times New Roman"/>
          <w:bCs/>
          <w:noProof/>
          <w:shd w:val="clear" w:color="auto" w:fill="FFFFFF"/>
        </w:rPr>
        <w:t>a C-333/05,</w:t>
      </w:r>
      <w:r w:rsidRPr="002151F6">
        <w:rPr>
          <w:rFonts w:ascii="Times New Roman" w:hAnsi="Times New Roman"/>
          <w:b/>
          <w:bCs/>
          <w:noProof/>
          <w:color w:val="334D55"/>
          <w:shd w:val="clear" w:color="auto" w:fill="FFFFFF"/>
        </w:rPr>
        <w:t xml:space="preserve"> </w:t>
      </w:r>
      <w:r w:rsidRPr="002151F6">
        <w:rPr>
          <w:rFonts w:ascii="Times New Roman" w:hAnsi="Times New Roman"/>
          <w:bCs/>
          <w:noProof/>
          <w:shd w:val="clear" w:color="auto" w:fill="FFFFFF"/>
        </w:rPr>
        <w:t>Ákos Nádasdi proti Vám- és Pénzügyőrség Észak-Alföldi Regionális Parancsnoksága a Ilona Németh proti Vám- és Pénzügyőrség Dél-Alföldi Regionális Parancsnoksága</w:t>
      </w:r>
      <w:r w:rsidRPr="002151F6">
        <w:rPr>
          <w:rFonts w:ascii="Times New Roman" w:hAnsi="Times New Roman"/>
        </w:rPr>
        <w:t>, [2006].</w:t>
      </w:r>
    </w:p>
    <w:p w:rsidR="00AD5A74" w:rsidP="00B55757">
      <w:pPr>
        <w:pStyle w:val="BodyText"/>
        <w:bidi w:val="0"/>
        <w:spacing w:after="0"/>
        <w:jc w:val="both"/>
        <w:rPr>
          <w:rFonts w:ascii="Times New Roman" w:hAnsi="Times New Roman"/>
        </w:rPr>
      </w:pPr>
    </w:p>
    <w:p w:rsidR="002151F6" w:rsidP="00B55757">
      <w:pPr>
        <w:widowControl/>
        <w:numPr>
          <w:numId w:val="5"/>
        </w:numPr>
        <w:bidi w:val="0"/>
        <w:adjustRightInd/>
        <w:spacing w:after="0" w:line="240" w:lineRule="auto"/>
        <w:jc w:val="both"/>
        <w:rPr>
          <w:rFonts w:ascii="Times New Roman" w:hAnsi="Times New Roman"/>
          <w:b/>
          <w:bCs/>
          <w:sz w:val="24"/>
          <w:szCs w:val="24"/>
          <w:lang w:val="sk-SK"/>
        </w:rPr>
      </w:pPr>
      <w:r w:rsidRPr="002151F6">
        <w:rPr>
          <w:rFonts w:ascii="Times New Roman" w:hAnsi="Times New Roman"/>
          <w:b/>
          <w:bCs/>
          <w:sz w:val="24"/>
          <w:szCs w:val="24"/>
          <w:lang w:val="sk-SK"/>
        </w:rPr>
        <w:t>Záväzky Slovenskej republiky vo vzťahu k Európskej únii:</w:t>
      </w:r>
    </w:p>
    <w:p w:rsidR="00B55757" w:rsidRPr="002151F6" w:rsidP="00B55757">
      <w:pPr>
        <w:widowControl/>
        <w:bidi w:val="0"/>
        <w:adjustRightInd/>
        <w:spacing w:after="0" w:line="240" w:lineRule="auto"/>
        <w:ind w:left="425"/>
        <w:jc w:val="both"/>
        <w:rPr>
          <w:rFonts w:ascii="Times New Roman" w:hAnsi="Times New Roman"/>
          <w:b/>
          <w:bCs/>
          <w:sz w:val="24"/>
          <w:szCs w:val="24"/>
          <w:lang w:val="sk-SK"/>
        </w:rPr>
      </w:pPr>
    </w:p>
    <w:p w:rsidR="002151F6" w:rsidRPr="002151F6" w:rsidP="00B55757">
      <w:pPr>
        <w:widowControl/>
        <w:numPr>
          <w:numId w:val="11"/>
        </w:numPr>
        <w:tabs>
          <w:tab w:val="left" w:pos="425"/>
          <w:tab w:val="clear" w:pos="720"/>
        </w:tabs>
        <w:bidi w:val="0"/>
        <w:adjustRightInd/>
        <w:spacing w:after="0" w:line="240" w:lineRule="auto"/>
        <w:ind w:left="425" w:hanging="425"/>
        <w:jc w:val="both"/>
        <w:rPr>
          <w:rFonts w:ascii="Times New Roman" w:hAnsi="Times New Roman"/>
          <w:sz w:val="24"/>
          <w:szCs w:val="24"/>
          <w:lang w:val="sk-SK" w:eastAsia="cs-CZ"/>
        </w:rPr>
      </w:pPr>
      <w:r w:rsidRPr="002151F6">
        <w:rPr>
          <w:rFonts w:ascii="Times New Roman" w:hAnsi="Times New Roman"/>
          <w:sz w:val="24"/>
          <w:szCs w:val="24"/>
          <w:lang w:val="sk-SK" w:eastAsia="cs-CZ"/>
        </w:rPr>
        <w:t>Lehota na prebratie smernice alebo lehota na implementáciu nariadenia alebo rozhodnutia: bezpredmetné.</w:t>
      </w:r>
    </w:p>
    <w:p w:rsidR="002151F6" w:rsidRPr="002151F6" w:rsidP="00B55757">
      <w:pPr>
        <w:widowControl/>
        <w:numPr>
          <w:numId w:val="11"/>
        </w:numPr>
        <w:tabs>
          <w:tab w:val="left" w:pos="425"/>
          <w:tab w:val="clear" w:pos="720"/>
        </w:tabs>
        <w:bidi w:val="0"/>
        <w:adjustRightInd/>
        <w:spacing w:after="0" w:line="240" w:lineRule="auto"/>
        <w:ind w:left="425" w:hanging="425"/>
        <w:jc w:val="both"/>
        <w:rPr>
          <w:rFonts w:ascii="Times New Roman" w:hAnsi="Times New Roman"/>
          <w:sz w:val="24"/>
          <w:szCs w:val="24"/>
          <w:lang w:val="sk-SK" w:eastAsia="cs-CZ"/>
        </w:rPr>
      </w:pPr>
      <w:r w:rsidRPr="002151F6">
        <w:rPr>
          <w:rFonts w:ascii="Times New Roman" w:hAnsi="Times New Roman"/>
          <w:sz w:val="24"/>
          <w:szCs w:val="24"/>
          <w:lang w:val="sk-SK" w:eastAsia="cs-CZ"/>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 bezpredmetné.</w:t>
      </w:r>
    </w:p>
    <w:p w:rsidR="002151F6" w:rsidRPr="002151F6" w:rsidP="00B55757">
      <w:pPr>
        <w:widowControl/>
        <w:numPr>
          <w:numId w:val="11"/>
        </w:numPr>
        <w:tabs>
          <w:tab w:val="left" w:pos="425"/>
          <w:tab w:val="clear" w:pos="720"/>
        </w:tabs>
        <w:bidi w:val="0"/>
        <w:adjustRightInd/>
        <w:spacing w:after="0" w:line="240" w:lineRule="auto"/>
        <w:ind w:left="425" w:hanging="425"/>
        <w:jc w:val="both"/>
        <w:rPr>
          <w:rFonts w:ascii="Times New Roman" w:hAnsi="Times New Roman"/>
          <w:sz w:val="24"/>
          <w:szCs w:val="24"/>
          <w:lang w:val="sk-SK" w:eastAsia="cs-CZ"/>
        </w:rPr>
      </w:pPr>
      <w:r w:rsidRPr="002151F6">
        <w:rPr>
          <w:rFonts w:ascii="Times New Roman" w:hAnsi="Times New Roman"/>
          <w:sz w:val="24"/>
          <w:szCs w:val="24"/>
          <w:lang w:val="sk-SK" w:eastAsia="cs-CZ"/>
        </w:rPr>
        <w:t>Proti SR bolo začaté konanie č. 2014/2015 o porušení Zmluvy o fungovaní Európskej únie podľa čl. 258 až 260.</w:t>
      </w:r>
    </w:p>
    <w:p w:rsidR="002151F6" w:rsidP="00B55757">
      <w:pPr>
        <w:widowControl/>
        <w:numPr>
          <w:numId w:val="11"/>
        </w:numPr>
        <w:tabs>
          <w:tab w:val="left" w:pos="425"/>
          <w:tab w:val="clear" w:pos="720"/>
        </w:tabs>
        <w:bidi w:val="0"/>
        <w:adjustRightInd/>
        <w:spacing w:after="0" w:line="240" w:lineRule="auto"/>
        <w:ind w:left="425" w:hanging="425"/>
        <w:jc w:val="both"/>
        <w:rPr>
          <w:rStyle w:val="PlaceholderText"/>
          <w:sz w:val="24"/>
          <w:szCs w:val="24"/>
          <w:lang w:val="sk-SK" w:eastAsia="cs-CZ"/>
        </w:rPr>
      </w:pPr>
      <w:r w:rsidRPr="002151F6">
        <w:rPr>
          <w:rFonts w:ascii="Times New Roman" w:hAnsi="Times New Roman"/>
          <w:sz w:val="24"/>
          <w:szCs w:val="24"/>
          <w:lang w:val="sk-SK" w:eastAsia="cs-CZ"/>
        </w:rPr>
        <w:t>Bezpredmetné</w:t>
      </w:r>
      <w:r w:rsidRPr="002151F6">
        <w:rPr>
          <w:rStyle w:val="PlaceholderText"/>
          <w:sz w:val="24"/>
          <w:szCs w:val="24"/>
          <w:lang w:val="sk-SK"/>
        </w:rPr>
        <w:t>.</w:t>
      </w:r>
    </w:p>
    <w:p w:rsidR="00AD5A74" w:rsidRPr="002151F6" w:rsidP="00B55757">
      <w:pPr>
        <w:widowControl/>
        <w:tabs>
          <w:tab w:val="left" w:pos="425"/>
        </w:tabs>
        <w:bidi w:val="0"/>
        <w:adjustRightInd/>
        <w:spacing w:after="0" w:line="240" w:lineRule="auto"/>
        <w:jc w:val="both"/>
        <w:rPr>
          <w:rStyle w:val="PlaceholderText"/>
          <w:sz w:val="24"/>
          <w:szCs w:val="24"/>
          <w:lang w:val="sk-SK" w:eastAsia="cs-CZ"/>
        </w:rPr>
      </w:pPr>
    </w:p>
    <w:p w:rsidR="00B55757" w:rsidRPr="00B55757" w:rsidP="00B55757">
      <w:pPr>
        <w:widowControl/>
        <w:numPr>
          <w:numId w:val="5"/>
        </w:numPr>
        <w:bidi w:val="0"/>
        <w:adjustRightInd/>
        <w:spacing w:after="0" w:line="240" w:lineRule="auto"/>
        <w:jc w:val="both"/>
        <w:rPr>
          <w:rFonts w:ascii="Times New Roman" w:hAnsi="Times New Roman"/>
          <w:b/>
          <w:bCs/>
          <w:sz w:val="24"/>
          <w:szCs w:val="24"/>
          <w:lang w:val="sk-SK"/>
        </w:rPr>
      </w:pPr>
      <w:r w:rsidRPr="002151F6" w:rsidR="002151F6">
        <w:rPr>
          <w:rFonts w:ascii="Times New Roman" w:hAnsi="Times New Roman"/>
          <w:b/>
          <w:bCs/>
          <w:sz w:val="24"/>
          <w:szCs w:val="24"/>
          <w:lang w:val="sk-SK"/>
        </w:rPr>
        <w:t>Stupeň zlučiteľnosti návrhu zákona s právom Európskej únie:</w:t>
      </w:r>
    </w:p>
    <w:p w:rsidR="002151F6" w:rsidP="00B55757">
      <w:pPr>
        <w:bidi w:val="0"/>
        <w:spacing w:after="0" w:line="240" w:lineRule="auto"/>
        <w:ind w:left="425" w:hanging="425"/>
        <w:jc w:val="both"/>
        <w:rPr>
          <w:rFonts w:ascii="Times New Roman" w:hAnsi="Times New Roman"/>
          <w:sz w:val="24"/>
          <w:szCs w:val="24"/>
          <w:lang w:val="sk-SK"/>
        </w:rPr>
      </w:pPr>
      <w:r w:rsidRPr="002151F6">
        <w:rPr>
          <w:rFonts w:ascii="Times New Roman" w:hAnsi="Times New Roman"/>
          <w:sz w:val="24"/>
          <w:szCs w:val="24"/>
          <w:lang w:val="sk-SK"/>
        </w:rPr>
        <w:tab/>
        <w:t>Úplný.</w:t>
      </w:r>
    </w:p>
    <w:p w:rsidR="00AD5A74" w:rsidRPr="002151F6" w:rsidP="00B55757">
      <w:pPr>
        <w:bidi w:val="0"/>
        <w:spacing w:after="0" w:line="240" w:lineRule="auto"/>
        <w:ind w:left="425" w:hanging="425"/>
        <w:jc w:val="both"/>
        <w:rPr>
          <w:rFonts w:ascii="Times New Roman" w:hAnsi="Times New Roman"/>
          <w:sz w:val="24"/>
          <w:szCs w:val="24"/>
          <w:lang w:val="sk-SK"/>
        </w:rPr>
      </w:pPr>
    </w:p>
    <w:p w:rsidR="002151F6" w:rsidRPr="002151F6" w:rsidP="00B55757">
      <w:pPr>
        <w:widowControl/>
        <w:numPr>
          <w:numId w:val="5"/>
        </w:numPr>
        <w:bidi w:val="0"/>
        <w:adjustRightInd/>
        <w:spacing w:after="0" w:line="240" w:lineRule="auto"/>
        <w:jc w:val="both"/>
        <w:rPr>
          <w:rFonts w:ascii="Times New Roman" w:hAnsi="Times New Roman"/>
          <w:b/>
          <w:bCs/>
          <w:sz w:val="24"/>
          <w:szCs w:val="24"/>
          <w:lang w:val="sk-SK"/>
        </w:rPr>
      </w:pPr>
      <w:r w:rsidRPr="002151F6">
        <w:rPr>
          <w:rFonts w:ascii="Times New Roman" w:hAnsi="Times New Roman"/>
          <w:b/>
          <w:bCs/>
          <w:sz w:val="24"/>
          <w:szCs w:val="24"/>
          <w:lang w:val="sk-SK"/>
        </w:rPr>
        <w:t xml:space="preserve">Gestor a spolupracujúce rezorty: </w:t>
      </w:r>
    </w:p>
    <w:p w:rsidR="002151F6" w:rsidP="00B55757">
      <w:pPr>
        <w:bidi w:val="0"/>
        <w:spacing w:after="0" w:line="240" w:lineRule="auto"/>
        <w:ind w:left="360"/>
        <w:jc w:val="both"/>
        <w:rPr>
          <w:rFonts w:ascii="Times New Roman" w:hAnsi="Times New Roman"/>
          <w:sz w:val="24"/>
          <w:szCs w:val="24"/>
          <w:lang w:val="sk-SK"/>
        </w:rPr>
      </w:pPr>
      <w:r w:rsidRPr="002151F6">
        <w:rPr>
          <w:rFonts w:ascii="Times New Roman" w:hAnsi="Times New Roman"/>
          <w:sz w:val="24"/>
          <w:szCs w:val="24"/>
          <w:lang w:val="sk-SK"/>
        </w:rPr>
        <w:t>Bezpredmetné.</w:t>
      </w:r>
    </w:p>
    <w:p w:rsidR="00BC4C40" w:rsidP="00AD5A74">
      <w:pPr>
        <w:bidi w:val="0"/>
        <w:spacing w:after="0" w:line="240" w:lineRule="auto"/>
        <w:ind w:left="360"/>
        <w:jc w:val="both"/>
        <w:rPr>
          <w:rFonts w:ascii="Times New Roman" w:hAnsi="Times New Roman"/>
          <w:sz w:val="24"/>
          <w:szCs w:val="24"/>
          <w:lang w:val="sk-SK"/>
        </w:rPr>
        <w:sectPr w:rsidSect="00EB59C8">
          <w:headerReference w:type="even" r:id="rId6"/>
          <w:footerReference w:type="even" r:id="rId7"/>
          <w:footerReference w:type="default" r:id="rId8"/>
          <w:headerReference w:type="first" r:id="rId9"/>
          <w:footerReference w:type="first" r:id="rId10"/>
          <w:pgSz w:w="11906" w:h="16838"/>
          <w:pgMar w:top="1417" w:right="1417" w:bottom="1276" w:left="1417" w:header="708" w:footer="708" w:gutter="0"/>
          <w:lnNumType w:distance="0"/>
          <w:pgNumType w:start="1"/>
          <w:cols w:space="708"/>
          <w:noEndnote w:val="0"/>
          <w:bidi w:val="0"/>
          <w:docGrid w:linePitch="360"/>
        </w:sectPr>
      </w:pPr>
    </w:p>
    <w:p w:rsidR="002151F6" w:rsidRPr="004A6AFD" w:rsidP="002151F6">
      <w:pPr>
        <w:bidi w:val="0"/>
        <w:jc w:val="center"/>
        <w:rPr>
          <w:rFonts w:ascii="Times New Roman" w:hAnsi="Times New Roman"/>
          <w:b/>
          <w:bCs/>
          <w:sz w:val="24"/>
          <w:szCs w:val="24"/>
          <w:lang w:val="sk-SK"/>
        </w:rPr>
      </w:pPr>
      <w:r w:rsidRPr="004A6AFD">
        <w:rPr>
          <w:rFonts w:ascii="Times New Roman" w:hAnsi="Times New Roman"/>
          <w:b/>
          <w:bCs/>
          <w:sz w:val="24"/>
          <w:szCs w:val="24"/>
          <w:lang w:val="sk-SK"/>
        </w:rPr>
        <w:t>Doložka vybraných vplyvov</w:t>
      </w:r>
    </w:p>
    <w:p w:rsidR="002151F6" w:rsidRPr="004A6AFD" w:rsidP="002151F6">
      <w:pPr>
        <w:bidi w:val="0"/>
        <w:rPr>
          <w:rFonts w:ascii="Times New Roman" w:hAnsi="Times New Roman"/>
          <w:b/>
          <w:sz w:val="24"/>
          <w:szCs w:val="24"/>
          <w:lang w:val="sk-SK"/>
        </w:rPr>
      </w:pPr>
    </w:p>
    <w:tbl>
      <w:tblPr>
        <w:tblStyle w:val="TableGrid"/>
        <w:tblW w:w="9300" w:type="dxa"/>
        <w:tblLayout w:type="fixed"/>
        <w:tblLook w:val="04A0"/>
      </w:tblPr>
      <w:tblGrid>
        <w:gridCol w:w="3812"/>
        <w:gridCol w:w="400"/>
        <w:gridCol w:w="141"/>
        <w:gridCol w:w="564"/>
        <w:gridCol w:w="717"/>
        <w:gridCol w:w="569"/>
        <w:gridCol w:w="1133"/>
        <w:gridCol w:w="284"/>
        <w:gridCol w:w="263"/>
        <w:gridCol w:w="1417"/>
      </w:tblGrid>
      <w:tr>
        <w:tblPrEx>
          <w:tblW w:w="9300" w:type="dxa"/>
          <w:tblLayout w:type="fixed"/>
          <w:tblLook w:val="04A0"/>
        </w:tblPrEx>
        <w:tc>
          <w:tcPr>
            <w:tcW w:w="930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2151F6" w:rsidRPr="004A6AFD" w:rsidP="002151F6">
            <w:pPr>
              <w:pStyle w:val="ListParagraph"/>
              <w:numPr>
                <w:numId w:val="14"/>
              </w:numPr>
              <w:bidi w:val="0"/>
              <w:spacing w:after="0" w:line="240" w:lineRule="auto"/>
              <w:ind w:left="426"/>
              <w:rPr>
                <w:rFonts w:ascii="Times New Roman" w:hAnsi="Times New Roman"/>
                <w:b/>
                <w:sz w:val="24"/>
                <w:szCs w:val="24"/>
              </w:rPr>
            </w:pPr>
            <w:r w:rsidRPr="004A6AFD">
              <w:rPr>
                <w:rFonts w:ascii="Times New Roman" w:hAnsi="Times New Roman"/>
                <w:b/>
                <w:sz w:val="24"/>
                <w:szCs w:val="24"/>
              </w:rPr>
              <w:t>Základné údaje</w:t>
            </w:r>
          </w:p>
        </w:tc>
      </w:tr>
      <w:tr>
        <w:tblPrEx>
          <w:tblW w:w="9300" w:type="dxa"/>
          <w:tblLayout w:type="fixed"/>
          <w:tblLook w:val="04A0"/>
        </w:tblPrEx>
        <w:tc>
          <w:tcPr>
            <w:tcW w:w="930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2151F6" w:rsidRPr="004A6AFD" w:rsidP="00501AD0">
            <w:pPr>
              <w:pStyle w:val="ListParagraph"/>
              <w:bidi w:val="0"/>
              <w:spacing w:after="0" w:line="240" w:lineRule="auto"/>
              <w:ind w:left="142"/>
              <w:rPr>
                <w:rFonts w:ascii="Times New Roman" w:hAnsi="Times New Roman"/>
                <w:b/>
                <w:sz w:val="24"/>
                <w:szCs w:val="24"/>
              </w:rPr>
            </w:pPr>
            <w:r w:rsidRPr="004A6AFD">
              <w:rPr>
                <w:rFonts w:ascii="Times New Roman" w:hAnsi="Times New Roman"/>
                <w:b/>
                <w:sz w:val="24"/>
                <w:szCs w:val="24"/>
              </w:rPr>
              <w:t>Názov materiálu</w:t>
            </w:r>
          </w:p>
        </w:tc>
      </w:tr>
      <w:tr>
        <w:tblPrEx>
          <w:tblW w:w="9300" w:type="dxa"/>
          <w:tblLayout w:type="fixed"/>
          <w:tblLook w:val="04A0"/>
        </w:tblPrEx>
        <w:tc>
          <w:tcPr>
            <w:tcW w:w="9300" w:type="dxa"/>
            <w:gridSpan w:val="10"/>
            <w:tcBorders>
              <w:top w:val="single" w:sz="4" w:space="0" w:color="FFFFFF"/>
              <w:left w:val="single" w:sz="4" w:space="0" w:color="auto"/>
              <w:bottom w:val="single" w:sz="4" w:space="0" w:color="auto"/>
              <w:right w:val="single" w:sz="4" w:space="0" w:color="auto"/>
            </w:tcBorders>
            <w:textDirection w:val="lrTb"/>
            <w:vAlign w:val="top"/>
          </w:tcPr>
          <w:p w:rsidR="002151F6" w:rsidRPr="004A6AFD" w:rsidP="00501AD0">
            <w:pPr>
              <w:bidi w:val="0"/>
              <w:spacing w:after="0" w:line="240" w:lineRule="auto"/>
              <w:jc w:val="both"/>
              <w:rPr>
                <w:rFonts w:ascii="Times New Roman" w:hAnsi="Times New Roman"/>
                <w:sz w:val="24"/>
                <w:szCs w:val="24"/>
                <w:lang w:val="sk-SK"/>
              </w:rPr>
            </w:pPr>
            <w:r w:rsidRPr="004A6AFD">
              <w:rPr>
                <w:rFonts w:ascii="Times New Roman" w:hAnsi="Times New Roman"/>
                <w:sz w:val="24"/>
                <w:szCs w:val="24"/>
                <w:lang w:val="sk-SK"/>
              </w:rPr>
              <w:t xml:space="preserve">Návrh zákona, ktorým sa mení a dopĺňa zákon Národnej rady Slovenskej republiky </w:t>
              <w:br/>
              <w:t>č. 145/1995 Z. z. o správnych poplatkoch v znení neskorších predpisov a ktorým sa mení a dopĺňa zákon Slovenskej národnej rady č. 71/1992 Zb. o súdnych poplatkoch a poplatku za výpis z registra trestov v znení neskorších predpisov.</w:t>
            </w:r>
          </w:p>
          <w:p w:rsidR="002151F6" w:rsidRPr="004A6AFD" w:rsidP="00501AD0">
            <w:pPr>
              <w:bidi w:val="0"/>
              <w:spacing w:after="0" w:line="240" w:lineRule="auto"/>
              <w:rPr>
                <w:rFonts w:ascii="Times New Roman" w:hAnsi="Times New Roman"/>
                <w:sz w:val="24"/>
                <w:szCs w:val="24"/>
                <w:lang w:val="sk-SK"/>
              </w:rPr>
            </w:pPr>
          </w:p>
        </w:tc>
      </w:tr>
      <w:tr>
        <w:tblPrEx>
          <w:tblW w:w="9300" w:type="dxa"/>
          <w:tblLayout w:type="fixed"/>
          <w:tblLook w:val="04A0"/>
        </w:tblPrEx>
        <w:tc>
          <w:tcPr>
            <w:tcW w:w="930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2151F6" w:rsidRPr="004A6AFD" w:rsidP="00501AD0">
            <w:pPr>
              <w:pStyle w:val="ListParagraph"/>
              <w:bidi w:val="0"/>
              <w:spacing w:after="0" w:line="240" w:lineRule="auto"/>
              <w:ind w:left="142"/>
              <w:rPr>
                <w:rFonts w:ascii="Times New Roman" w:hAnsi="Times New Roman"/>
                <w:b/>
                <w:sz w:val="24"/>
                <w:szCs w:val="24"/>
              </w:rPr>
            </w:pPr>
            <w:r w:rsidRPr="004A6AFD">
              <w:rPr>
                <w:rFonts w:ascii="Times New Roman" w:hAnsi="Times New Roman"/>
                <w:b/>
                <w:sz w:val="24"/>
                <w:szCs w:val="24"/>
              </w:rPr>
              <w:t>Predkladateľ (a spolupredkladateľ)</w:t>
            </w:r>
          </w:p>
        </w:tc>
      </w:tr>
      <w:tr>
        <w:tblPrEx>
          <w:tblW w:w="9300" w:type="dxa"/>
          <w:tblLayout w:type="fixed"/>
          <w:tblLook w:val="04A0"/>
        </w:tblPrEx>
        <w:tc>
          <w:tcPr>
            <w:tcW w:w="930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2151F6" w:rsidRPr="004A6AFD" w:rsidP="00501AD0">
            <w:pPr>
              <w:bidi w:val="0"/>
              <w:spacing w:after="0" w:line="240" w:lineRule="auto"/>
              <w:rPr>
                <w:rFonts w:ascii="Times New Roman" w:hAnsi="Times New Roman"/>
                <w:sz w:val="24"/>
                <w:szCs w:val="24"/>
                <w:lang w:val="sk-SK"/>
              </w:rPr>
            </w:pPr>
          </w:p>
          <w:p w:rsidR="002151F6" w:rsidRPr="004A6AFD" w:rsidP="00501AD0">
            <w:pPr>
              <w:bidi w:val="0"/>
              <w:spacing w:after="0" w:line="240" w:lineRule="auto"/>
              <w:rPr>
                <w:rFonts w:ascii="Times New Roman" w:hAnsi="Times New Roman"/>
                <w:sz w:val="24"/>
                <w:szCs w:val="24"/>
                <w:lang w:val="sk-SK"/>
              </w:rPr>
            </w:pPr>
            <w:r w:rsidRPr="004A6AFD">
              <w:rPr>
                <w:rFonts w:ascii="Times New Roman" w:hAnsi="Times New Roman"/>
                <w:sz w:val="24"/>
                <w:szCs w:val="24"/>
                <w:lang w:val="sk-SK"/>
              </w:rPr>
              <w:t>Ministerstvo financií Slovenskej republiky</w:t>
            </w:r>
          </w:p>
        </w:tc>
      </w:tr>
      <w:tr>
        <w:tblPrEx>
          <w:tblW w:w="930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2151F6" w:rsidRPr="00CE5F29" w:rsidP="00501AD0">
            <w:pPr>
              <w:pStyle w:val="ListParagraph"/>
              <w:bidi w:val="0"/>
              <w:spacing w:after="0" w:line="240" w:lineRule="auto"/>
              <w:ind w:left="142"/>
              <w:rPr>
                <w:rFonts w:ascii="Times New Roman" w:hAnsi="Times New Roman"/>
                <w:b/>
                <w:sz w:val="24"/>
                <w:szCs w:val="24"/>
              </w:rPr>
            </w:pPr>
            <w:r w:rsidRPr="00CE5F29">
              <w:rPr>
                <w:rFonts w:ascii="Times New Roman" w:hAnsi="Times New Roman"/>
                <w:b/>
                <w:sz w:val="24"/>
                <w:szCs w:val="24"/>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2151F6" w:rsidRPr="00CE5F29" w:rsidP="00501AD0">
            <w:pPr>
              <w:bidi w:val="0"/>
              <w:spacing w:after="0" w:line="240" w:lineRule="auto"/>
              <w:jc w:val="center"/>
              <w:rPr>
                <w:rFonts w:ascii="Times New Roman" w:hAnsi="Times New Roman"/>
                <w:sz w:val="24"/>
                <w:szCs w:val="24"/>
                <w:lang w:val="sk-SK"/>
              </w:rPr>
            </w:pPr>
            <w:r w:rsidRPr="00CE5F29">
              <w:rPr>
                <w:rFonts w:ascii="Segoe UI Symbol" w:eastAsia="MS Mincho" w:hAnsi="Segoe UI Symbol" w:cs="Segoe UI Symbol" w:hint="default"/>
                <w:sz w:val="24"/>
                <w:szCs w:val="24"/>
                <w:lang w:val="sk-SK"/>
              </w:rPr>
              <w:t>☐</w:t>
            </w:r>
          </w:p>
        </w:tc>
        <w:tc>
          <w:tcPr>
            <w:tcW w:w="438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2151F6" w:rsidRPr="00CE5F29" w:rsidP="00501AD0">
            <w:pPr>
              <w:bidi w:val="0"/>
              <w:spacing w:after="0" w:line="240" w:lineRule="auto"/>
              <w:rPr>
                <w:rFonts w:ascii="Times New Roman" w:hAnsi="Times New Roman"/>
                <w:sz w:val="24"/>
                <w:szCs w:val="24"/>
                <w:lang w:val="sk-SK"/>
              </w:rPr>
            </w:pPr>
            <w:r w:rsidRPr="00CE5F29">
              <w:rPr>
                <w:rFonts w:ascii="Times New Roman" w:hAnsi="Times New Roman"/>
                <w:sz w:val="24"/>
                <w:szCs w:val="24"/>
                <w:lang w:val="sk-SK"/>
              </w:rPr>
              <w:t>Materiál nelegislatívnej povahy</w:t>
            </w:r>
          </w:p>
        </w:tc>
      </w:tr>
      <w:tr>
        <w:tblPrEx>
          <w:tblW w:w="930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2151F6" w:rsidRPr="00CE5F29" w:rsidP="00501AD0">
            <w:pPr>
              <w:bidi w:val="0"/>
              <w:spacing w:after="0" w:line="240" w:lineRule="auto"/>
              <w:rPr>
                <w:rFonts w:ascii="Times New Roman" w:hAnsi="Times New Roman"/>
                <w:sz w:val="24"/>
                <w:szCs w:val="24"/>
                <w:lang w:val="sk-SK"/>
              </w:rPr>
            </w:pPr>
          </w:p>
        </w:tc>
        <w:tc>
          <w:tcPr>
            <w:tcW w:w="705"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151F6" w:rsidRPr="00CE5F29" w:rsidP="00501AD0">
            <w:pPr>
              <w:bidi w:val="0"/>
              <w:spacing w:after="0" w:line="240" w:lineRule="auto"/>
              <w:jc w:val="center"/>
              <w:rPr>
                <w:rFonts w:ascii="Times New Roman" w:hAnsi="Times New Roman"/>
                <w:sz w:val="24"/>
                <w:szCs w:val="24"/>
                <w:lang w:val="sk-SK"/>
              </w:rPr>
            </w:pPr>
            <w:r w:rsidRPr="00CE5F29">
              <w:rPr>
                <w:rFonts w:ascii="Segoe UI Symbol" w:eastAsia="MS Gothic" w:hAnsi="Segoe UI Symbol" w:cs="Segoe UI Symbol" w:hint="default"/>
                <w:sz w:val="24"/>
                <w:szCs w:val="24"/>
                <w:lang w:val="sk-SK"/>
              </w:rPr>
              <w:t>☒</w:t>
            </w:r>
          </w:p>
        </w:tc>
        <w:tc>
          <w:tcPr>
            <w:tcW w:w="4383" w:type="dxa"/>
            <w:gridSpan w:val="6"/>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151F6" w:rsidRPr="00CE5F29" w:rsidP="00501AD0">
            <w:pPr>
              <w:bidi w:val="0"/>
              <w:spacing w:after="0" w:line="240" w:lineRule="auto"/>
              <w:ind w:left="175" w:hanging="175"/>
              <w:rPr>
                <w:rFonts w:ascii="Times New Roman" w:hAnsi="Times New Roman"/>
                <w:sz w:val="24"/>
                <w:szCs w:val="24"/>
                <w:lang w:val="sk-SK"/>
              </w:rPr>
            </w:pPr>
            <w:r w:rsidRPr="00CE5F29">
              <w:rPr>
                <w:rFonts w:ascii="Times New Roman" w:hAnsi="Times New Roman"/>
                <w:sz w:val="24"/>
                <w:szCs w:val="24"/>
                <w:lang w:val="sk-SK"/>
              </w:rPr>
              <w:t>Materiál legislatívnej povahy</w:t>
            </w:r>
          </w:p>
        </w:tc>
      </w:tr>
      <w:tr>
        <w:tblPrEx>
          <w:tblW w:w="930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2151F6" w:rsidRPr="00CE5F29" w:rsidP="00501AD0">
            <w:pPr>
              <w:bidi w:val="0"/>
              <w:spacing w:after="0" w:line="240" w:lineRule="auto"/>
              <w:rPr>
                <w:rFonts w:ascii="Times New Roman" w:hAnsi="Times New Roman"/>
                <w:sz w:val="24"/>
                <w:szCs w:val="24"/>
                <w:lang w:val="sk-SK"/>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2151F6" w:rsidRPr="00CE5F29" w:rsidP="00501AD0">
            <w:pPr>
              <w:bidi w:val="0"/>
              <w:spacing w:after="0" w:line="240" w:lineRule="auto"/>
              <w:jc w:val="center"/>
              <w:rPr>
                <w:rFonts w:ascii="Times New Roman" w:hAnsi="Times New Roman"/>
                <w:sz w:val="24"/>
                <w:szCs w:val="24"/>
                <w:lang w:val="sk-SK"/>
              </w:rPr>
            </w:pPr>
            <w:r w:rsidRPr="00CE5F29">
              <w:rPr>
                <w:rFonts w:ascii="Segoe UI Symbol" w:eastAsia="MS Mincho" w:hAnsi="Segoe UI Symbol" w:cs="Segoe UI Symbol" w:hint="default"/>
                <w:sz w:val="24"/>
                <w:szCs w:val="24"/>
                <w:lang w:val="sk-SK"/>
              </w:rPr>
              <w:t>☐</w:t>
            </w:r>
          </w:p>
        </w:tc>
        <w:tc>
          <w:tcPr>
            <w:tcW w:w="438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2151F6" w:rsidRPr="00CE5F29" w:rsidP="00501AD0">
            <w:pPr>
              <w:bidi w:val="0"/>
              <w:spacing w:after="0" w:line="240" w:lineRule="auto"/>
              <w:rPr>
                <w:rFonts w:ascii="Times New Roman" w:hAnsi="Times New Roman"/>
                <w:sz w:val="24"/>
                <w:szCs w:val="24"/>
                <w:lang w:val="sk-SK"/>
              </w:rPr>
            </w:pPr>
            <w:r w:rsidRPr="00CE5F29">
              <w:rPr>
                <w:rFonts w:ascii="Times New Roman" w:hAnsi="Times New Roman"/>
                <w:sz w:val="24"/>
                <w:szCs w:val="24"/>
                <w:lang w:val="sk-SK"/>
              </w:rPr>
              <w:t>Transpozícia práva EÚ</w:t>
            </w:r>
          </w:p>
        </w:tc>
      </w:tr>
      <w:tr>
        <w:tblPrEx>
          <w:tblW w:w="9300" w:type="dxa"/>
          <w:tblLayout w:type="fixed"/>
          <w:tblLook w:val="04A0"/>
        </w:tblPrEx>
        <w:tc>
          <w:tcPr>
            <w:tcW w:w="930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2151F6" w:rsidRPr="00CE5F29" w:rsidP="00501AD0">
            <w:pPr>
              <w:bidi w:val="0"/>
              <w:spacing w:after="0" w:line="240" w:lineRule="auto"/>
              <w:rPr>
                <w:rFonts w:ascii="Times New Roman" w:hAnsi="Times New Roman"/>
                <w:i/>
                <w:sz w:val="24"/>
                <w:szCs w:val="24"/>
                <w:lang w:val="sk-SK"/>
              </w:rPr>
            </w:pPr>
            <w:r w:rsidRPr="00CE5F29">
              <w:rPr>
                <w:rFonts w:ascii="Times New Roman" w:hAnsi="Times New Roman"/>
                <w:i/>
                <w:sz w:val="24"/>
                <w:szCs w:val="24"/>
                <w:lang w:val="sk-SK"/>
              </w:rPr>
              <w:t>V prípade transpozície uveďte zoznam transponovaných predpisov:</w:t>
            </w:r>
          </w:p>
          <w:p w:rsidR="002151F6" w:rsidRPr="00CE5F29" w:rsidP="00501AD0">
            <w:pPr>
              <w:bidi w:val="0"/>
              <w:spacing w:after="0" w:line="240" w:lineRule="auto"/>
              <w:rPr>
                <w:rFonts w:ascii="Times New Roman" w:hAnsi="Times New Roman"/>
                <w:sz w:val="24"/>
                <w:szCs w:val="24"/>
                <w:lang w:val="sk-SK"/>
              </w:rPr>
            </w:pPr>
          </w:p>
          <w:p w:rsidR="002151F6" w:rsidRPr="00CE5F29" w:rsidP="00501AD0">
            <w:pPr>
              <w:bidi w:val="0"/>
              <w:spacing w:after="0" w:line="240" w:lineRule="auto"/>
              <w:rPr>
                <w:rFonts w:ascii="Times New Roman" w:hAnsi="Times New Roman"/>
                <w:sz w:val="24"/>
                <w:szCs w:val="24"/>
                <w:lang w:val="sk-SK"/>
              </w:rPr>
            </w:pPr>
          </w:p>
        </w:tc>
      </w:tr>
      <w:tr>
        <w:tblPrEx>
          <w:tblW w:w="930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2151F6" w:rsidRPr="00CE5F29" w:rsidP="00501AD0">
            <w:pPr>
              <w:pStyle w:val="ListParagraph"/>
              <w:bidi w:val="0"/>
              <w:spacing w:after="0" w:line="240" w:lineRule="auto"/>
              <w:ind w:left="142"/>
              <w:rPr>
                <w:rFonts w:ascii="Times New Roman" w:hAnsi="Times New Roman"/>
                <w:b/>
                <w:sz w:val="24"/>
                <w:szCs w:val="24"/>
              </w:rPr>
            </w:pPr>
            <w:r w:rsidRPr="00CE5F29">
              <w:rPr>
                <w:rFonts w:ascii="Times New Roman" w:hAnsi="Times New Roman"/>
                <w:b/>
                <w:sz w:val="24"/>
                <w:szCs w:val="24"/>
              </w:rPr>
              <w:t>Termín začiatku a ukončenia PPK</w:t>
            </w:r>
          </w:p>
        </w:tc>
        <w:tc>
          <w:tcPr>
            <w:tcW w:w="3666" w:type="dxa"/>
            <w:gridSpan w:val="5"/>
            <w:tcBorders>
              <w:top w:val="single" w:sz="4" w:space="0" w:color="000000"/>
              <w:left w:val="single" w:sz="4" w:space="0" w:color="auto"/>
              <w:bottom w:val="single" w:sz="4" w:space="0" w:color="auto"/>
              <w:right w:val="single" w:sz="4" w:space="0" w:color="auto"/>
            </w:tcBorders>
            <w:textDirection w:val="lrTb"/>
            <w:vAlign w:val="top"/>
          </w:tcPr>
          <w:p w:rsidR="002151F6" w:rsidRPr="00CE5F29" w:rsidP="00501AD0">
            <w:pPr>
              <w:bidi w:val="0"/>
              <w:spacing w:after="0" w:line="240" w:lineRule="auto"/>
              <w:rPr>
                <w:rFonts w:ascii="Times New Roman" w:hAnsi="Times New Roman"/>
                <w:sz w:val="24"/>
                <w:szCs w:val="24"/>
                <w:lang w:val="sk-SK"/>
              </w:rPr>
            </w:pPr>
            <w:r w:rsidRPr="00CE5F29">
              <w:rPr>
                <w:rFonts w:ascii="Times New Roman" w:hAnsi="Times New Roman"/>
                <w:sz w:val="24"/>
                <w:szCs w:val="24"/>
                <w:lang w:val="sk-SK"/>
              </w:rPr>
              <w:t>24.06.2016 – 01.07.2016</w:t>
            </w:r>
          </w:p>
        </w:tc>
      </w:tr>
      <w:tr>
        <w:tblPrEx>
          <w:tblW w:w="930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2151F6" w:rsidRPr="00CE5F29" w:rsidP="00501AD0">
            <w:pPr>
              <w:pStyle w:val="ListParagraph"/>
              <w:bidi w:val="0"/>
              <w:spacing w:after="0" w:line="240" w:lineRule="auto"/>
              <w:ind w:left="142"/>
              <w:rPr>
                <w:rFonts w:ascii="Times New Roman" w:hAnsi="Times New Roman"/>
                <w:b/>
                <w:sz w:val="24"/>
                <w:szCs w:val="24"/>
              </w:rPr>
            </w:pPr>
            <w:r w:rsidRPr="00CE5F29">
              <w:rPr>
                <w:rFonts w:ascii="Times New Roman" w:hAnsi="Times New Roman"/>
                <w:b/>
                <w:sz w:val="24"/>
                <w:szCs w:val="24"/>
              </w:rPr>
              <w:t>Predpokladaný termín predloženia na MPK*</w:t>
            </w:r>
          </w:p>
        </w:tc>
        <w:tc>
          <w:tcPr>
            <w:tcW w:w="3666" w:type="dxa"/>
            <w:gridSpan w:val="5"/>
            <w:tcBorders>
              <w:top w:val="single" w:sz="4" w:space="0" w:color="auto"/>
              <w:left w:val="single" w:sz="4" w:space="0" w:color="auto"/>
              <w:bottom w:val="single" w:sz="4" w:space="0" w:color="auto"/>
              <w:right w:val="single" w:sz="4" w:space="0" w:color="auto"/>
            </w:tcBorders>
            <w:textDirection w:val="lrTb"/>
            <w:vAlign w:val="top"/>
          </w:tcPr>
          <w:p w:rsidR="002151F6" w:rsidRPr="00CE5F29" w:rsidP="00501AD0">
            <w:pPr>
              <w:bidi w:val="0"/>
              <w:spacing w:after="0" w:line="240" w:lineRule="auto"/>
              <w:rPr>
                <w:rFonts w:ascii="Times New Roman" w:hAnsi="Times New Roman"/>
                <w:sz w:val="24"/>
                <w:szCs w:val="24"/>
                <w:lang w:val="sk-SK"/>
              </w:rPr>
            </w:pPr>
            <w:r w:rsidRPr="00CE5F29">
              <w:rPr>
                <w:rFonts w:ascii="Times New Roman" w:hAnsi="Times New Roman"/>
                <w:sz w:val="24"/>
                <w:szCs w:val="24"/>
                <w:lang w:val="sk-SK"/>
              </w:rPr>
              <w:t>11.07.2016</w:t>
            </w:r>
          </w:p>
        </w:tc>
      </w:tr>
      <w:tr>
        <w:tblPrEx>
          <w:tblW w:w="930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2151F6" w:rsidRPr="00CE5F29" w:rsidP="00501AD0">
            <w:pPr>
              <w:pStyle w:val="ListParagraph"/>
              <w:bidi w:val="0"/>
              <w:spacing w:after="0" w:line="240" w:lineRule="auto"/>
              <w:ind w:left="142"/>
              <w:rPr>
                <w:rFonts w:ascii="Times New Roman" w:hAnsi="Times New Roman"/>
                <w:b/>
                <w:sz w:val="24"/>
                <w:szCs w:val="24"/>
              </w:rPr>
            </w:pPr>
            <w:r w:rsidRPr="00CE5F29">
              <w:rPr>
                <w:rFonts w:ascii="Times New Roman" w:hAnsi="Times New Roman"/>
                <w:b/>
                <w:sz w:val="24"/>
                <w:szCs w:val="24"/>
              </w:rPr>
              <w:t>Predpokladaný termín predloženia na Rokovanie vlády SR*</w:t>
            </w:r>
          </w:p>
        </w:tc>
        <w:tc>
          <w:tcPr>
            <w:tcW w:w="3666" w:type="dxa"/>
            <w:gridSpan w:val="5"/>
            <w:tcBorders>
              <w:top w:val="single" w:sz="4" w:space="0" w:color="auto"/>
              <w:left w:val="single" w:sz="4" w:space="0" w:color="auto"/>
              <w:bottom w:val="single" w:sz="4" w:space="0" w:color="auto"/>
              <w:right w:val="single" w:sz="4" w:space="0" w:color="auto"/>
            </w:tcBorders>
            <w:textDirection w:val="lrTb"/>
            <w:vAlign w:val="top"/>
          </w:tcPr>
          <w:p w:rsidR="002151F6" w:rsidRPr="00CE5F29" w:rsidP="00DD2D4E">
            <w:pPr>
              <w:bidi w:val="0"/>
              <w:spacing w:after="0" w:line="240" w:lineRule="auto"/>
              <w:rPr>
                <w:rFonts w:ascii="Times New Roman" w:hAnsi="Times New Roman"/>
                <w:sz w:val="24"/>
                <w:szCs w:val="24"/>
                <w:lang w:val="sk-SK"/>
              </w:rPr>
            </w:pPr>
            <w:r w:rsidR="00DD2D4E">
              <w:rPr>
                <w:rFonts w:ascii="Times New Roman" w:hAnsi="Times New Roman"/>
                <w:sz w:val="24"/>
                <w:szCs w:val="24"/>
                <w:lang w:val="sk-SK"/>
              </w:rPr>
              <w:t>2</w:t>
            </w:r>
            <w:r w:rsidRPr="00CE5F29">
              <w:rPr>
                <w:rFonts w:ascii="Times New Roman" w:hAnsi="Times New Roman"/>
                <w:sz w:val="24"/>
                <w:szCs w:val="24"/>
                <w:lang w:val="sk-SK"/>
              </w:rPr>
              <w:t>1.08.2016</w:t>
            </w:r>
          </w:p>
        </w:tc>
      </w:tr>
      <w:tr>
        <w:tblPrEx>
          <w:tblW w:w="9300" w:type="dxa"/>
          <w:tblLayout w:type="fixed"/>
          <w:tblLook w:val="04A0"/>
        </w:tblPrEx>
        <w:tc>
          <w:tcPr>
            <w:tcW w:w="9300" w:type="dxa"/>
            <w:gridSpan w:val="10"/>
            <w:tcBorders>
              <w:top w:val="single" w:sz="4" w:space="0" w:color="auto"/>
              <w:left w:val="nil"/>
              <w:bottom w:val="single" w:sz="4" w:space="0" w:color="auto"/>
              <w:right w:val="nil"/>
            </w:tcBorders>
            <w:shd w:val="clear" w:color="auto" w:fill="FFFFFF"/>
            <w:textDirection w:val="lrTb"/>
            <w:vAlign w:val="top"/>
          </w:tcPr>
          <w:p w:rsidR="002151F6" w:rsidRPr="004A6AFD" w:rsidP="00501AD0">
            <w:pPr>
              <w:bidi w:val="0"/>
              <w:spacing w:after="0" w:line="240" w:lineRule="auto"/>
              <w:rPr>
                <w:rFonts w:ascii="Times New Roman" w:hAnsi="Times New Roman"/>
                <w:sz w:val="24"/>
                <w:szCs w:val="24"/>
                <w:lang w:val="sk-SK"/>
              </w:rPr>
            </w:pPr>
          </w:p>
        </w:tc>
      </w:tr>
      <w:tr>
        <w:tblPrEx>
          <w:tblW w:w="9300" w:type="dxa"/>
          <w:tblLayout w:type="fixed"/>
          <w:tblLook w:val="04A0"/>
        </w:tblPrEx>
        <w:tc>
          <w:tcPr>
            <w:tcW w:w="930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2151F6" w:rsidRPr="004A6AFD" w:rsidP="002151F6">
            <w:pPr>
              <w:pStyle w:val="ListParagraph"/>
              <w:numPr>
                <w:numId w:val="14"/>
              </w:numPr>
              <w:bidi w:val="0"/>
              <w:spacing w:after="0" w:line="240" w:lineRule="auto"/>
              <w:ind w:left="426"/>
              <w:rPr>
                <w:rFonts w:ascii="Times New Roman" w:hAnsi="Times New Roman"/>
                <w:b/>
                <w:sz w:val="24"/>
                <w:szCs w:val="24"/>
              </w:rPr>
            </w:pPr>
            <w:r w:rsidRPr="004A6AFD">
              <w:rPr>
                <w:rFonts w:ascii="Times New Roman" w:hAnsi="Times New Roman"/>
                <w:b/>
                <w:sz w:val="24"/>
                <w:szCs w:val="24"/>
              </w:rPr>
              <w:t>Definovanie problému</w:t>
            </w:r>
          </w:p>
        </w:tc>
      </w:tr>
      <w:tr>
        <w:tblPrEx>
          <w:tblW w:w="9300" w:type="dxa"/>
          <w:tblLayout w:type="fixed"/>
          <w:tblLook w:val="04A0"/>
        </w:tblPrEx>
        <w:trPr>
          <w:trHeight w:val="718"/>
        </w:trPr>
        <w:tc>
          <w:tcPr>
            <w:tcW w:w="930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B1444" w:rsidRPr="00EB7ECA" w:rsidP="003B1444">
            <w:pPr>
              <w:bidi w:val="0"/>
              <w:spacing w:after="0" w:line="240" w:lineRule="auto"/>
              <w:ind w:right="85" w:firstLine="709"/>
              <w:jc w:val="both"/>
              <w:rPr>
                <w:rFonts w:ascii="Times New Roman" w:hAnsi="Times New Roman"/>
                <w:sz w:val="24"/>
                <w:szCs w:val="24"/>
                <w:lang w:val="sk-SK"/>
              </w:rPr>
            </w:pPr>
            <w:r w:rsidRPr="00EB7ECA">
              <w:rPr>
                <w:rFonts w:ascii="Times New Roman" w:hAnsi="Times New Roman"/>
                <w:sz w:val="24"/>
                <w:szCs w:val="24"/>
                <w:lang w:val="sk-SK"/>
              </w:rPr>
              <w:t>Položka 65 sadzobníka správnych poplatkov zahŕňa evidenciu vozidla v Slovenskej republike v jednotnom evidenčnom systéme vedenom na orgáne policajného zboru. V súčasnosti jediným kritériom pre určenie sadzby poplatku je technické kritérium uvedené v dokladoch o vozidle (osvedčenie o evidencii časť I a osvedčenie o evidencii časť II) a tým je výkon motora v kW. Tento postup sa uplatňuje pre vozidlá kategórie L, M</w:t>
            </w:r>
            <w:r w:rsidRPr="00EB7ECA">
              <w:rPr>
                <w:rFonts w:ascii="Times New Roman" w:hAnsi="Times New Roman"/>
                <w:sz w:val="24"/>
                <w:szCs w:val="24"/>
                <w:vertAlign w:val="subscript"/>
                <w:lang w:val="sk-SK"/>
              </w:rPr>
              <w:t>1</w:t>
            </w:r>
            <w:r w:rsidRPr="00EB7ECA">
              <w:rPr>
                <w:rFonts w:ascii="Times New Roman" w:hAnsi="Times New Roman"/>
                <w:sz w:val="24"/>
                <w:szCs w:val="24"/>
                <w:lang w:val="sk-SK"/>
              </w:rPr>
              <w:t xml:space="preserve"> a N</w:t>
            </w:r>
            <w:r w:rsidRPr="00EB7ECA">
              <w:rPr>
                <w:rFonts w:ascii="Times New Roman" w:hAnsi="Times New Roman"/>
                <w:sz w:val="24"/>
                <w:szCs w:val="24"/>
                <w:vertAlign w:val="subscript"/>
                <w:lang w:val="sk-SK"/>
              </w:rPr>
              <w:t>1</w:t>
            </w:r>
            <w:r w:rsidRPr="00EB7ECA">
              <w:rPr>
                <w:rFonts w:ascii="Times New Roman" w:hAnsi="Times New Roman"/>
                <w:sz w:val="24"/>
                <w:szCs w:val="24"/>
                <w:lang w:val="sk-SK"/>
              </w:rPr>
              <w:t xml:space="preserve"> s výkonom motora nad 80 kW. Súčasťou zaplateného poplatku je okrem zápisu vozidla do evidencie vozidiel aj vydanie dokladov. Tento prístup spoplatňuje nad rámec základnej sadzby 33 eur (teda nad rámec krytia administratívnych nákladov) iba vozidlá, ktoré ešte neboli evidované v Slovenskej republike. Analýzou prístupov jednotlivých krajín EÚ k evidovaniu vozidiel do vlastnej evidencie bolo zistené, že registračný poplatok má v mnohých krajinách výrazné črty majetkovej dane, resp. nesie v sebe aj environmentálne aspekty používania motorového vozidla. Spravodlivým kritériom na stanovenie základu poplatku je hodnota vozidla. Určenie sadzby poplatku len podľa výkonu motora, ako je tomu v súčasnosti, nie je dostatočné. Pridaním ďalších kritérií pri stanovení sadzieb poplatku sa dosiahne efektívnejšie a spravodlivejšie určenie poplatku zodpovedajúce efektu východiskovej ceny vozidla a klesajúcej hodnoty vozidla s narastajúcim vekom, resp. opotrebením vozidla v čase. </w:t>
            </w:r>
          </w:p>
          <w:p w:rsidR="003B1444" w:rsidRPr="003B1444" w:rsidP="003B1444">
            <w:pPr>
              <w:bidi w:val="0"/>
              <w:spacing w:after="0" w:line="240" w:lineRule="auto"/>
              <w:ind w:right="85"/>
              <w:jc w:val="both"/>
              <w:rPr>
                <w:rFonts w:ascii="Times New Roman" w:hAnsi="Times New Roman"/>
                <w:sz w:val="24"/>
                <w:szCs w:val="24"/>
              </w:rPr>
            </w:pPr>
          </w:p>
          <w:p w:rsidR="002151F6" w:rsidRPr="007E3732" w:rsidP="003B1444">
            <w:pPr>
              <w:bidi w:val="0"/>
              <w:spacing w:after="0" w:line="240" w:lineRule="auto"/>
              <w:ind w:right="85" w:firstLine="709"/>
              <w:jc w:val="both"/>
              <w:rPr>
                <w:rFonts w:ascii="Times New Roman" w:hAnsi="Times New Roman"/>
                <w:sz w:val="24"/>
                <w:szCs w:val="24"/>
                <w:lang w:val="sk-SK"/>
              </w:rPr>
            </w:pPr>
            <w:r w:rsidRPr="007E3732" w:rsidR="003B1444">
              <w:rPr>
                <w:rFonts w:ascii="Times New Roman" w:hAnsi="Times New Roman"/>
                <w:sz w:val="24"/>
                <w:szCs w:val="24"/>
                <w:lang w:val="sk-SK"/>
              </w:rPr>
              <w:t>Súčasne je potrebné reagovať aj na požiadavky z aplikácie centrálneho systému evidencie poplatkov tak, aby sa zabezpečilo zvýšenie efektívnosti systému (zníženie papierovej archivácie tam, kde to nie je nevyhnutné).</w:t>
            </w:r>
          </w:p>
          <w:p w:rsidR="002151F6" w:rsidRPr="004A6AFD" w:rsidP="00501AD0">
            <w:pPr>
              <w:bidi w:val="0"/>
              <w:spacing w:after="0" w:line="240" w:lineRule="auto"/>
              <w:ind w:right="85" w:firstLine="709"/>
              <w:jc w:val="both"/>
              <w:rPr>
                <w:rFonts w:ascii="Times New Roman" w:hAnsi="Times New Roman"/>
                <w:sz w:val="24"/>
                <w:szCs w:val="24"/>
                <w:lang w:val="sk-SK"/>
              </w:rPr>
            </w:pPr>
          </w:p>
        </w:tc>
      </w:tr>
      <w:tr>
        <w:tblPrEx>
          <w:tblW w:w="9300" w:type="dxa"/>
          <w:tblLayout w:type="fixed"/>
          <w:tblLook w:val="04A0"/>
        </w:tblPrEx>
        <w:tc>
          <w:tcPr>
            <w:tcW w:w="930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DB0ADF" w:rsidP="002151F6">
            <w:pPr>
              <w:pStyle w:val="ListParagraph"/>
              <w:numPr>
                <w:numId w:val="14"/>
              </w:numPr>
              <w:bidi w:val="0"/>
              <w:spacing w:after="0" w:line="240" w:lineRule="auto"/>
              <w:ind w:left="426"/>
              <w:rPr>
                <w:rFonts w:ascii="Times New Roman" w:hAnsi="Times New Roman"/>
                <w:b/>
                <w:sz w:val="24"/>
                <w:szCs w:val="24"/>
              </w:rPr>
            </w:pPr>
            <w:r w:rsidRPr="004A6AFD" w:rsidR="002151F6">
              <w:rPr>
                <w:rFonts w:ascii="Times New Roman" w:hAnsi="Times New Roman"/>
                <w:b/>
                <w:sz w:val="24"/>
                <w:szCs w:val="24"/>
              </w:rPr>
              <w:t>Ciele a výsledný stav</w:t>
            </w:r>
          </w:p>
          <w:p w:rsidR="002151F6" w:rsidRPr="00DB0ADF" w:rsidP="00DB0ADF">
            <w:pPr>
              <w:bidi w:val="0"/>
              <w:spacing w:after="0" w:line="240" w:lineRule="auto"/>
              <w:jc w:val="right"/>
              <w:rPr>
                <w:lang w:val="sk-SK"/>
              </w:rPr>
            </w:pPr>
          </w:p>
        </w:tc>
      </w:tr>
      <w:tr>
        <w:tblPrEx>
          <w:tblW w:w="9300" w:type="dxa"/>
          <w:tblLayout w:type="fixed"/>
          <w:tblLook w:val="04A0"/>
        </w:tblPrEx>
        <w:trPr>
          <w:trHeight w:val="741"/>
        </w:trPr>
        <w:tc>
          <w:tcPr>
            <w:tcW w:w="930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B1444" w:rsidRPr="007E3732" w:rsidP="003B1444">
            <w:pPr>
              <w:bidi w:val="0"/>
              <w:spacing w:after="0" w:line="240" w:lineRule="auto"/>
              <w:ind w:right="85" w:firstLine="709"/>
              <w:jc w:val="both"/>
              <w:rPr>
                <w:rFonts w:ascii="Times New Roman" w:hAnsi="Times New Roman"/>
                <w:sz w:val="24"/>
                <w:szCs w:val="24"/>
                <w:lang w:val="sk-SK"/>
              </w:rPr>
            </w:pPr>
            <w:r w:rsidRPr="007E3732">
              <w:rPr>
                <w:rFonts w:ascii="Times New Roman" w:hAnsi="Times New Roman"/>
                <w:sz w:val="24"/>
                <w:szCs w:val="24"/>
                <w:lang w:val="sk-SK"/>
              </w:rPr>
              <w:t>Cieľom predkladaného návrhu zákona je úprava položky 65 sadzobníka správnych poplatkov, ktorá okrem krytia administratívnych nákladov spojených so zápisom držiteľa vozidiel kategórie L, M</w:t>
            </w:r>
            <w:r w:rsidRPr="007E3732">
              <w:rPr>
                <w:rFonts w:ascii="Times New Roman" w:hAnsi="Times New Roman"/>
                <w:sz w:val="24"/>
                <w:szCs w:val="24"/>
                <w:vertAlign w:val="subscript"/>
                <w:lang w:val="sk-SK"/>
              </w:rPr>
              <w:t>1</w:t>
            </w:r>
            <w:r w:rsidRPr="007E3732">
              <w:rPr>
                <w:rFonts w:ascii="Times New Roman" w:hAnsi="Times New Roman"/>
                <w:sz w:val="24"/>
                <w:szCs w:val="24"/>
                <w:lang w:val="sk-SK"/>
              </w:rPr>
              <w:t xml:space="preserve"> a N</w:t>
            </w:r>
            <w:r w:rsidRPr="007E3732">
              <w:rPr>
                <w:rFonts w:ascii="Times New Roman" w:hAnsi="Times New Roman"/>
                <w:sz w:val="24"/>
                <w:szCs w:val="24"/>
                <w:vertAlign w:val="subscript"/>
                <w:lang w:val="sk-SK"/>
              </w:rPr>
              <w:t>1</w:t>
            </w:r>
            <w:r w:rsidRPr="007E3732">
              <w:rPr>
                <w:rFonts w:ascii="Times New Roman" w:hAnsi="Times New Roman"/>
                <w:sz w:val="24"/>
                <w:szCs w:val="24"/>
                <w:lang w:val="sk-SK"/>
              </w:rPr>
              <w:t xml:space="preserve"> do evidencie vozidiel v Slovenskej republike predstavuje tiež registračný poplatok, a ktorého výška sa odvodzuje podľa východiskovej ceny a zostatkovej hodnoty vozidla podľa dvoch objektívnych kritérií, ktorými sú výkon a vek vozidla. Výsledkom zmeny systému sú nové sadzby poplatku stanovené dosadením výkonových a vekových parametrov vozidla do vzorca ustanoveného v položke 65 sadzobníka správnych poplatkov. Takéto uplatnenie sadzieb umožňuje výrazné zníženie sadzieb poplatku pre absolútnu väčšinu nových vozidiel. V prípade druhého a ďalšieho zápisu držiteľa vozidla sa uplatnia sadzby zodpovedajúce veku tohto vozidla. Minimálna výška registračného poplatku je stanovená naďalej na 33 eur a slúži na pokrytie administratívnych úkonov spojených so zápisom držiteľa vozidla. Dopĺňa sa možnosť zníženia poplatku za evidenciu pre vozidlá s alternatívnym pohonom (hybridy, CNG, LNG a vodík) o 50%, čím sa cieli zvýhodnenie pre environmentálne menej škodlivé vozidlá.</w:t>
            </w:r>
          </w:p>
          <w:p w:rsidR="003B1444" w:rsidRPr="003B1444" w:rsidP="003B1444">
            <w:pPr>
              <w:bidi w:val="0"/>
              <w:spacing w:after="0" w:line="240" w:lineRule="auto"/>
              <w:ind w:right="85" w:firstLine="709"/>
              <w:jc w:val="both"/>
              <w:rPr>
                <w:rFonts w:ascii="Times New Roman" w:hAnsi="Times New Roman"/>
                <w:sz w:val="24"/>
                <w:szCs w:val="24"/>
              </w:rPr>
            </w:pPr>
          </w:p>
          <w:p w:rsidR="003B1444" w:rsidRPr="007E3732" w:rsidP="007E3732">
            <w:pPr>
              <w:bidi w:val="0"/>
              <w:spacing w:after="0" w:line="240" w:lineRule="auto"/>
              <w:jc w:val="both"/>
              <w:rPr>
                <w:rFonts w:ascii="Times New Roman" w:hAnsi="Times New Roman"/>
                <w:sz w:val="24"/>
                <w:szCs w:val="24"/>
                <w:lang w:val="sk-SK"/>
              </w:rPr>
            </w:pPr>
            <w:r w:rsidRPr="007E3732">
              <w:rPr>
                <w:rFonts w:ascii="Times New Roman" w:hAnsi="Times New Roman"/>
                <w:sz w:val="24"/>
                <w:szCs w:val="24"/>
                <w:lang w:val="sk-SK"/>
              </w:rPr>
              <w:t>Navrhuje sa upraviť položka 73 d) sadzobníka správnych poplatkov, ktorým sa oslobodzuje platenie správneho poplatku pri trvalom vyradení vozidla z evidencie, ktoré podlieha spracovaniu podľa zákona o odpadoch.</w:t>
            </w:r>
          </w:p>
          <w:p w:rsidR="003B1444" w:rsidRPr="003B1444" w:rsidP="003B1444">
            <w:pPr>
              <w:bidi w:val="0"/>
              <w:spacing w:after="0" w:line="240" w:lineRule="auto"/>
              <w:rPr>
                <w:rFonts w:ascii="Times New Roman" w:hAnsi="Times New Roman"/>
                <w:sz w:val="24"/>
                <w:szCs w:val="24"/>
              </w:rPr>
            </w:pPr>
          </w:p>
          <w:p w:rsidR="003B1444" w:rsidRPr="007E3732" w:rsidP="007E3732">
            <w:pPr>
              <w:bidi w:val="0"/>
              <w:spacing w:after="0" w:line="240" w:lineRule="auto"/>
              <w:ind w:right="85"/>
              <w:jc w:val="both"/>
              <w:rPr>
                <w:rFonts w:ascii="Times New Roman" w:hAnsi="Times New Roman"/>
                <w:sz w:val="24"/>
                <w:szCs w:val="24"/>
                <w:lang w:val="sk-SK"/>
              </w:rPr>
            </w:pPr>
            <w:r w:rsidRPr="007E3732">
              <w:rPr>
                <w:rFonts w:ascii="Times New Roman" w:hAnsi="Times New Roman"/>
                <w:sz w:val="24"/>
                <w:szCs w:val="24"/>
                <w:lang w:val="sk-SK"/>
              </w:rPr>
              <w:t>Návrhom sa obsiahlo tiež zvýšenie poplatkov za udelenie a zmenu licencie na prevádzkovanie hazardných hier, čím sa cieli regulácia vydávania povolení na prevádzkovanie hazardných hier.</w:t>
            </w:r>
          </w:p>
          <w:p w:rsidR="003B1444" w:rsidRPr="003B1444" w:rsidP="003B1444">
            <w:pPr>
              <w:bidi w:val="0"/>
              <w:spacing w:after="0" w:line="240" w:lineRule="auto"/>
              <w:ind w:right="85"/>
              <w:jc w:val="both"/>
              <w:rPr>
                <w:rFonts w:ascii="Times New Roman" w:hAnsi="Times New Roman"/>
                <w:sz w:val="24"/>
                <w:szCs w:val="24"/>
              </w:rPr>
            </w:pPr>
          </w:p>
          <w:p w:rsidR="003B1444" w:rsidRPr="007E3732" w:rsidP="003B1444">
            <w:pPr>
              <w:bidi w:val="0"/>
              <w:spacing w:after="0" w:line="240" w:lineRule="auto"/>
              <w:ind w:right="85"/>
              <w:jc w:val="both"/>
              <w:rPr>
                <w:rFonts w:ascii="Times New Roman" w:hAnsi="Times New Roman"/>
                <w:sz w:val="24"/>
                <w:szCs w:val="24"/>
                <w:lang w:val="sk-SK"/>
              </w:rPr>
            </w:pPr>
            <w:r w:rsidRPr="007E3732">
              <w:rPr>
                <w:rFonts w:ascii="Times New Roman" w:hAnsi="Times New Roman"/>
                <w:sz w:val="24"/>
                <w:szCs w:val="24"/>
                <w:lang w:val="sk-SK"/>
              </w:rPr>
              <w:t>V súvislosti s návrhom na oslobodenie subjektu Slovenská konsolidačná, ktorý vymáha pohľadávky verejného sektora podľa zákona č. 374/2014 Z. z. o pohľadávkach štátu a o zmene a doplnení niektorých zákonov, sa cieli zjednodušenie administratívneho postupu pri súdnych konaniach v prípadoch, keď sa vymáhajú pohľadávky verejného sektora. Ušetrené náklady na súdne poplatky sa prejavia v zlepšenom hospodárení Slovenskej konsolidačnej, ktoré si môže štát premietnuť do vyšších dividend, preto je vplyv na hospodárenie verejných financií neutrálny.</w:t>
            </w:r>
          </w:p>
          <w:p w:rsidR="003B1444" w:rsidRPr="007E3732" w:rsidP="003B1444">
            <w:pPr>
              <w:bidi w:val="0"/>
              <w:spacing w:after="0" w:line="240" w:lineRule="auto"/>
              <w:ind w:right="85"/>
              <w:jc w:val="both"/>
              <w:rPr>
                <w:rFonts w:ascii="Times New Roman" w:hAnsi="Times New Roman"/>
                <w:sz w:val="24"/>
                <w:szCs w:val="24"/>
                <w:lang w:val="sk-SK"/>
              </w:rPr>
            </w:pPr>
          </w:p>
          <w:p w:rsidR="002151F6" w:rsidRPr="004A6AFD" w:rsidP="003B1444">
            <w:pPr>
              <w:bidi w:val="0"/>
              <w:spacing w:after="0" w:line="240" w:lineRule="auto"/>
              <w:ind w:right="85"/>
              <w:jc w:val="both"/>
              <w:rPr>
                <w:rFonts w:ascii="Times New Roman" w:hAnsi="Times New Roman"/>
                <w:sz w:val="24"/>
                <w:szCs w:val="24"/>
                <w:lang w:val="sk-SK"/>
              </w:rPr>
            </w:pPr>
            <w:r w:rsidRPr="007E3732" w:rsidR="003B1444">
              <w:rPr>
                <w:rFonts w:ascii="Times New Roman" w:hAnsi="Times New Roman"/>
                <w:sz w:val="24"/>
                <w:szCs w:val="24"/>
                <w:lang w:val="sk-SK"/>
              </w:rPr>
              <w:t>Ostatné navrhované zmeny majú marginálny finančný vplyv v sledovaných oblastiach.</w:t>
            </w:r>
          </w:p>
        </w:tc>
      </w:tr>
      <w:tr>
        <w:tblPrEx>
          <w:tblW w:w="9300" w:type="dxa"/>
          <w:tblLayout w:type="fixed"/>
          <w:tblLook w:val="04A0"/>
        </w:tblPrEx>
        <w:tc>
          <w:tcPr>
            <w:tcW w:w="930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2151F6" w:rsidRPr="004A6AFD" w:rsidP="002151F6">
            <w:pPr>
              <w:pStyle w:val="ListParagraph"/>
              <w:numPr>
                <w:numId w:val="14"/>
              </w:numPr>
              <w:bidi w:val="0"/>
              <w:spacing w:after="0" w:line="240" w:lineRule="auto"/>
              <w:ind w:left="426"/>
              <w:rPr>
                <w:rFonts w:ascii="Times New Roman" w:hAnsi="Times New Roman"/>
                <w:b/>
                <w:sz w:val="24"/>
                <w:szCs w:val="24"/>
              </w:rPr>
            </w:pPr>
            <w:r w:rsidRPr="004A6AFD">
              <w:rPr>
                <w:rFonts w:ascii="Times New Roman" w:hAnsi="Times New Roman"/>
                <w:b/>
                <w:sz w:val="24"/>
                <w:szCs w:val="24"/>
              </w:rPr>
              <w:t>Dotknuté subjekty</w:t>
            </w:r>
          </w:p>
        </w:tc>
      </w:tr>
      <w:tr>
        <w:tblPrEx>
          <w:tblW w:w="9300" w:type="dxa"/>
          <w:tblLayout w:type="fixed"/>
          <w:tblLook w:val="04A0"/>
        </w:tblPrEx>
        <w:tc>
          <w:tcPr>
            <w:tcW w:w="930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B1444" w:rsidRPr="007E3732" w:rsidP="003B1444">
            <w:pPr>
              <w:bidi w:val="0"/>
              <w:spacing w:after="0" w:line="240" w:lineRule="auto"/>
              <w:jc w:val="both"/>
              <w:rPr>
                <w:rFonts w:ascii="Times New Roman" w:hAnsi="Times New Roman"/>
                <w:sz w:val="24"/>
                <w:szCs w:val="24"/>
                <w:lang w:val="sk-SK"/>
              </w:rPr>
            </w:pPr>
            <w:r w:rsidRPr="007E3732">
              <w:rPr>
                <w:rFonts w:ascii="Times New Roman" w:hAnsi="Times New Roman"/>
                <w:sz w:val="24"/>
                <w:szCs w:val="24"/>
                <w:lang w:val="sk-SK"/>
              </w:rPr>
              <w:t>Navrhovaná právna úprava sa dotkne všetkých fyzických aj právnických osôb, ktoré si budú prihlasovať vozidlo do evidencie vozidiel v Slovenskej republike, pričom poplatníkom poplatku je nový držiteľ vozidla. Ročne sa na Slovensku vykoná približne 415 000 registrácií a preregistrácií vozidiel kategórií L, M</w:t>
            </w:r>
            <w:r w:rsidRPr="007E3732">
              <w:rPr>
                <w:rFonts w:ascii="Times New Roman" w:hAnsi="Times New Roman"/>
                <w:sz w:val="24"/>
                <w:szCs w:val="24"/>
                <w:vertAlign w:val="subscript"/>
                <w:lang w:val="sk-SK"/>
              </w:rPr>
              <w:t>1</w:t>
            </w:r>
            <w:r w:rsidRPr="007E3732">
              <w:rPr>
                <w:rFonts w:ascii="Times New Roman" w:hAnsi="Times New Roman"/>
                <w:sz w:val="24"/>
                <w:szCs w:val="24"/>
                <w:lang w:val="sk-SK"/>
              </w:rPr>
              <w:t xml:space="preserve"> a N</w:t>
            </w:r>
            <w:r w:rsidRPr="007E3732">
              <w:rPr>
                <w:rFonts w:ascii="Times New Roman" w:hAnsi="Times New Roman"/>
                <w:sz w:val="24"/>
                <w:szCs w:val="24"/>
                <w:vertAlign w:val="subscript"/>
                <w:lang w:val="sk-SK"/>
              </w:rPr>
              <w:t>1</w:t>
            </w:r>
            <w:r w:rsidRPr="007E3732">
              <w:rPr>
                <w:rFonts w:ascii="Times New Roman" w:hAnsi="Times New Roman"/>
                <w:sz w:val="24"/>
                <w:szCs w:val="24"/>
                <w:lang w:val="sk-SK"/>
              </w:rPr>
              <w:t>. Pre 67% držiteľov sa však výška poplatku nezmení (výška poplatku zostáva na úrovni 33 eur), pre 16% držiteľov sa poplatok zvýši a pre 17% držiteľov sa poplatok zníži.</w:t>
            </w:r>
          </w:p>
          <w:p w:rsidR="003B1444" w:rsidRPr="003B1444" w:rsidP="003B1444">
            <w:pPr>
              <w:bidi w:val="0"/>
              <w:spacing w:after="0" w:line="240" w:lineRule="auto"/>
              <w:jc w:val="both"/>
              <w:rPr>
                <w:rFonts w:ascii="Times New Roman" w:hAnsi="Times New Roman"/>
                <w:sz w:val="24"/>
                <w:szCs w:val="24"/>
              </w:rPr>
            </w:pPr>
          </w:p>
          <w:p w:rsidR="003B1444" w:rsidRPr="007E3732" w:rsidP="003B1444">
            <w:pPr>
              <w:bidi w:val="0"/>
              <w:spacing w:after="0" w:line="240" w:lineRule="auto"/>
              <w:jc w:val="both"/>
              <w:rPr>
                <w:rFonts w:ascii="Times New Roman" w:hAnsi="Times New Roman"/>
                <w:sz w:val="24"/>
                <w:szCs w:val="24"/>
                <w:lang w:val="sk-SK"/>
              </w:rPr>
            </w:pPr>
            <w:r w:rsidRPr="007E3732">
              <w:rPr>
                <w:rFonts w:ascii="Times New Roman" w:hAnsi="Times New Roman"/>
                <w:sz w:val="24"/>
                <w:szCs w:val="24"/>
                <w:lang w:val="sk-SK"/>
              </w:rPr>
              <w:t>Zníženie registračného poplatku pre všetkých žiadateľov o registráciu vozidla s alternatívnym pohonom (hybridy, CNG, LNG a vodík) o 50% sa pozitívne dotkne skupiny približne 500 – 1 000 subjektov ročne. Žiadatelia o vyradenie vozidla, ktoré sú spracované podľa zákona o odpadoch nebudú podliehať správnemu poplatku pri vyradení z evidencie (približne 26 400 žiadateľov ročne).</w:t>
            </w:r>
          </w:p>
          <w:p w:rsidR="003B1444" w:rsidRPr="003B1444" w:rsidP="003B1444">
            <w:pPr>
              <w:bidi w:val="0"/>
              <w:spacing w:after="0" w:line="240" w:lineRule="auto"/>
              <w:jc w:val="both"/>
              <w:rPr>
                <w:rFonts w:ascii="Times New Roman" w:hAnsi="Times New Roman"/>
                <w:sz w:val="24"/>
                <w:szCs w:val="24"/>
              </w:rPr>
            </w:pPr>
          </w:p>
          <w:p w:rsidR="003B1444" w:rsidRPr="007E3732" w:rsidP="003B1444">
            <w:pPr>
              <w:bidi w:val="0"/>
              <w:spacing w:after="0" w:line="240" w:lineRule="auto"/>
              <w:jc w:val="both"/>
              <w:rPr>
                <w:rFonts w:ascii="Times New Roman" w:hAnsi="Times New Roman"/>
                <w:sz w:val="24"/>
                <w:szCs w:val="24"/>
                <w:lang w:val="sk-SK"/>
              </w:rPr>
            </w:pPr>
            <w:r w:rsidRPr="007E3732">
              <w:rPr>
                <w:rFonts w:ascii="Times New Roman" w:hAnsi="Times New Roman"/>
                <w:sz w:val="24"/>
                <w:szCs w:val="24"/>
                <w:lang w:val="sk-SK"/>
              </w:rPr>
              <w:t>Návrh sa dotkne tiež okruhu subjektov, ktorým sa vydáva licencia na prevádzkovanie hazardných hier. Ročne sa vykoná približne 20 – 25 úkonov a konaní na vydanie individuálnej licencie na prevádzkovanie hazardných hier a vydá sa približne 200 – 250 dodatkov k existujúcim licenciám za účelom zmien v udelených licenciách.</w:t>
            </w:r>
          </w:p>
          <w:p w:rsidR="002151F6" w:rsidRPr="004A6AFD" w:rsidP="00501AD0">
            <w:pPr>
              <w:bidi w:val="0"/>
              <w:spacing w:after="0" w:line="240" w:lineRule="auto"/>
              <w:jc w:val="both"/>
              <w:rPr>
                <w:rFonts w:ascii="Times New Roman" w:hAnsi="Times New Roman"/>
                <w:sz w:val="24"/>
                <w:szCs w:val="24"/>
                <w:lang w:val="sk-SK"/>
              </w:rPr>
            </w:pPr>
          </w:p>
        </w:tc>
      </w:tr>
      <w:tr>
        <w:tblPrEx>
          <w:tblW w:w="9300" w:type="dxa"/>
          <w:tblLayout w:type="fixed"/>
          <w:tblLook w:val="04A0"/>
        </w:tblPrEx>
        <w:tc>
          <w:tcPr>
            <w:tcW w:w="930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2151F6" w:rsidRPr="00CE5F29" w:rsidP="002151F6">
            <w:pPr>
              <w:pStyle w:val="ListParagraph"/>
              <w:numPr>
                <w:numId w:val="14"/>
              </w:numPr>
              <w:bidi w:val="0"/>
              <w:spacing w:after="0" w:line="240" w:lineRule="auto"/>
              <w:ind w:left="426"/>
              <w:rPr>
                <w:rFonts w:ascii="Times New Roman" w:hAnsi="Times New Roman"/>
                <w:b/>
                <w:sz w:val="24"/>
                <w:szCs w:val="24"/>
              </w:rPr>
            </w:pPr>
            <w:r w:rsidRPr="00CE5F29">
              <w:rPr>
                <w:rFonts w:ascii="Times New Roman" w:hAnsi="Times New Roman"/>
                <w:b/>
                <w:sz w:val="24"/>
                <w:szCs w:val="24"/>
              </w:rPr>
              <w:t>Alternatívne riešenia</w:t>
            </w:r>
          </w:p>
        </w:tc>
      </w:tr>
      <w:tr>
        <w:tblPrEx>
          <w:tblW w:w="9300" w:type="dxa"/>
          <w:tblLayout w:type="fixed"/>
          <w:tblLook w:val="04A0"/>
        </w:tblPrEx>
        <w:trPr>
          <w:trHeight w:val="709"/>
        </w:trPr>
        <w:tc>
          <w:tcPr>
            <w:tcW w:w="930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2151F6" w:rsidRPr="00CE5F29" w:rsidP="00501AD0">
            <w:pPr>
              <w:bidi w:val="0"/>
              <w:spacing w:after="0" w:line="240" w:lineRule="auto"/>
              <w:rPr>
                <w:rFonts w:ascii="Times New Roman" w:hAnsi="Times New Roman"/>
                <w:sz w:val="24"/>
                <w:szCs w:val="24"/>
                <w:lang w:val="sk-SK"/>
              </w:rPr>
            </w:pPr>
            <w:r w:rsidRPr="00CE5F29">
              <w:rPr>
                <w:rFonts w:ascii="Times New Roman" w:hAnsi="Times New Roman"/>
                <w:sz w:val="24"/>
                <w:szCs w:val="24"/>
                <w:lang w:val="sk-SK"/>
              </w:rPr>
              <w:t>Alternatívne riešenia nie sú predkladané a neboli ani posudzované.</w:t>
            </w:r>
          </w:p>
        </w:tc>
      </w:tr>
      <w:tr>
        <w:tblPrEx>
          <w:tblW w:w="9300" w:type="dxa"/>
          <w:tblLayout w:type="fixed"/>
          <w:tblLook w:val="04A0"/>
        </w:tblPrEx>
        <w:tc>
          <w:tcPr>
            <w:tcW w:w="930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2151F6" w:rsidRPr="00CE5F29" w:rsidP="002151F6">
            <w:pPr>
              <w:pStyle w:val="ListParagraph"/>
              <w:numPr>
                <w:numId w:val="14"/>
              </w:numPr>
              <w:bidi w:val="0"/>
              <w:spacing w:after="0" w:line="240" w:lineRule="auto"/>
              <w:ind w:left="426"/>
              <w:rPr>
                <w:rFonts w:ascii="Times New Roman" w:hAnsi="Times New Roman"/>
                <w:b/>
                <w:sz w:val="24"/>
                <w:szCs w:val="24"/>
              </w:rPr>
            </w:pPr>
            <w:r w:rsidRPr="00CE5F29">
              <w:rPr>
                <w:rFonts w:ascii="Times New Roman" w:hAnsi="Times New Roman"/>
                <w:b/>
                <w:sz w:val="24"/>
                <w:szCs w:val="24"/>
              </w:rPr>
              <w:t>Vykonávacie predpisy</w:t>
            </w:r>
          </w:p>
        </w:tc>
      </w:tr>
      <w:tr>
        <w:tblPrEx>
          <w:tblW w:w="930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2151F6" w:rsidRPr="00CE5F29" w:rsidP="00501AD0">
            <w:pPr>
              <w:bidi w:val="0"/>
              <w:spacing w:after="0" w:line="240" w:lineRule="auto"/>
              <w:rPr>
                <w:rFonts w:ascii="Times New Roman" w:hAnsi="Times New Roman"/>
                <w:i/>
                <w:sz w:val="24"/>
                <w:szCs w:val="24"/>
                <w:lang w:val="sk-SK"/>
              </w:rPr>
            </w:pPr>
            <w:r w:rsidRPr="00CE5F29">
              <w:rPr>
                <w:rFonts w:ascii="Times New Roman" w:hAnsi="Times New Roman"/>
                <w:i/>
                <w:sz w:val="24"/>
                <w:szCs w:val="24"/>
                <w:lang w:val="sk-SK"/>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2151F6" w:rsidRPr="00CE5F29" w:rsidP="00501AD0">
            <w:pPr>
              <w:bidi w:val="0"/>
              <w:spacing w:after="0" w:line="240" w:lineRule="auto"/>
              <w:jc w:val="center"/>
              <w:rPr>
                <w:rFonts w:ascii="Times New Roman" w:hAnsi="Times New Roman"/>
                <w:sz w:val="24"/>
                <w:szCs w:val="24"/>
                <w:lang w:val="sk-SK"/>
              </w:rPr>
            </w:pPr>
            <w:r w:rsidRPr="00CE5F29">
              <w:rPr>
                <w:rFonts w:ascii="Segoe UI Symbol" w:eastAsia="MS Gothic" w:hAnsi="Segoe UI Symbol" w:cs="Segoe UI Symbol" w:hint="default"/>
                <w:sz w:val="24"/>
                <w:szCs w:val="24"/>
                <w:lang w:val="sk-SK"/>
              </w:rPr>
              <w:t>☐</w:t>
            </w:r>
            <w:r w:rsidRPr="00CE5F29">
              <w:rPr>
                <w:rFonts w:ascii="Times New Roman" w:hAnsi="Times New Roman"/>
                <w:sz w:val="24"/>
                <w:szCs w:val="24"/>
                <w:lang w:val="sk-SK"/>
              </w:rPr>
              <w:t xml:space="preserve">  Áno</w:t>
            </w:r>
          </w:p>
        </w:tc>
        <w:tc>
          <w:tcPr>
            <w:tcW w:w="1680" w:type="dxa"/>
            <w:gridSpan w:val="2"/>
            <w:tcBorders>
              <w:top w:val="single" w:sz="4" w:space="0" w:color="FFFFFF"/>
              <w:left w:val="nil"/>
              <w:bottom w:val="nil"/>
              <w:right w:val="single" w:sz="4" w:space="0" w:color="auto"/>
            </w:tcBorders>
            <w:shd w:val="clear" w:color="auto" w:fill="FFFFFF"/>
            <w:textDirection w:val="lrTb"/>
            <w:vAlign w:val="top"/>
          </w:tcPr>
          <w:p w:rsidR="002151F6" w:rsidRPr="00CE5F29" w:rsidP="00501AD0">
            <w:pPr>
              <w:bidi w:val="0"/>
              <w:spacing w:after="0" w:line="240" w:lineRule="auto"/>
              <w:jc w:val="center"/>
              <w:rPr>
                <w:rFonts w:ascii="Times New Roman" w:hAnsi="Times New Roman"/>
                <w:sz w:val="24"/>
                <w:szCs w:val="24"/>
                <w:lang w:val="sk-SK"/>
              </w:rPr>
            </w:pPr>
            <w:r w:rsidRPr="00CE5F29">
              <w:rPr>
                <w:rFonts w:ascii="Segoe UI Symbol" w:eastAsia="MS Gothic" w:hAnsi="Segoe UI Symbol" w:cs="Segoe UI Symbol" w:hint="default"/>
                <w:sz w:val="24"/>
                <w:szCs w:val="24"/>
                <w:lang w:val="sk-SK"/>
              </w:rPr>
              <w:t>☒</w:t>
            </w:r>
            <w:r w:rsidRPr="00CE5F29">
              <w:rPr>
                <w:rFonts w:ascii="Times New Roman" w:hAnsi="Times New Roman"/>
                <w:sz w:val="24"/>
                <w:szCs w:val="24"/>
                <w:lang w:val="sk-SK"/>
              </w:rPr>
              <w:t xml:space="preserve">  Nie</w:t>
            </w:r>
          </w:p>
        </w:tc>
      </w:tr>
      <w:tr>
        <w:tblPrEx>
          <w:tblW w:w="9300" w:type="dxa"/>
          <w:tblLayout w:type="fixed"/>
          <w:tblLook w:val="04A0"/>
        </w:tblPrEx>
        <w:tc>
          <w:tcPr>
            <w:tcW w:w="930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2151F6" w:rsidRPr="00CE5F29" w:rsidP="00501AD0">
            <w:pPr>
              <w:bidi w:val="0"/>
              <w:spacing w:after="0" w:line="240" w:lineRule="auto"/>
              <w:rPr>
                <w:rFonts w:ascii="Times New Roman" w:hAnsi="Times New Roman"/>
                <w:i/>
                <w:sz w:val="24"/>
                <w:szCs w:val="24"/>
                <w:lang w:val="sk-SK"/>
              </w:rPr>
            </w:pPr>
            <w:r w:rsidRPr="00CE5F29">
              <w:rPr>
                <w:rFonts w:ascii="Times New Roman" w:hAnsi="Times New Roman"/>
                <w:i/>
                <w:sz w:val="24"/>
                <w:szCs w:val="24"/>
                <w:lang w:val="sk-SK"/>
              </w:rPr>
              <w:t>Ak áno, uveďte ktoré oblasti budú nimi upravené, resp. ktorých vykonávacích predpisov sa zmena dotkne:</w:t>
            </w:r>
          </w:p>
          <w:p w:rsidR="002151F6" w:rsidRPr="00CE5F29" w:rsidP="00501AD0">
            <w:pPr>
              <w:bidi w:val="0"/>
              <w:spacing w:after="0" w:line="240" w:lineRule="auto"/>
              <w:rPr>
                <w:rFonts w:ascii="Times New Roman" w:hAnsi="Times New Roman"/>
                <w:sz w:val="24"/>
                <w:szCs w:val="24"/>
                <w:lang w:val="sk-SK"/>
              </w:rPr>
            </w:pPr>
          </w:p>
        </w:tc>
      </w:tr>
      <w:tr>
        <w:tblPrEx>
          <w:tblW w:w="9300" w:type="dxa"/>
          <w:tblLayout w:type="fixed"/>
          <w:tblLook w:val="04A0"/>
        </w:tblPrEx>
        <w:tc>
          <w:tcPr>
            <w:tcW w:w="930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2151F6" w:rsidRPr="00CE5F29" w:rsidP="002151F6">
            <w:pPr>
              <w:pStyle w:val="ListParagraph"/>
              <w:numPr>
                <w:numId w:val="14"/>
              </w:numPr>
              <w:bidi w:val="0"/>
              <w:spacing w:after="0" w:line="240" w:lineRule="auto"/>
              <w:ind w:left="426"/>
              <w:rPr>
                <w:rFonts w:ascii="Times New Roman" w:hAnsi="Times New Roman"/>
                <w:b/>
                <w:sz w:val="24"/>
                <w:szCs w:val="24"/>
              </w:rPr>
            </w:pPr>
            <w:r w:rsidRPr="00CE5F29">
              <w:rPr>
                <w:rFonts w:ascii="Times New Roman" w:hAnsi="Times New Roman"/>
                <w:b/>
                <w:sz w:val="24"/>
                <w:szCs w:val="24"/>
              </w:rPr>
              <w:t xml:space="preserve">Transpozícia práva EÚ </w:t>
            </w:r>
          </w:p>
        </w:tc>
      </w:tr>
      <w:tr>
        <w:tblPrEx>
          <w:tblW w:w="9300" w:type="dxa"/>
          <w:tblLayout w:type="fixed"/>
          <w:tblLook w:val="04A0"/>
        </w:tblPrEx>
        <w:trPr>
          <w:trHeight w:val="157"/>
        </w:trPr>
        <w:tc>
          <w:tcPr>
            <w:tcW w:w="9300" w:type="dxa"/>
            <w:gridSpan w:val="10"/>
            <w:tcBorders>
              <w:top w:val="nil"/>
              <w:left w:val="single" w:sz="4" w:space="0" w:color="000000"/>
              <w:bottom w:val="nil"/>
              <w:right w:val="single" w:sz="4" w:space="0" w:color="auto"/>
            </w:tcBorders>
            <w:shd w:val="clear" w:color="auto" w:fill="FFFFFF"/>
            <w:textDirection w:val="lrTb"/>
            <w:vAlign w:val="top"/>
          </w:tcPr>
          <w:p w:rsidR="002151F6" w:rsidRPr="00CE5F29" w:rsidP="00501AD0">
            <w:pPr>
              <w:bidi w:val="0"/>
              <w:spacing w:after="0" w:line="240" w:lineRule="auto"/>
              <w:rPr>
                <w:rFonts w:ascii="Times New Roman" w:hAnsi="Times New Roman"/>
                <w:i/>
                <w:sz w:val="24"/>
                <w:szCs w:val="24"/>
                <w:lang w:val="sk-SK"/>
              </w:rPr>
            </w:pPr>
            <w:r w:rsidRPr="00CE5F29">
              <w:rPr>
                <w:rFonts w:ascii="Times New Roman" w:hAnsi="Times New Roman"/>
                <w:i/>
                <w:sz w:val="24"/>
                <w:szCs w:val="24"/>
                <w:lang w:val="sk-SK"/>
              </w:rPr>
              <w:t>-</w:t>
            </w:r>
          </w:p>
        </w:tc>
      </w:tr>
      <w:tr>
        <w:tblPrEx>
          <w:tblW w:w="9300" w:type="dxa"/>
          <w:tblLayout w:type="fixed"/>
          <w:tblLook w:val="04A0"/>
        </w:tblPrEx>
        <w:trPr>
          <w:trHeight w:val="248"/>
        </w:trPr>
        <w:tc>
          <w:tcPr>
            <w:tcW w:w="930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2151F6" w:rsidRPr="00CE5F29" w:rsidP="00501AD0">
            <w:pPr>
              <w:bidi w:val="0"/>
              <w:spacing w:after="0" w:line="240" w:lineRule="auto"/>
              <w:jc w:val="center"/>
              <w:rPr>
                <w:rFonts w:ascii="Times New Roman" w:hAnsi="Times New Roman"/>
                <w:sz w:val="24"/>
                <w:szCs w:val="24"/>
                <w:lang w:val="sk-SK"/>
              </w:rPr>
            </w:pPr>
          </w:p>
        </w:tc>
      </w:tr>
      <w:tr>
        <w:tblPrEx>
          <w:tblW w:w="9300" w:type="dxa"/>
          <w:tblLayout w:type="fixed"/>
          <w:tblLook w:val="04A0"/>
        </w:tblPrEx>
        <w:tc>
          <w:tcPr>
            <w:tcW w:w="930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2151F6" w:rsidRPr="00CE5F29" w:rsidP="002151F6">
            <w:pPr>
              <w:pStyle w:val="ListParagraph"/>
              <w:numPr>
                <w:numId w:val="14"/>
              </w:numPr>
              <w:bidi w:val="0"/>
              <w:spacing w:after="0" w:line="240" w:lineRule="auto"/>
              <w:ind w:left="426"/>
              <w:rPr>
                <w:rFonts w:ascii="Times New Roman" w:hAnsi="Times New Roman"/>
                <w:b/>
                <w:sz w:val="24"/>
                <w:szCs w:val="24"/>
              </w:rPr>
            </w:pPr>
            <w:r w:rsidRPr="00CE5F29">
              <w:rPr>
                <w:rFonts w:ascii="Times New Roman" w:hAnsi="Times New Roman"/>
                <w:b/>
                <w:sz w:val="24"/>
                <w:szCs w:val="24"/>
              </w:rPr>
              <w:t>Preskúmanie účelnosti**</w:t>
            </w:r>
          </w:p>
        </w:tc>
      </w:tr>
      <w:tr>
        <w:tblPrEx>
          <w:tblW w:w="9300" w:type="dxa"/>
          <w:tblLayout w:type="fixed"/>
          <w:tblLook w:val="04A0"/>
        </w:tblPrEx>
        <w:tc>
          <w:tcPr>
            <w:tcW w:w="930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2151F6" w:rsidRPr="004A6AFD" w:rsidP="00501AD0">
            <w:pPr>
              <w:bidi w:val="0"/>
              <w:spacing w:after="0" w:line="240" w:lineRule="auto"/>
              <w:rPr>
                <w:rFonts w:ascii="Times New Roman" w:hAnsi="Times New Roman"/>
                <w:i/>
                <w:sz w:val="24"/>
                <w:szCs w:val="24"/>
                <w:lang w:val="sk-SK"/>
              </w:rPr>
            </w:pPr>
          </w:p>
        </w:tc>
      </w:tr>
      <w:tr>
        <w:tblPrEx>
          <w:tblW w:w="9300" w:type="dxa"/>
          <w:tblLayout w:type="fixed"/>
          <w:tblLook w:val="04A0"/>
        </w:tblPrEx>
        <w:trPr>
          <w:trHeight w:val="715"/>
        </w:trPr>
        <w:tc>
          <w:tcPr>
            <w:tcW w:w="9300" w:type="dxa"/>
            <w:gridSpan w:val="10"/>
            <w:tcBorders>
              <w:top w:val="single" w:sz="4" w:space="0" w:color="auto"/>
              <w:left w:val="nil"/>
              <w:bottom w:val="nil"/>
              <w:right w:val="nil"/>
            </w:tcBorders>
            <w:shd w:val="clear" w:color="auto" w:fill="FFFFFF"/>
            <w:textDirection w:val="lrTb"/>
            <w:vAlign w:val="top"/>
          </w:tcPr>
          <w:p w:rsidR="002151F6" w:rsidRPr="004A6AFD" w:rsidP="003B1444">
            <w:pPr>
              <w:bidi w:val="0"/>
              <w:spacing w:after="0" w:line="240" w:lineRule="auto"/>
              <w:ind w:left="142" w:hanging="142"/>
              <w:jc w:val="both"/>
              <w:rPr>
                <w:rFonts w:ascii="Times New Roman" w:hAnsi="Times New Roman"/>
                <w:sz w:val="24"/>
                <w:szCs w:val="24"/>
                <w:lang w:val="sk-SK"/>
              </w:rPr>
            </w:pPr>
            <w:r w:rsidRPr="004A6AFD">
              <w:rPr>
                <w:rFonts w:ascii="Times New Roman" w:hAnsi="Times New Roman"/>
                <w:sz w:val="24"/>
                <w:szCs w:val="24"/>
                <w:lang w:val="sk-SK"/>
              </w:rPr>
              <w:t xml:space="preserve">*vyplniť iba v prípade, ak materiál nie je zahrnutý do Plánu práce vlády Slovenskej republiky alebo Plánu legislatívnych úloh vlády Slovenskej republiky. </w:t>
            </w:r>
          </w:p>
          <w:p w:rsidR="002151F6" w:rsidRPr="004A6AFD" w:rsidP="00501AD0">
            <w:pPr>
              <w:bidi w:val="0"/>
              <w:spacing w:after="0" w:line="240" w:lineRule="auto"/>
              <w:rPr>
                <w:rFonts w:ascii="Times New Roman" w:hAnsi="Times New Roman"/>
                <w:sz w:val="24"/>
                <w:szCs w:val="24"/>
                <w:lang w:val="sk-SK"/>
              </w:rPr>
            </w:pPr>
            <w:r w:rsidRPr="004A6AFD">
              <w:rPr>
                <w:rFonts w:ascii="Times New Roman" w:hAnsi="Times New Roman"/>
                <w:sz w:val="24"/>
                <w:szCs w:val="24"/>
                <w:lang w:val="sk-SK"/>
              </w:rPr>
              <w:t>** nepovinné</w:t>
            </w:r>
          </w:p>
        </w:tc>
      </w:tr>
      <w:tr>
        <w:tblPrEx>
          <w:tblW w:w="9300" w:type="dxa"/>
          <w:tblLayout w:type="fixed"/>
          <w:tblLook w:val="04A0"/>
        </w:tblPrEx>
        <w:tc>
          <w:tcPr>
            <w:tcW w:w="9300" w:type="dxa"/>
            <w:gridSpan w:val="10"/>
            <w:tcBorders>
              <w:top w:val="nil"/>
              <w:left w:val="nil"/>
              <w:bottom w:val="single" w:sz="4" w:space="0" w:color="auto"/>
              <w:right w:val="nil"/>
            </w:tcBorders>
            <w:shd w:val="clear" w:color="auto" w:fill="FFFFFF"/>
            <w:textDirection w:val="lrTb"/>
            <w:vAlign w:val="top"/>
          </w:tcPr>
          <w:p w:rsidR="002151F6" w:rsidRPr="004A6AFD" w:rsidP="00501AD0">
            <w:pPr>
              <w:bidi w:val="0"/>
              <w:spacing w:after="0" w:line="240" w:lineRule="auto"/>
              <w:rPr>
                <w:rFonts w:ascii="Times New Roman" w:hAnsi="Times New Roman"/>
                <w:b/>
                <w:sz w:val="24"/>
                <w:szCs w:val="24"/>
                <w:lang w:val="sk-SK"/>
              </w:rPr>
            </w:pPr>
          </w:p>
        </w:tc>
      </w:tr>
      <w:tr>
        <w:tblPrEx>
          <w:tblW w:w="9300" w:type="dxa"/>
          <w:tblLayout w:type="fixed"/>
          <w:tblLook w:val="04A0"/>
        </w:tblPrEx>
        <w:trPr>
          <w:trHeight w:val="577"/>
        </w:trPr>
        <w:tc>
          <w:tcPr>
            <w:tcW w:w="930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2151F6" w:rsidRPr="00CE5F29" w:rsidP="002151F6">
            <w:pPr>
              <w:pStyle w:val="ListParagraph"/>
              <w:numPr>
                <w:numId w:val="14"/>
              </w:numPr>
              <w:bidi w:val="0"/>
              <w:spacing w:after="0" w:line="240" w:lineRule="auto"/>
              <w:ind w:left="426"/>
              <w:rPr>
                <w:rFonts w:ascii="Times New Roman" w:hAnsi="Times New Roman"/>
                <w:b/>
                <w:sz w:val="24"/>
                <w:szCs w:val="24"/>
              </w:rPr>
            </w:pPr>
            <w:r w:rsidRPr="00CE5F29">
              <w:rPr>
                <w:rFonts w:ascii="Times New Roman" w:hAnsi="Times New Roman"/>
                <w:b/>
                <w:sz w:val="24"/>
                <w:szCs w:val="24"/>
              </w:rPr>
              <w:t>Vplyvy navrhovaného materiálu</w:t>
            </w:r>
          </w:p>
        </w:tc>
      </w:tr>
      <w:tr>
        <w:tblPrEx>
          <w:tblW w:w="930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2151F6" w:rsidRPr="00CE5F29" w:rsidP="00501AD0">
            <w:pPr>
              <w:bidi w:val="0"/>
              <w:spacing w:after="0" w:line="240" w:lineRule="auto"/>
              <w:rPr>
                <w:rFonts w:ascii="Times New Roman" w:hAnsi="Times New Roman"/>
                <w:b/>
                <w:sz w:val="24"/>
                <w:szCs w:val="24"/>
                <w:lang w:val="sk-SK"/>
              </w:rPr>
            </w:pPr>
            <w:r w:rsidRPr="00CE5F29">
              <w:rPr>
                <w:rFonts w:ascii="Times New Roman" w:hAnsi="Times New Roman"/>
                <w:b/>
                <w:sz w:val="24"/>
                <w:szCs w:val="24"/>
                <w:lang w:val="sk-SK"/>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2151F6" w:rsidRPr="00CE5F29" w:rsidP="00501AD0">
            <w:pPr>
              <w:bidi w:val="0"/>
              <w:spacing w:after="0" w:line="240" w:lineRule="auto"/>
              <w:jc w:val="center"/>
              <w:rPr>
                <w:rFonts w:ascii="Times New Roman" w:hAnsi="Times New Roman"/>
                <w:b/>
                <w:sz w:val="24"/>
                <w:szCs w:val="24"/>
                <w:lang w:val="sk-SK"/>
              </w:rPr>
            </w:pPr>
            <w:r w:rsidRPr="00CE5F29">
              <w:rPr>
                <w:rFonts w:ascii="Segoe UI Symbol" w:eastAsia="MS Gothic" w:hAnsi="Segoe UI Symbol" w:cs="Segoe UI Symbol" w:hint="default"/>
                <w:b/>
                <w:sz w:val="24"/>
                <w:szCs w:val="24"/>
                <w:lang w:val="sk-SK"/>
              </w:rPr>
              <w:t>☒</w:t>
            </w:r>
          </w:p>
        </w:tc>
        <w:tc>
          <w:tcPr>
            <w:tcW w:w="1281" w:type="dxa"/>
            <w:gridSpan w:val="2"/>
            <w:tcBorders>
              <w:top w:val="single" w:sz="4" w:space="0" w:color="auto"/>
              <w:left w:val="nil"/>
              <w:bottom w:val="single" w:sz="4" w:space="0" w:color="auto"/>
              <w:right w:val="nil"/>
            </w:tcBorders>
            <w:textDirection w:val="lrTb"/>
            <w:vAlign w:val="top"/>
          </w:tcPr>
          <w:p w:rsidR="002151F6" w:rsidRPr="00CE5F29" w:rsidP="00501AD0">
            <w:pPr>
              <w:bidi w:val="0"/>
              <w:spacing w:after="0" w:line="240" w:lineRule="auto"/>
              <w:rPr>
                <w:rFonts w:ascii="Times New Roman" w:hAnsi="Times New Roman"/>
                <w:b/>
                <w:sz w:val="24"/>
                <w:szCs w:val="24"/>
                <w:lang w:val="sk-SK"/>
              </w:rPr>
            </w:pPr>
            <w:r w:rsidRPr="00CE5F29">
              <w:rPr>
                <w:rFonts w:ascii="Times New Roman" w:hAnsi="Times New Roman"/>
                <w:b/>
                <w:sz w:val="24"/>
                <w:szCs w:val="24"/>
                <w:lang w:val="sk-SK"/>
              </w:rPr>
              <w:t>Pozitívne</w:t>
            </w:r>
          </w:p>
        </w:tc>
        <w:tc>
          <w:tcPr>
            <w:tcW w:w="569" w:type="dxa"/>
            <w:tcBorders>
              <w:top w:val="single" w:sz="4" w:space="0" w:color="auto"/>
              <w:left w:val="nil"/>
              <w:bottom w:val="single" w:sz="4" w:space="0" w:color="auto"/>
              <w:right w:val="nil"/>
            </w:tcBorders>
            <w:textDirection w:val="lrTb"/>
            <w:vAlign w:val="top"/>
          </w:tcPr>
          <w:p w:rsidR="002151F6" w:rsidRPr="00CE5F29" w:rsidP="00501AD0">
            <w:pPr>
              <w:bidi w:val="0"/>
              <w:spacing w:after="0" w:line="240" w:lineRule="auto"/>
              <w:jc w:val="center"/>
              <w:rPr>
                <w:rFonts w:ascii="Times New Roman" w:hAnsi="Times New Roman"/>
                <w:b/>
                <w:sz w:val="24"/>
                <w:szCs w:val="24"/>
                <w:lang w:val="sk-SK"/>
              </w:rPr>
            </w:pPr>
            <w:r w:rsidRPr="00CE5F29">
              <w:rPr>
                <w:rFonts w:ascii="Segoe UI Symbol" w:eastAsia="MS Mincho" w:hAnsi="Segoe UI Symbol" w:cs="Segoe UI Symbol" w:hint="default"/>
                <w:b/>
                <w:sz w:val="24"/>
                <w:szCs w:val="24"/>
                <w:lang w:val="sk-SK"/>
              </w:rPr>
              <w:t>☐</w:t>
            </w:r>
          </w:p>
        </w:tc>
        <w:tc>
          <w:tcPr>
            <w:tcW w:w="1133" w:type="dxa"/>
            <w:tcBorders>
              <w:top w:val="single" w:sz="4" w:space="0" w:color="auto"/>
              <w:left w:val="nil"/>
              <w:bottom w:val="single" w:sz="4" w:space="0" w:color="auto"/>
              <w:right w:val="nil"/>
            </w:tcBorders>
            <w:textDirection w:val="lrTb"/>
            <w:vAlign w:val="top"/>
          </w:tcPr>
          <w:p w:rsidR="002151F6" w:rsidRPr="00CE5F29" w:rsidP="00501AD0">
            <w:pPr>
              <w:bidi w:val="0"/>
              <w:spacing w:after="0" w:line="240" w:lineRule="auto"/>
              <w:rPr>
                <w:rFonts w:ascii="Times New Roman" w:hAnsi="Times New Roman"/>
                <w:b/>
                <w:sz w:val="24"/>
                <w:szCs w:val="24"/>
                <w:lang w:val="sk-SK"/>
              </w:rPr>
            </w:pPr>
            <w:r w:rsidRPr="00CE5F29">
              <w:rPr>
                <w:rFonts w:ascii="Times New Roman" w:hAnsi="Times New Roman"/>
                <w:b/>
                <w:sz w:val="24"/>
                <w:szCs w:val="24"/>
                <w:lang w:val="sk-SK"/>
              </w:rPr>
              <w:t>Žiadne</w:t>
            </w:r>
          </w:p>
        </w:tc>
        <w:tc>
          <w:tcPr>
            <w:tcW w:w="547" w:type="dxa"/>
            <w:gridSpan w:val="2"/>
            <w:tcBorders>
              <w:top w:val="single" w:sz="4" w:space="0" w:color="auto"/>
              <w:left w:val="nil"/>
              <w:bottom w:val="single" w:sz="4" w:space="0" w:color="auto"/>
              <w:right w:val="nil"/>
            </w:tcBorders>
            <w:textDirection w:val="lrTb"/>
            <w:vAlign w:val="top"/>
          </w:tcPr>
          <w:p w:rsidR="002151F6" w:rsidRPr="00CE5F29" w:rsidP="00501AD0">
            <w:pPr>
              <w:bidi w:val="0"/>
              <w:spacing w:after="0" w:line="240" w:lineRule="auto"/>
              <w:ind w:left="-107" w:right="-108"/>
              <w:jc w:val="center"/>
              <w:rPr>
                <w:rFonts w:ascii="Times New Roman" w:hAnsi="Times New Roman"/>
                <w:b/>
                <w:sz w:val="24"/>
                <w:szCs w:val="24"/>
                <w:lang w:val="sk-SK"/>
              </w:rPr>
            </w:pPr>
            <w:r w:rsidRPr="00CE5F29">
              <w:rPr>
                <w:rFonts w:ascii="Segoe UI Symbol" w:eastAsia="MS Gothic" w:hAnsi="Segoe UI Symbol" w:cs="Segoe UI Symbol" w:hint="default"/>
                <w:b/>
                <w:sz w:val="24"/>
                <w:szCs w:val="24"/>
                <w:lang w:val="sk-SK"/>
              </w:rPr>
              <w:t>☒</w:t>
            </w:r>
          </w:p>
        </w:tc>
        <w:tc>
          <w:tcPr>
            <w:tcW w:w="1417" w:type="dxa"/>
            <w:tcBorders>
              <w:top w:val="single" w:sz="4" w:space="0" w:color="auto"/>
              <w:left w:val="nil"/>
              <w:bottom w:val="single" w:sz="4" w:space="0" w:color="auto"/>
              <w:right w:val="single" w:sz="4" w:space="0" w:color="auto"/>
            </w:tcBorders>
            <w:textDirection w:val="lrTb"/>
            <w:vAlign w:val="top"/>
          </w:tcPr>
          <w:p w:rsidR="002151F6" w:rsidRPr="00CE5F29" w:rsidP="00501AD0">
            <w:pPr>
              <w:bidi w:val="0"/>
              <w:spacing w:after="0" w:line="240" w:lineRule="auto"/>
              <w:ind w:left="34"/>
              <w:rPr>
                <w:rFonts w:ascii="Times New Roman" w:hAnsi="Times New Roman"/>
                <w:b/>
                <w:sz w:val="24"/>
                <w:szCs w:val="24"/>
                <w:lang w:val="sk-SK"/>
              </w:rPr>
            </w:pPr>
            <w:r w:rsidRPr="00CE5F29">
              <w:rPr>
                <w:rFonts w:ascii="Times New Roman" w:hAnsi="Times New Roman"/>
                <w:b/>
                <w:sz w:val="24"/>
                <w:szCs w:val="24"/>
                <w:lang w:val="sk-SK"/>
              </w:rPr>
              <w:t>Negatívne</w:t>
            </w:r>
          </w:p>
        </w:tc>
      </w:tr>
      <w:tr>
        <w:tblPrEx>
          <w:tblW w:w="930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2151F6" w:rsidRPr="00CE5F29" w:rsidP="00501AD0">
            <w:pPr>
              <w:bidi w:val="0"/>
              <w:spacing w:after="0" w:line="240" w:lineRule="auto"/>
              <w:rPr>
                <w:rFonts w:ascii="Times New Roman" w:hAnsi="Times New Roman"/>
                <w:sz w:val="24"/>
                <w:szCs w:val="24"/>
                <w:lang w:val="sk-SK"/>
              </w:rPr>
            </w:pPr>
            <w:r w:rsidRPr="00CE5F29">
              <w:rPr>
                <w:rFonts w:ascii="Times New Roman" w:hAnsi="Times New Roman"/>
                <w:sz w:val="24"/>
                <w:szCs w:val="24"/>
                <w:lang w:val="sk-SK"/>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2151F6" w:rsidRPr="00CE5F29" w:rsidP="00501AD0">
            <w:pPr>
              <w:bidi w:val="0"/>
              <w:spacing w:after="0" w:line="240" w:lineRule="auto"/>
              <w:jc w:val="center"/>
              <w:rPr>
                <w:rFonts w:ascii="Times New Roman" w:hAnsi="Times New Roman"/>
                <w:b/>
                <w:sz w:val="24"/>
                <w:szCs w:val="24"/>
                <w:lang w:val="sk-SK"/>
              </w:rPr>
            </w:pPr>
            <w:r w:rsidRPr="00CE5F29">
              <w:rPr>
                <w:rFonts w:ascii="Segoe UI Symbol" w:eastAsia="MS Gothic" w:hAnsi="Segoe UI Symbol" w:cs="Segoe UI Symbol" w:hint="default"/>
                <w:b/>
                <w:sz w:val="24"/>
                <w:szCs w:val="24"/>
                <w:lang w:val="sk-SK"/>
              </w:rPr>
              <w:t>☒</w:t>
            </w:r>
          </w:p>
        </w:tc>
        <w:tc>
          <w:tcPr>
            <w:tcW w:w="1281" w:type="dxa"/>
            <w:gridSpan w:val="2"/>
            <w:tcBorders>
              <w:top w:val="single" w:sz="4" w:space="0" w:color="auto"/>
              <w:left w:val="nil"/>
              <w:bottom w:val="single" w:sz="4" w:space="0" w:color="auto"/>
              <w:right w:val="nil"/>
            </w:tcBorders>
            <w:textDirection w:val="lrTb"/>
            <w:vAlign w:val="top"/>
          </w:tcPr>
          <w:p w:rsidR="002151F6" w:rsidRPr="00CE5F29" w:rsidP="00501AD0">
            <w:pPr>
              <w:bidi w:val="0"/>
              <w:spacing w:after="0" w:line="240" w:lineRule="auto"/>
              <w:rPr>
                <w:rFonts w:ascii="Times New Roman" w:hAnsi="Times New Roman"/>
                <w:sz w:val="24"/>
                <w:szCs w:val="24"/>
                <w:lang w:val="sk-SK"/>
              </w:rPr>
            </w:pPr>
            <w:r w:rsidRPr="00CE5F29">
              <w:rPr>
                <w:rFonts w:ascii="Times New Roman" w:hAnsi="Times New Roman"/>
                <w:sz w:val="24"/>
                <w:szCs w:val="24"/>
                <w:lang w:val="sk-SK"/>
              </w:rPr>
              <w:t>Áno</w:t>
            </w:r>
          </w:p>
        </w:tc>
        <w:tc>
          <w:tcPr>
            <w:tcW w:w="569" w:type="dxa"/>
            <w:tcBorders>
              <w:top w:val="single" w:sz="4" w:space="0" w:color="auto"/>
              <w:left w:val="nil"/>
              <w:bottom w:val="single" w:sz="4" w:space="0" w:color="auto"/>
              <w:right w:val="nil"/>
            </w:tcBorders>
            <w:textDirection w:val="lrTb"/>
            <w:vAlign w:val="top"/>
          </w:tcPr>
          <w:p w:rsidR="002151F6" w:rsidRPr="00CE5F29" w:rsidP="00501AD0">
            <w:pPr>
              <w:bidi w:val="0"/>
              <w:spacing w:after="0" w:line="240" w:lineRule="auto"/>
              <w:jc w:val="center"/>
              <w:rPr>
                <w:rFonts w:ascii="Times New Roman" w:hAnsi="Times New Roman"/>
                <w:sz w:val="24"/>
                <w:szCs w:val="24"/>
                <w:lang w:val="sk-SK"/>
              </w:rPr>
            </w:pPr>
            <w:r w:rsidRPr="00CE5F29">
              <w:rPr>
                <w:rFonts w:ascii="Segoe UI Symbol" w:eastAsia="MS Mincho" w:hAnsi="Segoe UI Symbol" w:cs="Segoe UI Symbol" w:hint="default"/>
                <w:sz w:val="24"/>
                <w:szCs w:val="24"/>
                <w:lang w:val="sk-SK"/>
              </w:rPr>
              <w:t>☐</w:t>
            </w:r>
          </w:p>
        </w:tc>
        <w:tc>
          <w:tcPr>
            <w:tcW w:w="1133" w:type="dxa"/>
            <w:tcBorders>
              <w:top w:val="single" w:sz="4" w:space="0" w:color="auto"/>
              <w:left w:val="nil"/>
              <w:bottom w:val="single" w:sz="4" w:space="0" w:color="auto"/>
              <w:right w:val="nil"/>
            </w:tcBorders>
            <w:textDirection w:val="lrTb"/>
            <w:vAlign w:val="top"/>
          </w:tcPr>
          <w:p w:rsidR="002151F6" w:rsidRPr="00CE5F29" w:rsidP="00501AD0">
            <w:pPr>
              <w:bidi w:val="0"/>
              <w:spacing w:after="0" w:line="240" w:lineRule="auto"/>
              <w:rPr>
                <w:rFonts w:ascii="Times New Roman" w:hAnsi="Times New Roman"/>
                <w:sz w:val="24"/>
                <w:szCs w:val="24"/>
                <w:lang w:val="sk-SK"/>
              </w:rPr>
            </w:pPr>
            <w:r w:rsidRPr="00CE5F29">
              <w:rPr>
                <w:rFonts w:ascii="Times New Roman" w:hAnsi="Times New Roman"/>
                <w:sz w:val="24"/>
                <w:szCs w:val="24"/>
                <w:lang w:val="sk-SK"/>
              </w:rPr>
              <w:t>Nie</w:t>
            </w:r>
          </w:p>
        </w:tc>
        <w:tc>
          <w:tcPr>
            <w:tcW w:w="547" w:type="dxa"/>
            <w:gridSpan w:val="2"/>
            <w:tcBorders>
              <w:top w:val="single" w:sz="4" w:space="0" w:color="auto"/>
              <w:left w:val="nil"/>
              <w:bottom w:val="single" w:sz="4" w:space="0" w:color="auto"/>
              <w:right w:val="nil"/>
            </w:tcBorders>
            <w:textDirection w:val="lrTb"/>
            <w:vAlign w:val="top"/>
          </w:tcPr>
          <w:p w:rsidR="002151F6" w:rsidRPr="00CE5F29" w:rsidP="00501AD0">
            <w:pPr>
              <w:bidi w:val="0"/>
              <w:spacing w:after="0" w:line="240" w:lineRule="auto"/>
              <w:ind w:left="-107" w:right="-108"/>
              <w:jc w:val="center"/>
              <w:rPr>
                <w:rFonts w:ascii="Times New Roman" w:hAnsi="Times New Roman"/>
                <w:sz w:val="24"/>
                <w:szCs w:val="24"/>
                <w:lang w:val="sk-SK"/>
              </w:rPr>
            </w:pPr>
            <w:r w:rsidRPr="00CE5F29">
              <w:rPr>
                <w:rFonts w:ascii="Segoe UI Symbol" w:eastAsia="MS Mincho" w:hAnsi="Segoe UI Symbol" w:cs="Segoe UI Symbol" w:hint="default"/>
                <w:sz w:val="24"/>
                <w:szCs w:val="24"/>
                <w:lang w:val="sk-SK"/>
              </w:rPr>
              <w:t>☐</w:t>
            </w:r>
          </w:p>
        </w:tc>
        <w:tc>
          <w:tcPr>
            <w:tcW w:w="1417" w:type="dxa"/>
            <w:tcBorders>
              <w:top w:val="single" w:sz="4" w:space="0" w:color="auto"/>
              <w:left w:val="nil"/>
              <w:bottom w:val="single" w:sz="4" w:space="0" w:color="auto"/>
              <w:right w:val="single" w:sz="4" w:space="0" w:color="auto"/>
            </w:tcBorders>
            <w:textDirection w:val="lrTb"/>
            <w:vAlign w:val="top"/>
          </w:tcPr>
          <w:p w:rsidR="002151F6" w:rsidRPr="00CE5F29" w:rsidP="00501AD0">
            <w:pPr>
              <w:bidi w:val="0"/>
              <w:spacing w:after="0" w:line="240" w:lineRule="auto"/>
              <w:ind w:left="34"/>
              <w:rPr>
                <w:rFonts w:ascii="Times New Roman" w:hAnsi="Times New Roman"/>
                <w:sz w:val="24"/>
                <w:szCs w:val="24"/>
                <w:lang w:val="sk-SK"/>
              </w:rPr>
            </w:pPr>
            <w:r w:rsidRPr="00CE5F29">
              <w:rPr>
                <w:rFonts w:ascii="Times New Roman" w:hAnsi="Times New Roman"/>
                <w:sz w:val="24"/>
                <w:szCs w:val="24"/>
                <w:lang w:val="sk-SK"/>
              </w:rPr>
              <w:t>Čiastočne</w:t>
            </w:r>
          </w:p>
        </w:tc>
      </w:tr>
      <w:tr>
        <w:tblPrEx>
          <w:tblW w:w="930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2151F6" w:rsidRPr="00CE5F29" w:rsidP="00501AD0">
            <w:pPr>
              <w:bidi w:val="0"/>
              <w:spacing w:after="0" w:line="240" w:lineRule="auto"/>
              <w:rPr>
                <w:rFonts w:ascii="Times New Roman" w:hAnsi="Times New Roman"/>
                <w:b/>
                <w:sz w:val="24"/>
                <w:szCs w:val="24"/>
                <w:lang w:val="sk-SK"/>
              </w:rPr>
            </w:pPr>
            <w:r w:rsidRPr="00CE5F29">
              <w:rPr>
                <w:rFonts w:ascii="Times New Roman" w:hAnsi="Times New Roman"/>
                <w:b/>
                <w:sz w:val="24"/>
                <w:szCs w:val="24"/>
                <w:lang w:val="sk-SK"/>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2151F6" w:rsidRPr="00CE5F29" w:rsidP="00501AD0">
            <w:pPr>
              <w:bidi w:val="0"/>
              <w:spacing w:after="0" w:line="240" w:lineRule="auto"/>
              <w:jc w:val="center"/>
              <w:rPr>
                <w:rFonts w:ascii="Times New Roman" w:hAnsi="Times New Roman"/>
                <w:b/>
                <w:sz w:val="24"/>
                <w:szCs w:val="24"/>
                <w:lang w:val="sk-SK"/>
              </w:rPr>
            </w:pPr>
            <w:r w:rsidRPr="00CE5F29">
              <w:rPr>
                <w:rFonts w:ascii="Segoe UI Symbol" w:eastAsia="MS Gothic" w:hAnsi="Segoe UI Symbol" w:cs="Segoe UI Symbol" w:hint="default"/>
                <w:b/>
                <w:sz w:val="24"/>
                <w:szCs w:val="24"/>
                <w:lang w:val="sk-SK"/>
              </w:rPr>
              <w:t>☒</w:t>
            </w:r>
          </w:p>
        </w:tc>
        <w:tc>
          <w:tcPr>
            <w:tcW w:w="1281" w:type="dxa"/>
            <w:gridSpan w:val="2"/>
            <w:tcBorders>
              <w:top w:val="single" w:sz="4" w:space="0" w:color="auto"/>
              <w:left w:val="nil"/>
              <w:bottom w:val="single" w:sz="4" w:space="0" w:color="auto"/>
              <w:right w:val="nil"/>
            </w:tcBorders>
            <w:textDirection w:val="lrTb"/>
            <w:vAlign w:val="top"/>
          </w:tcPr>
          <w:p w:rsidR="002151F6" w:rsidRPr="00CE5F29" w:rsidP="00501AD0">
            <w:pPr>
              <w:bidi w:val="0"/>
              <w:spacing w:after="0" w:line="240" w:lineRule="auto"/>
              <w:ind w:right="-108"/>
              <w:rPr>
                <w:rFonts w:ascii="Times New Roman" w:hAnsi="Times New Roman"/>
                <w:b/>
                <w:sz w:val="24"/>
                <w:szCs w:val="24"/>
                <w:lang w:val="sk-SK"/>
              </w:rPr>
            </w:pPr>
            <w:r w:rsidRPr="00CE5F29">
              <w:rPr>
                <w:rFonts w:ascii="Times New Roman" w:hAnsi="Times New Roman"/>
                <w:b/>
                <w:sz w:val="24"/>
                <w:szCs w:val="24"/>
                <w:lang w:val="sk-SK"/>
              </w:rPr>
              <w:t>Pozitívne</w:t>
            </w:r>
          </w:p>
        </w:tc>
        <w:tc>
          <w:tcPr>
            <w:tcW w:w="569" w:type="dxa"/>
            <w:tcBorders>
              <w:top w:val="single" w:sz="4" w:space="0" w:color="auto"/>
              <w:left w:val="nil"/>
              <w:bottom w:val="single" w:sz="4" w:space="0" w:color="auto"/>
              <w:right w:val="nil"/>
            </w:tcBorders>
            <w:textDirection w:val="lrTb"/>
            <w:vAlign w:val="top"/>
          </w:tcPr>
          <w:p w:rsidR="002151F6" w:rsidRPr="00CE5F29" w:rsidP="00501AD0">
            <w:pPr>
              <w:bidi w:val="0"/>
              <w:spacing w:after="0" w:line="240" w:lineRule="auto"/>
              <w:jc w:val="center"/>
              <w:rPr>
                <w:rFonts w:ascii="Times New Roman" w:hAnsi="Times New Roman"/>
                <w:b/>
                <w:sz w:val="24"/>
                <w:szCs w:val="24"/>
                <w:lang w:val="sk-SK"/>
              </w:rPr>
            </w:pPr>
            <w:r w:rsidRPr="00CE5F29">
              <w:rPr>
                <w:rFonts w:ascii="Segoe UI Symbol" w:eastAsia="MS Mincho" w:hAnsi="Segoe UI Symbol" w:cs="Segoe UI Symbol" w:hint="default"/>
                <w:b/>
                <w:sz w:val="24"/>
                <w:szCs w:val="24"/>
                <w:lang w:val="sk-SK"/>
              </w:rPr>
              <w:t>☐</w:t>
            </w:r>
          </w:p>
        </w:tc>
        <w:tc>
          <w:tcPr>
            <w:tcW w:w="1133" w:type="dxa"/>
            <w:tcBorders>
              <w:top w:val="single" w:sz="4" w:space="0" w:color="auto"/>
              <w:left w:val="nil"/>
              <w:bottom w:val="single" w:sz="4" w:space="0" w:color="auto"/>
              <w:right w:val="nil"/>
            </w:tcBorders>
            <w:textDirection w:val="lrTb"/>
            <w:vAlign w:val="top"/>
          </w:tcPr>
          <w:p w:rsidR="002151F6" w:rsidRPr="00CE5F29" w:rsidP="00501AD0">
            <w:pPr>
              <w:bidi w:val="0"/>
              <w:spacing w:after="0" w:line="240" w:lineRule="auto"/>
              <w:rPr>
                <w:rFonts w:ascii="Times New Roman" w:hAnsi="Times New Roman"/>
                <w:b/>
                <w:sz w:val="24"/>
                <w:szCs w:val="24"/>
                <w:lang w:val="sk-SK"/>
              </w:rPr>
            </w:pPr>
            <w:r w:rsidRPr="00CE5F29">
              <w:rPr>
                <w:rFonts w:ascii="Times New Roman" w:hAnsi="Times New Roman"/>
                <w:b/>
                <w:sz w:val="24"/>
                <w:szCs w:val="24"/>
                <w:lang w:val="sk-SK"/>
              </w:rPr>
              <w:t>Žiadne</w:t>
            </w:r>
          </w:p>
        </w:tc>
        <w:tc>
          <w:tcPr>
            <w:tcW w:w="547" w:type="dxa"/>
            <w:gridSpan w:val="2"/>
            <w:tcBorders>
              <w:top w:val="single" w:sz="4" w:space="0" w:color="auto"/>
              <w:left w:val="nil"/>
              <w:bottom w:val="single" w:sz="4" w:space="0" w:color="auto"/>
              <w:right w:val="nil"/>
            </w:tcBorders>
            <w:textDirection w:val="lrTb"/>
            <w:vAlign w:val="top"/>
          </w:tcPr>
          <w:p w:rsidR="002151F6" w:rsidRPr="00CE5F29" w:rsidP="00501AD0">
            <w:pPr>
              <w:bidi w:val="0"/>
              <w:spacing w:after="0" w:line="240" w:lineRule="auto"/>
              <w:jc w:val="center"/>
              <w:rPr>
                <w:rFonts w:ascii="Times New Roman" w:hAnsi="Times New Roman"/>
                <w:b/>
                <w:sz w:val="24"/>
                <w:szCs w:val="24"/>
                <w:lang w:val="sk-SK"/>
              </w:rPr>
            </w:pPr>
            <w:r w:rsidRPr="00CE5F29">
              <w:rPr>
                <w:rFonts w:ascii="Segoe UI Symbol" w:eastAsia="MS Gothic" w:hAnsi="Segoe UI Symbol" w:cs="Segoe UI Symbol" w:hint="default"/>
                <w:b/>
                <w:sz w:val="24"/>
                <w:szCs w:val="24"/>
                <w:lang w:val="sk-SK"/>
              </w:rPr>
              <w:t>☒</w:t>
            </w:r>
          </w:p>
        </w:tc>
        <w:tc>
          <w:tcPr>
            <w:tcW w:w="1417" w:type="dxa"/>
            <w:tcBorders>
              <w:top w:val="single" w:sz="4" w:space="0" w:color="auto"/>
              <w:left w:val="nil"/>
              <w:bottom w:val="single" w:sz="4" w:space="0" w:color="auto"/>
              <w:right w:val="single" w:sz="4" w:space="0" w:color="auto"/>
            </w:tcBorders>
            <w:textDirection w:val="lrTb"/>
            <w:vAlign w:val="top"/>
          </w:tcPr>
          <w:p w:rsidR="002151F6" w:rsidRPr="00CE5F29" w:rsidP="00501AD0">
            <w:pPr>
              <w:bidi w:val="0"/>
              <w:spacing w:after="0" w:line="240" w:lineRule="auto"/>
              <w:ind w:left="54"/>
              <w:rPr>
                <w:rFonts w:ascii="Times New Roman" w:hAnsi="Times New Roman"/>
                <w:b/>
                <w:sz w:val="24"/>
                <w:szCs w:val="24"/>
                <w:lang w:val="sk-SK"/>
              </w:rPr>
            </w:pPr>
            <w:r w:rsidRPr="00CE5F29">
              <w:rPr>
                <w:rFonts w:ascii="Times New Roman" w:hAnsi="Times New Roman"/>
                <w:b/>
                <w:sz w:val="24"/>
                <w:szCs w:val="24"/>
                <w:lang w:val="sk-SK"/>
              </w:rPr>
              <w:t>Negatívne</w:t>
            </w:r>
          </w:p>
        </w:tc>
      </w:tr>
      <w:tr>
        <w:tblPrEx>
          <w:tblW w:w="930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2151F6" w:rsidRPr="00CE5F29" w:rsidP="00501AD0">
            <w:pPr>
              <w:bidi w:val="0"/>
              <w:spacing w:after="0" w:line="240" w:lineRule="auto"/>
              <w:rPr>
                <w:rFonts w:ascii="Times New Roman" w:hAnsi="Times New Roman"/>
                <w:sz w:val="24"/>
                <w:szCs w:val="24"/>
                <w:lang w:val="sk-SK"/>
              </w:rPr>
            </w:pPr>
            <w:r w:rsidRPr="00CE5F29">
              <w:rPr>
                <w:rFonts w:ascii="Times New Roman" w:hAnsi="Times New Roman"/>
                <w:sz w:val="24"/>
                <w:szCs w:val="24"/>
                <w:lang w:val="sk-SK"/>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2151F6" w:rsidRPr="00CE5F29" w:rsidP="00501AD0">
            <w:pPr>
              <w:bidi w:val="0"/>
              <w:spacing w:after="0" w:line="240" w:lineRule="auto"/>
              <w:jc w:val="center"/>
              <w:rPr>
                <w:rFonts w:ascii="Times New Roman" w:hAnsi="Times New Roman"/>
                <w:sz w:val="24"/>
                <w:szCs w:val="24"/>
                <w:lang w:val="sk-SK"/>
              </w:rPr>
            </w:pPr>
            <w:r w:rsidRPr="00CE5F29">
              <w:rPr>
                <w:rFonts w:ascii="Segoe UI Symbol" w:eastAsia="MS Gothic" w:hAnsi="Segoe UI Symbol" w:cs="Segoe UI Symbol" w:hint="default"/>
                <w:sz w:val="24"/>
                <w:szCs w:val="24"/>
                <w:lang w:val="sk-SK"/>
              </w:rPr>
              <w:t>☒</w:t>
            </w:r>
          </w:p>
        </w:tc>
        <w:tc>
          <w:tcPr>
            <w:tcW w:w="1281" w:type="dxa"/>
            <w:gridSpan w:val="2"/>
            <w:tcBorders>
              <w:top w:val="single" w:sz="4" w:space="0" w:color="auto"/>
              <w:left w:val="nil"/>
              <w:bottom w:val="single" w:sz="4" w:space="0" w:color="auto"/>
              <w:right w:val="nil"/>
            </w:tcBorders>
            <w:textDirection w:val="lrTb"/>
            <w:vAlign w:val="top"/>
          </w:tcPr>
          <w:p w:rsidR="002151F6" w:rsidRPr="00CE5F29" w:rsidP="00501AD0">
            <w:pPr>
              <w:bidi w:val="0"/>
              <w:spacing w:after="0" w:line="240" w:lineRule="auto"/>
              <w:ind w:right="-108"/>
              <w:rPr>
                <w:rFonts w:ascii="Times New Roman" w:hAnsi="Times New Roman"/>
                <w:sz w:val="24"/>
                <w:szCs w:val="24"/>
                <w:lang w:val="sk-SK"/>
              </w:rPr>
            </w:pPr>
            <w:r w:rsidRPr="00CE5F29">
              <w:rPr>
                <w:rFonts w:ascii="Times New Roman" w:hAnsi="Times New Roman"/>
                <w:sz w:val="24"/>
                <w:szCs w:val="24"/>
                <w:lang w:val="sk-SK"/>
              </w:rPr>
              <w:t>Pozitívne</w:t>
            </w:r>
          </w:p>
        </w:tc>
        <w:tc>
          <w:tcPr>
            <w:tcW w:w="569" w:type="dxa"/>
            <w:tcBorders>
              <w:top w:val="single" w:sz="4" w:space="0" w:color="auto"/>
              <w:left w:val="nil"/>
              <w:bottom w:val="single" w:sz="4" w:space="0" w:color="auto"/>
              <w:right w:val="nil"/>
            </w:tcBorders>
            <w:textDirection w:val="lrTb"/>
            <w:vAlign w:val="top"/>
          </w:tcPr>
          <w:p w:rsidR="002151F6" w:rsidRPr="00CE5F29" w:rsidP="00501AD0">
            <w:pPr>
              <w:bidi w:val="0"/>
              <w:spacing w:after="0" w:line="240" w:lineRule="auto"/>
              <w:jc w:val="center"/>
              <w:rPr>
                <w:rFonts w:ascii="Times New Roman" w:hAnsi="Times New Roman"/>
                <w:sz w:val="24"/>
                <w:szCs w:val="24"/>
                <w:lang w:val="sk-SK"/>
              </w:rPr>
            </w:pPr>
            <w:r w:rsidRPr="00CE5F29">
              <w:rPr>
                <w:rFonts w:ascii="Segoe UI Symbol" w:eastAsia="MS Mincho" w:hAnsi="Segoe UI Symbol" w:cs="Segoe UI Symbol" w:hint="default"/>
                <w:sz w:val="24"/>
                <w:szCs w:val="24"/>
                <w:lang w:val="sk-SK"/>
              </w:rPr>
              <w:t>☐</w:t>
            </w:r>
          </w:p>
        </w:tc>
        <w:tc>
          <w:tcPr>
            <w:tcW w:w="1133" w:type="dxa"/>
            <w:tcBorders>
              <w:top w:val="single" w:sz="4" w:space="0" w:color="auto"/>
              <w:left w:val="nil"/>
              <w:bottom w:val="single" w:sz="4" w:space="0" w:color="auto"/>
              <w:right w:val="nil"/>
            </w:tcBorders>
            <w:textDirection w:val="lrTb"/>
            <w:vAlign w:val="top"/>
          </w:tcPr>
          <w:p w:rsidR="002151F6" w:rsidRPr="00CE5F29" w:rsidP="00501AD0">
            <w:pPr>
              <w:bidi w:val="0"/>
              <w:spacing w:after="0" w:line="240" w:lineRule="auto"/>
              <w:rPr>
                <w:rFonts w:ascii="Times New Roman" w:hAnsi="Times New Roman"/>
                <w:sz w:val="24"/>
                <w:szCs w:val="24"/>
                <w:lang w:val="sk-SK"/>
              </w:rPr>
            </w:pPr>
            <w:r w:rsidRPr="00CE5F29">
              <w:rPr>
                <w:rFonts w:ascii="Times New Roman" w:hAnsi="Times New Roman"/>
                <w:sz w:val="24"/>
                <w:szCs w:val="24"/>
                <w:lang w:val="sk-SK"/>
              </w:rPr>
              <w:t>Žiadne</w:t>
            </w:r>
          </w:p>
        </w:tc>
        <w:tc>
          <w:tcPr>
            <w:tcW w:w="547" w:type="dxa"/>
            <w:gridSpan w:val="2"/>
            <w:tcBorders>
              <w:top w:val="single" w:sz="4" w:space="0" w:color="auto"/>
              <w:left w:val="nil"/>
              <w:bottom w:val="single" w:sz="4" w:space="0" w:color="auto"/>
              <w:right w:val="nil"/>
            </w:tcBorders>
            <w:textDirection w:val="lrTb"/>
            <w:vAlign w:val="top"/>
          </w:tcPr>
          <w:p w:rsidR="002151F6" w:rsidRPr="00CE5F29" w:rsidP="00501AD0">
            <w:pPr>
              <w:bidi w:val="0"/>
              <w:spacing w:after="0" w:line="240" w:lineRule="auto"/>
              <w:jc w:val="center"/>
              <w:rPr>
                <w:rFonts w:ascii="Times New Roman" w:hAnsi="Times New Roman"/>
                <w:sz w:val="24"/>
                <w:szCs w:val="24"/>
                <w:lang w:val="sk-SK"/>
              </w:rPr>
            </w:pPr>
            <w:r w:rsidRPr="00CE5F29">
              <w:rPr>
                <w:rFonts w:ascii="Segoe UI Symbol" w:eastAsia="MS Gothic" w:hAnsi="Segoe UI Symbol" w:cs="Segoe UI Symbol" w:hint="default"/>
                <w:sz w:val="24"/>
                <w:szCs w:val="24"/>
                <w:lang w:val="sk-SK"/>
              </w:rPr>
              <w:t>☒</w:t>
            </w:r>
          </w:p>
        </w:tc>
        <w:tc>
          <w:tcPr>
            <w:tcW w:w="1417" w:type="dxa"/>
            <w:tcBorders>
              <w:top w:val="single" w:sz="4" w:space="0" w:color="auto"/>
              <w:left w:val="nil"/>
              <w:bottom w:val="single" w:sz="4" w:space="0" w:color="auto"/>
              <w:right w:val="single" w:sz="4" w:space="0" w:color="auto"/>
            </w:tcBorders>
            <w:textDirection w:val="lrTb"/>
            <w:vAlign w:val="top"/>
          </w:tcPr>
          <w:p w:rsidR="002151F6" w:rsidRPr="00CE5F29" w:rsidP="00501AD0">
            <w:pPr>
              <w:bidi w:val="0"/>
              <w:spacing w:after="0" w:line="240" w:lineRule="auto"/>
              <w:ind w:left="54"/>
              <w:rPr>
                <w:rFonts w:ascii="Times New Roman" w:hAnsi="Times New Roman"/>
                <w:sz w:val="24"/>
                <w:szCs w:val="24"/>
                <w:lang w:val="sk-SK"/>
              </w:rPr>
            </w:pPr>
            <w:r w:rsidRPr="00CE5F29">
              <w:rPr>
                <w:rFonts w:ascii="Times New Roman" w:hAnsi="Times New Roman"/>
                <w:sz w:val="24"/>
                <w:szCs w:val="24"/>
                <w:lang w:val="sk-SK"/>
              </w:rPr>
              <w:t>Negatívne</w:t>
            </w:r>
          </w:p>
        </w:tc>
      </w:tr>
      <w:tr>
        <w:tblPrEx>
          <w:tblW w:w="930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2151F6" w:rsidRPr="00CE5F29" w:rsidP="00501AD0">
            <w:pPr>
              <w:bidi w:val="0"/>
              <w:spacing w:after="0" w:line="240" w:lineRule="auto"/>
              <w:rPr>
                <w:rFonts w:ascii="Times New Roman" w:hAnsi="Times New Roman"/>
                <w:b/>
                <w:sz w:val="24"/>
                <w:szCs w:val="24"/>
                <w:lang w:val="sk-SK"/>
              </w:rPr>
            </w:pPr>
            <w:r w:rsidRPr="00CE5F29">
              <w:rPr>
                <w:rFonts w:ascii="Times New Roman" w:hAnsi="Times New Roman"/>
                <w:b/>
                <w:sz w:val="24"/>
                <w:szCs w:val="24"/>
                <w:lang w:val="sk-SK"/>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2151F6" w:rsidRPr="00CE5F29" w:rsidP="00501AD0">
            <w:pPr>
              <w:bidi w:val="0"/>
              <w:spacing w:after="0" w:line="240" w:lineRule="auto"/>
              <w:jc w:val="center"/>
              <w:rPr>
                <w:rFonts w:ascii="Times New Roman" w:hAnsi="Times New Roman"/>
                <w:b/>
                <w:sz w:val="24"/>
                <w:szCs w:val="24"/>
                <w:lang w:val="sk-SK"/>
              </w:rPr>
            </w:pPr>
            <w:r w:rsidRPr="00CE5F29">
              <w:rPr>
                <w:rFonts w:ascii="Segoe UI Symbol" w:eastAsia="MS Gothic" w:hAnsi="Segoe UI Symbol" w:cs="Segoe UI Symbol" w:hint="default"/>
                <w:b/>
                <w:sz w:val="24"/>
                <w:szCs w:val="24"/>
                <w:lang w:val="sk-SK"/>
              </w:rPr>
              <w:t>☒</w:t>
            </w:r>
          </w:p>
        </w:tc>
        <w:tc>
          <w:tcPr>
            <w:tcW w:w="1281" w:type="dxa"/>
            <w:gridSpan w:val="2"/>
            <w:tcBorders>
              <w:top w:val="single" w:sz="4" w:space="0" w:color="auto"/>
              <w:left w:val="nil"/>
              <w:bottom w:val="single" w:sz="4" w:space="0" w:color="auto"/>
              <w:right w:val="nil"/>
            </w:tcBorders>
            <w:textDirection w:val="lrTb"/>
            <w:vAlign w:val="top"/>
          </w:tcPr>
          <w:p w:rsidR="002151F6" w:rsidRPr="00CE5F29" w:rsidP="00501AD0">
            <w:pPr>
              <w:bidi w:val="0"/>
              <w:spacing w:after="0" w:line="240" w:lineRule="auto"/>
              <w:ind w:right="-108"/>
              <w:rPr>
                <w:rFonts w:ascii="Times New Roman" w:hAnsi="Times New Roman"/>
                <w:b/>
                <w:sz w:val="24"/>
                <w:szCs w:val="24"/>
                <w:lang w:val="sk-SK"/>
              </w:rPr>
            </w:pPr>
            <w:r w:rsidRPr="00CE5F29">
              <w:rPr>
                <w:rFonts w:ascii="Times New Roman" w:hAnsi="Times New Roman"/>
                <w:b/>
                <w:sz w:val="24"/>
                <w:szCs w:val="24"/>
                <w:lang w:val="sk-SK"/>
              </w:rPr>
              <w:t>Pozitívne</w:t>
            </w:r>
          </w:p>
        </w:tc>
        <w:tc>
          <w:tcPr>
            <w:tcW w:w="569" w:type="dxa"/>
            <w:tcBorders>
              <w:top w:val="single" w:sz="4" w:space="0" w:color="auto"/>
              <w:left w:val="nil"/>
              <w:bottom w:val="single" w:sz="4" w:space="0" w:color="auto"/>
              <w:right w:val="nil"/>
            </w:tcBorders>
            <w:textDirection w:val="lrTb"/>
            <w:vAlign w:val="top"/>
          </w:tcPr>
          <w:p w:rsidR="002151F6" w:rsidRPr="00CE5F29" w:rsidP="00501AD0">
            <w:pPr>
              <w:bidi w:val="0"/>
              <w:spacing w:after="0" w:line="240" w:lineRule="auto"/>
              <w:jc w:val="center"/>
              <w:rPr>
                <w:rFonts w:ascii="Times New Roman" w:hAnsi="Times New Roman"/>
                <w:b/>
                <w:sz w:val="24"/>
                <w:szCs w:val="24"/>
                <w:lang w:val="sk-SK"/>
              </w:rPr>
            </w:pPr>
            <w:r w:rsidRPr="00CE5F29">
              <w:rPr>
                <w:rFonts w:ascii="Segoe UI Symbol" w:eastAsia="MS Mincho" w:hAnsi="Segoe UI Symbol" w:cs="Segoe UI Symbol" w:hint="default"/>
                <w:b/>
                <w:sz w:val="24"/>
                <w:szCs w:val="24"/>
                <w:lang w:val="sk-SK"/>
              </w:rPr>
              <w:t>☐</w:t>
            </w:r>
          </w:p>
        </w:tc>
        <w:tc>
          <w:tcPr>
            <w:tcW w:w="1133" w:type="dxa"/>
            <w:tcBorders>
              <w:top w:val="single" w:sz="4" w:space="0" w:color="auto"/>
              <w:left w:val="nil"/>
              <w:bottom w:val="single" w:sz="4" w:space="0" w:color="auto"/>
              <w:right w:val="nil"/>
            </w:tcBorders>
            <w:textDirection w:val="lrTb"/>
            <w:vAlign w:val="top"/>
          </w:tcPr>
          <w:p w:rsidR="002151F6" w:rsidRPr="00CE5F29" w:rsidP="00501AD0">
            <w:pPr>
              <w:bidi w:val="0"/>
              <w:spacing w:after="0" w:line="240" w:lineRule="auto"/>
              <w:rPr>
                <w:rFonts w:ascii="Times New Roman" w:hAnsi="Times New Roman"/>
                <w:b/>
                <w:sz w:val="24"/>
                <w:szCs w:val="24"/>
                <w:lang w:val="sk-SK"/>
              </w:rPr>
            </w:pPr>
            <w:r w:rsidRPr="00CE5F29">
              <w:rPr>
                <w:rFonts w:ascii="Times New Roman" w:hAnsi="Times New Roman"/>
                <w:b/>
                <w:sz w:val="24"/>
                <w:szCs w:val="24"/>
                <w:lang w:val="sk-SK"/>
              </w:rPr>
              <w:t>Žiadne</w:t>
            </w:r>
          </w:p>
        </w:tc>
        <w:tc>
          <w:tcPr>
            <w:tcW w:w="547" w:type="dxa"/>
            <w:gridSpan w:val="2"/>
            <w:tcBorders>
              <w:top w:val="single" w:sz="4" w:space="0" w:color="auto"/>
              <w:left w:val="nil"/>
              <w:bottom w:val="single" w:sz="4" w:space="0" w:color="auto"/>
              <w:right w:val="nil"/>
            </w:tcBorders>
            <w:textDirection w:val="lrTb"/>
            <w:vAlign w:val="top"/>
          </w:tcPr>
          <w:p w:rsidR="002151F6" w:rsidRPr="00CE5F29" w:rsidP="00501AD0">
            <w:pPr>
              <w:bidi w:val="0"/>
              <w:spacing w:after="0" w:line="240" w:lineRule="auto"/>
              <w:jc w:val="center"/>
              <w:rPr>
                <w:rFonts w:ascii="Times New Roman" w:hAnsi="Times New Roman"/>
                <w:b/>
                <w:sz w:val="24"/>
                <w:szCs w:val="24"/>
                <w:lang w:val="sk-SK"/>
              </w:rPr>
            </w:pPr>
            <w:r w:rsidRPr="00CE5F29">
              <w:rPr>
                <w:rFonts w:ascii="Segoe UI Symbol" w:eastAsia="MS Gothic" w:hAnsi="Segoe UI Symbol" w:cs="Segoe UI Symbol" w:hint="default"/>
                <w:b/>
                <w:sz w:val="24"/>
                <w:szCs w:val="24"/>
                <w:lang w:val="sk-SK"/>
              </w:rPr>
              <w:t>☒</w:t>
            </w:r>
          </w:p>
        </w:tc>
        <w:tc>
          <w:tcPr>
            <w:tcW w:w="1417" w:type="dxa"/>
            <w:tcBorders>
              <w:top w:val="single" w:sz="4" w:space="0" w:color="auto"/>
              <w:left w:val="nil"/>
              <w:bottom w:val="single" w:sz="4" w:space="0" w:color="auto"/>
              <w:right w:val="single" w:sz="4" w:space="0" w:color="auto"/>
            </w:tcBorders>
            <w:textDirection w:val="lrTb"/>
            <w:vAlign w:val="top"/>
          </w:tcPr>
          <w:p w:rsidR="002151F6" w:rsidRPr="00CE5F29" w:rsidP="00501AD0">
            <w:pPr>
              <w:bidi w:val="0"/>
              <w:spacing w:after="0" w:line="240" w:lineRule="auto"/>
              <w:ind w:left="54"/>
              <w:rPr>
                <w:rFonts w:ascii="Times New Roman" w:hAnsi="Times New Roman"/>
                <w:b/>
                <w:sz w:val="24"/>
                <w:szCs w:val="24"/>
                <w:lang w:val="sk-SK"/>
              </w:rPr>
            </w:pPr>
            <w:r w:rsidRPr="00CE5F29">
              <w:rPr>
                <w:rFonts w:ascii="Times New Roman" w:hAnsi="Times New Roman"/>
                <w:b/>
                <w:sz w:val="24"/>
                <w:szCs w:val="24"/>
                <w:lang w:val="sk-SK"/>
              </w:rPr>
              <w:t>Negatívne</w:t>
            </w:r>
          </w:p>
        </w:tc>
      </w:tr>
      <w:tr>
        <w:tblPrEx>
          <w:tblW w:w="930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2151F6" w:rsidRPr="00CE5F29" w:rsidP="00501AD0">
            <w:pPr>
              <w:bidi w:val="0"/>
              <w:spacing w:after="0" w:line="240" w:lineRule="auto"/>
              <w:rPr>
                <w:rFonts w:ascii="Times New Roman" w:hAnsi="Times New Roman"/>
                <w:b/>
                <w:sz w:val="24"/>
                <w:szCs w:val="24"/>
                <w:lang w:val="sk-SK"/>
              </w:rPr>
            </w:pPr>
            <w:r w:rsidRPr="00CE5F29">
              <w:rPr>
                <w:rFonts w:ascii="Times New Roman" w:hAnsi="Times New Roman"/>
                <w:b/>
                <w:sz w:val="24"/>
                <w:szCs w:val="24"/>
                <w:lang w:val="sk-SK"/>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2151F6" w:rsidRPr="00CE5F29" w:rsidP="003B1444">
            <w:pPr>
              <w:bidi w:val="0"/>
              <w:spacing w:after="0" w:line="240" w:lineRule="auto"/>
              <w:jc w:val="center"/>
              <w:rPr>
                <w:rFonts w:ascii="Times New Roman" w:hAnsi="Times New Roman"/>
                <w:b/>
                <w:sz w:val="24"/>
                <w:szCs w:val="24"/>
                <w:lang w:val="sk-SK"/>
              </w:rPr>
            </w:pPr>
            <w:r w:rsidRPr="00CE5F29" w:rsidR="003B1444">
              <w:rPr>
                <w:rFonts w:ascii="Segoe UI Symbol" w:eastAsia="MS Gothic" w:hAnsi="Segoe UI Symbol" w:cs="Segoe UI Symbol" w:hint="default"/>
                <w:b/>
                <w:sz w:val="24"/>
                <w:szCs w:val="24"/>
                <w:lang w:val="sk-SK"/>
              </w:rPr>
              <w:t>☒</w:t>
            </w:r>
          </w:p>
        </w:tc>
        <w:tc>
          <w:tcPr>
            <w:tcW w:w="1281" w:type="dxa"/>
            <w:gridSpan w:val="2"/>
            <w:tcBorders>
              <w:top w:val="single" w:sz="4" w:space="0" w:color="auto"/>
              <w:left w:val="nil"/>
              <w:bottom w:val="single" w:sz="4" w:space="0" w:color="auto"/>
              <w:right w:val="nil"/>
            </w:tcBorders>
            <w:textDirection w:val="lrTb"/>
            <w:vAlign w:val="top"/>
          </w:tcPr>
          <w:p w:rsidR="002151F6" w:rsidRPr="00CE5F29" w:rsidP="00501AD0">
            <w:pPr>
              <w:bidi w:val="0"/>
              <w:spacing w:after="0" w:line="240" w:lineRule="auto"/>
              <w:ind w:right="-108"/>
              <w:rPr>
                <w:rFonts w:ascii="Times New Roman" w:hAnsi="Times New Roman"/>
                <w:b/>
                <w:sz w:val="24"/>
                <w:szCs w:val="24"/>
                <w:lang w:val="sk-SK"/>
              </w:rPr>
            </w:pPr>
            <w:r w:rsidRPr="00CE5F29">
              <w:rPr>
                <w:rFonts w:ascii="Times New Roman" w:hAnsi="Times New Roman"/>
                <w:b/>
                <w:sz w:val="24"/>
                <w:szCs w:val="24"/>
                <w:lang w:val="sk-SK"/>
              </w:rPr>
              <w:t>Pozitívne</w:t>
            </w:r>
          </w:p>
        </w:tc>
        <w:tc>
          <w:tcPr>
            <w:tcW w:w="569" w:type="dxa"/>
            <w:tcBorders>
              <w:top w:val="single" w:sz="4" w:space="0" w:color="auto"/>
              <w:left w:val="nil"/>
              <w:bottom w:val="single" w:sz="4" w:space="0" w:color="auto"/>
              <w:right w:val="nil"/>
            </w:tcBorders>
            <w:textDirection w:val="lrTb"/>
            <w:vAlign w:val="top"/>
          </w:tcPr>
          <w:p w:rsidR="002151F6" w:rsidRPr="00CE5F29" w:rsidP="00501AD0">
            <w:pPr>
              <w:bidi w:val="0"/>
              <w:spacing w:after="0" w:line="240" w:lineRule="auto"/>
              <w:jc w:val="center"/>
              <w:rPr>
                <w:rFonts w:ascii="Times New Roman" w:hAnsi="Times New Roman"/>
                <w:b/>
                <w:sz w:val="24"/>
                <w:szCs w:val="24"/>
                <w:lang w:val="sk-SK"/>
              </w:rPr>
            </w:pPr>
            <w:r w:rsidRPr="00CE5F29" w:rsidR="003B1444">
              <w:rPr>
                <w:rFonts w:ascii="Segoe UI Symbol" w:eastAsia="MS Mincho" w:hAnsi="Segoe UI Symbol" w:cs="Segoe UI Symbol" w:hint="default"/>
                <w:b/>
                <w:sz w:val="24"/>
                <w:szCs w:val="24"/>
                <w:lang w:val="sk-SK"/>
              </w:rPr>
              <w:t>☐</w:t>
            </w:r>
          </w:p>
        </w:tc>
        <w:tc>
          <w:tcPr>
            <w:tcW w:w="1133" w:type="dxa"/>
            <w:tcBorders>
              <w:top w:val="single" w:sz="4" w:space="0" w:color="auto"/>
              <w:left w:val="nil"/>
              <w:bottom w:val="single" w:sz="4" w:space="0" w:color="auto"/>
              <w:right w:val="nil"/>
            </w:tcBorders>
            <w:textDirection w:val="lrTb"/>
            <w:vAlign w:val="top"/>
          </w:tcPr>
          <w:p w:rsidR="002151F6" w:rsidRPr="00CE5F29" w:rsidP="00501AD0">
            <w:pPr>
              <w:bidi w:val="0"/>
              <w:spacing w:after="0" w:line="240" w:lineRule="auto"/>
              <w:rPr>
                <w:rFonts w:ascii="Times New Roman" w:hAnsi="Times New Roman"/>
                <w:b/>
                <w:sz w:val="24"/>
                <w:szCs w:val="24"/>
                <w:lang w:val="sk-SK"/>
              </w:rPr>
            </w:pPr>
            <w:r w:rsidRPr="00CE5F29">
              <w:rPr>
                <w:rFonts w:ascii="Times New Roman" w:hAnsi="Times New Roman"/>
                <w:b/>
                <w:sz w:val="24"/>
                <w:szCs w:val="24"/>
                <w:lang w:val="sk-SK"/>
              </w:rPr>
              <w:t>Žiadne</w:t>
            </w:r>
          </w:p>
        </w:tc>
        <w:tc>
          <w:tcPr>
            <w:tcW w:w="547" w:type="dxa"/>
            <w:gridSpan w:val="2"/>
            <w:tcBorders>
              <w:top w:val="single" w:sz="4" w:space="0" w:color="auto"/>
              <w:left w:val="nil"/>
              <w:bottom w:val="single" w:sz="4" w:space="0" w:color="auto"/>
              <w:right w:val="nil"/>
            </w:tcBorders>
            <w:textDirection w:val="lrTb"/>
            <w:vAlign w:val="top"/>
          </w:tcPr>
          <w:p w:rsidR="002151F6" w:rsidRPr="00CE5F29" w:rsidP="00501AD0">
            <w:pPr>
              <w:bidi w:val="0"/>
              <w:spacing w:after="0" w:line="240" w:lineRule="auto"/>
              <w:jc w:val="center"/>
              <w:rPr>
                <w:rFonts w:ascii="Times New Roman" w:hAnsi="Times New Roman"/>
                <w:b/>
                <w:sz w:val="24"/>
                <w:szCs w:val="24"/>
                <w:lang w:val="sk-SK"/>
              </w:rPr>
            </w:pPr>
            <w:r w:rsidRPr="00CE5F29">
              <w:rPr>
                <w:rFonts w:ascii="Segoe UI Symbol" w:eastAsia="MS Mincho" w:hAnsi="Segoe UI Symbol" w:cs="Segoe UI Symbol" w:hint="default"/>
                <w:b/>
                <w:sz w:val="24"/>
                <w:szCs w:val="24"/>
                <w:lang w:val="sk-SK"/>
              </w:rPr>
              <w:t>☐</w:t>
            </w:r>
          </w:p>
        </w:tc>
        <w:tc>
          <w:tcPr>
            <w:tcW w:w="1417" w:type="dxa"/>
            <w:tcBorders>
              <w:top w:val="single" w:sz="4" w:space="0" w:color="auto"/>
              <w:left w:val="nil"/>
              <w:bottom w:val="single" w:sz="4" w:space="0" w:color="auto"/>
              <w:right w:val="single" w:sz="4" w:space="0" w:color="auto"/>
            </w:tcBorders>
            <w:textDirection w:val="lrTb"/>
            <w:vAlign w:val="top"/>
          </w:tcPr>
          <w:p w:rsidR="002151F6" w:rsidRPr="00CE5F29" w:rsidP="00501AD0">
            <w:pPr>
              <w:bidi w:val="0"/>
              <w:spacing w:after="0" w:line="240" w:lineRule="auto"/>
              <w:ind w:left="54"/>
              <w:rPr>
                <w:rFonts w:ascii="Times New Roman" w:hAnsi="Times New Roman"/>
                <w:b/>
                <w:sz w:val="24"/>
                <w:szCs w:val="24"/>
                <w:lang w:val="sk-SK"/>
              </w:rPr>
            </w:pPr>
            <w:r w:rsidRPr="00CE5F29">
              <w:rPr>
                <w:rFonts w:ascii="Times New Roman" w:hAnsi="Times New Roman"/>
                <w:b/>
                <w:sz w:val="24"/>
                <w:szCs w:val="24"/>
                <w:lang w:val="sk-SK"/>
              </w:rPr>
              <w:t>Negatívne</w:t>
            </w:r>
          </w:p>
        </w:tc>
      </w:tr>
      <w:tr>
        <w:tblPrEx>
          <w:tblW w:w="930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2151F6" w:rsidRPr="00CE5F29" w:rsidP="00501AD0">
            <w:pPr>
              <w:bidi w:val="0"/>
              <w:spacing w:after="0" w:line="240" w:lineRule="auto"/>
              <w:rPr>
                <w:rFonts w:ascii="Times New Roman" w:hAnsi="Times New Roman"/>
                <w:b/>
                <w:sz w:val="24"/>
                <w:szCs w:val="24"/>
                <w:lang w:val="sk-SK"/>
              </w:rPr>
            </w:pPr>
            <w:r w:rsidRPr="00CE5F29">
              <w:rPr>
                <w:rFonts w:ascii="Times New Roman" w:hAnsi="Times New Roman"/>
                <w:b/>
                <w:sz w:val="24"/>
                <w:szCs w:val="24"/>
                <w:lang w:val="sk-SK"/>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2151F6" w:rsidRPr="00CE5F29" w:rsidP="00501AD0">
            <w:pPr>
              <w:bidi w:val="0"/>
              <w:spacing w:after="0" w:line="240" w:lineRule="auto"/>
              <w:jc w:val="center"/>
              <w:rPr>
                <w:rFonts w:ascii="Times New Roman" w:hAnsi="Times New Roman"/>
                <w:b/>
                <w:sz w:val="24"/>
                <w:szCs w:val="24"/>
                <w:lang w:val="sk-SK"/>
              </w:rPr>
            </w:pPr>
            <w:r w:rsidRPr="00CE5F29">
              <w:rPr>
                <w:rFonts w:ascii="Segoe UI Symbol" w:eastAsia="MS Gothic" w:hAnsi="Segoe UI Symbol" w:cs="Segoe UI Symbol" w:hint="default"/>
                <w:b/>
                <w:sz w:val="24"/>
                <w:szCs w:val="24"/>
                <w:lang w:val="sk-SK"/>
              </w:rPr>
              <w:t>☒</w:t>
            </w:r>
          </w:p>
        </w:tc>
        <w:tc>
          <w:tcPr>
            <w:tcW w:w="1281" w:type="dxa"/>
            <w:gridSpan w:val="2"/>
            <w:tcBorders>
              <w:top w:val="single" w:sz="4" w:space="0" w:color="auto"/>
              <w:left w:val="nil"/>
              <w:bottom w:val="single" w:sz="4" w:space="0" w:color="auto"/>
              <w:right w:val="nil"/>
            </w:tcBorders>
            <w:textDirection w:val="lrTb"/>
            <w:vAlign w:val="top"/>
          </w:tcPr>
          <w:p w:rsidR="002151F6" w:rsidRPr="00CE5F29" w:rsidP="00501AD0">
            <w:pPr>
              <w:bidi w:val="0"/>
              <w:spacing w:after="0" w:line="240" w:lineRule="auto"/>
              <w:ind w:right="-108"/>
              <w:rPr>
                <w:rFonts w:ascii="Times New Roman" w:hAnsi="Times New Roman"/>
                <w:b/>
                <w:sz w:val="24"/>
                <w:szCs w:val="24"/>
                <w:lang w:val="sk-SK"/>
              </w:rPr>
            </w:pPr>
            <w:r w:rsidRPr="00CE5F29">
              <w:rPr>
                <w:rFonts w:ascii="Times New Roman" w:hAnsi="Times New Roman"/>
                <w:b/>
                <w:sz w:val="24"/>
                <w:szCs w:val="24"/>
                <w:lang w:val="sk-SK"/>
              </w:rPr>
              <w:t>Pozitívne</w:t>
            </w:r>
          </w:p>
        </w:tc>
        <w:tc>
          <w:tcPr>
            <w:tcW w:w="569" w:type="dxa"/>
            <w:tcBorders>
              <w:top w:val="single" w:sz="4" w:space="0" w:color="auto"/>
              <w:left w:val="nil"/>
              <w:bottom w:val="single" w:sz="4" w:space="0" w:color="auto"/>
              <w:right w:val="nil"/>
            </w:tcBorders>
            <w:textDirection w:val="lrTb"/>
            <w:vAlign w:val="top"/>
          </w:tcPr>
          <w:p w:rsidR="002151F6" w:rsidRPr="00CE5F29" w:rsidP="00501AD0">
            <w:pPr>
              <w:bidi w:val="0"/>
              <w:spacing w:after="0" w:line="240" w:lineRule="auto"/>
              <w:jc w:val="center"/>
              <w:rPr>
                <w:rFonts w:ascii="Times New Roman" w:hAnsi="Times New Roman"/>
                <w:b/>
                <w:sz w:val="24"/>
                <w:szCs w:val="24"/>
                <w:lang w:val="sk-SK"/>
              </w:rPr>
            </w:pPr>
            <w:r w:rsidRPr="00CE5F29">
              <w:rPr>
                <w:rFonts w:ascii="Segoe UI Symbol" w:eastAsia="MS Mincho" w:hAnsi="Segoe UI Symbol" w:cs="Segoe UI Symbol" w:hint="default"/>
                <w:b/>
                <w:sz w:val="24"/>
                <w:szCs w:val="24"/>
                <w:lang w:val="sk-SK"/>
              </w:rPr>
              <w:t>☐</w:t>
            </w:r>
          </w:p>
        </w:tc>
        <w:tc>
          <w:tcPr>
            <w:tcW w:w="1133" w:type="dxa"/>
            <w:tcBorders>
              <w:top w:val="single" w:sz="4" w:space="0" w:color="auto"/>
              <w:left w:val="nil"/>
              <w:bottom w:val="single" w:sz="4" w:space="0" w:color="auto"/>
              <w:right w:val="nil"/>
            </w:tcBorders>
            <w:textDirection w:val="lrTb"/>
            <w:vAlign w:val="top"/>
          </w:tcPr>
          <w:p w:rsidR="002151F6" w:rsidRPr="00CE5F29" w:rsidP="00501AD0">
            <w:pPr>
              <w:bidi w:val="0"/>
              <w:spacing w:after="0" w:line="240" w:lineRule="auto"/>
              <w:rPr>
                <w:rFonts w:ascii="Times New Roman" w:hAnsi="Times New Roman"/>
                <w:b/>
                <w:sz w:val="24"/>
                <w:szCs w:val="24"/>
                <w:lang w:val="sk-SK"/>
              </w:rPr>
            </w:pPr>
            <w:r w:rsidRPr="00CE5F29">
              <w:rPr>
                <w:rFonts w:ascii="Times New Roman" w:hAnsi="Times New Roman"/>
                <w:b/>
                <w:sz w:val="24"/>
                <w:szCs w:val="24"/>
                <w:lang w:val="sk-SK"/>
              </w:rPr>
              <w:t>Žiadne</w:t>
            </w:r>
          </w:p>
        </w:tc>
        <w:tc>
          <w:tcPr>
            <w:tcW w:w="547" w:type="dxa"/>
            <w:gridSpan w:val="2"/>
            <w:tcBorders>
              <w:top w:val="single" w:sz="4" w:space="0" w:color="auto"/>
              <w:left w:val="nil"/>
              <w:bottom w:val="single" w:sz="4" w:space="0" w:color="auto"/>
              <w:right w:val="nil"/>
            </w:tcBorders>
            <w:textDirection w:val="lrTb"/>
            <w:vAlign w:val="top"/>
          </w:tcPr>
          <w:p w:rsidR="002151F6" w:rsidRPr="00CE5F29" w:rsidP="00501AD0">
            <w:pPr>
              <w:bidi w:val="0"/>
              <w:spacing w:after="0" w:line="240" w:lineRule="auto"/>
              <w:jc w:val="center"/>
              <w:rPr>
                <w:rFonts w:ascii="Times New Roman" w:hAnsi="Times New Roman"/>
                <w:b/>
                <w:sz w:val="24"/>
                <w:szCs w:val="24"/>
                <w:lang w:val="sk-SK"/>
              </w:rPr>
            </w:pPr>
            <w:r w:rsidRPr="00CE5F29">
              <w:rPr>
                <w:rFonts w:ascii="Segoe UI Symbol" w:eastAsia="MS Mincho" w:hAnsi="Segoe UI Symbol" w:cs="Segoe UI Symbol" w:hint="default"/>
                <w:b/>
                <w:sz w:val="24"/>
                <w:szCs w:val="24"/>
                <w:lang w:val="sk-SK"/>
              </w:rPr>
              <w:t>☐</w:t>
            </w:r>
          </w:p>
        </w:tc>
        <w:tc>
          <w:tcPr>
            <w:tcW w:w="1417" w:type="dxa"/>
            <w:tcBorders>
              <w:top w:val="single" w:sz="4" w:space="0" w:color="auto"/>
              <w:left w:val="nil"/>
              <w:bottom w:val="single" w:sz="4" w:space="0" w:color="auto"/>
              <w:right w:val="single" w:sz="4" w:space="0" w:color="auto"/>
            </w:tcBorders>
            <w:textDirection w:val="lrTb"/>
            <w:vAlign w:val="top"/>
          </w:tcPr>
          <w:p w:rsidR="002151F6" w:rsidRPr="00CE5F29" w:rsidP="00501AD0">
            <w:pPr>
              <w:bidi w:val="0"/>
              <w:spacing w:after="0" w:line="240" w:lineRule="auto"/>
              <w:ind w:left="54"/>
              <w:rPr>
                <w:rFonts w:ascii="Times New Roman" w:hAnsi="Times New Roman"/>
                <w:b/>
                <w:sz w:val="24"/>
                <w:szCs w:val="24"/>
                <w:lang w:val="sk-SK"/>
              </w:rPr>
            </w:pPr>
            <w:r w:rsidRPr="00CE5F29">
              <w:rPr>
                <w:rFonts w:ascii="Times New Roman" w:hAnsi="Times New Roman"/>
                <w:b/>
                <w:sz w:val="24"/>
                <w:szCs w:val="24"/>
                <w:lang w:val="sk-SK"/>
              </w:rPr>
              <w:t>Negatívne</w:t>
            </w:r>
          </w:p>
        </w:tc>
      </w:tr>
    </w:tbl>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427"/>
        <w:gridCol w:w="141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2151F6" w:rsidRPr="00CE5F29" w:rsidP="00501AD0">
            <w:pPr>
              <w:bidi w:val="0"/>
              <w:rPr>
                <w:rFonts w:ascii="Times New Roman" w:hAnsi="Times New Roman"/>
                <w:b/>
                <w:sz w:val="24"/>
                <w:szCs w:val="24"/>
                <w:lang w:val="sk-SK"/>
              </w:rPr>
            </w:pPr>
            <w:r w:rsidRPr="00CE5F29">
              <w:rPr>
                <w:rFonts w:ascii="Times New Roman" w:hAnsi="Times New Roman"/>
                <w:b/>
                <w:sz w:val="24"/>
                <w:szCs w:val="24"/>
                <w:lang w:val="sk-SK"/>
              </w:rPr>
              <w:t>Vplyvy na služby verejnej správy pre občana, z toho</w:t>
            </w:r>
          </w:p>
        </w:tc>
        <w:tc>
          <w:tcPr>
            <w:tcW w:w="541" w:type="dxa"/>
            <w:tcBorders>
              <w:top w:val="single" w:sz="4" w:space="0" w:color="auto"/>
              <w:left w:val="single" w:sz="4" w:space="0" w:color="auto"/>
              <w:bottom w:val="nil"/>
              <w:right w:val="nil"/>
            </w:tcBorders>
            <w:textDirection w:val="lrTb"/>
            <w:vAlign w:val="top"/>
          </w:tcPr>
          <w:p w:rsidR="002151F6" w:rsidRPr="00CE5F29" w:rsidP="00501AD0">
            <w:pPr>
              <w:bidi w:val="0"/>
              <w:jc w:val="center"/>
              <w:rPr>
                <w:rFonts w:ascii="Times New Roman" w:eastAsia="MS Mincho" w:hAnsi="Times New Roman"/>
                <w:b/>
                <w:sz w:val="24"/>
                <w:szCs w:val="24"/>
                <w:lang w:val="sk-SK"/>
              </w:rPr>
            </w:pPr>
          </w:p>
        </w:tc>
        <w:tc>
          <w:tcPr>
            <w:tcW w:w="1281" w:type="dxa"/>
            <w:tcBorders>
              <w:top w:val="single" w:sz="4" w:space="0" w:color="auto"/>
              <w:left w:val="nil"/>
              <w:bottom w:val="nil"/>
              <w:right w:val="nil"/>
            </w:tcBorders>
            <w:textDirection w:val="lrTb"/>
            <w:vAlign w:val="top"/>
          </w:tcPr>
          <w:p w:rsidR="002151F6" w:rsidRPr="00CE5F29" w:rsidP="00501AD0">
            <w:pPr>
              <w:bidi w:val="0"/>
              <w:ind w:right="-108"/>
              <w:rPr>
                <w:rFonts w:ascii="Times New Roman" w:hAnsi="Times New Roman"/>
                <w:b/>
                <w:sz w:val="24"/>
                <w:szCs w:val="24"/>
                <w:lang w:val="sk-SK"/>
              </w:rPr>
            </w:pPr>
          </w:p>
        </w:tc>
        <w:tc>
          <w:tcPr>
            <w:tcW w:w="569" w:type="dxa"/>
            <w:tcBorders>
              <w:top w:val="single" w:sz="4" w:space="0" w:color="auto"/>
              <w:left w:val="nil"/>
              <w:bottom w:val="nil"/>
              <w:right w:val="nil"/>
            </w:tcBorders>
            <w:textDirection w:val="lrTb"/>
            <w:vAlign w:val="top"/>
          </w:tcPr>
          <w:p w:rsidR="002151F6" w:rsidRPr="00CE5F29" w:rsidP="00501AD0">
            <w:pPr>
              <w:bidi w:val="0"/>
              <w:jc w:val="center"/>
              <w:rPr>
                <w:rFonts w:ascii="Times New Roman" w:eastAsia="MS Mincho" w:hAnsi="Times New Roman"/>
                <w:b/>
                <w:sz w:val="24"/>
                <w:szCs w:val="24"/>
                <w:lang w:val="sk-SK"/>
              </w:rPr>
            </w:pPr>
          </w:p>
        </w:tc>
        <w:tc>
          <w:tcPr>
            <w:tcW w:w="1133" w:type="dxa"/>
            <w:tcBorders>
              <w:top w:val="single" w:sz="4" w:space="0" w:color="auto"/>
              <w:left w:val="nil"/>
              <w:bottom w:val="nil"/>
              <w:right w:val="nil"/>
            </w:tcBorders>
            <w:textDirection w:val="lrTb"/>
            <w:vAlign w:val="top"/>
          </w:tcPr>
          <w:p w:rsidR="002151F6" w:rsidRPr="00CE5F29" w:rsidP="00501AD0">
            <w:pPr>
              <w:bidi w:val="0"/>
              <w:rPr>
                <w:rFonts w:ascii="Times New Roman" w:hAnsi="Times New Roman"/>
                <w:b/>
                <w:sz w:val="24"/>
                <w:szCs w:val="24"/>
                <w:lang w:val="sk-SK"/>
              </w:rPr>
            </w:pPr>
          </w:p>
        </w:tc>
        <w:tc>
          <w:tcPr>
            <w:tcW w:w="427" w:type="dxa"/>
            <w:tcBorders>
              <w:top w:val="single" w:sz="4" w:space="0" w:color="auto"/>
              <w:left w:val="nil"/>
              <w:bottom w:val="nil"/>
              <w:right w:val="nil"/>
            </w:tcBorders>
            <w:textDirection w:val="lrTb"/>
            <w:vAlign w:val="top"/>
          </w:tcPr>
          <w:p w:rsidR="002151F6" w:rsidRPr="00CE5F29" w:rsidP="00501AD0">
            <w:pPr>
              <w:bidi w:val="0"/>
              <w:jc w:val="center"/>
              <w:rPr>
                <w:rFonts w:ascii="Times New Roman" w:eastAsia="MS Mincho" w:hAnsi="Times New Roman"/>
                <w:b/>
                <w:sz w:val="24"/>
                <w:szCs w:val="24"/>
                <w:lang w:val="sk-SK"/>
              </w:rPr>
            </w:pPr>
          </w:p>
        </w:tc>
        <w:tc>
          <w:tcPr>
            <w:tcW w:w="1417" w:type="dxa"/>
            <w:tcBorders>
              <w:top w:val="single" w:sz="4" w:space="0" w:color="auto"/>
              <w:left w:val="nil"/>
              <w:bottom w:val="nil"/>
              <w:right w:val="single" w:sz="4" w:space="0" w:color="auto"/>
            </w:tcBorders>
            <w:textDirection w:val="lrTb"/>
            <w:vAlign w:val="top"/>
          </w:tcPr>
          <w:p w:rsidR="002151F6" w:rsidRPr="00CE5F29" w:rsidP="00501AD0">
            <w:pPr>
              <w:bidi w:val="0"/>
              <w:ind w:left="54"/>
              <w:rPr>
                <w:rFonts w:ascii="Times New Roman" w:hAnsi="Times New Roman"/>
                <w:b/>
                <w:sz w:val="24"/>
                <w:szCs w:val="24"/>
                <w:lang w:val="sk-SK"/>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2151F6" w:rsidRPr="00CE5F29" w:rsidP="00501AD0">
            <w:pPr>
              <w:bidi w:val="0"/>
              <w:ind w:left="196" w:hanging="196"/>
              <w:rPr>
                <w:rFonts w:ascii="Times New Roman" w:hAnsi="Times New Roman"/>
                <w:b/>
                <w:sz w:val="24"/>
                <w:szCs w:val="24"/>
                <w:lang w:val="sk-SK"/>
              </w:rPr>
            </w:pPr>
            <w:r w:rsidRPr="00CE5F29">
              <w:rPr>
                <w:rFonts w:ascii="Times New Roman" w:hAnsi="Times New Roman"/>
                <w:b/>
                <w:sz w:val="24"/>
                <w:szCs w:val="24"/>
                <w:lang w:val="sk-SK"/>
              </w:rPr>
              <w:t xml:space="preserve">    vplyvy služieb verejnej správy na občana</w:t>
            </w:r>
          </w:p>
        </w:tc>
        <w:tc>
          <w:tcPr>
            <w:tcW w:w="541" w:type="dxa"/>
            <w:tcBorders>
              <w:top w:val="nil"/>
              <w:left w:val="single" w:sz="4" w:space="0" w:color="auto"/>
              <w:bottom w:val="nil"/>
              <w:right w:val="nil"/>
            </w:tcBorders>
            <w:textDirection w:val="lrTb"/>
            <w:vAlign w:val="top"/>
          </w:tcPr>
          <w:p w:rsidR="002151F6" w:rsidRPr="00CE5F29" w:rsidP="00501AD0">
            <w:pPr>
              <w:bidi w:val="0"/>
              <w:jc w:val="center"/>
              <w:rPr>
                <w:rFonts w:ascii="Times New Roman" w:eastAsia="MS Mincho" w:hAnsi="Times New Roman"/>
                <w:b/>
                <w:sz w:val="24"/>
                <w:szCs w:val="24"/>
                <w:lang w:val="sk-SK"/>
              </w:rPr>
            </w:pPr>
            <w:r w:rsidRPr="00CE5F29">
              <w:rPr>
                <w:rFonts w:ascii="Segoe UI Symbol" w:eastAsia="MS Mincho" w:hAnsi="Segoe UI Symbol" w:cs="Segoe UI Symbol" w:hint="default"/>
                <w:b/>
                <w:sz w:val="24"/>
                <w:szCs w:val="24"/>
                <w:lang w:val="sk-SK"/>
              </w:rPr>
              <w:t>☐</w:t>
            </w:r>
          </w:p>
        </w:tc>
        <w:tc>
          <w:tcPr>
            <w:tcW w:w="1281" w:type="dxa"/>
            <w:tcBorders>
              <w:top w:val="nil"/>
              <w:left w:val="nil"/>
              <w:bottom w:val="nil"/>
              <w:right w:val="nil"/>
            </w:tcBorders>
            <w:textDirection w:val="lrTb"/>
            <w:vAlign w:val="top"/>
          </w:tcPr>
          <w:p w:rsidR="002151F6" w:rsidRPr="00CE5F29" w:rsidP="00501AD0">
            <w:pPr>
              <w:bidi w:val="0"/>
              <w:ind w:right="-108"/>
              <w:rPr>
                <w:rFonts w:ascii="Times New Roman" w:hAnsi="Times New Roman"/>
                <w:b/>
                <w:sz w:val="24"/>
                <w:szCs w:val="24"/>
                <w:lang w:val="sk-SK"/>
              </w:rPr>
            </w:pPr>
            <w:r w:rsidRPr="00CE5F29">
              <w:rPr>
                <w:rFonts w:ascii="Times New Roman" w:hAnsi="Times New Roman"/>
                <w:b/>
                <w:sz w:val="24"/>
                <w:szCs w:val="24"/>
                <w:lang w:val="sk-SK"/>
              </w:rPr>
              <w:t>Pozitívne</w:t>
            </w:r>
          </w:p>
        </w:tc>
        <w:tc>
          <w:tcPr>
            <w:tcW w:w="569" w:type="dxa"/>
            <w:tcBorders>
              <w:top w:val="nil"/>
              <w:left w:val="nil"/>
              <w:bottom w:val="nil"/>
              <w:right w:val="nil"/>
            </w:tcBorders>
            <w:textDirection w:val="lrTb"/>
            <w:vAlign w:val="top"/>
          </w:tcPr>
          <w:p w:rsidR="002151F6" w:rsidRPr="00CE5F29" w:rsidP="00501AD0">
            <w:pPr>
              <w:bidi w:val="0"/>
              <w:jc w:val="center"/>
              <w:rPr>
                <w:rFonts w:ascii="Times New Roman" w:eastAsia="MS Mincho" w:hAnsi="Times New Roman"/>
                <w:b/>
                <w:sz w:val="24"/>
                <w:szCs w:val="24"/>
                <w:lang w:val="sk-SK"/>
              </w:rPr>
            </w:pPr>
            <w:r w:rsidRPr="00CE5F29">
              <w:rPr>
                <w:rFonts w:ascii="Segoe UI Symbol" w:eastAsia="MS Gothic" w:hAnsi="Segoe UI Symbol" w:cs="Segoe UI Symbol" w:hint="default"/>
                <w:b/>
                <w:sz w:val="24"/>
                <w:szCs w:val="24"/>
                <w:lang w:val="sk-SK"/>
              </w:rPr>
              <w:t>☒</w:t>
            </w:r>
          </w:p>
        </w:tc>
        <w:tc>
          <w:tcPr>
            <w:tcW w:w="1133" w:type="dxa"/>
            <w:tcBorders>
              <w:top w:val="nil"/>
              <w:left w:val="nil"/>
              <w:bottom w:val="nil"/>
              <w:right w:val="nil"/>
            </w:tcBorders>
            <w:textDirection w:val="lrTb"/>
            <w:vAlign w:val="top"/>
          </w:tcPr>
          <w:p w:rsidR="002151F6" w:rsidRPr="00CE5F29" w:rsidP="00501AD0">
            <w:pPr>
              <w:bidi w:val="0"/>
              <w:rPr>
                <w:rFonts w:ascii="Times New Roman" w:hAnsi="Times New Roman"/>
                <w:b/>
                <w:sz w:val="24"/>
                <w:szCs w:val="24"/>
                <w:lang w:val="sk-SK"/>
              </w:rPr>
            </w:pPr>
            <w:r w:rsidRPr="00CE5F29">
              <w:rPr>
                <w:rFonts w:ascii="Times New Roman" w:hAnsi="Times New Roman"/>
                <w:b/>
                <w:sz w:val="24"/>
                <w:szCs w:val="24"/>
                <w:lang w:val="sk-SK"/>
              </w:rPr>
              <w:t>Žiadne</w:t>
            </w:r>
          </w:p>
        </w:tc>
        <w:tc>
          <w:tcPr>
            <w:tcW w:w="427" w:type="dxa"/>
            <w:tcBorders>
              <w:top w:val="nil"/>
              <w:left w:val="nil"/>
              <w:bottom w:val="nil"/>
              <w:right w:val="nil"/>
            </w:tcBorders>
            <w:textDirection w:val="lrTb"/>
            <w:vAlign w:val="top"/>
          </w:tcPr>
          <w:p w:rsidR="002151F6" w:rsidRPr="00CE5F29" w:rsidP="00501AD0">
            <w:pPr>
              <w:bidi w:val="0"/>
              <w:jc w:val="center"/>
              <w:rPr>
                <w:rFonts w:ascii="Times New Roman" w:eastAsia="MS Mincho" w:hAnsi="Times New Roman"/>
                <w:b/>
                <w:sz w:val="24"/>
                <w:szCs w:val="24"/>
                <w:lang w:val="sk-SK"/>
              </w:rPr>
            </w:pPr>
            <w:r w:rsidRPr="00CE5F29">
              <w:rPr>
                <w:rFonts w:ascii="Segoe UI Symbol" w:eastAsia="MS Mincho" w:hAnsi="Segoe UI Symbol" w:cs="Segoe UI Symbol" w:hint="default"/>
                <w:b/>
                <w:sz w:val="24"/>
                <w:szCs w:val="24"/>
                <w:lang w:val="sk-SK"/>
              </w:rPr>
              <w:t>☐</w:t>
            </w:r>
          </w:p>
        </w:tc>
        <w:tc>
          <w:tcPr>
            <w:tcW w:w="1417" w:type="dxa"/>
            <w:tcBorders>
              <w:top w:val="nil"/>
              <w:left w:val="nil"/>
              <w:bottom w:val="nil"/>
              <w:right w:val="single" w:sz="4" w:space="0" w:color="auto"/>
            </w:tcBorders>
            <w:textDirection w:val="lrTb"/>
            <w:vAlign w:val="top"/>
          </w:tcPr>
          <w:p w:rsidR="002151F6" w:rsidRPr="00CE5F29" w:rsidP="00501AD0">
            <w:pPr>
              <w:bidi w:val="0"/>
              <w:ind w:left="54"/>
              <w:rPr>
                <w:rFonts w:ascii="Times New Roman" w:hAnsi="Times New Roman"/>
                <w:b/>
                <w:sz w:val="24"/>
                <w:szCs w:val="24"/>
                <w:lang w:val="sk-SK"/>
              </w:rPr>
            </w:pPr>
            <w:r w:rsidR="00CE5F29">
              <w:rPr>
                <w:rFonts w:ascii="Times New Roman" w:hAnsi="Times New Roman"/>
                <w:b/>
                <w:sz w:val="24"/>
                <w:szCs w:val="24"/>
                <w:lang w:val="sk-SK"/>
              </w:rPr>
              <w:t>N</w:t>
            </w:r>
            <w:r w:rsidRPr="00CE5F29">
              <w:rPr>
                <w:rFonts w:ascii="Times New Roman" w:hAnsi="Times New Roman"/>
                <w:b/>
                <w:sz w:val="24"/>
                <w:szCs w:val="24"/>
                <w:lang w:val="sk-SK"/>
              </w:rPr>
              <w:t>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2151F6" w:rsidRPr="00CE5F29" w:rsidP="00501AD0">
            <w:pPr>
              <w:bidi w:val="0"/>
              <w:ind w:left="168" w:hanging="168"/>
              <w:rPr>
                <w:rFonts w:ascii="Times New Roman" w:hAnsi="Times New Roman"/>
                <w:b/>
                <w:sz w:val="24"/>
                <w:szCs w:val="24"/>
                <w:lang w:val="sk-SK"/>
              </w:rPr>
            </w:pPr>
            <w:r w:rsidRPr="00CE5F29">
              <w:rPr>
                <w:rFonts w:ascii="Times New Roman" w:hAnsi="Times New Roman"/>
                <w:b/>
                <w:sz w:val="24"/>
                <w:szCs w:val="24"/>
                <w:lang w:val="sk-SK"/>
              </w:rPr>
              <w:t xml:space="preserve">    vplyvy na procesy služieb vo verejnej správe</w:t>
            </w:r>
          </w:p>
        </w:tc>
        <w:tc>
          <w:tcPr>
            <w:tcW w:w="541" w:type="dxa"/>
            <w:tcBorders>
              <w:top w:val="nil"/>
              <w:left w:val="single" w:sz="4" w:space="0" w:color="auto"/>
              <w:bottom w:val="single" w:sz="4" w:space="0" w:color="auto"/>
              <w:right w:val="nil"/>
            </w:tcBorders>
            <w:textDirection w:val="lrTb"/>
            <w:vAlign w:val="top"/>
          </w:tcPr>
          <w:p w:rsidR="002151F6" w:rsidRPr="00CE5F29" w:rsidP="00501AD0">
            <w:pPr>
              <w:bidi w:val="0"/>
              <w:jc w:val="center"/>
              <w:rPr>
                <w:rFonts w:ascii="Times New Roman" w:eastAsia="MS Mincho" w:hAnsi="Times New Roman"/>
                <w:b/>
                <w:sz w:val="24"/>
                <w:szCs w:val="24"/>
                <w:lang w:val="sk-SK"/>
              </w:rPr>
            </w:pPr>
            <w:r w:rsidRPr="00CE5F29">
              <w:rPr>
                <w:rFonts w:ascii="Segoe UI Symbol" w:eastAsia="MS Mincho" w:hAnsi="Segoe UI Symbol" w:cs="Segoe UI Symbol" w:hint="default"/>
                <w:b/>
                <w:sz w:val="24"/>
                <w:szCs w:val="24"/>
                <w:lang w:val="sk-SK"/>
              </w:rPr>
              <w:t>☐</w:t>
            </w:r>
          </w:p>
        </w:tc>
        <w:tc>
          <w:tcPr>
            <w:tcW w:w="1281" w:type="dxa"/>
            <w:tcBorders>
              <w:top w:val="nil"/>
              <w:left w:val="nil"/>
              <w:bottom w:val="single" w:sz="4" w:space="0" w:color="auto"/>
              <w:right w:val="nil"/>
            </w:tcBorders>
            <w:textDirection w:val="lrTb"/>
            <w:vAlign w:val="top"/>
          </w:tcPr>
          <w:p w:rsidR="002151F6" w:rsidRPr="00CE5F29" w:rsidP="00501AD0">
            <w:pPr>
              <w:bidi w:val="0"/>
              <w:ind w:right="-108"/>
              <w:rPr>
                <w:rFonts w:ascii="Times New Roman" w:hAnsi="Times New Roman"/>
                <w:b/>
                <w:sz w:val="24"/>
                <w:szCs w:val="24"/>
                <w:lang w:val="sk-SK"/>
              </w:rPr>
            </w:pPr>
            <w:r w:rsidRPr="00CE5F29">
              <w:rPr>
                <w:rFonts w:ascii="Times New Roman" w:hAnsi="Times New Roman"/>
                <w:b/>
                <w:sz w:val="24"/>
                <w:szCs w:val="24"/>
                <w:lang w:val="sk-SK"/>
              </w:rPr>
              <w:t>Pozitívne</w:t>
            </w:r>
          </w:p>
        </w:tc>
        <w:tc>
          <w:tcPr>
            <w:tcW w:w="569" w:type="dxa"/>
            <w:tcBorders>
              <w:top w:val="nil"/>
              <w:left w:val="nil"/>
              <w:bottom w:val="single" w:sz="4" w:space="0" w:color="auto"/>
              <w:right w:val="nil"/>
            </w:tcBorders>
            <w:textDirection w:val="lrTb"/>
            <w:vAlign w:val="top"/>
          </w:tcPr>
          <w:p w:rsidR="002151F6" w:rsidRPr="00CE5F29" w:rsidP="00501AD0">
            <w:pPr>
              <w:bidi w:val="0"/>
              <w:jc w:val="center"/>
              <w:rPr>
                <w:rFonts w:ascii="Times New Roman" w:eastAsia="MS Mincho" w:hAnsi="Times New Roman"/>
                <w:b/>
                <w:sz w:val="24"/>
                <w:szCs w:val="24"/>
                <w:lang w:val="sk-SK"/>
              </w:rPr>
            </w:pPr>
            <w:r w:rsidRPr="00CE5F29">
              <w:rPr>
                <w:rFonts w:ascii="Segoe UI Symbol" w:eastAsia="MS Gothic" w:hAnsi="Segoe UI Symbol" w:cs="Segoe UI Symbol" w:hint="default"/>
                <w:b/>
                <w:sz w:val="24"/>
                <w:szCs w:val="24"/>
                <w:lang w:val="sk-SK"/>
              </w:rPr>
              <w:t>☒</w:t>
            </w:r>
          </w:p>
        </w:tc>
        <w:tc>
          <w:tcPr>
            <w:tcW w:w="1133" w:type="dxa"/>
            <w:tcBorders>
              <w:top w:val="nil"/>
              <w:left w:val="nil"/>
              <w:bottom w:val="single" w:sz="4" w:space="0" w:color="auto"/>
              <w:right w:val="nil"/>
            </w:tcBorders>
            <w:textDirection w:val="lrTb"/>
            <w:vAlign w:val="top"/>
          </w:tcPr>
          <w:p w:rsidR="002151F6" w:rsidRPr="00CE5F29" w:rsidP="00501AD0">
            <w:pPr>
              <w:bidi w:val="0"/>
              <w:rPr>
                <w:rFonts w:ascii="Times New Roman" w:hAnsi="Times New Roman"/>
                <w:b/>
                <w:sz w:val="24"/>
                <w:szCs w:val="24"/>
                <w:lang w:val="sk-SK"/>
              </w:rPr>
            </w:pPr>
            <w:r w:rsidRPr="00CE5F29">
              <w:rPr>
                <w:rFonts w:ascii="Times New Roman" w:hAnsi="Times New Roman"/>
                <w:b/>
                <w:sz w:val="24"/>
                <w:szCs w:val="24"/>
                <w:lang w:val="sk-SK"/>
              </w:rPr>
              <w:t>Žiadne</w:t>
            </w:r>
          </w:p>
        </w:tc>
        <w:tc>
          <w:tcPr>
            <w:tcW w:w="427" w:type="dxa"/>
            <w:tcBorders>
              <w:top w:val="nil"/>
              <w:left w:val="nil"/>
              <w:bottom w:val="single" w:sz="4" w:space="0" w:color="auto"/>
              <w:right w:val="nil"/>
            </w:tcBorders>
            <w:textDirection w:val="lrTb"/>
            <w:vAlign w:val="top"/>
          </w:tcPr>
          <w:p w:rsidR="002151F6" w:rsidRPr="00CE5F29" w:rsidP="00501AD0">
            <w:pPr>
              <w:bidi w:val="0"/>
              <w:jc w:val="center"/>
              <w:rPr>
                <w:rFonts w:ascii="Times New Roman" w:eastAsia="MS Mincho" w:hAnsi="Times New Roman"/>
                <w:b/>
                <w:sz w:val="24"/>
                <w:szCs w:val="24"/>
                <w:lang w:val="sk-SK"/>
              </w:rPr>
            </w:pPr>
            <w:r w:rsidRPr="00CE5F29">
              <w:rPr>
                <w:rFonts w:ascii="Segoe UI Symbol" w:eastAsia="MS Mincho" w:hAnsi="Segoe UI Symbol" w:cs="Segoe UI Symbol" w:hint="default"/>
                <w:b/>
                <w:sz w:val="24"/>
                <w:szCs w:val="24"/>
                <w:lang w:val="sk-SK"/>
              </w:rPr>
              <w:t>☐</w:t>
            </w:r>
          </w:p>
        </w:tc>
        <w:tc>
          <w:tcPr>
            <w:tcW w:w="1417" w:type="dxa"/>
            <w:tcBorders>
              <w:top w:val="nil"/>
              <w:left w:val="nil"/>
              <w:bottom w:val="single" w:sz="4" w:space="0" w:color="auto"/>
              <w:right w:val="single" w:sz="4" w:space="0" w:color="auto"/>
            </w:tcBorders>
            <w:textDirection w:val="lrTb"/>
            <w:vAlign w:val="top"/>
          </w:tcPr>
          <w:p w:rsidR="002151F6" w:rsidRPr="00CE5F29" w:rsidP="00501AD0">
            <w:pPr>
              <w:bidi w:val="0"/>
              <w:ind w:left="54"/>
              <w:rPr>
                <w:rFonts w:ascii="Times New Roman" w:hAnsi="Times New Roman"/>
                <w:b/>
                <w:sz w:val="24"/>
                <w:szCs w:val="24"/>
                <w:lang w:val="sk-SK"/>
              </w:rPr>
            </w:pPr>
            <w:r w:rsidRPr="00CE5F29">
              <w:rPr>
                <w:rFonts w:ascii="Times New Roman" w:hAnsi="Times New Roman"/>
                <w:b/>
                <w:sz w:val="24"/>
                <w:szCs w:val="24"/>
                <w:lang w:val="sk-SK"/>
              </w:rPr>
              <w:t>Negatívne“</w:t>
            </w:r>
          </w:p>
        </w:tc>
      </w:tr>
    </w:tbl>
    <w:p w:rsidR="002151F6" w:rsidRPr="004A6AFD" w:rsidP="002151F6">
      <w:pPr>
        <w:bidi w:val="0"/>
        <w:ind w:right="141"/>
        <w:rPr>
          <w:rFonts w:ascii="Times New Roman" w:hAnsi="Times New Roman"/>
          <w:b/>
          <w:sz w:val="24"/>
          <w:szCs w:val="24"/>
          <w:lang w:val="sk-SK"/>
        </w:rPr>
      </w:pPr>
    </w:p>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2151F6" w:rsidRPr="004A6AFD" w:rsidP="002151F6">
            <w:pPr>
              <w:pStyle w:val="ListParagraph"/>
              <w:numPr>
                <w:numId w:val="14"/>
              </w:numPr>
              <w:bidi w:val="0"/>
              <w:spacing w:after="0" w:line="240" w:lineRule="auto"/>
              <w:ind w:left="426"/>
              <w:rPr>
                <w:rFonts w:ascii="Times New Roman" w:hAnsi="Times New Roman"/>
                <w:b/>
                <w:sz w:val="24"/>
                <w:szCs w:val="24"/>
              </w:rPr>
            </w:pPr>
            <w:r w:rsidRPr="004A6AFD">
              <w:rPr>
                <w:rFonts w:ascii="Times New Roman" w:hAnsi="Times New Roman"/>
                <w:b/>
                <w:sz w:val="24"/>
                <w:szCs w:val="24"/>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2151F6" w:rsidRPr="00C24CC2" w:rsidP="003B1444">
            <w:pPr>
              <w:bidi w:val="0"/>
              <w:spacing w:after="0" w:line="240" w:lineRule="auto"/>
              <w:jc w:val="both"/>
              <w:rPr>
                <w:rFonts w:ascii="Times New Roman" w:hAnsi="Times New Roman"/>
                <w:sz w:val="24"/>
                <w:szCs w:val="24"/>
                <w:lang w:val="sk-SK"/>
              </w:rPr>
            </w:pPr>
            <w:r w:rsidRPr="00C24CC2" w:rsidR="003B1444">
              <w:rPr>
                <w:rFonts w:ascii="Times New Roman" w:hAnsi="Times New Roman"/>
                <w:sz w:val="24"/>
                <w:szCs w:val="24"/>
                <w:lang w:val="sk-SK"/>
              </w:rPr>
              <w:t>Návrh nezavádza nové postupy pri vyberaní poplatku (naďalej sa poplatky vyberajú na ODI PZ SR a Klientskych centrách OÚ cez systém eKolok), vplyv na informatizáciu je pozitívny (spôsob výberu poplatku zostáva totožný – predovšetkým cez samoobslužný kiosk priamo na úrade alebo cez webové a mobilné zariadenie, rovnako cez platobný predpis vygenerovaný úradníkom v Module správnych poplatkov a evidovaný v centrálnom systéme evidencie poplatkov), nezavádzajú sa nové postupy pri službách a procesoch verejnej správy. Celkový vplyv na verejnosť (podnikateľské prostredie a obyvateľstvo) je neutrálny, iba zmenou systému určenia sadzieb poplatku sa tieto spravodlivejšie určujú na vozidlo podľa hodnotového princípu a to má v konečnom dôsledku vplyv na to, že pri jednej časti vozidiel poplatník zaplatí vyšší poplatok ako v súčasne platnej právnej úprave (lebo je vyššia hodnota vozidla) a pri inej skupine vozidiel poplatník zaplatí nižší poplatok ako v súčasne platnej právnej úprave (lebo hodnota vozidla je nižšia).</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2151F6" w:rsidRPr="004A6AFD" w:rsidP="002151F6">
            <w:pPr>
              <w:pStyle w:val="ListParagraph"/>
              <w:numPr>
                <w:numId w:val="14"/>
              </w:numPr>
              <w:bidi w:val="0"/>
              <w:spacing w:after="0" w:line="240" w:lineRule="auto"/>
              <w:ind w:left="426"/>
              <w:rPr>
                <w:rFonts w:ascii="Times New Roman" w:hAnsi="Times New Roman"/>
                <w:b/>
                <w:sz w:val="24"/>
                <w:szCs w:val="24"/>
              </w:rPr>
            </w:pPr>
            <w:r w:rsidRPr="004A6AFD">
              <w:rPr>
                <w:rFonts w:ascii="Times New Roman" w:hAnsi="Times New Roman"/>
                <w:b/>
                <w:sz w:val="24"/>
                <w:szCs w:val="24"/>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2151F6" w:rsidRPr="004A6AFD" w:rsidP="00501AD0">
            <w:pPr>
              <w:bidi w:val="0"/>
              <w:spacing w:after="0" w:line="240" w:lineRule="auto"/>
              <w:rPr>
                <w:rFonts w:ascii="Times New Roman" w:hAnsi="Times New Roman"/>
                <w:sz w:val="24"/>
                <w:szCs w:val="24"/>
                <w:lang w:val="sk-SK"/>
              </w:rPr>
            </w:pPr>
            <w:r w:rsidRPr="004A6AFD">
              <w:rPr>
                <w:rFonts w:ascii="Times New Roman" w:hAnsi="Times New Roman"/>
                <w:sz w:val="24"/>
                <w:szCs w:val="24"/>
                <w:lang w:val="sk-SK"/>
              </w:rPr>
              <w:t>jana.fulopova@mfsr.sk</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2151F6" w:rsidRPr="004A6AFD" w:rsidP="002151F6">
            <w:pPr>
              <w:pStyle w:val="ListParagraph"/>
              <w:numPr>
                <w:numId w:val="14"/>
              </w:numPr>
              <w:bidi w:val="0"/>
              <w:spacing w:after="0" w:line="240" w:lineRule="auto"/>
              <w:ind w:left="426"/>
              <w:rPr>
                <w:rFonts w:ascii="Times New Roman" w:hAnsi="Times New Roman"/>
                <w:b/>
                <w:sz w:val="24"/>
                <w:szCs w:val="24"/>
              </w:rPr>
            </w:pPr>
            <w:r w:rsidRPr="004A6AFD">
              <w:rPr>
                <w:rFonts w:ascii="Times New Roman" w:hAnsi="Times New Roman"/>
                <w:b/>
                <w:sz w:val="24"/>
                <w:szCs w:val="24"/>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2151F6" w:rsidP="00D91170">
            <w:pPr>
              <w:bidi w:val="0"/>
              <w:spacing w:after="0" w:line="240" w:lineRule="auto"/>
              <w:jc w:val="both"/>
              <w:rPr>
                <w:rFonts w:ascii="Times New Roman" w:hAnsi="Times New Roman"/>
                <w:sz w:val="24"/>
                <w:szCs w:val="24"/>
                <w:lang w:val="sk-SK"/>
              </w:rPr>
            </w:pPr>
            <w:r w:rsidRPr="004A6AFD">
              <w:rPr>
                <w:rFonts w:ascii="Times New Roman" w:hAnsi="Times New Roman"/>
                <w:sz w:val="24"/>
                <w:szCs w:val="24"/>
                <w:lang w:val="sk-SK"/>
              </w:rPr>
              <w:t>Inštitút finančnej politiky – spracovanie údajov z inzerovaných ponúk nových a ojazdených vozidiel, údaje o počte registrovaných vozidiel v jednotlivých rokoch od aplikácie registračného poplatku v položke 65 sadzobníka správnych poplatkov.</w:t>
            </w:r>
          </w:p>
          <w:p w:rsidR="00C24CC2" w:rsidRPr="00C24CC2" w:rsidP="00D91170">
            <w:pPr>
              <w:bidi w:val="0"/>
              <w:spacing w:after="0" w:line="240" w:lineRule="auto"/>
              <w:jc w:val="both"/>
              <w:rPr>
                <w:rFonts w:ascii="Times New Roman" w:hAnsi="Times New Roman"/>
                <w:sz w:val="24"/>
                <w:szCs w:val="24"/>
                <w:lang w:val="sk-SK"/>
              </w:rPr>
            </w:pPr>
            <w:r w:rsidRPr="00C24CC2">
              <w:rPr>
                <w:rFonts w:ascii="Times New Roman" w:hAnsi="Times New Roman"/>
                <w:sz w:val="24"/>
                <w:szCs w:val="24"/>
                <w:lang w:val="sk-SK"/>
              </w:rPr>
              <w:t>Informácie z MV SR o ročných číslach vyradenia vozidiel z evidencie pri zošrotovaní vozidla podľa zákona o odpadoch.</w:t>
            </w:r>
          </w:p>
          <w:p w:rsidR="002151F6" w:rsidRPr="00C24CC2" w:rsidP="00D91170">
            <w:pPr>
              <w:bidi w:val="0"/>
              <w:spacing w:after="0" w:line="240" w:lineRule="auto"/>
              <w:jc w:val="both"/>
              <w:rPr>
                <w:rFonts w:ascii="Times New Roman" w:hAnsi="Times New Roman"/>
                <w:sz w:val="24"/>
                <w:szCs w:val="24"/>
                <w:lang w:val="sk-SK"/>
              </w:rPr>
            </w:pPr>
            <w:r w:rsidRPr="004A6AFD">
              <w:rPr>
                <w:rFonts w:ascii="Times New Roman" w:hAnsi="Times New Roman"/>
                <w:sz w:val="24"/>
                <w:szCs w:val="24"/>
                <w:lang w:val="sk-SK"/>
              </w:rPr>
              <w:t xml:space="preserve">Informácie o počte vybavených úkonov a konaní pri udeľovaní licencií a zmien v licenciách na </w:t>
            </w:r>
            <w:r w:rsidR="00C24CC2">
              <w:rPr>
                <w:rFonts w:ascii="Times New Roman" w:hAnsi="Times New Roman"/>
                <w:sz w:val="24"/>
                <w:szCs w:val="24"/>
                <w:lang w:val="sk-SK"/>
              </w:rPr>
              <w:t>prevádzkovanie hazardných hier.</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2151F6" w:rsidRPr="004A6AFD" w:rsidP="002151F6">
            <w:pPr>
              <w:pStyle w:val="ListParagraph"/>
              <w:numPr>
                <w:numId w:val="14"/>
              </w:numPr>
              <w:bidi w:val="0"/>
              <w:spacing w:after="0" w:line="240" w:lineRule="auto"/>
              <w:ind w:left="426"/>
              <w:rPr>
                <w:rFonts w:ascii="Times New Roman" w:hAnsi="Times New Roman"/>
                <w:b/>
                <w:sz w:val="24"/>
                <w:szCs w:val="24"/>
              </w:rPr>
            </w:pPr>
            <w:r w:rsidRPr="004A6AFD">
              <w:rPr>
                <w:rFonts w:ascii="Times New Roman" w:hAnsi="Times New Roman"/>
                <w:b/>
                <w:sz w:val="24"/>
                <w:szCs w:val="24"/>
              </w:rPr>
              <w:t>Stanovisko Komisie pre posudzovanie vybraných vplyvov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2151F6" w:rsidRPr="004A6AFD" w:rsidP="00501AD0">
            <w:pPr>
              <w:bidi w:val="0"/>
              <w:spacing w:after="0" w:line="240" w:lineRule="auto"/>
              <w:jc w:val="both"/>
              <w:rPr>
                <w:rFonts w:ascii="Times New Roman" w:hAnsi="Times New Roman"/>
                <w:sz w:val="24"/>
                <w:szCs w:val="24"/>
                <w:lang w:val="sk-SK"/>
              </w:rPr>
            </w:pPr>
            <w:r w:rsidRPr="004A6AFD">
              <w:rPr>
                <w:rFonts w:ascii="Times New Roman" w:hAnsi="Times New Roman"/>
                <w:sz w:val="24"/>
                <w:szCs w:val="24"/>
                <w:lang w:val="sk-SK"/>
              </w:rPr>
              <w:t>V rámci predbežného pripomienkového konania komisia pre posudzovanie vybraných vplyvov k predmetnému materiálu zaslala nesúhlasné stanovisko uvedené nižšie:</w:t>
            </w:r>
          </w:p>
          <w:p w:rsidR="002151F6" w:rsidRPr="004A6AFD" w:rsidP="00501AD0">
            <w:pPr>
              <w:bidi w:val="0"/>
              <w:spacing w:after="0" w:line="240" w:lineRule="auto"/>
              <w:rPr>
                <w:rFonts w:ascii="Times New Roman" w:hAnsi="Times New Roman"/>
                <w:b/>
                <w:sz w:val="24"/>
                <w:szCs w:val="24"/>
                <w:lang w:val="sk-SK"/>
              </w:rPr>
            </w:pPr>
          </w:p>
          <w:p w:rsidR="002151F6" w:rsidRPr="004A6AFD" w:rsidP="00501AD0">
            <w:pPr>
              <w:bidi w:val="0"/>
              <w:spacing w:after="0" w:line="240" w:lineRule="auto"/>
              <w:rPr>
                <w:rFonts w:ascii="Times New Roman" w:hAnsi="Times New Roman"/>
                <w:b/>
                <w:sz w:val="24"/>
                <w:szCs w:val="24"/>
                <w:lang w:val="sk-SK"/>
              </w:rPr>
            </w:pPr>
            <w:r w:rsidRPr="004A6AFD">
              <w:rPr>
                <w:rFonts w:ascii="Times New Roman" w:hAnsi="Times New Roman"/>
                <w:b/>
                <w:bCs/>
                <w:sz w:val="24"/>
                <w:szCs w:val="24"/>
                <w:lang w:val="sk-SK"/>
              </w:rPr>
              <w:t>K doložke vybraných vplyvov a analýze vplyvov na informatizáciu spoločnosti</w:t>
            </w:r>
          </w:p>
          <w:p w:rsidR="002151F6" w:rsidRPr="004A6AFD" w:rsidP="00501AD0">
            <w:pPr>
              <w:tabs>
                <w:tab w:val="center" w:pos="6379"/>
              </w:tabs>
              <w:bidi w:val="0"/>
              <w:spacing w:after="0" w:line="240" w:lineRule="auto"/>
              <w:ind w:right="-2"/>
              <w:jc w:val="both"/>
              <w:rPr>
                <w:rFonts w:ascii="Times New Roman" w:hAnsi="Times New Roman"/>
                <w:bCs/>
                <w:sz w:val="24"/>
                <w:szCs w:val="24"/>
                <w:lang w:val="sk-SK"/>
              </w:rPr>
            </w:pPr>
          </w:p>
          <w:p w:rsidR="002151F6" w:rsidRPr="004A6AFD" w:rsidP="00501AD0">
            <w:pPr>
              <w:tabs>
                <w:tab w:val="center" w:pos="6379"/>
              </w:tabs>
              <w:bidi w:val="0"/>
              <w:spacing w:after="0" w:line="240" w:lineRule="auto"/>
              <w:ind w:right="-2"/>
              <w:jc w:val="both"/>
              <w:rPr>
                <w:rFonts w:ascii="Times New Roman" w:hAnsi="Times New Roman"/>
                <w:bCs/>
                <w:sz w:val="24"/>
                <w:szCs w:val="24"/>
                <w:lang w:val="sk-SK"/>
              </w:rPr>
            </w:pPr>
            <w:r w:rsidRPr="004A6AFD">
              <w:rPr>
                <w:rFonts w:ascii="Times New Roman" w:hAnsi="Times New Roman"/>
                <w:bCs/>
                <w:sz w:val="24"/>
                <w:szCs w:val="24"/>
                <w:lang w:val="sk-SK"/>
              </w:rPr>
              <w:t xml:space="preserve">Komisia žiada predkladateľa, aby vyznačil vplyv na informatizáciu spoločnosti a aby predložil vyplnenú Analýzy vplyvov na informatizáciu spoločnosti s uvedením údajov podľa bodov 6.1 až 6.3. </w:t>
            </w:r>
          </w:p>
          <w:p w:rsidR="002151F6" w:rsidRPr="004A6AFD" w:rsidP="00501AD0">
            <w:pPr>
              <w:bidi w:val="0"/>
              <w:spacing w:after="0" w:line="240" w:lineRule="auto"/>
              <w:rPr>
                <w:rFonts w:ascii="Times New Roman" w:hAnsi="Times New Roman"/>
                <w:b/>
                <w:sz w:val="24"/>
                <w:szCs w:val="24"/>
                <w:lang w:val="sk-SK"/>
              </w:rPr>
            </w:pPr>
          </w:p>
          <w:p w:rsidR="002151F6" w:rsidRPr="004A6AFD" w:rsidP="00501AD0">
            <w:pPr>
              <w:bidi w:val="0"/>
              <w:spacing w:after="0" w:line="240" w:lineRule="auto"/>
              <w:rPr>
                <w:rFonts w:ascii="Times New Roman" w:hAnsi="Times New Roman"/>
                <w:b/>
                <w:bCs/>
                <w:sz w:val="24"/>
                <w:szCs w:val="24"/>
                <w:lang w:val="sk-SK"/>
              </w:rPr>
            </w:pPr>
            <w:r w:rsidRPr="004A6AFD">
              <w:rPr>
                <w:rFonts w:ascii="Times New Roman" w:hAnsi="Times New Roman"/>
                <w:b/>
                <w:bCs/>
                <w:sz w:val="24"/>
                <w:szCs w:val="24"/>
                <w:lang w:val="sk-SK"/>
              </w:rPr>
              <w:t>K doložke vybraných vplyvov</w:t>
            </w:r>
          </w:p>
          <w:p w:rsidR="002151F6" w:rsidRPr="004A6AFD" w:rsidP="00501AD0">
            <w:pPr>
              <w:tabs>
                <w:tab w:val="center" w:pos="6379"/>
              </w:tabs>
              <w:bidi w:val="0"/>
              <w:spacing w:after="0" w:line="240" w:lineRule="auto"/>
              <w:ind w:right="-2"/>
              <w:jc w:val="both"/>
              <w:rPr>
                <w:rFonts w:ascii="Times New Roman" w:hAnsi="Times New Roman"/>
                <w:bCs/>
                <w:sz w:val="24"/>
                <w:szCs w:val="24"/>
                <w:lang w:val="sk-SK"/>
              </w:rPr>
            </w:pPr>
            <w:r w:rsidRPr="004A6AFD">
              <w:rPr>
                <w:rFonts w:ascii="Times New Roman" w:hAnsi="Times New Roman"/>
                <w:bCs/>
                <w:sz w:val="24"/>
                <w:szCs w:val="24"/>
                <w:lang w:val="sk-SK"/>
              </w:rPr>
              <w:t>Komisia odporúča do časti 10. Poznámky popísať vplyv súvisiaci s platbou úrokov z omeškania (novelizačné body 4, čl. I a 2, čl. II) vzhľadom na to, že ich vplyv Komisia považuje za principiálne pozitívny, ale z hľadiska sociálnych vplyvov veľmi malý.</w:t>
            </w:r>
          </w:p>
          <w:p w:rsidR="002151F6" w:rsidRPr="004A6AFD" w:rsidP="00501AD0">
            <w:pPr>
              <w:tabs>
                <w:tab w:val="center" w:pos="6379"/>
              </w:tabs>
              <w:bidi w:val="0"/>
              <w:spacing w:after="0" w:line="240" w:lineRule="auto"/>
              <w:ind w:right="-2"/>
              <w:jc w:val="both"/>
              <w:rPr>
                <w:rFonts w:ascii="Times New Roman" w:hAnsi="Times New Roman"/>
                <w:bCs/>
                <w:sz w:val="24"/>
                <w:szCs w:val="24"/>
                <w:lang w:val="sk-SK"/>
              </w:rPr>
            </w:pPr>
          </w:p>
          <w:p w:rsidR="002151F6" w:rsidRPr="004A6AFD" w:rsidP="00501AD0">
            <w:pPr>
              <w:tabs>
                <w:tab w:val="center" w:pos="6379"/>
              </w:tabs>
              <w:bidi w:val="0"/>
              <w:spacing w:after="0" w:line="240" w:lineRule="auto"/>
              <w:ind w:right="-2"/>
              <w:jc w:val="both"/>
              <w:rPr>
                <w:rFonts w:ascii="Times New Roman" w:hAnsi="Times New Roman"/>
                <w:bCs/>
                <w:sz w:val="24"/>
                <w:szCs w:val="24"/>
                <w:lang w:val="sk-SK"/>
              </w:rPr>
            </w:pPr>
            <w:r w:rsidRPr="004A6AFD">
              <w:rPr>
                <w:rFonts w:ascii="Times New Roman" w:hAnsi="Times New Roman"/>
                <w:bCs/>
                <w:sz w:val="24"/>
                <w:szCs w:val="24"/>
                <w:lang w:val="sk-SK"/>
              </w:rPr>
              <w:t>Komisia odporúča vyznačiť v dôvodovej správe aj v doložke vybraných vplyvov vplyvy na služby verejnej správy pre občana.</w:t>
            </w:r>
          </w:p>
          <w:p w:rsidR="002151F6" w:rsidRPr="004A6AFD" w:rsidP="00501AD0">
            <w:pPr>
              <w:tabs>
                <w:tab w:val="center" w:pos="6379"/>
              </w:tabs>
              <w:bidi w:val="0"/>
              <w:spacing w:after="0" w:line="240" w:lineRule="auto"/>
              <w:ind w:right="-2"/>
              <w:jc w:val="both"/>
              <w:rPr>
                <w:rFonts w:ascii="Times New Roman" w:hAnsi="Times New Roman"/>
                <w:bCs/>
                <w:sz w:val="24"/>
                <w:szCs w:val="24"/>
                <w:lang w:val="sk-SK"/>
              </w:rPr>
            </w:pPr>
          </w:p>
          <w:p w:rsidR="002151F6" w:rsidRPr="004A6AFD" w:rsidP="00501AD0">
            <w:pPr>
              <w:tabs>
                <w:tab w:val="center" w:pos="6379"/>
              </w:tabs>
              <w:bidi w:val="0"/>
              <w:spacing w:after="0" w:line="240" w:lineRule="auto"/>
              <w:ind w:right="-2"/>
              <w:jc w:val="both"/>
              <w:rPr>
                <w:rFonts w:ascii="Times New Roman" w:hAnsi="Times New Roman"/>
                <w:b/>
                <w:bCs/>
                <w:sz w:val="24"/>
                <w:szCs w:val="24"/>
                <w:lang w:val="sk-SK"/>
              </w:rPr>
            </w:pPr>
            <w:r w:rsidRPr="004A6AFD">
              <w:rPr>
                <w:rFonts w:ascii="Times New Roman" w:hAnsi="Times New Roman"/>
                <w:b/>
                <w:bCs/>
                <w:sz w:val="24"/>
                <w:szCs w:val="24"/>
                <w:lang w:val="sk-SK"/>
              </w:rPr>
              <w:t>Všeobecne</w:t>
            </w:r>
          </w:p>
          <w:p w:rsidR="002151F6" w:rsidRPr="004A6AFD" w:rsidP="00501AD0">
            <w:pPr>
              <w:tabs>
                <w:tab w:val="center" w:pos="6379"/>
              </w:tabs>
              <w:bidi w:val="0"/>
              <w:spacing w:after="0" w:line="240" w:lineRule="auto"/>
              <w:ind w:right="-2"/>
              <w:jc w:val="both"/>
              <w:rPr>
                <w:rFonts w:ascii="Times New Roman" w:hAnsi="Times New Roman"/>
                <w:bCs/>
                <w:sz w:val="24"/>
                <w:szCs w:val="24"/>
                <w:lang w:val="sk-SK"/>
              </w:rPr>
            </w:pPr>
            <w:r w:rsidRPr="004A6AFD">
              <w:rPr>
                <w:rFonts w:ascii="Times New Roman" w:hAnsi="Times New Roman"/>
                <w:bCs/>
                <w:sz w:val="24"/>
                <w:szCs w:val="24"/>
                <w:lang w:val="sk-SK"/>
              </w:rPr>
              <w:t>Odporúčania na dopracovanie analýzy vplyvov na služby verejnej správy pre občana sú priložené v prílohe.</w:t>
            </w:r>
          </w:p>
          <w:p w:rsidR="002151F6" w:rsidRPr="004A6AFD" w:rsidP="00501AD0">
            <w:pPr>
              <w:bidi w:val="0"/>
              <w:spacing w:after="0" w:line="240" w:lineRule="auto"/>
              <w:rPr>
                <w:rFonts w:ascii="Times New Roman" w:hAnsi="Times New Roman"/>
                <w:b/>
                <w:sz w:val="24"/>
                <w:szCs w:val="24"/>
                <w:lang w:val="sk-SK"/>
              </w:rPr>
            </w:pPr>
          </w:p>
          <w:p w:rsidR="002151F6" w:rsidRPr="004A6AFD" w:rsidP="00501AD0">
            <w:pPr>
              <w:bidi w:val="0"/>
              <w:spacing w:after="0" w:line="240" w:lineRule="auto"/>
              <w:rPr>
                <w:rFonts w:ascii="Times New Roman" w:hAnsi="Times New Roman"/>
                <w:b/>
                <w:sz w:val="24"/>
                <w:szCs w:val="24"/>
                <w:lang w:val="sk-SK"/>
              </w:rPr>
            </w:pPr>
            <w:r w:rsidRPr="004A6AFD">
              <w:rPr>
                <w:rFonts w:ascii="Times New Roman" w:hAnsi="Times New Roman"/>
                <w:b/>
                <w:sz w:val="24"/>
                <w:szCs w:val="24"/>
                <w:lang w:val="sk-SK"/>
              </w:rPr>
              <w:t>K procesu</w:t>
            </w:r>
          </w:p>
          <w:p w:rsidR="002151F6" w:rsidRPr="004A6AFD" w:rsidP="00501AD0">
            <w:pPr>
              <w:tabs>
                <w:tab w:val="center" w:pos="6379"/>
              </w:tabs>
              <w:bidi w:val="0"/>
              <w:spacing w:after="0" w:line="240" w:lineRule="auto"/>
              <w:ind w:right="-2"/>
              <w:jc w:val="both"/>
              <w:rPr>
                <w:rFonts w:ascii="Times New Roman" w:hAnsi="Times New Roman"/>
                <w:bCs/>
                <w:sz w:val="24"/>
                <w:szCs w:val="24"/>
                <w:lang w:val="sk-SK"/>
              </w:rPr>
            </w:pPr>
            <w:r w:rsidRPr="004A6AFD">
              <w:rPr>
                <w:rFonts w:ascii="Times New Roman" w:hAnsi="Times New Roman"/>
                <w:bCs/>
                <w:sz w:val="24"/>
                <w:szCs w:val="24"/>
                <w:lang w:val="sk-SK"/>
              </w:rPr>
              <w:t>Predkladateľ predložil materiál dňa 28.06.2016 do skráteného Predbežného pripomienkového konania, čím nepostupoval v súlade s procesom podľa Jednotnej metodiky (účinná od 01.04.2016), nakoľko tejto fáze legislatívneho procesu predchádza:</w:t>
            </w:r>
          </w:p>
          <w:p w:rsidR="002151F6" w:rsidRPr="004A6AFD" w:rsidP="00501AD0">
            <w:pPr>
              <w:tabs>
                <w:tab w:val="center" w:pos="6379"/>
              </w:tabs>
              <w:bidi w:val="0"/>
              <w:spacing w:after="0" w:line="240" w:lineRule="auto"/>
              <w:ind w:right="-2"/>
              <w:jc w:val="both"/>
              <w:rPr>
                <w:rFonts w:ascii="Times New Roman" w:hAnsi="Times New Roman"/>
                <w:bCs/>
                <w:sz w:val="24"/>
                <w:szCs w:val="24"/>
                <w:lang w:val="sk-SK"/>
              </w:rPr>
            </w:pPr>
          </w:p>
          <w:p w:rsidR="002151F6" w:rsidRPr="004A6AFD" w:rsidP="002151F6">
            <w:pPr>
              <w:widowControl/>
              <w:numPr>
                <w:numId w:val="15"/>
              </w:numPr>
              <w:tabs>
                <w:tab w:val="center" w:pos="709"/>
              </w:tabs>
              <w:suppressAutoHyphens/>
              <w:bidi w:val="0"/>
              <w:adjustRightInd/>
              <w:spacing w:after="0" w:line="100" w:lineRule="atLeast"/>
              <w:ind w:right="-2"/>
              <w:jc w:val="both"/>
              <w:rPr>
                <w:rFonts w:ascii="Times New Roman" w:hAnsi="Times New Roman"/>
                <w:bCs/>
                <w:sz w:val="24"/>
                <w:szCs w:val="24"/>
                <w:lang w:val="sk-SK"/>
              </w:rPr>
            </w:pPr>
            <w:r w:rsidRPr="004A6AFD">
              <w:rPr>
                <w:rFonts w:ascii="Times New Roman" w:hAnsi="Times New Roman"/>
                <w:bCs/>
                <w:sz w:val="24"/>
                <w:szCs w:val="24"/>
                <w:lang w:val="sk-SK"/>
              </w:rPr>
              <w:t>rozhodnutie Ministerstva hospodárstva SR o potrebe vykonať konzultácie s podnikateľskými subjektmi podľa bodu 5.5. Jednotnej metodiky, a to do desiatich pracovných dní od schválenia Plánu legislatívnych úloh vlády SR, ak je materiál  doň zahrnutý. Plán legislatívnych úloh vlády SR bol schválený vládou SR 15.06.2016 a teda Ministerstvu hospodárstva SR ešte neuplynula lehota desiatich pracovných dní na informovanie predkladateľa o povinnosti vykonať konzultácie s podnikateľskými subjektmi v momente, kedy predkladateľ predložil materiál do skráteného predbežného pripomienkového konania;</w:t>
            </w:r>
          </w:p>
          <w:p w:rsidR="002151F6" w:rsidRPr="004A6AFD" w:rsidP="002151F6">
            <w:pPr>
              <w:widowControl/>
              <w:numPr>
                <w:numId w:val="15"/>
              </w:numPr>
              <w:tabs>
                <w:tab w:val="center" w:pos="709"/>
              </w:tabs>
              <w:suppressAutoHyphens/>
              <w:bidi w:val="0"/>
              <w:adjustRightInd/>
              <w:spacing w:after="0" w:line="100" w:lineRule="atLeast"/>
              <w:ind w:right="-2"/>
              <w:jc w:val="both"/>
              <w:rPr>
                <w:rFonts w:ascii="Times New Roman" w:hAnsi="Times New Roman"/>
                <w:bCs/>
                <w:sz w:val="24"/>
                <w:szCs w:val="24"/>
                <w:lang w:val="sk-SK"/>
              </w:rPr>
            </w:pPr>
            <w:r w:rsidRPr="004A6AFD">
              <w:rPr>
                <w:rFonts w:ascii="Times New Roman" w:hAnsi="Times New Roman"/>
                <w:bCs/>
                <w:sz w:val="24"/>
                <w:szCs w:val="24"/>
                <w:lang w:val="sk-SK"/>
              </w:rPr>
              <w:t>povinnosť vykonať konzultácie s podnikateľskými subjektmi podľa bodu 5. Jednotnej metodiky, v prípade, ak o tejto povinnosti rozhodne Ministerstvo hospodárstva SR na odporúčanie SBA. Dňa 19.05.2016 SBA odporučila Ministerstvu hospodárstva SR rozhodnúť v predmetnom materiáli o povinnosti vykonať tieto konzultácie v rámci vyjadrenia sa k materiálom, ktoré sú zahrnuté do Plánu legislatívnych úloh vlády SR;</w:t>
            </w:r>
          </w:p>
          <w:p w:rsidR="002151F6" w:rsidRPr="004A6AFD" w:rsidP="002151F6">
            <w:pPr>
              <w:widowControl/>
              <w:numPr>
                <w:numId w:val="15"/>
              </w:numPr>
              <w:tabs>
                <w:tab w:val="center" w:pos="709"/>
              </w:tabs>
              <w:suppressAutoHyphens/>
              <w:bidi w:val="0"/>
              <w:adjustRightInd/>
              <w:spacing w:after="0" w:line="100" w:lineRule="atLeast"/>
              <w:ind w:right="-2"/>
              <w:jc w:val="both"/>
              <w:rPr>
                <w:rFonts w:ascii="Times New Roman" w:hAnsi="Times New Roman"/>
                <w:bCs/>
                <w:sz w:val="24"/>
                <w:szCs w:val="24"/>
                <w:lang w:val="sk-SK"/>
              </w:rPr>
            </w:pPr>
            <w:r w:rsidRPr="004A6AFD">
              <w:rPr>
                <w:rFonts w:ascii="Times New Roman" w:hAnsi="Times New Roman"/>
                <w:bCs/>
                <w:sz w:val="24"/>
                <w:szCs w:val="24"/>
                <w:lang w:val="sk-SK"/>
              </w:rPr>
              <w:tab/>
              <w:t>rozhodnutie Ministerstva hospodárstva SR aby SBA vypracovala Test vplyvu na malé a stredné podniky podľa bodu 6. Jednotnej metodiky na posudzovanie vybraných vplyvov, ak jeho vykonanie SBA odporučí z dôvodu predpokladu existencie vplyvu na malé a stredné podnik a za predpokladu, že boli k materiálu vykonané konzultácie;</w:t>
            </w:r>
          </w:p>
          <w:p w:rsidR="002151F6" w:rsidRPr="004A6AFD" w:rsidP="00501AD0">
            <w:pPr>
              <w:tabs>
                <w:tab w:val="center" w:pos="709"/>
              </w:tabs>
              <w:suppressAutoHyphens/>
              <w:bidi w:val="0"/>
              <w:spacing w:after="0" w:line="100" w:lineRule="atLeast"/>
              <w:ind w:right="-2"/>
              <w:jc w:val="both"/>
              <w:rPr>
                <w:rFonts w:ascii="Times New Roman" w:hAnsi="Times New Roman"/>
                <w:bCs/>
                <w:sz w:val="24"/>
                <w:szCs w:val="24"/>
                <w:lang w:val="sk-SK"/>
              </w:rPr>
            </w:pPr>
          </w:p>
          <w:p w:rsidR="002151F6" w:rsidRPr="004A6AFD" w:rsidP="00501AD0">
            <w:pPr>
              <w:bidi w:val="0"/>
              <w:spacing w:after="0" w:line="240" w:lineRule="auto"/>
              <w:jc w:val="both"/>
              <w:rPr>
                <w:rFonts w:ascii="Times New Roman" w:hAnsi="Times New Roman"/>
                <w:b/>
                <w:sz w:val="24"/>
                <w:szCs w:val="24"/>
                <w:lang w:val="sk-SK"/>
              </w:rPr>
            </w:pPr>
            <w:r w:rsidRPr="004A6AFD">
              <w:rPr>
                <w:rFonts w:ascii="Times New Roman" w:hAnsi="Times New Roman"/>
                <w:b/>
                <w:sz w:val="24"/>
                <w:szCs w:val="24"/>
                <w:lang w:val="sk-SK"/>
              </w:rPr>
              <w:t>Vyhodnotenie pripomienok MF SR:</w:t>
            </w:r>
          </w:p>
          <w:p w:rsidR="002151F6" w:rsidRPr="004A6AFD" w:rsidP="00501AD0">
            <w:pPr>
              <w:tabs>
                <w:tab w:val="center" w:pos="709"/>
              </w:tabs>
              <w:suppressAutoHyphens/>
              <w:bidi w:val="0"/>
              <w:spacing w:after="0" w:line="100" w:lineRule="atLeast"/>
              <w:ind w:right="-2"/>
              <w:jc w:val="both"/>
              <w:rPr>
                <w:rFonts w:ascii="Times New Roman" w:hAnsi="Times New Roman"/>
                <w:bCs/>
                <w:sz w:val="24"/>
                <w:szCs w:val="24"/>
                <w:lang w:val="sk-SK"/>
              </w:rPr>
            </w:pPr>
          </w:p>
          <w:p w:rsidR="002151F6" w:rsidRPr="004A6AFD" w:rsidP="00501AD0">
            <w:pPr>
              <w:bidi w:val="0"/>
              <w:spacing w:after="0" w:line="240" w:lineRule="auto"/>
              <w:rPr>
                <w:rFonts w:ascii="Times New Roman" w:hAnsi="Times New Roman"/>
                <w:b/>
                <w:sz w:val="24"/>
                <w:szCs w:val="24"/>
                <w:lang w:val="sk-SK"/>
              </w:rPr>
            </w:pPr>
            <w:r w:rsidRPr="004A6AFD">
              <w:rPr>
                <w:rFonts w:ascii="Times New Roman" w:hAnsi="Times New Roman"/>
                <w:b/>
                <w:bCs/>
                <w:sz w:val="24"/>
                <w:szCs w:val="24"/>
                <w:lang w:val="sk-SK"/>
              </w:rPr>
              <w:t>K doložke vybraných vplyvov a analýze vplyvov na informatizáciu spoločnosti</w:t>
            </w:r>
          </w:p>
          <w:p w:rsidR="002151F6" w:rsidRPr="004A6AFD" w:rsidP="00501AD0">
            <w:pPr>
              <w:bidi w:val="0"/>
              <w:spacing w:after="0" w:line="240" w:lineRule="auto"/>
              <w:jc w:val="both"/>
              <w:rPr>
                <w:rFonts w:ascii="Times New Roman" w:hAnsi="Times New Roman"/>
                <w:sz w:val="24"/>
                <w:szCs w:val="24"/>
                <w:lang w:val="sk-SK"/>
              </w:rPr>
            </w:pPr>
            <w:r w:rsidRPr="004A6AFD">
              <w:rPr>
                <w:rFonts w:ascii="Times New Roman" w:hAnsi="Times New Roman"/>
                <w:sz w:val="24"/>
                <w:szCs w:val="24"/>
                <w:lang w:val="sk-SK"/>
              </w:rPr>
              <w:t>Žiadosti komisie o vyznačenie vplyvov na informatizáciu spoločnosti bolo vyhovené, analýza vplyvov na informatizáciu spoločnosti bola upravená.</w:t>
            </w:r>
          </w:p>
          <w:p w:rsidR="002151F6" w:rsidRPr="004A6AFD" w:rsidP="00501AD0">
            <w:pPr>
              <w:bidi w:val="0"/>
              <w:spacing w:after="0" w:line="240" w:lineRule="auto"/>
              <w:rPr>
                <w:rFonts w:ascii="Times New Roman" w:hAnsi="Times New Roman"/>
                <w:b/>
                <w:bCs/>
                <w:sz w:val="24"/>
                <w:szCs w:val="24"/>
                <w:lang w:val="sk-SK"/>
              </w:rPr>
            </w:pPr>
          </w:p>
          <w:p w:rsidR="002151F6" w:rsidRPr="004A6AFD" w:rsidP="00501AD0">
            <w:pPr>
              <w:bidi w:val="0"/>
              <w:spacing w:after="0" w:line="240" w:lineRule="auto"/>
              <w:rPr>
                <w:rFonts w:ascii="Times New Roman" w:hAnsi="Times New Roman"/>
                <w:b/>
                <w:bCs/>
                <w:sz w:val="24"/>
                <w:szCs w:val="24"/>
                <w:lang w:val="sk-SK"/>
              </w:rPr>
            </w:pPr>
            <w:r w:rsidRPr="004A6AFD">
              <w:rPr>
                <w:rFonts w:ascii="Times New Roman" w:hAnsi="Times New Roman"/>
                <w:b/>
                <w:bCs/>
                <w:sz w:val="24"/>
                <w:szCs w:val="24"/>
                <w:lang w:val="sk-SK"/>
              </w:rPr>
              <w:t>K doložke vybraných vplyvov</w:t>
            </w:r>
          </w:p>
          <w:p w:rsidR="002151F6" w:rsidRPr="004A6AFD" w:rsidP="00501AD0">
            <w:pPr>
              <w:bidi w:val="0"/>
              <w:spacing w:after="0" w:line="240" w:lineRule="auto"/>
              <w:jc w:val="both"/>
              <w:rPr>
                <w:rFonts w:ascii="Times New Roman" w:hAnsi="Times New Roman"/>
                <w:sz w:val="24"/>
                <w:szCs w:val="24"/>
                <w:lang w:val="sk-SK"/>
              </w:rPr>
            </w:pPr>
            <w:r w:rsidRPr="004A6AFD">
              <w:rPr>
                <w:rFonts w:ascii="Times New Roman" w:hAnsi="Times New Roman"/>
                <w:sz w:val="24"/>
                <w:szCs w:val="24"/>
                <w:lang w:val="sk-SK"/>
              </w:rPr>
              <w:t>10. časť Poznámky v doložke vybraných vplyvov bola upravená - vyplatenie úroku z omeškania nie je novinkou, ktorú by tento predkladaný materiál zavádzal (platí od 1.12.2013). Navrhované prenesenie povinnosti z prevádzkovateľa systému na príslušný orgán s cieľom vyplatenia úroku z omeškania bolo z návrhu zákona vypustené. Na základe uvedeného aj v časti Doložky vybraných vplyvov - vplyvy na služby verejnej správy pre občana je dotknuté ustanovenie posúdené bez vplyvu.</w:t>
            </w:r>
          </w:p>
          <w:p w:rsidR="002151F6" w:rsidRPr="004A6AFD" w:rsidP="00501AD0">
            <w:pPr>
              <w:bidi w:val="0"/>
              <w:spacing w:after="0" w:line="240" w:lineRule="auto"/>
              <w:jc w:val="both"/>
              <w:rPr>
                <w:rFonts w:ascii="Times New Roman" w:hAnsi="Times New Roman"/>
                <w:sz w:val="24"/>
                <w:szCs w:val="24"/>
                <w:lang w:val="sk-SK"/>
              </w:rPr>
            </w:pPr>
          </w:p>
          <w:p w:rsidR="002151F6" w:rsidRPr="004A6AFD" w:rsidP="00501AD0">
            <w:pPr>
              <w:bidi w:val="0"/>
              <w:spacing w:after="0" w:line="240" w:lineRule="auto"/>
              <w:jc w:val="both"/>
              <w:rPr>
                <w:rFonts w:ascii="Times New Roman" w:hAnsi="Times New Roman"/>
                <w:b/>
                <w:sz w:val="24"/>
                <w:szCs w:val="24"/>
                <w:lang w:val="sk-SK"/>
              </w:rPr>
            </w:pPr>
            <w:r w:rsidRPr="004A6AFD">
              <w:rPr>
                <w:rFonts w:ascii="Times New Roman" w:hAnsi="Times New Roman"/>
                <w:b/>
                <w:sz w:val="24"/>
                <w:szCs w:val="24"/>
                <w:lang w:val="sk-SK"/>
              </w:rPr>
              <w:t>K všeobecnému</w:t>
            </w:r>
          </w:p>
          <w:p w:rsidR="002151F6" w:rsidRPr="004A6AFD" w:rsidP="00501AD0">
            <w:pPr>
              <w:tabs>
                <w:tab w:val="center" w:pos="6379"/>
              </w:tabs>
              <w:bidi w:val="0"/>
              <w:spacing w:after="0" w:line="240" w:lineRule="auto"/>
              <w:ind w:right="-2"/>
              <w:jc w:val="both"/>
              <w:rPr>
                <w:rFonts w:ascii="Times New Roman" w:hAnsi="Times New Roman"/>
                <w:bCs/>
                <w:sz w:val="24"/>
                <w:szCs w:val="24"/>
                <w:lang w:val="sk-SK"/>
              </w:rPr>
            </w:pPr>
            <w:r w:rsidRPr="004A6AFD">
              <w:rPr>
                <w:rFonts w:ascii="Times New Roman" w:hAnsi="Times New Roman"/>
                <w:sz w:val="24"/>
                <w:szCs w:val="24"/>
                <w:lang w:val="sk-SK"/>
              </w:rPr>
              <w:t xml:space="preserve">V zmysle uplatnených pripomienok komisie bola </w:t>
            </w:r>
            <w:r w:rsidRPr="004A6AFD">
              <w:rPr>
                <w:rFonts w:ascii="Times New Roman" w:hAnsi="Times New Roman"/>
                <w:bCs/>
                <w:sz w:val="24"/>
                <w:szCs w:val="24"/>
                <w:lang w:val="sk-SK"/>
              </w:rPr>
              <w:t>analýza vplyvov na služby verejnej správy pre občana upravená.</w:t>
            </w:r>
          </w:p>
          <w:p w:rsidR="002151F6" w:rsidRPr="004A6AFD" w:rsidP="00501AD0">
            <w:pPr>
              <w:bidi w:val="0"/>
              <w:spacing w:after="0" w:line="240" w:lineRule="auto"/>
              <w:jc w:val="both"/>
              <w:rPr>
                <w:rFonts w:ascii="Times New Roman" w:hAnsi="Times New Roman"/>
                <w:sz w:val="24"/>
                <w:szCs w:val="24"/>
                <w:lang w:val="sk-SK"/>
              </w:rPr>
            </w:pPr>
          </w:p>
          <w:p w:rsidR="002151F6" w:rsidRPr="004A6AFD" w:rsidP="00501AD0">
            <w:pPr>
              <w:tabs>
                <w:tab w:val="center" w:pos="6379"/>
              </w:tabs>
              <w:bidi w:val="0"/>
              <w:spacing w:after="0" w:line="240" w:lineRule="auto"/>
              <w:ind w:right="-2"/>
              <w:jc w:val="both"/>
              <w:rPr>
                <w:rFonts w:ascii="Times New Roman" w:hAnsi="Times New Roman"/>
                <w:b/>
                <w:bCs/>
                <w:sz w:val="24"/>
                <w:szCs w:val="24"/>
                <w:lang w:val="sk-SK"/>
              </w:rPr>
            </w:pPr>
            <w:r w:rsidRPr="004A6AFD">
              <w:rPr>
                <w:rFonts w:ascii="Times New Roman" w:hAnsi="Times New Roman"/>
                <w:b/>
                <w:bCs/>
                <w:sz w:val="24"/>
                <w:szCs w:val="24"/>
                <w:lang w:val="sk-SK"/>
              </w:rPr>
              <w:t>K procesu</w:t>
            </w:r>
          </w:p>
          <w:p w:rsidR="002151F6" w:rsidRPr="004A6AFD" w:rsidP="00501AD0">
            <w:pPr>
              <w:bidi w:val="0"/>
              <w:spacing w:after="0" w:line="240" w:lineRule="auto"/>
              <w:ind w:firstLine="360"/>
              <w:jc w:val="both"/>
              <w:rPr>
                <w:rFonts w:ascii="Times New Roman" w:hAnsi="Times New Roman"/>
                <w:sz w:val="24"/>
                <w:szCs w:val="24"/>
                <w:lang w:val="sk-SK"/>
              </w:rPr>
            </w:pPr>
            <w:r w:rsidRPr="004A6AFD">
              <w:rPr>
                <w:rFonts w:ascii="Times New Roman" w:hAnsi="Times New Roman"/>
                <w:sz w:val="24"/>
                <w:szCs w:val="24"/>
                <w:lang w:val="sk-SK"/>
              </w:rPr>
              <w:t xml:space="preserve">Predkladaný materiál je zahrnutý v Pláne legislatívnych úloh vlády SR s predpokladaným termínom predloženia na Rokovanie vlády SR 11.8.2016. Pripomienky komisie týkajúce sa nedodržania termínov možno odôvodniť skutočnosťou, že programové vyhlásenie vlády bolo zverejnené až 13.4.2016 a v II. polroku 2016 sa začalo predsedníctvo Slovenskej republiky v Rade EÚ. </w:t>
            </w:r>
          </w:p>
          <w:p w:rsidR="002151F6" w:rsidRPr="004A6AFD" w:rsidP="00501AD0">
            <w:pPr>
              <w:tabs>
                <w:tab w:val="center" w:pos="6379"/>
              </w:tabs>
              <w:bidi w:val="0"/>
              <w:spacing w:after="0" w:line="240" w:lineRule="auto"/>
              <w:ind w:right="-2"/>
              <w:jc w:val="both"/>
              <w:rPr>
                <w:rFonts w:ascii="Times New Roman" w:hAnsi="Times New Roman"/>
                <w:sz w:val="24"/>
                <w:szCs w:val="24"/>
                <w:lang w:val="sk-SK"/>
              </w:rPr>
            </w:pPr>
          </w:p>
          <w:p w:rsidR="002151F6" w:rsidRPr="004A6AFD" w:rsidP="00501AD0">
            <w:pPr>
              <w:tabs>
                <w:tab w:val="center" w:pos="6379"/>
              </w:tabs>
              <w:bidi w:val="0"/>
              <w:spacing w:after="0" w:line="240" w:lineRule="auto"/>
              <w:ind w:right="-2"/>
              <w:jc w:val="both"/>
              <w:rPr>
                <w:rFonts w:ascii="Times New Roman" w:hAnsi="Times New Roman"/>
                <w:bCs/>
                <w:sz w:val="24"/>
                <w:szCs w:val="24"/>
                <w:lang w:val="sk-SK"/>
              </w:rPr>
            </w:pPr>
          </w:p>
          <w:p w:rsidR="002151F6" w:rsidRPr="004A6AFD" w:rsidP="00501AD0">
            <w:pPr>
              <w:tabs>
                <w:tab w:val="center" w:pos="6379"/>
              </w:tabs>
              <w:bidi w:val="0"/>
              <w:spacing w:after="0" w:line="240" w:lineRule="auto"/>
              <w:ind w:right="-2"/>
              <w:jc w:val="both"/>
              <w:rPr>
                <w:rFonts w:ascii="Times New Roman" w:hAnsi="Times New Roman"/>
                <w:bCs/>
                <w:sz w:val="24"/>
                <w:szCs w:val="24"/>
                <w:lang w:val="sk-SK"/>
              </w:rPr>
            </w:pPr>
            <w:r w:rsidRPr="004A6AFD">
              <w:rPr>
                <w:rFonts w:ascii="Times New Roman" w:hAnsi="Times New Roman"/>
                <w:b/>
                <w:i/>
                <w:sz w:val="24"/>
                <w:szCs w:val="24"/>
                <w:lang w:val="sk-SK"/>
              </w:rPr>
              <w:t>Nesúhlasné stanovisko komisie neznamená zastavenie ďalšieho schvaľovacieho procesu.</w:t>
            </w:r>
          </w:p>
          <w:p w:rsidR="002151F6" w:rsidRPr="004A6AFD" w:rsidP="00501AD0">
            <w:pPr>
              <w:bidi w:val="0"/>
              <w:spacing w:after="0" w:line="240" w:lineRule="auto"/>
              <w:jc w:val="both"/>
              <w:rPr>
                <w:rFonts w:ascii="Times New Roman" w:hAnsi="Times New Roman"/>
                <w:b/>
                <w:sz w:val="24"/>
                <w:szCs w:val="24"/>
                <w:lang w:val="sk-SK"/>
              </w:rPr>
            </w:pPr>
          </w:p>
        </w:tc>
      </w:tr>
    </w:tbl>
    <w:p w:rsidR="002151F6" w:rsidP="002151F6">
      <w:pPr>
        <w:bidi w:val="0"/>
        <w:rPr>
          <w:b/>
        </w:rPr>
      </w:pPr>
    </w:p>
    <w:p w:rsidR="002151F6" w:rsidP="002151F6">
      <w:pPr>
        <w:bidi w:val="0"/>
        <w:rPr>
          <w:b/>
        </w:rPr>
      </w:pPr>
    </w:p>
    <w:p w:rsidR="002151F6" w:rsidP="002151F6">
      <w:pPr>
        <w:bidi w:val="0"/>
      </w:pPr>
    </w:p>
    <w:p w:rsidR="002151F6" w:rsidP="002151F6">
      <w:pPr>
        <w:bidi w:val="0"/>
      </w:pPr>
    </w:p>
    <w:p w:rsidR="00BC4C40" w:rsidP="002151F6">
      <w:pPr>
        <w:bidi w:val="0"/>
        <w:sectPr w:rsidSect="00DB0ADF">
          <w:headerReference w:type="default" r:id="rId11"/>
          <w:pgSz w:w="11906" w:h="16838"/>
          <w:pgMar w:top="1417" w:right="1417" w:bottom="1276" w:left="1417" w:header="708" w:footer="708" w:gutter="0"/>
          <w:lnNumType w:distance="0"/>
          <w:pgNumType w:start="3"/>
          <w:cols w:space="708"/>
          <w:noEndnote w:val="0"/>
          <w:bidi w:val="0"/>
          <w:docGrid w:linePitch="360"/>
        </w:sectPr>
      </w:pPr>
    </w:p>
    <w:p w:rsidR="002151F6" w:rsidRPr="002151F6" w:rsidP="002151F6">
      <w:pPr>
        <w:bidi w:val="0"/>
        <w:spacing w:after="0" w:line="240" w:lineRule="auto"/>
        <w:jc w:val="center"/>
        <w:rPr>
          <w:rFonts w:ascii="Times New Roman" w:hAnsi="Times New Roman"/>
          <w:b/>
          <w:bCs/>
          <w:sz w:val="28"/>
          <w:szCs w:val="28"/>
          <w:lang w:val="sk-SK" w:eastAsia="sk-SK"/>
        </w:rPr>
      </w:pPr>
      <w:r w:rsidRPr="002151F6">
        <w:rPr>
          <w:rFonts w:ascii="Times New Roman" w:hAnsi="Times New Roman"/>
          <w:b/>
          <w:bCs/>
          <w:sz w:val="28"/>
          <w:szCs w:val="28"/>
          <w:lang w:val="sk-SK" w:eastAsia="sk-SK"/>
        </w:rPr>
        <w:t>Analýza vplyvov na rozpočet verejnej správy,</w:t>
      </w:r>
    </w:p>
    <w:p w:rsidR="002151F6" w:rsidRPr="002151F6" w:rsidP="002151F6">
      <w:pPr>
        <w:bidi w:val="0"/>
        <w:spacing w:after="0" w:line="240" w:lineRule="auto"/>
        <w:jc w:val="center"/>
        <w:rPr>
          <w:rFonts w:ascii="Times New Roman" w:hAnsi="Times New Roman"/>
          <w:b/>
          <w:bCs/>
          <w:sz w:val="28"/>
          <w:szCs w:val="28"/>
          <w:lang w:val="sk-SK" w:eastAsia="sk-SK"/>
        </w:rPr>
      </w:pPr>
      <w:r w:rsidRPr="002151F6">
        <w:rPr>
          <w:rFonts w:ascii="Times New Roman" w:hAnsi="Times New Roman"/>
          <w:b/>
          <w:bCs/>
          <w:sz w:val="28"/>
          <w:szCs w:val="28"/>
          <w:lang w:val="sk-SK" w:eastAsia="sk-SK"/>
        </w:rPr>
        <w:t>na zamestnanosť vo verejnej správe a financovanie návrhu</w:t>
      </w:r>
    </w:p>
    <w:p w:rsidR="002151F6" w:rsidRPr="002151F6" w:rsidP="002151F6">
      <w:pPr>
        <w:bidi w:val="0"/>
        <w:spacing w:after="0" w:line="240" w:lineRule="auto"/>
        <w:jc w:val="right"/>
        <w:rPr>
          <w:rFonts w:ascii="Times New Roman" w:hAnsi="Times New Roman"/>
          <w:b/>
          <w:bCs/>
          <w:sz w:val="24"/>
          <w:szCs w:val="24"/>
          <w:lang w:val="sk-SK" w:eastAsia="sk-SK"/>
        </w:rPr>
      </w:pPr>
    </w:p>
    <w:p w:rsidR="002151F6" w:rsidRPr="002151F6" w:rsidP="002151F6">
      <w:pPr>
        <w:bidi w:val="0"/>
        <w:spacing w:after="0" w:line="240" w:lineRule="auto"/>
        <w:rPr>
          <w:rFonts w:ascii="Times New Roman" w:hAnsi="Times New Roman"/>
          <w:b/>
          <w:bCs/>
          <w:sz w:val="24"/>
          <w:szCs w:val="24"/>
          <w:lang w:val="sk-SK" w:eastAsia="sk-SK"/>
        </w:rPr>
      </w:pPr>
    </w:p>
    <w:p w:rsidR="002151F6" w:rsidRPr="002151F6" w:rsidP="002151F6">
      <w:pPr>
        <w:bidi w:val="0"/>
        <w:spacing w:after="0" w:line="240" w:lineRule="auto"/>
        <w:rPr>
          <w:rFonts w:ascii="Times New Roman" w:hAnsi="Times New Roman"/>
          <w:b/>
          <w:bCs/>
          <w:sz w:val="24"/>
          <w:szCs w:val="24"/>
          <w:lang w:val="sk-SK" w:eastAsia="sk-SK"/>
        </w:rPr>
      </w:pPr>
      <w:r w:rsidRPr="002151F6">
        <w:rPr>
          <w:rFonts w:ascii="Times New Roman" w:hAnsi="Times New Roman"/>
          <w:b/>
          <w:bCs/>
          <w:sz w:val="24"/>
          <w:szCs w:val="24"/>
          <w:lang w:val="sk-SK" w:eastAsia="sk-SK"/>
        </w:rPr>
        <w:t>2.1 Zhrnutie vplyvov na rozpočet verejnej správy v návrhu</w:t>
      </w:r>
    </w:p>
    <w:p w:rsidR="002151F6" w:rsidRPr="002151F6" w:rsidP="002151F6">
      <w:pPr>
        <w:bidi w:val="0"/>
        <w:spacing w:after="0" w:line="240" w:lineRule="auto"/>
        <w:jc w:val="right"/>
        <w:rPr>
          <w:rFonts w:ascii="Times New Roman" w:hAnsi="Times New Roman"/>
          <w:sz w:val="20"/>
          <w:szCs w:val="20"/>
          <w:lang w:val="sk-SK" w:eastAsia="sk-SK"/>
        </w:rPr>
      </w:pPr>
    </w:p>
    <w:p w:rsidR="002151F6" w:rsidRPr="002151F6" w:rsidP="002151F6">
      <w:pPr>
        <w:bidi w:val="0"/>
        <w:spacing w:after="0" w:line="240" w:lineRule="auto"/>
        <w:jc w:val="right"/>
        <w:rPr>
          <w:rFonts w:ascii="Times New Roman" w:hAnsi="Times New Roman"/>
          <w:sz w:val="20"/>
          <w:szCs w:val="20"/>
          <w:lang w:val="sk-SK" w:eastAsia="sk-SK"/>
        </w:rPr>
      </w:pPr>
      <w:r w:rsidRPr="002151F6">
        <w:rPr>
          <w:rFonts w:ascii="Times New Roman" w:hAnsi="Times New Roman"/>
          <w:sz w:val="20"/>
          <w:szCs w:val="20"/>
          <w:lang w:val="sk-SK" w:eastAsia="sk-SK"/>
        </w:rPr>
        <w:t xml:space="preserve">Tabuľka č. 1 </w:t>
      </w:r>
    </w:p>
    <w:tbl>
      <w:tblPr>
        <w:tblStyle w:val="TableNormal"/>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267"/>
        <w:gridCol w:w="1267"/>
        <w:gridCol w:w="1267"/>
      </w:tblGrid>
      <w:tr>
        <w:tblPrEx>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151F6" w:rsidRPr="002151F6" w:rsidP="00501AD0">
            <w:pPr>
              <w:bidi w:val="0"/>
              <w:spacing w:after="0" w:line="240" w:lineRule="auto"/>
              <w:jc w:val="center"/>
              <w:rPr>
                <w:rFonts w:ascii="Times New Roman" w:hAnsi="Times New Roman"/>
                <w:b/>
                <w:bCs/>
                <w:sz w:val="24"/>
                <w:szCs w:val="24"/>
                <w:lang w:val="sk-SK" w:eastAsia="sk-SK"/>
              </w:rPr>
            </w:pPr>
            <w:bookmarkStart w:id="0" w:name="OLE_LINK1"/>
            <w:r w:rsidRPr="002151F6">
              <w:rPr>
                <w:rFonts w:ascii="Times New Roman" w:hAnsi="Times New Roman"/>
                <w:b/>
                <w:bCs/>
                <w:sz w:val="24"/>
                <w:szCs w:val="24"/>
                <w:lang w:val="sk-SK" w:eastAsia="sk-SK"/>
              </w:rPr>
              <w:t>Vplyvy na 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151F6" w:rsidRPr="002151F6" w:rsidP="00501AD0">
            <w:pPr>
              <w:bidi w:val="0"/>
              <w:spacing w:after="0" w:line="240" w:lineRule="auto"/>
              <w:jc w:val="center"/>
              <w:rPr>
                <w:rFonts w:ascii="Times New Roman" w:hAnsi="Times New Roman"/>
                <w:b/>
                <w:bCs/>
                <w:sz w:val="24"/>
                <w:szCs w:val="24"/>
                <w:lang w:val="sk-SK" w:eastAsia="sk-SK"/>
              </w:rPr>
            </w:pPr>
            <w:r w:rsidRPr="002151F6">
              <w:rPr>
                <w:rFonts w:ascii="Times New Roman" w:hAnsi="Times New Roman"/>
                <w:b/>
                <w:bCs/>
                <w:sz w:val="24"/>
                <w:szCs w:val="24"/>
                <w:lang w:val="sk-SK" w:eastAsia="sk-SK"/>
              </w:rPr>
              <w:t>Vplyv na rozpočet verejnej správy (v eurách)</w:t>
            </w:r>
          </w:p>
        </w:tc>
      </w:tr>
      <w:tr>
        <w:tblPrEx>
          <w:tblW w:w="9729" w:type="dxa"/>
          <w:jc w:val="center"/>
          <w:tblInd w:w="-479" w:type="dxa"/>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151F6" w:rsidRPr="002151F6" w:rsidP="00501AD0">
            <w:pPr>
              <w:bidi w:val="0"/>
              <w:spacing w:after="0" w:line="240" w:lineRule="auto"/>
              <w:jc w:val="center"/>
              <w:rPr>
                <w:rFonts w:ascii="Times New Roman" w:hAnsi="Times New Roman"/>
                <w:b/>
                <w:bCs/>
                <w:sz w:val="24"/>
                <w:szCs w:val="24"/>
                <w:lang w:val="sk-SK" w:eastAsia="sk-SK"/>
              </w:rPr>
            </w:pP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151F6" w:rsidRPr="002151F6" w:rsidP="00501AD0">
            <w:pPr>
              <w:bidi w:val="0"/>
              <w:spacing w:after="0" w:line="240" w:lineRule="auto"/>
              <w:jc w:val="center"/>
              <w:rPr>
                <w:rFonts w:ascii="Times New Roman" w:hAnsi="Times New Roman"/>
                <w:b/>
                <w:bCs/>
                <w:sz w:val="24"/>
                <w:szCs w:val="24"/>
                <w:lang w:val="sk-SK" w:eastAsia="sk-SK"/>
              </w:rPr>
            </w:pPr>
            <w:r w:rsidRPr="002151F6">
              <w:rPr>
                <w:rFonts w:ascii="Times New Roman" w:hAnsi="Times New Roman"/>
                <w:b/>
                <w:bCs/>
                <w:sz w:val="24"/>
                <w:szCs w:val="24"/>
                <w:lang w:val="sk-SK" w:eastAsia="sk-SK"/>
              </w:rPr>
              <w:t>2016</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151F6" w:rsidRPr="002151F6" w:rsidP="00501AD0">
            <w:pPr>
              <w:bidi w:val="0"/>
              <w:spacing w:after="0" w:line="240" w:lineRule="auto"/>
              <w:jc w:val="center"/>
              <w:rPr>
                <w:rFonts w:ascii="Times New Roman" w:hAnsi="Times New Roman"/>
                <w:b/>
                <w:bCs/>
                <w:sz w:val="24"/>
                <w:szCs w:val="24"/>
                <w:lang w:val="sk-SK" w:eastAsia="sk-SK"/>
              </w:rPr>
            </w:pPr>
            <w:r w:rsidRPr="002151F6">
              <w:rPr>
                <w:rFonts w:ascii="Times New Roman" w:hAnsi="Times New Roman"/>
                <w:b/>
                <w:bCs/>
                <w:sz w:val="24"/>
                <w:szCs w:val="24"/>
                <w:lang w:val="sk-SK" w:eastAsia="sk-SK"/>
              </w:rPr>
              <w:t>2017</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151F6" w:rsidRPr="002151F6" w:rsidP="00501AD0">
            <w:pPr>
              <w:bidi w:val="0"/>
              <w:spacing w:after="0" w:line="240" w:lineRule="auto"/>
              <w:jc w:val="center"/>
              <w:rPr>
                <w:rFonts w:ascii="Times New Roman" w:hAnsi="Times New Roman"/>
                <w:b/>
                <w:bCs/>
                <w:sz w:val="24"/>
                <w:szCs w:val="24"/>
                <w:lang w:val="sk-SK" w:eastAsia="sk-SK"/>
              </w:rPr>
            </w:pPr>
            <w:r w:rsidRPr="002151F6">
              <w:rPr>
                <w:rFonts w:ascii="Times New Roman" w:hAnsi="Times New Roman"/>
                <w:b/>
                <w:bCs/>
                <w:sz w:val="24"/>
                <w:szCs w:val="24"/>
                <w:lang w:val="sk-SK" w:eastAsia="sk-SK"/>
              </w:rPr>
              <w:t>2018</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151F6" w:rsidRPr="002151F6" w:rsidP="00501AD0">
            <w:pPr>
              <w:bidi w:val="0"/>
              <w:spacing w:after="0" w:line="240" w:lineRule="auto"/>
              <w:jc w:val="center"/>
              <w:rPr>
                <w:rFonts w:ascii="Times New Roman" w:hAnsi="Times New Roman"/>
                <w:b/>
                <w:bCs/>
                <w:sz w:val="24"/>
                <w:szCs w:val="24"/>
                <w:lang w:val="sk-SK" w:eastAsia="sk-SK"/>
              </w:rPr>
            </w:pPr>
            <w:r w:rsidRPr="002151F6">
              <w:rPr>
                <w:rFonts w:ascii="Times New Roman" w:hAnsi="Times New Roman"/>
                <w:b/>
                <w:bCs/>
                <w:sz w:val="24"/>
                <w:szCs w:val="24"/>
                <w:lang w:val="sk-SK" w:eastAsia="sk-SK"/>
              </w:rPr>
              <w:t>2019</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151F6" w:rsidRPr="002151F6" w:rsidP="00501AD0">
            <w:pPr>
              <w:bidi w:val="0"/>
              <w:spacing w:after="0" w:line="240" w:lineRule="auto"/>
              <w:rPr>
                <w:rFonts w:ascii="Times New Roman" w:hAnsi="Times New Roman"/>
                <w:sz w:val="24"/>
                <w:szCs w:val="24"/>
                <w:lang w:val="sk-SK" w:eastAsia="sk-SK"/>
              </w:rPr>
            </w:pPr>
            <w:r w:rsidRPr="002151F6">
              <w:rPr>
                <w:rFonts w:ascii="Times New Roman" w:hAnsi="Times New Roman"/>
                <w:b/>
                <w:bCs/>
                <w:sz w:val="24"/>
                <w:szCs w:val="24"/>
                <w:lang w:val="sk-SK" w:eastAsia="sk-SK"/>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151F6" w:rsidRPr="002151F6" w:rsidP="00501AD0">
            <w:pPr>
              <w:bidi w:val="0"/>
              <w:spacing w:after="0" w:line="240" w:lineRule="auto"/>
              <w:jc w:val="right"/>
              <w:rPr>
                <w:rFonts w:ascii="Times New Roman" w:hAnsi="Times New Roman"/>
                <w:b/>
                <w:bCs/>
                <w:sz w:val="24"/>
                <w:szCs w:val="24"/>
                <w:lang w:val="sk-SK" w:eastAsia="sk-SK"/>
              </w:rPr>
            </w:pPr>
            <w:r w:rsidRPr="002151F6">
              <w:rPr>
                <w:rFonts w:ascii="Times New Roman" w:hAnsi="Times New Roman"/>
                <w:b/>
                <w:b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151F6" w:rsidRPr="002151F6" w:rsidP="00501AD0">
            <w:pPr>
              <w:bidi w:val="0"/>
              <w:spacing w:after="0" w:line="240" w:lineRule="auto"/>
              <w:jc w:val="right"/>
              <w:rPr>
                <w:rFonts w:ascii="Times New Roman" w:hAnsi="Times New Roman"/>
                <w:b/>
                <w:bCs/>
                <w:sz w:val="24"/>
                <w:szCs w:val="24"/>
                <w:lang w:val="sk-SK" w:eastAsia="sk-SK"/>
              </w:rPr>
            </w:pPr>
            <w:r w:rsidR="00281349">
              <w:rPr>
                <w:rFonts w:ascii="Times New Roman" w:hAnsi="Times New Roman"/>
                <w:b/>
                <w:bCs/>
                <w:sz w:val="24"/>
                <w:szCs w:val="24"/>
                <w:lang w:eastAsia="sk-SK"/>
              </w:rPr>
              <w:t>-864 50</w:t>
            </w:r>
            <w:r w:rsidRPr="007D5748" w:rsidR="00281349">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151F6" w:rsidRPr="002151F6" w:rsidP="00501AD0">
            <w:pPr>
              <w:bidi w:val="0"/>
              <w:spacing w:after="0" w:line="240" w:lineRule="auto"/>
              <w:jc w:val="right"/>
              <w:rPr>
                <w:rFonts w:ascii="Times New Roman" w:hAnsi="Times New Roman"/>
                <w:b/>
                <w:bCs/>
                <w:sz w:val="24"/>
                <w:szCs w:val="24"/>
                <w:lang w:val="sk-SK" w:eastAsia="sk-SK"/>
              </w:rPr>
            </w:pPr>
            <w:r w:rsidR="00281349">
              <w:rPr>
                <w:rFonts w:ascii="Times New Roman" w:hAnsi="Times New Roman"/>
                <w:b/>
                <w:bCs/>
                <w:sz w:val="24"/>
                <w:szCs w:val="24"/>
                <w:lang w:eastAsia="sk-SK"/>
              </w:rPr>
              <w:t>-864 50</w:t>
            </w:r>
            <w:r w:rsidRPr="007D5748" w:rsidR="00281349">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151F6" w:rsidRPr="002151F6" w:rsidP="00501AD0">
            <w:pPr>
              <w:bidi w:val="0"/>
              <w:spacing w:after="0" w:line="240" w:lineRule="auto"/>
              <w:jc w:val="right"/>
              <w:rPr>
                <w:rFonts w:ascii="Times New Roman" w:hAnsi="Times New Roman"/>
                <w:b/>
                <w:bCs/>
                <w:sz w:val="24"/>
                <w:szCs w:val="24"/>
                <w:lang w:val="sk-SK" w:eastAsia="sk-SK"/>
              </w:rPr>
            </w:pPr>
            <w:r w:rsidR="00281349">
              <w:rPr>
                <w:rFonts w:ascii="Times New Roman" w:hAnsi="Times New Roman"/>
                <w:b/>
                <w:bCs/>
                <w:sz w:val="24"/>
                <w:szCs w:val="24"/>
                <w:lang w:eastAsia="sk-SK"/>
              </w:rPr>
              <w:t>-864 50</w:t>
            </w:r>
            <w:r w:rsidRPr="007D5748" w:rsidR="00281349">
              <w:rPr>
                <w:rFonts w:ascii="Times New Roman" w:hAnsi="Times New Roman"/>
                <w:b/>
                <w:bCs/>
                <w:sz w:val="24"/>
                <w:szCs w:val="24"/>
                <w:lang w:eastAsia="sk-SK"/>
              </w:rPr>
              <w:t>0</w:t>
            </w:r>
          </w:p>
        </w:tc>
      </w:tr>
      <w:tr>
        <w:tblPrEx>
          <w:tblW w:w="9729" w:type="dxa"/>
          <w:jc w:val="center"/>
          <w:tblInd w:w="-479" w:type="dxa"/>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rPr>
                <w:rFonts w:ascii="Times New Roman" w:hAnsi="Times New Roman"/>
                <w:sz w:val="24"/>
                <w:szCs w:val="24"/>
                <w:lang w:val="sk-SK" w:eastAsia="sk-SK"/>
              </w:rPr>
            </w:pPr>
            <w:r w:rsidRPr="002151F6">
              <w:rPr>
                <w:rFonts w:ascii="Times New Roman" w:hAnsi="Times New Roman"/>
                <w:sz w:val="24"/>
                <w:szCs w:val="24"/>
                <w:lang w:val="sk-SK" w:eastAsia="sk-SK"/>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sz w:val="24"/>
                <w:szCs w:val="24"/>
                <w:lang w:val="sk-SK" w:eastAsia="sk-SK"/>
              </w:rPr>
            </w:pPr>
            <w:r w:rsidRPr="002151F6">
              <w:rPr>
                <w:rFonts w:ascii="Times New Roman" w:hAnsi="Times New Roman"/>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sz w:val="24"/>
                <w:szCs w:val="24"/>
                <w:lang w:val="sk-SK" w:eastAsia="sk-SK"/>
              </w:rPr>
            </w:pPr>
            <w:r w:rsidRPr="002151F6">
              <w:rPr>
                <w:rFonts w:ascii="Times New Roman" w:hAnsi="Times New Roman"/>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sz w:val="24"/>
                <w:szCs w:val="24"/>
                <w:lang w:val="sk-SK" w:eastAsia="sk-SK"/>
              </w:rPr>
            </w:pPr>
            <w:r w:rsidRPr="002151F6">
              <w:rPr>
                <w:rFonts w:ascii="Times New Roman" w:hAnsi="Times New Roman"/>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sz w:val="24"/>
                <w:szCs w:val="24"/>
                <w:lang w:val="sk-SK" w:eastAsia="sk-SK"/>
              </w:rPr>
            </w:pPr>
            <w:r w:rsidRPr="002151F6">
              <w:rPr>
                <w:rFonts w:ascii="Times New Roman" w:hAnsi="Times New Roman"/>
                <w:sz w:val="24"/>
                <w:szCs w:val="24"/>
                <w:lang w:val="sk-SK"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rPr>
                <w:rFonts w:ascii="Times New Roman" w:hAnsi="Times New Roman"/>
                <w:b/>
                <w:bCs/>
                <w:i/>
                <w:iCs/>
                <w:sz w:val="24"/>
                <w:szCs w:val="24"/>
                <w:lang w:val="sk-SK" w:eastAsia="sk-SK"/>
              </w:rPr>
            </w:pPr>
            <w:r w:rsidRPr="002151F6">
              <w:rPr>
                <w:rFonts w:ascii="Times New Roman" w:hAnsi="Times New Roman"/>
                <w:b/>
                <w:bCs/>
                <w:i/>
                <w:iCs/>
                <w:sz w:val="24"/>
                <w:szCs w:val="24"/>
                <w:lang w:val="sk-SK"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rPr>
                <w:rFonts w:ascii="Times New Roman" w:hAnsi="Times New Roman"/>
                <w:b/>
                <w:bCs/>
                <w:i/>
                <w:iCs/>
                <w:sz w:val="24"/>
                <w:szCs w:val="24"/>
                <w:lang w:val="sk-SK" w:eastAsia="sk-SK"/>
              </w:rPr>
            </w:pPr>
            <w:r w:rsidRPr="002151F6">
              <w:rPr>
                <w:rFonts w:ascii="Times New Roman" w:hAnsi="Times New Roman"/>
                <w:b/>
                <w:bCs/>
                <w:i/>
                <w:iCs/>
                <w:sz w:val="24"/>
                <w:szCs w:val="24"/>
                <w:lang w:val="sk-SK"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sz w:val="24"/>
                <w:szCs w:val="24"/>
                <w:lang w:val="sk-SK" w:eastAsia="sk-SK"/>
              </w:rPr>
            </w:pPr>
            <w:r w:rsidR="00281349">
              <w:rPr>
                <w:rFonts w:ascii="Times New Roman" w:hAnsi="Times New Roman"/>
                <w:b/>
                <w:bCs/>
                <w:sz w:val="24"/>
                <w:szCs w:val="24"/>
                <w:lang w:eastAsia="sk-SK"/>
              </w:rPr>
              <w:t>-864 50</w:t>
            </w:r>
            <w:r w:rsidRPr="007D5748" w:rsidR="00281349">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sz w:val="24"/>
                <w:szCs w:val="24"/>
                <w:lang w:val="sk-SK" w:eastAsia="sk-SK"/>
              </w:rPr>
            </w:pPr>
            <w:r w:rsidR="00281349">
              <w:rPr>
                <w:rFonts w:ascii="Times New Roman" w:hAnsi="Times New Roman"/>
                <w:b/>
                <w:bCs/>
                <w:sz w:val="24"/>
                <w:szCs w:val="24"/>
                <w:lang w:eastAsia="sk-SK"/>
              </w:rPr>
              <w:t>-864 50</w:t>
            </w:r>
            <w:r w:rsidRPr="007D5748" w:rsidR="00281349">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sz w:val="24"/>
                <w:szCs w:val="24"/>
                <w:lang w:val="sk-SK" w:eastAsia="sk-SK"/>
              </w:rPr>
            </w:pPr>
            <w:r w:rsidR="00281349">
              <w:rPr>
                <w:rFonts w:ascii="Times New Roman" w:hAnsi="Times New Roman"/>
                <w:b/>
                <w:bCs/>
                <w:sz w:val="24"/>
                <w:szCs w:val="24"/>
                <w:lang w:eastAsia="sk-SK"/>
              </w:rPr>
              <w:t>-864 50</w:t>
            </w:r>
            <w:r w:rsidRPr="007D5748" w:rsidR="00281349">
              <w:rPr>
                <w:rFonts w:ascii="Times New Roman" w:hAnsi="Times New Roman"/>
                <w:b/>
                <w:bCs/>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ind w:left="259"/>
              <w:rPr>
                <w:rFonts w:ascii="Times New Roman" w:hAnsi="Times New Roman"/>
                <w:b/>
                <w:bCs/>
                <w:i/>
                <w:iCs/>
                <w:sz w:val="24"/>
                <w:szCs w:val="24"/>
                <w:lang w:val="sk-SK" w:eastAsia="sk-SK"/>
              </w:rPr>
            </w:pPr>
            <w:r w:rsidRPr="002151F6">
              <w:rPr>
                <w:rFonts w:ascii="Times New Roman" w:hAnsi="Times New Roman"/>
                <w:bCs/>
                <w:i/>
                <w:iCs/>
                <w:sz w:val="24"/>
                <w:szCs w:val="24"/>
                <w:lang w:val="sk-SK" w:eastAsia="sk-SK"/>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sz w:val="24"/>
                <w:szCs w:val="24"/>
                <w:lang w:val="sk-SK" w:eastAsia="sk-SK"/>
              </w:rPr>
            </w:pPr>
            <w:r w:rsidR="00281349">
              <w:rPr>
                <w:rFonts w:ascii="Times New Roman" w:hAnsi="Times New Roman"/>
                <w:b/>
                <w:bCs/>
                <w:sz w:val="24"/>
                <w:szCs w:val="24"/>
                <w:lang w:eastAsia="sk-SK"/>
              </w:rPr>
              <w:t>-864 50</w:t>
            </w:r>
            <w:r w:rsidRPr="007D5748" w:rsidR="00281349">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sz w:val="24"/>
                <w:szCs w:val="24"/>
                <w:lang w:val="sk-SK" w:eastAsia="sk-SK"/>
              </w:rPr>
            </w:pPr>
            <w:r w:rsidR="00281349">
              <w:rPr>
                <w:rFonts w:ascii="Times New Roman" w:hAnsi="Times New Roman"/>
                <w:b/>
                <w:bCs/>
                <w:sz w:val="24"/>
                <w:szCs w:val="24"/>
                <w:lang w:eastAsia="sk-SK"/>
              </w:rPr>
              <w:t>-864 50</w:t>
            </w:r>
            <w:r w:rsidRPr="007D5748" w:rsidR="00281349">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sz w:val="24"/>
                <w:szCs w:val="24"/>
                <w:lang w:val="sk-SK" w:eastAsia="sk-SK"/>
              </w:rPr>
            </w:pPr>
            <w:r w:rsidR="00281349">
              <w:rPr>
                <w:rFonts w:ascii="Times New Roman" w:hAnsi="Times New Roman"/>
                <w:b/>
                <w:bCs/>
                <w:sz w:val="24"/>
                <w:szCs w:val="24"/>
                <w:lang w:eastAsia="sk-SK"/>
              </w:rPr>
              <w:t>-864 50</w:t>
            </w:r>
            <w:r w:rsidRPr="007D5748" w:rsidR="00281349">
              <w:rPr>
                <w:rFonts w:ascii="Times New Roman" w:hAnsi="Times New Roman"/>
                <w:b/>
                <w:bCs/>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ind w:left="259"/>
              <w:rPr>
                <w:rFonts w:ascii="Times New Roman" w:hAnsi="Times New Roman"/>
                <w:bCs/>
                <w:i/>
                <w:iCs/>
                <w:sz w:val="24"/>
                <w:szCs w:val="24"/>
                <w:lang w:val="sk-SK" w:eastAsia="sk-SK"/>
              </w:rPr>
            </w:pPr>
            <w:r w:rsidRPr="002151F6">
              <w:rPr>
                <w:rFonts w:ascii="Times New Roman" w:hAnsi="Times New Roman"/>
                <w:bCs/>
                <w:i/>
                <w:iCs/>
                <w:sz w:val="24"/>
                <w:szCs w:val="24"/>
                <w:lang w:val="sk-SK" w:eastAsia="sk-SK"/>
              </w:rPr>
              <w:t>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sz w:val="24"/>
                <w:szCs w:val="24"/>
                <w:lang w:val="sk-SK" w:eastAsia="sk-SK"/>
              </w:rPr>
            </w:pPr>
            <w:r w:rsidRPr="002151F6">
              <w:rPr>
                <w:rFonts w:ascii="Times New Roman" w:hAnsi="Times New Roman"/>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sz w:val="24"/>
                <w:szCs w:val="24"/>
                <w:lang w:val="sk-SK" w:eastAsia="sk-SK"/>
              </w:rPr>
            </w:pPr>
            <w:r w:rsidRPr="002151F6">
              <w:rPr>
                <w:rFonts w:ascii="Times New Roman" w:hAnsi="Times New Roman"/>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sz w:val="24"/>
                <w:szCs w:val="24"/>
                <w:lang w:val="sk-SK" w:eastAsia="sk-SK"/>
              </w:rPr>
            </w:pPr>
            <w:r w:rsidRPr="002151F6">
              <w:rPr>
                <w:rFonts w:ascii="Times New Roman" w:hAnsi="Times New Roman"/>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sz w:val="24"/>
                <w:szCs w:val="24"/>
                <w:lang w:val="sk-SK" w:eastAsia="sk-SK"/>
              </w:rPr>
            </w:pPr>
            <w:r w:rsidRPr="002151F6">
              <w:rPr>
                <w:rFonts w:ascii="Times New Roman" w:hAnsi="Times New Roman"/>
                <w:sz w:val="24"/>
                <w:szCs w:val="24"/>
                <w:lang w:val="sk-SK"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rPr>
                <w:rFonts w:ascii="Times New Roman" w:hAnsi="Times New Roman"/>
                <w:b/>
                <w:bCs/>
                <w:i/>
                <w:iCs/>
                <w:sz w:val="24"/>
                <w:szCs w:val="24"/>
                <w:lang w:val="sk-SK" w:eastAsia="sk-SK"/>
              </w:rPr>
            </w:pPr>
            <w:r w:rsidRPr="002151F6">
              <w:rPr>
                <w:rFonts w:ascii="Times New Roman" w:hAnsi="Times New Roman"/>
                <w:b/>
                <w:bCs/>
                <w:i/>
                <w:iCs/>
                <w:sz w:val="24"/>
                <w:szCs w:val="24"/>
                <w:lang w:val="sk-SK"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rPr>
                <w:rFonts w:ascii="Times New Roman" w:hAnsi="Times New Roman"/>
                <w:b/>
                <w:bCs/>
                <w:i/>
                <w:iCs/>
                <w:sz w:val="24"/>
                <w:szCs w:val="24"/>
                <w:lang w:val="sk-SK" w:eastAsia="sk-SK"/>
              </w:rPr>
            </w:pPr>
            <w:r w:rsidRPr="002151F6">
              <w:rPr>
                <w:rFonts w:ascii="Times New Roman" w:hAnsi="Times New Roman"/>
                <w:b/>
                <w:bCs/>
                <w:i/>
                <w:iCs/>
                <w:sz w:val="24"/>
                <w:szCs w:val="24"/>
                <w:lang w:val="sk-SK"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rPr>
                <w:rFonts w:ascii="Times New Roman" w:hAnsi="Times New Roman"/>
                <w:b/>
                <w:bCs/>
                <w:i/>
                <w:iCs/>
                <w:sz w:val="24"/>
                <w:szCs w:val="24"/>
                <w:lang w:val="sk-SK" w:eastAsia="sk-SK"/>
              </w:rPr>
            </w:pPr>
            <w:r w:rsidRPr="002151F6">
              <w:rPr>
                <w:rFonts w:ascii="Times New Roman" w:hAnsi="Times New Roman"/>
                <w:b/>
                <w:bCs/>
                <w:i/>
                <w:iCs/>
                <w:sz w:val="24"/>
                <w:szCs w:val="24"/>
                <w:lang w:val="sk-SK"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151F6" w:rsidRPr="002151F6" w:rsidP="00501AD0">
            <w:pPr>
              <w:bidi w:val="0"/>
              <w:spacing w:after="0" w:line="240" w:lineRule="auto"/>
              <w:rPr>
                <w:rFonts w:ascii="Times New Roman" w:hAnsi="Times New Roman"/>
                <w:b/>
                <w:bCs/>
                <w:sz w:val="24"/>
                <w:szCs w:val="24"/>
                <w:lang w:val="sk-SK" w:eastAsia="sk-SK"/>
              </w:rPr>
            </w:pPr>
            <w:r w:rsidRPr="002151F6">
              <w:rPr>
                <w:rFonts w:ascii="Times New Roman" w:hAnsi="Times New Roman"/>
                <w:b/>
                <w:bCs/>
                <w:sz w:val="24"/>
                <w:szCs w:val="24"/>
                <w:lang w:val="sk-SK" w:eastAsia="sk-SK"/>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151F6" w:rsidRPr="002151F6" w:rsidP="00501AD0">
            <w:pPr>
              <w:bidi w:val="0"/>
              <w:spacing w:after="0" w:line="240" w:lineRule="auto"/>
              <w:jc w:val="right"/>
              <w:rPr>
                <w:rFonts w:ascii="Times New Roman" w:hAnsi="Times New Roman"/>
                <w:b/>
                <w:bCs/>
                <w:sz w:val="24"/>
                <w:szCs w:val="24"/>
                <w:lang w:val="sk-SK" w:eastAsia="sk-SK"/>
              </w:rPr>
            </w:pPr>
            <w:r w:rsidRPr="002151F6">
              <w:rPr>
                <w:rFonts w:ascii="Times New Roman" w:hAnsi="Times New Roman"/>
                <w:b/>
                <w:b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151F6" w:rsidRPr="002151F6" w:rsidP="00501AD0">
            <w:pPr>
              <w:bidi w:val="0"/>
              <w:spacing w:after="0" w:line="240" w:lineRule="auto"/>
              <w:jc w:val="right"/>
              <w:rPr>
                <w:rFonts w:ascii="Times New Roman" w:hAnsi="Times New Roman"/>
                <w:b/>
                <w:bCs/>
                <w:sz w:val="24"/>
                <w:szCs w:val="24"/>
                <w:lang w:val="sk-SK" w:eastAsia="sk-SK"/>
              </w:rPr>
            </w:pPr>
            <w:r w:rsidRPr="002151F6">
              <w:rPr>
                <w:rFonts w:ascii="Times New Roman" w:hAnsi="Times New Roman"/>
                <w:b/>
                <w:b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151F6" w:rsidRPr="002151F6" w:rsidP="00501AD0">
            <w:pPr>
              <w:bidi w:val="0"/>
              <w:spacing w:after="0" w:line="240" w:lineRule="auto"/>
              <w:jc w:val="right"/>
              <w:rPr>
                <w:rFonts w:ascii="Times New Roman" w:hAnsi="Times New Roman"/>
                <w:b/>
                <w:bCs/>
                <w:sz w:val="24"/>
                <w:szCs w:val="24"/>
                <w:lang w:val="sk-SK" w:eastAsia="sk-SK"/>
              </w:rPr>
            </w:pPr>
            <w:r w:rsidRPr="002151F6">
              <w:rPr>
                <w:rFonts w:ascii="Times New Roman" w:hAnsi="Times New Roman"/>
                <w:b/>
                <w:b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151F6" w:rsidRPr="002151F6" w:rsidP="00501AD0">
            <w:pPr>
              <w:bidi w:val="0"/>
              <w:spacing w:after="0" w:line="240" w:lineRule="auto"/>
              <w:jc w:val="right"/>
              <w:rPr>
                <w:rFonts w:ascii="Times New Roman" w:hAnsi="Times New Roman"/>
                <w:b/>
                <w:bCs/>
                <w:sz w:val="24"/>
                <w:szCs w:val="24"/>
                <w:lang w:val="sk-SK" w:eastAsia="sk-SK"/>
              </w:rPr>
            </w:pPr>
            <w:r w:rsidRPr="002151F6">
              <w:rPr>
                <w:rFonts w:ascii="Times New Roman" w:hAnsi="Times New Roman"/>
                <w:b/>
                <w:bCs/>
                <w:sz w:val="24"/>
                <w:szCs w:val="24"/>
                <w:lang w:val="sk-SK" w:eastAsia="sk-SK"/>
              </w:rPr>
              <w:t xml:space="preserve">0   </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rPr>
                <w:rFonts w:ascii="Times New Roman" w:hAnsi="Times New Roman"/>
                <w:sz w:val="24"/>
                <w:szCs w:val="24"/>
                <w:lang w:val="sk-SK" w:eastAsia="sk-SK"/>
              </w:rPr>
            </w:pPr>
            <w:r w:rsidRPr="002151F6">
              <w:rPr>
                <w:rFonts w:ascii="Times New Roman" w:hAnsi="Times New Roman"/>
                <w:sz w:val="24"/>
                <w:szCs w:val="24"/>
                <w:lang w:val="sk-SK" w:eastAsia="sk-SK"/>
              </w:rPr>
              <w:t>v tom: za každý subjekt verejnej správy / 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sz w:val="24"/>
                <w:szCs w:val="24"/>
                <w:lang w:val="sk-SK" w:eastAsia="sk-SK"/>
              </w:rPr>
            </w:pPr>
            <w:r w:rsidRPr="002151F6">
              <w:rPr>
                <w:rFonts w:ascii="Times New Roman" w:hAnsi="Times New Roman"/>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sz w:val="24"/>
                <w:szCs w:val="24"/>
                <w:lang w:val="sk-SK" w:eastAsia="sk-SK"/>
              </w:rPr>
            </w:pPr>
            <w:r w:rsidRPr="002151F6">
              <w:rPr>
                <w:rFonts w:ascii="Times New Roman" w:hAnsi="Times New Roman"/>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sz w:val="24"/>
                <w:szCs w:val="24"/>
                <w:lang w:val="sk-SK" w:eastAsia="sk-SK"/>
              </w:rPr>
            </w:pPr>
            <w:r w:rsidRPr="002151F6">
              <w:rPr>
                <w:rFonts w:ascii="Times New Roman" w:hAnsi="Times New Roman"/>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sz w:val="24"/>
                <w:szCs w:val="24"/>
                <w:lang w:val="sk-SK" w:eastAsia="sk-SK"/>
              </w:rPr>
            </w:pPr>
            <w:r w:rsidRPr="002151F6">
              <w:rPr>
                <w:rFonts w:ascii="Times New Roman" w:hAnsi="Times New Roman"/>
                <w:sz w:val="24"/>
                <w:szCs w:val="24"/>
                <w:lang w:val="sk-SK"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rPr>
                <w:rFonts w:ascii="Times New Roman" w:hAnsi="Times New Roman"/>
                <w:b/>
                <w:bCs/>
                <w:i/>
                <w:iCs/>
                <w:sz w:val="24"/>
                <w:szCs w:val="24"/>
                <w:lang w:val="sk-SK" w:eastAsia="sk-SK"/>
              </w:rPr>
            </w:pPr>
            <w:r w:rsidRPr="002151F6">
              <w:rPr>
                <w:rFonts w:ascii="Times New Roman" w:hAnsi="Times New Roman"/>
                <w:b/>
                <w:bCs/>
                <w:i/>
                <w:iCs/>
                <w:sz w:val="24"/>
                <w:szCs w:val="24"/>
                <w:lang w:val="sk-SK"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rPr>
                <w:rFonts w:ascii="Times New Roman" w:hAnsi="Times New Roman"/>
                <w:b/>
                <w:bCs/>
                <w:i/>
                <w:iCs/>
                <w:sz w:val="24"/>
                <w:szCs w:val="24"/>
                <w:lang w:val="sk-SK" w:eastAsia="sk-SK"/>
              </w:rPr>
            </w:pPr>
            <w:r w:rsidRPr="002151F6">
              <w:rPr>
                <w:rFonts w:ascii="Times New Roman" w:hAnsi="Times New Roman"/>
                <w:b/>
                <w:bCs/>
                <w:i/>
                <w:iCs/>
                <w:sz w:val="24"/>
                <w:szCs w:val="24"/>
                <w:lang w:val="sk-SK"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400 000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ind w:left="259"/>
              <w:rPr>
                <w:rFonts w:ascii="Times New Roman" w:hAnsi="Times New Roman"/>
                <w:b/>
                <w:bCs/>
                <w:i/>
                <w:iCs/>
                <w:sz w:val="24"/>
                <w:szCs w:val="24"/>
                <w:lang w:val="sk-SK" w:eastAsia="sk-SK"/>
              </w:rPr>
            </w:pPr>
            <w:r w:rsidRPr="002151F6">
              <w:rPr>
                <w:rFonts w:ascii="Times New Roman" w:hAnsi="Times New Roman"/>
                <w:bCs/>
                <w:i/>
                <w:iCs/>
                <w:sz w:val="24"/>
                <w:szCs w:val="24"/>
                <w:lang w:val="sk-SK" w:eastAsia="sk-SK"/>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400 000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rPr>
                <w:rFonts w:ascii="Times New Roman" w:hAnsi="Times New Roman"/>
                <w:bCs/>
                <w:i/>
                <w:iCs/>
                <w:sz w:val="24"/>
                <w:szCs w:val="24"/>
                <w:lang w:val="sk-SK" w:eastAsia="sk-SK"/>
              </w:rPr>
            </w:pPr>
            <w:r w:rsidRPr="002151F6">
              <w:rPr>
                <w:rFonts w:ascii="Times New Roman" w:hAnsi="Times New Roman"/>
                <w:bCs/>
                <w:i/>
                <w:iCs/>
                <w:sz w:val="24"/>
                <w:szCs w:val="24"/>
                <w:lang w:val="sk-SK" w:eastAsia="sk-SK"/>
              </w:rPr>
              <w:t xml:space="preserve">    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sz w:val="24"/>
                <w:szCs w:val="24"/>
                <w:lang w:val="sk-SK" w:eastAsia="sk-SK"/>
              </w:rPr>
            </w:pPr>
            <w:r w:rsidRPr="002151F6">
              <w:rPr>
                <w:rFonts w:ascii="Times New Roman" w:hAnsi="Times New Roman"/>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sz w:val="24"/>
                <w:szCs w:val="24"/>
                <w:lang w:val="sk-SK" w:eastAsia="sk-SK"/>
              </w:rPr>
            </w:pPr>
            <w:r w:rsidRPr="002151F6">
              <w:rPr>
                <w:rFonts w:ascii="Times New Roman" w:hAnsi="Times New Roman"/>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sz w:val="24"/>
                <w:szCs w:val="24"/>
                <w:lang w:val="sk-SK" w:eastAsia="sk-SK"/>
              </w:rPr>
            </w:pPr>
            <w:r w:rsidRPr="002151F6">
              <w:rPr>
                <w:rFonts w:ascii="Times New Roman" w:hAnsi="Times New Roman"/>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sz w:val="24"/>
                <w:szCs w:val="24"/>
                <w:lang w:val="sk-SK" w:eastAsia="sk-SK"/>
              </w:rPr>
            </w:pPr>
            <w:r w:rsidRPr="002151F6">
              <w:rPr>
                <w:rFonts w:ascii="Times New Roman" w:hAnsi="Times New Roman"/>
                <w:sz w:val="24"/>
                <w:szCs w:val="24"/>
                <w:lang w:val="sk-SK"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rPr>
                <w:rFonts w:ascii="Times New Roman" w:hAnsi="Times New Roman"/>
                <w:bCs/>
                <w:i/>
                <w:iCs/>
                <w:sz w:val="24"/>
                <w:szCs w:val="24"/>
                <w:lang w:val="sk-SK" w:eastAsia="sk-SK"/>
              </w:rPr>
            </w:pPr>
            <w:r w:rsidRPr="002151F6">
              <w:rPr>
                <w:rFonts w:ascii="Times New Roman" w:hAnsi="Times New Roman"/>
                <w:bCs/>
                <w:i/>
                <w:iCs/>
                <w:sz w:val="24"/>
                <w:szCs w:val="24"/>
                <w:lang w:val="sk-SK" w:eastAsia="sk-SK"/>
              </w:rPr>
              <w:t xml:space="preserve">    spolufinancovanie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sz w:val="24"/>
                <w:szCs w:val="24"/>
                <w:lang w:val="sk-SK" w:eastAsia="sk-SK"/>
              </w:rPr>
            </w:pPr>
            <w:r w:rsidRPr="002151F6">
              <w:rPr>
                <w:rFonts w:ascii="Times New Roman" w:hAnsi="Times New Roman"/>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sz w:val="24"/>
                <w:szCs w:val="24"/>
                <w:lang w:val="sk-SK" w:eastAsia="sk-SK"/>
              </w:rPr>
            </w:pPr>
            <w:r w:rsidRPr="002151F6">
              <w:rPr>
                <w:rFonts w:ascii="Times New Roman" w:hAnsi="Times New Roman"/>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sz w:val="24"/>
                <w:szCs w:val="24"/>
                <w:lang w:val="sk-SK" w:eastAsia="sk-SK"/>
              </w:rPr>
            </w:pPr>
            <w:r w:rsidRPr="002151F6">
              <w:rPr>
                <w:rFonts w:ascii="Times New Roman" w:hAnsi="Times New Roman"/>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sz w:val="24"/>
                <w:szCs w:val="24"/>
                <w:lang w:val="sk-SK" w:eastAsia="sk-SK"/>
              </w:rPr>
            </w:pPr>
            <w:r w:rsidRPr="002151F6">
              <w:rPr>
                <w:rFonts w:ascii="Times New Roman" w:hAnsi="Times New Roman"/>
                <w:sz w:val="24"/>
                <w:szCs w:val="24"/>
                <w:lang w:val="sk-SK"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rPr>
                <w:rFonts w:ascii="Times New Roman" w:hAnsi="Times New Roman"/>
                <w:b/>
                <w:bCs/>
                <w:i/>
                <w:iCs/>
                <w:sz w:val="24"/>
                <w:szCs w:val="24"/>
                <w:lang w:val="sk-SK" w:eastAsia="sk-SK"/>
              </w:rPr>
            </w:pPr>
            <w:r w:rsidRPr="002151F6">
              <w:rPr>
                <w:rFonts w:ascii="Times New Roman" w:hAnsi="Times New Roman"/>
                <w:b/>
                <w:bCs/>
                <w:i/>
                <w:iCs/>
                <w:sz w:val="24"/>
                <w:szCs w:val="24"/>
                <w:lang w:val="sk-SK"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rPr>
                <w:rFonts w:ascii="Times New Roman" w:hAnsi="Times New Roman"/>
                <w:b/>
                <w:bCs/>
                <w:i/>
                <w:iCs/>
                <w:sz w:val="24"/>
                <w:szCs w:val="24"/>
                <w:lang w:val="sk-SK" w:eastAsia="sk-SK"/>
              </w:rPr>
            </w:pPr>
            <w:r w:rsidRPr="002151F6">
              <w:rPr>
                <w:rFonts w:ascii="Times New Roman" w:hAnsi="Times New Roman"/>
                <w:b/>
                <w:bCs/>
                <w:i/>
                <w:iCs/>
                <w:sz w:val="24"/>
                <w:szCs w:val="24"/>
                <w:lang w:val="sk-SK"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rPr>
                <w:rFonts w:ascii="Times New Roman" w:hAnsi="Times New Roman"/>
                <w:b/>
                <w:bCs/>
                <w:sz w:val="24"/>
                <w:szCs w:val="24"/>
                <w:lang w:val="sk-SK" w:eastAsia="sk-SK"/>
              </w:rPr>
            </w:pPr>
            <w:r w:rsidRPr="002151F6">
              <w:rPr>
                <w:rFonts w:ascii="Times New Roman" w:hAnsi="Times New Roman"/>
                <w:b/>
                <w:bCs/>
                <w:i/>
                <w:iCs/>
                <w:sz w:val="24"/>
                <w:szCs w:val="24"/>
                <w:lang w:val="sk-SK"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51F6" w:rsidRPr="002151F6" w:rsidP="00501AD0">
            <w:pPr>
              <w:bidi w:val="0"/>
              <w:spacing w:after="0" w:line="240" w:lineRule="auto"/>
              <w:rPr>
                <w:rFonts w:ascii="Times New Roman" w:hAnsi="Times New Roman"/>
                <w:b/>
                <w:bCs/>
                <w:sz w:val="24"/>
                <w:szCs w:val="24"/>
                <w:lang w:val="sk-SK" w:eastAsia="sk-SK"/>
              </w:rPr>
            </w:pPr>
            <w:r w:rsidRPr="002151F6">
              <w:rPr>
                <w:rFonts w:ascii="Times New Roman" w:hAnsi="Times New Roman"/>
                <w:b/>
                <w:bCs/>
                <w:sz w:val="24"/>
                <w:szCs w:val="24"/>
                <w:lang w:val="sk-SK" w:eastAsia="sk-SK"/>
              </w:rPr>
              <w:t xml:space="preserve">Vplyv na počet zamestnancov </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51F6" w:rsidRPr="002151F6" w:rsidP="00501AD0">
            <w:pPr>
              <w:bidi w:val="0"/>
              <w:spacing w:after="0" w:line="240" w:lineRule="auto"/>
              <w:jc w:val="right"/>
              <w:rPr>
                <w:rFonts w:ascii="Times New Roman" w:hAnsi="Times New Roman"/>
                <w:b/>
                <w:bCs/>
                <w:sz w:val="24"/>
                <w:szCs w:val="24"/>
                <w:lang w:val="sk-SK" w:eastAsia="sk-SK"/>
              </w:rPr>
            </w:pPr>
            <w:r w:rsidRPr="002151F6">
              <w:rPr>
                <w:rFonts w:ascii="Times New Roman" w:hAnsi="Times New Roman"/>
                <w:b/>
                <w:b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51F6" w:rsidRPr="002151F6" w:rsidP="00501AD0">
            <w:pPr>
              <w:bidi w:val="0"/>
              <w:spacing w:after="0" w:line="240" w:lineRule="auto"/>
              <w:jc w:val="right"/>
              <w:rPr>
                <w:rFonts w:ascii="Times New Roman" w:hAnsi="Times New Roman"/>
                <w:b/>
                <w:bCs/>
                <w:sz w:val="24"/>
                <w:szCs w:val="24"/>
                <w:lang w:val="sk-SK" w:eastAsia="sk-SK"/>
              </w:rPr>
            </w:pPr>
            <w:r w:rsidRPr="002151F6">
              <w:rPr>
                <w:rFonts w:ascii="Times New Roman" w:hAnsi="Times New Roman"/>
                <w:b/>
                <w:b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51F6" w:rsidRPr="002151F6" w:rsidP="00501AD0">
            <w:pPr>
              <w:bidi w:val="0"/>
              <w:spacing w:after="0" w:line="240" w:lineRule="auto"/>
              <w:jc w:val="right"/>
              <w:rPr>
                <w:rFonts w:ascii="Times New Roman" w:hAnsi="Times New Roman"/>
                <w:b/>
                <w:bCs/>
                <w:sz w:val="24"/>
                <w:szCs w:val="24"/>
                <w:lang w:val="sk-SK" w:eastAsia="sk-SK"/>
              </w:rPr>
            </w:pPr>
            <w:r w:rsidRPr="002151F6">
              <w:rPr>
                <w:rFonts w:ascii="Times New Roman" w:hAnsi="Times New Roman"/>
                <w:b/>
                <w:b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51F6" w:rsidRPr="002151F6" w:rsidP="00501AD0">
            <w:pPr>
              <w:bidi w:val="0"/>
              <w:spacing w:after="0" w:line="240" w:lineRule="auto"/>
              <w:jc w:val="right"/>
              <w:rPr>
                <w:rFonts w:ascii="Times New Roman" w:hAnsi="Times New Roman"/>
                <w:b/>
                <w:bCs/>
                <w:sz w:val="24"/>
                <w:szCs w:val="24"/>
                <w:lang w:val="sk-SK" w:eastAsia="sk-SK"/>
              </w:rPr>
            </w:pPr>
            <w:r w:rsidRPr="002151F6">
              <w:rPr>
                <w:rFonts w:ascii="Times New Roman" w:hAnsi="Times New Roman"/>
                <w:b/>
                <w:bCs/>
                <w:sz w:val="24"/>
                <w:szCs w:val="24"/>
                <w:lang w:val="sk-SK"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rPr>
                <w:rFonts w:ascii="Times New Roman" w:hAnsi="Times New Roman"/>
                <w:b/>
                <w:bCs/>
                <w:i/>
                <w:iCs/>
                <w:sz w:val="24"/>
                <w:szCs w:val="24"/>
                <w:lang w:val="sk-SK" w:eastAsia="sk-SK"/>
              </w:rPr>
            </w:pPr>
            <w:r w:rsidRPr="002151F6">
              <w:rPr>
                <w:rFonts w:ascii="Times New Roman" w:hAnsi="Times New Roman"/>
                <w:b/>
                <w:bCs/>
                <w:i/>
                <w:iCs/>
                <w:sz w:val="24"/>
                <w:szCs w:val="24"/>
                <w:lang w:val="sk-SK"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rPr>
                <w:rFonts w:ascii="Times New Roman" w:hAnsi="Times New Roman"/>
                <w:b/>
                <w:bCs/>
                <w:i/>
                <w:iCs/>
                <w:sz w:val="24"/>
                <w:szCs w:val="24"/>
                <w:lang w:val="sk-SK" w:eastAsia="sk-SK"/>
              </w:rPr>
            </w:pPr>
            <w:r w:rsidRPr="002151F6">
              <w:rPr>
                <w:rFonts w:ascii="Times New Roman" w:hAnsi="Times New Roman"/>
                <w:b/>
                <w:bCs/>
                <w:i/>
                <w:iCs/>
                <w:sz w:val="24"/>
                <w:szCs w:val="24"/>
                <w:lang w:val="sk-SK"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rPr>
                <w:rFonts w:ascii="Times New Roman" w:hAnsi="Times New Roman"/>
                <w:b/>
                <w:bCs/>
                <w:i/>
                <w:iCs/>
                <w:sz w:val="24"/>
                <w:szCs w:val="24"/>
                <w:lang w:val="sk-SK" w:eastAsia="sk-SK"/>
              </w:rPr>
            </w:pPr>
            <w:r w:rsidRPr="002151F6">
              <w:rPr>
                <w:rFonts w:ascii="Times New Roman" w:hAnsi="Times New Roman"/>
                <w:b/>
                <w:bCs/>
                <w:i/>
                <w:iCs/>
                <w:sz w:val="24"/>
                <w:szCs w:val="24"/>
                <w:lang w:val="sk-SK"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rPr>
                <w:rFonts w:ascii="Times New Roman" w:hAnsi="Times New Roman"/>
                <w:b/>
                <w:bCs/>
                <w:i/>
                <w:iCs/>
                <w:sz w:val="24"/>
                <w:szCs w:val="24"/>
                <w:lang w:val="sk-SK" w:eastAsia="sk-SK"/>
              </w:rPr>
            </w:pPr>
            <w:r w:rsidRPr="002151F6">
              <w:rPr>
                <w:rFonts w:ascii="Times New Roman" w:hAnsi="Times New Roman"/>
                <w:b/>
                <w:bCs/>
                <w:i/>
                <w:iCs/>
                <w:sz w:val="24"/>
                <w:szCs w:val="24"/>
                <w:lang w:val="sk-SK"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51F6" w:rsidRPr="002151F6" w:rsidP="00501AD0">
            <w:pPr>
              <w:bidi w:val="0"/>
              <w:spacing w:after="0" w:line="240" w:lineRule="auto"/>
              <w:rPr>
                <w:rFonts w:ascii="Times New Roman" w:hAnsi="Times New Roman"/>
                <w:b/>
                <w:sz w:val="24"/>
                <w:szCs w:val="24"/>
                <w:lang w:val="sk-SK" w:eastAsia="sk-SK"/>
              </w:rPr>
            </w:pPr>
            <w:r w:rsidRPr="002151F6">
              <w:rPr>
                <w:rFonts w:ascii="Times New Roman" w:hAnsi="Times New Roman"/>
                <w:b/>
                <w:sz w:val="24"/>
                <w:szCs w:val="24"/>
                <w:lang w:val="sk-SK" w:eastAsia="sk-SK"/>
              </w:rPr>
              <w:t>Vplyv na mzdové výdavky</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51F6" w:rsidRPr="002151F6" w:rsidP="00501AD0">
            <w:pPr>
              <w:bidi w:val="0"/>
              <w:spacing w:after="0" w:line="240" w:lineRule="auto"/>
              <w:jc w:val="right"/>
              <w:rPr>
                <w:rFonts w:ascii="Times New Roman" w:hAnsi="Times New Roman"/>
                <w:b/>
                <w:sz w:val="24"/>
                <w:szCs w:val="24"/>
                <w:lang w:val="sk-SK" w:eastAsia="sk-SK"/>
              </w:rPr>
            </w:pPr>
            <w:r w:rsidRPr="002151F6">
              <w:rPr>
                <w:rFonts w:ascii="Times New Roman" w:hAnsi="Times New Roman"/>
                <w:b/>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51F6" w:rsidRPr="002151F6" w:rsidP="00501AD0">
            <w:pPr>
              <w:bidi w:val="0"/>
              <w:spacing w:after="0" w:line="240" w:lineRule="auto"/>
              <w:jc w:val="right"/>
              <w:rPr>
                <w:rFonts w:ascii="Times New Roman" w:hAnsi="Times New Roman"/>
                <w:b/>
                <w:sz w:val="24"/>
                <w:szCs w:val="24"/>
                <w:lang w:val="sk-SK" w:eastAsia="sk-SK"/>
              </w:rPr>
            </w:pPr>
            <w:r w:rsidRPr="002151F6">
              <w:rPr>
                <w:rFonts w:ascii="Times New Roman" w:hAnsi="Times New Roman"/>
                <w:b/>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51F6" w:rsidRPr="002151F6" w:rsidP="00501AD0">
            <w:pPr>
              <w:bidi w:val="0"/>
              <w:spacing w:after="0" w:line="240" w:lineRule="auto"/>
              <w:jc w:val="right"/>
              <w:rPr>
                <w:rFonts w:ascii="Times New Roman" w:hAnsi="Times New Roman"/>
                <w:b/>
                <w:sz w:val="24"/>
                <w:szCs w:val="24"/>
                <w:lang w:val="sk-SK" w:eastAsia="sk-SK"/>
              </w:rPr>
            </w:pPr>
            <w:r w:rsidRPr="002151F6">
              <w:rPr>
                <w:rFonts w:ascii="Times New Roman" w:hAnsi="Times New Roman"/>
                <w:b/>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51F6" w:rsidRPr="002151F6" w:rsidP="00501AD0">
            <w:pPr>
              <w:bidi w:val="0"/>
              <w:spacing w:after="0" w:line="240" w:lineRule="auto"/>
              <w:jc w:val="right"/>
              <w:rPr>
                <w:rFonts w:ascii="Times New Roman" w:hAnsi="Times New Roman"/>
                <w:b/>
                <w:sz w:val="24"/>
                <w:szCs w:val="24"/>
                <w:lang w:val="sk-SK" w:eastAsia="sk-SK"/>
              </w:rPr>
            </w:pPr>
            <w:r w:rsidRPr="002151F6">
              <w:rPr>
                <w:rFonts w:ascii="Times New Roman" w:hAnsi="Times New Roman"/>
                <w:b/>
                <w:sz w:val="24"/>
                <w:szCs w:val="24"/>
                <w:lang w:val="sk-SK"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rPr>
                <w:rFonts w:ascii="Times New Roman" w:hAnsi="Times New Roman"/>
                <w:b/>
                <w:bCs/>
                <w:i/>
                <w:iCs/>
                <w:sz w:val="24"/>
                <w:szCs w:val="24"/>
                <w:lang w:val="sk-SK" w:eastAsia="sk-SK"/>
              </w:rPr>
            </w:pPr>
            <w:r w:rsidRPr="002151F6">
              <w:rPr>
                <w:rFonts w:ascii="Times New Roman" w:hAnsi="Times New Roman"/>
                <w:b/>
                <w:bCs/>
                <w:i/>
                <w:iCs/>
                <w:sz w:val="24"/>
                <w:szCs w:val="24"/>
                <w:lang w:val="sk-SK"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rPr>
                <w:rFonts w:ascii="Times New Roman" w:hAnsi="Times New Roman"/>
                <w:b/>
                <w:bCs/>
                <w:i/>
                <w:iCs/>
                <w:sz w:val="24"/>
                <w:szCs w:val="24"/>
                <w:lang w:val="sk-SK" w:eastAsia="sk-SK"/>
              </w:rPr>
            </w:pPr>
            <w:r w:rsidRPr="002151F6">
              <w:rPr>
                <w:rFonts w:ascii="Times New Roman" w:hAnsi="Times New Roman"/>
                <w:b/>
                <w:bCs/>
                <w:i/>
                <w:iCs/>
                <w:sz w:val="24"/>
                <w:szCs w:val="24"/>
                <w:lang w:val="sk-SK"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rPr>
                <w:rFonts w:ascii="Times New Roman" w:hAnsi="Times New Roman"/>
                <w:b/>
                <w:bCs/>
                <w:i/>
                <w:iCs/>
                <w:sz w:val="24"/>
                <w:szCs w:val="24"/>
                <w:lang w:val="sk-SK" w:eastAsia="sk-SK"/>
              </w:rPr>
            </w:pPr>
            <w:r w:rsidRPr="002151F6">
              <w:rPr>
                <w:rFonts w:ascii="Times New Roman" w:hAnsi="Times New Roman"/>
                <w:b/>
                <w:bCs/>
                <w:i/>
                <w:iCs/>
                <w:sz w:val="24"/>
                <w:szCs w:val="24"/>
                <w:lang w:val="sk-SK"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rPr>
                <w:rFonts w:ascii="Times New Roman" w:hAnsi="Times New Roman"/>
                <w:b/>
                <w:bCs/>
                <w:sz w:val="24"/>
                <w:szCs w:val="24"/>
                <w:lang w:val="sk-SK" w:eastAsia="sk-SK"/>
              </w:rPr>
            </w:pPr>
            <w:r w:rsidRPr="002151F6">
              <w:rPr>
                <w:rFonts w:ascii="Times New Roman" w:hAnsi="Times New Roman"/>
                <w:b/>
                <w:bCs/>
                <w:i/>
                <w:iCs/>
                <w:sz w:val="24"/>
                <w:szCs w:val="24"/>
                <w:lang w:val="sk-SK"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b/>
                <w:bCs/>
                <w:iCs/>
                <w:sz w:val="24"/>
                <w:szCs w:val="24"/>
                <w:lang w:val="sk-SK" w:eastAsia="sk-SK"/>
              </w:rPr>
            </w:pPr>
            <w:r w:rsidRPr="002151F6">
              <w:rPr>
                <w:rFonts w:ascii="Times New Roman" w:hAnsi="Times New Roman"/>
                <w:b/>
                <w:bCs/>
                <w:iCs/>
                <w:sz w:val="24"/>
                <w:szCs w:val="24"/>
                <w:lang w:val="sk-SK"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151F6" w:rsidRPr="002151F6" w:rsidP="00501AD0">
            <w:pPr>
              <w:bidi w:val="0"/>
              <w:spacing w:after="0" w:line="240" w:lineRule="auto"/>
              <w:rPr>
                <w:rFonts w:ascii="Times New Roman" w:hAnsi="Times New Roman"/>
                <w:b/>
                <w:bCs/>
                <w:sz w:val="24"/>
                <w:szCs w:val="24"/>
                <w:lang w:val="sk-SK" w:eastAsia="sk-SK"/>
              </w:rPr>
            </w:pPr>
            <w:r w:rsidRPr="002151F6">
              <w:rPr>
                <w:rFonts w:ascii="Times New Roman" w:hAnsi="Times New Roman"/>
                <w:b/>
                <w:bCs/>
                <w:sz w:val="24"/>
                <w:szCs w:val="24"/>
                <w:lang w:val="sk-SK" w:eastAsia="sk-SK"/>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151F6" w:rsidRPr="002151F6" w:rsidP="00501AD0">
            <w:pPr>
              <w:bidi w:val="0"/>
              <w:spacing w:after="0" w:line="240" w:lineRule="auto"/>
              <w:jc w:val="right"/>
              <w:rPr>
                <w:rFonts w:ascii="Times New Roman" w:hAnsi="Times New Roman"/>
                <w:b/>
                <w:bCs/>
                <w:sz w:val="24"/>
                <w:szCs w:val="24"/>
                <w:lang w:val="sk-SK" w:eastAsia="sk-SK"/>
              </w:rPr>
            </w:pPr>
            <w:r w:rsidRPr="002151F6">
              <w:rPr>
                <w:rFonts w:ascii="Times New Roman" w:hAnsi="Times New Roman"/>
                <w:b/>
                <w:b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151F6" w:rsidRPr="002151F6" w:rsidP="00501AD0">
            <w:pPr>
              <w:bidi w:val="0"/>
              <w:spacing w:after="0" w:line="240" w:lineRule="auto"/>
              <w:jc w:val="right"/>
              <w:rPr>
                <w:rFonts w:ascii="Times New Roman" w:hAnsi="Times New Roman"/>
                <w:b/>
                <w:bCs/>
                <w:sz w:val="24"/>
                <w:szCs w:val="24"/>
                <w:lang w:val="sk-SK" w:eastAsia="sk-SK"/>
              </w:rPr>
            </w:pPr>
            <w:r w:rsidRPr="002151F6">
              <w:rPr>
                <w:rFonts w:ascii="Times New Roman" w:hAnsi="Times New Roman"/>
                <w:b/>
                <w:b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151F6" w:rsidRPr="002151F6" w:rsidP="00501AD0">
            <w:pPr>
              <w:bidi w:val="0"/>
              <w:spacing w:after="0" w:line="240" w:lineRule="auto"/>
              <w:jc w:val="right"/>
              <w:rPr>
                <w:rFonts w:ascii="Times New Roman" w:hAnsi="Times New Roman"/>
                <w:b/>
                <w:bCs/>
                <w:sz w:val="24"/>
                <w:szCs w:val="24"/>
                <w:lang w:val="sk-SK" w:eastAsia="sk-SK"/>
              </w:rPr>
            </w:pPr>
            <w:r w:rsidRPr="002151F6">
              <w:rPr>
                <w:rFonts w:ascii="Times New Roman" w:hAnsi="Times New Roman"/>
                <w:b/>
                <w:b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151F6" w:rsidRPr="002151F6" w:rsidP="00501AD0">
            <w:pPr>
              <w:bidi w:val="0"/>
              <w:spacing w:after="0" w:line="240" w:lineRule="auto"/>
              <w:jc w:val="right"/>
              <w:rPr>
                <w:rFonts w:ascii="Times New Roman" w:hAnsi="Times New Roman"/>
                <w:b/>
                <w:bCs/>
                <w:sz w:val="24"/>
                <w:szCs w:val="24"/>
                <w:lang w:val="sk-SK" w:eastAsia="sk-SK"/>
              </w:rPr>
            </w:pPr>
            <w:r w:rsidRPr="002151F6">
              <w:rPr>
                <w:rFonts w:ascii="Times New Roman" w:hAnsi="Times New Roman"/>
                <w:b/>
                <w:bCs/>
                <w:sz w:val="24"/>
                <w:szCs w:val="24"/>
                <w:lang w:val="sk-SK"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rPr>
                <w:rFonts w:ascii="Times New Roman" w:hAnsi="Times New Roman"/>
                <w:sz w:val="24"/>
                <w:szCs w:val="24"/>
                <w:lang w:val="sk-SK" w:eastAsia="sk-SK"/>
              </w:rPr>
            </w:pPr>
            <w:r w:rsidRPr="002151F6">
              <w:rPr>
                <w:rFonts w:ascii="Times New Roman" w:hAnsi="Times New Roman"/>
                <w:sz w:val="24"/>
                <w:szCs w:val="24"/>
                <w:lang w:val="sk-SK" w:eastAsia="sk-SK"/>
              </w:rPr>
              <w:t>v tom: za každý subjekt verejnej správy / 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sz w:val="24"/>
                <w:szCs w:val="24"/>
                <w:lang w:val="sk-SK" w:eastAsia="sk-SK"/>
              </w:rPr>
            </w:pPr>
            <w:r w:rsidRPr="002151F6">
              <w:rPr>
                <w:rFonts w:ascii="Times New Roman" w:hAnsi="Times New Roman"/>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sz w:val="24"/>
                <w:szCs w:val="24"/>
                <w:lang w:val="sk-SK" w:eastAsia="sk-SK"/>
              </w:rPr>
            </w:pPr>
            <w:r w:rsidRPr="002151F6">
              <w:rPr>
                <w:rFonts w:ascii="Times New Roman" w:hAnsi="Times New Roman"/>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sz w:val="24"/>
                <w:szCs w:val="24"/>
                <w:lang w:val="sk-SK" w:eastAsia="sk-SK"/>
              </w:rPr>
            </w:pPr>
            <w:r w:rsidRPr="002151F6">
              <w:rPr>
                <w:rFonts w:ascii="Times New Roman" w:hAnsi="Times New Roman"/>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51F6" w:rsidRPr="002151F6" w:rsidP="00501AD0">
            <w:pPr>
              <w:bidi w:val="0"/>
              <w:spacing w:after="0" w:line="240" w:lineRule="auto"/>
              <w:jc w:val="right"/>
              <w:rPr>
                <w:rFonts w:ascii="Times New Roman" w:hAnsi="Times New Roman"/>
                <w:sz w:val="24"/>
                <w:szCs w:val="24"/>
                <w:lang w:val="sk-SK" w:eastAsia="sk-SK"/>
              </w:rPr>
            </w:pPr>
            <w:r w:rsidRPr="002151F6">
              <w:rPr>
                <w:rFonts w:ascii="Times New Roman" w:hAnsi="Times New Roman"/>
                <w:sz w:val="24"/>
                <w:szCs w:val="24"/>
                <w:lang w:val="sk-SK"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51F6" w:rsidRPr="002151F6" w:rsidP="00501AD0">
            <w:pPr>
              <w:bidi w:val="0"/>
              <w:spacing w:after="0" w:line="240" w:lineRule="auto"/>
              <w:rPr>
                <w:rFonts w:ascii="Times New Roman" w:hAnsi="Times New Roman"/>
                <w:b/>
                <w:sz w:val="24"/>
                <w:szCs w:val="24"/>
                <w:lang w:val="sk-SK" w:eastAsia="sk-SK"/>
              </w:rPr>
            </w:pPr>
            <w:r w:rsidRPr="002151F6">
              <w:rPr>
                <w:rFonts w:ascii="Times New Roman" w:hAnsi="Times New Roman"/>
                <w:b/>
                <w:sz w:val="24"/>
                <w:szCs w:val="24"/>
                <w:lang w:val="sk-SK" w:eastAsia="sk-SK"/>
              </w:rPr>
              <w:t>Iné ako rozpočtové zdroje</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51F6" w:rsidRPr="002151F6" w:rsidP="00501AD0">
            <w:pPr>
              <w:bidi w:val="0"/>
              <w:spacing w:after="0" w:line="240" w:lineRule="auto"/>
              <w:jc w:val="right"/>
              <w:rPr>
                <w:rFonts w:ascii="Times New Roman" w:hAnsi="Times New Roman"/>
                <w:b/>
                <w:bCs/>
                <w:sz w:val="24"/>
                <w:szCs w:val="24"/>
                <w:lang w:val="sk-SK" w:eastAsia="sk-SK"/>
              </w:rPr>
            </w:pPr>
            <w:r w:rsidRPr="002151F6">
              <w:rPr>
                <w:rFonts w:ascii="Times New Roman" w:hAnsi="Times New Roman"/>
                <w:b/>
                <w:b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51F6" w:rsidRPr="002151F6" w:rsidP="00501AD0">
            <w:pPr>
              <w:bidi w:val="0"/>
              <w:spacing w:after="0" w:line="240" w:lineRule="auto"/>
              <w:jc w:val="right"/>
              <w:rPr>
                <w:rFonts w:ascii="Times New Roman" w:hAnsi="Times New Roman"/>
                <w:b/>
                <w:bCs/>
                <w:sz w:val="24"/>
                <w:szCs w:val="24"/>
                <w:lang w:val="sk-SK" w:eastAsia="sk-SK"/>
              </w:rPr>
            </w:pPr>
            <w:r w:rsidRPr="002151F6">
              <w:rPr>
                <w:rFonts w:ascii="Times New Roman" w:hAnsi="Times New Roman"/>
                <w:b/>
                <w:b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51F6" w:rsidRPr="002151F6" w:rsidP="00501AD0">
            <w:pPr>
              <w:bidi w:val="0"/>
              <w:spacing w:after="0" w:line="240" w:lineRule="auto"/>
              <w:jc w:val="right"/>
              <w:rPr>
                <w:rFonts w:ascii="Times New Roman" w:hAnsi="Times New Roman"/>
                <w:b/>
                <w:bCs/>
                <w:sz w:val="24"/>
                <w:szCs w:val="24"/>
                <w:lang w:val="sk-SK" w:eastAsia="sk-SK"/>
              </w:rPr>
            </w:pPr>
            <w:r w:rsidRPr="002151F6">
              <w:rPr>
                <w:rFonts w:ascii="Times New Roman" w:hAnsi="Times New Roman"/>
                <w:b/>
                <w:b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51F6" w:rsidRPr="002151F6" w:rsidP="00501AD0">
            <w:pPr>
              <w:bidi w:val="0"/>
              <w:spacing w:after="0" w:line="240" w:lineRule="auto"/>
              <w:jc w:val="right"/>
              <w:rPr>
                <w:rFonts w:ascii="Times New Roman" w:hAnsi="Times New Roman"/>
                <w:b/>
                <w:bCs/>
                <w:sz w:val="24"/>
                <w:szCs w:val="24"/>
                <w:lang w:val="sk-SK" w:eastAsia="sk-SK"/>
              </w:rPr>
            </w:pPr>
            <w:r w:rsidRPr="002151F6">
              <w:rPr>
                <w:rFonts w:ascii="Times New Roman" w:hAnsi="Times New Roman"/>
                <w:b/>
                <w:bCs/>
                <w:sz w:val="24"/>
                <w:szCs w:val="24"/>
                <w:lang w:val="sk-SK"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2151F6" w:rsidRPr="002151F6" w:rsidP="00501AD0">
            <w:pPr>
              <w:bidi w:val="0"/>
              <w:spacing w:after="0" w:line="240" w:lineRule="auto"/>
              <w:rPr>
                <w:rFonts w:ascii="Times New Roman" w:hAnsi="Times New Roman"/>
                <w:b/>
                <w:bCs/>
                <w:sz w:val="24"/>
                <w:szCs w:val="24"/>
                <w:lang w:val="sk-SK" w:eastAsia="sk-SK"/>
              </w:rPr>
            </w:pPr>
            <w:r w:rsidRPr="002151F6">
              <w:rPr>
                <w:rFonts w:ascii="Times New Roman" w:hAnsi="Times New Roman"/>
                <w:b/>
                <w:bCs/>
                <w:sz w:val="24"/>
                <w:szCs w:val="24"/>
                <w:lang w:val="sk-SK" w:eastAsia="sk-SK"/>
              </w:rPr>
              <w:t>Rozpočtovo nekrytý vplyv / úspora</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2151F6" w:rsidRPr="002151F6" w:rsidP="00501AD0">
            <w:pPr>
              <w:bidi w:val="0"/>
              <w:spacing w:after="0" w:line="240" w:lineRule="auto"/>
              <w:jc w:val="right"/>
              <w:rPr>
                <w:rFonts w:ascii="Times New Roman" w:hAnsi="Times New Roman"/>
                <w:b/>
                <w:bCs/>
                <w:sz w:val="24"/>
                <w:szCs w:val="24"/>
                <w:lang w:val="sk-SK" w:eastAsia="sk-SK"/>
              </w:rPr>
            </w:pPr>
            <w:r w:rsidRPr="002151F6">
              <w:rPr>
                <w:rFonts w:ascii="Times New Roman" w:hAnsi="Times New Roman"/>
                <w:b/>
                <w:b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2151F6" w:rsidRPr="002151F6" w:rsidP="00501AD0">
            <w:pPr>
              <w:bidi w:val="0"/>
              <w:spacing w:after="0" w:line="240" w:lineRule="auto"/>
              <w:jc w:val="right"/>
              <w:rPr>
                <w:rFonts w:ascii="Times New Roman" w:hAnsi="Times New Roman"/>
                <w:b/>
                <w:bCs/>
                <w:sz w:val="24"/>
                <w:szCs w:val="24"/>
                <w:lang w:val="sk-SK" w:eastAsia="sk-SK"/>
              </w:rPr>
            </w:pPr>
            <w:r w:rsidRPr="002151F6">
              <w:rPr>
                <w:rFonts w:ascii="Times New Roman" w:hAnsi="Times New Roman"/>
                <w:b/>
                <w:b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2151F6" w:rsidRPr="002151F6" w:rsidP="00501AD0">
            <w:pPr>
              <w:bidi w:val="0"/>
              <w:spacing w:after="0" w:line="240" w:lineRule="auto"/>
              <w:jc w:val="right"/>
              <w:rPr>
                <w:rFonts w:ascii="Times New Roman" w:hAnsi="Times New Roman"/>
                <w:b/>
                <w:bCs/>
                <w:sz w:val="24"/>
                <w:szCs w:val="24"/>
                <w:lang w:val="sk-SK" w:eastAsia="sk-SK"/>
              </w:rPr>
            </w:pPr>
            <w:r w:rsidRPr="002151F6">
              <w:rPr>
                <w:rFonts w:ascii="Times New Roman" w:hAnsi="Times New Roman"/>
                <w:b/>
                <w:bCs/>
                <w:sz w:val="24"/>
                <w:szCs w:val="24"/>
                <w:lang w:val="sk-SK"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2151F6" w:rsidRPr="002151F6" w:rsidP="00501AD0">
            <w:pPr>
              <w:bidi w:val="0"/>
              <w:spacing w:after="0" w:line="240" w:lineRule="auto"/>
              <w:jc w:val="right"/>
              <w:rPr>
                <w:rFonts w:ascii="Times New Roman" w:hAnsi="Times New Roman"/>
                <w:b/>
                <w:bCs/>
                <w:sz w:val="24"/>
                <w:szCs w:val="24"/>
                <w:lang w:val="sk-SK" w:eastAsia="sk-SK"/>
              </w:rPr>
            </w:pPr>
            <w:r w:rsidRPr="002151F6">
              <w:rPr>
                <w:rFonts w:ascii="Times New Roman" w:hAnsi="Times New Roman"/>
                <w:b/>
                <w:bCs/>
                <w:sz w:val="24"/>
                <w:szCs w:val="24"/>
                <w:lang w:val="sk-SK" w:eastAsia="sk-SK"/>
              </w:rPr>
              <w:t>0</w:t>
            </w:r>
          </w:p>
        </w:tc>
      </w:tr>
    </w:tbl>
    <w:p w:rsidR="002151F6" w:rsidRPr="002151F6" w:rsidP="002151F6">
      <w:pPr>
        <w:bidi w:val="0"/>
        <w:spacing w:after="0" w:line="240" w:lineRule="auto"/>
        <w:jc w:val="both"/>
        <w:rPr>
          <w:rFonts w:ascii="Times New Roman" w:hAnsi="Times New Roman"/>
          <w:b/>
          <w:bCs/>
          <w:sz w:val="24"/>
          <w:szCs w:val="24"/>
          <w:lang w:val="sk-SK" w:eastAsia="sk-SK"/>
        </w:rPr>
      </w:pPr>
      <w:bookmarkEnd w:id="0"/>
    </w:p>
    <w:p w:rsidR="002151F6" w:rsidP="002151F6">
      <w:pPr>
        <w:bidi w:val="0"/>
        <w:spacing w:after="0" w:line="240" w:lineRule="auto"/>
        <w:jc w:val="both"/>
        <w:rPr>
          <w:rFonts w:ascii="Times New Roman" w:hAnsi="Times New Roman"/>
          <w:b/>
          <w:bCs/>
          <w:sz w:val="24"/>
          <w:szCs w:val="24"/>
          <w:lang w:val="sk-SK" w:eastAsia="sk-SK"/>
        </w:rPr>
      </w:pPr>
      <w:r w:rsidRPr="002151F6">
        <w:rPr>
          <w:rFonts w:ascii="Times New Roman" w:hAnsi="Times New Roman"/>
          <w:b/>
          <w:bCs/>
          <w:sz w:val="24"/>
          <w:szCs w:val="24"/>
          <w:lang w:val="sk-SK" w:eastAsia="sk-SK"/>
        </w:rPr>
        <w:t>2.1.1. Financovanie návrhu - Návrh na riešenie úbytku príjmov alebo zvýšených výdavkov podľa § 33 ods. 1 zákona č. 523/2004 Z. z. o rozpočtových pravidlách verejnej správy:</w:t>
      </w:r>
    </w:p>
    <w:p w:rsidR="00734CC6" w:rsidRPr="002151F6" w:rsidP="002151F6">
      <w:pPr>
        <w:bidi w:val="0"/>
        <w:spacing w:after="0" w:line="240" w:lineRule="auto"/>
        <w:jc w:val="both"/>
        <w:rPr>
          <w:rFonts w:ascii="Times New Roman" w:hAnsi="Times New Roman"/>
          <w:b/>
          <w:bCs/>
          <w:sz w:val="24"/>
          <w:szCs w:val="24"/>
          <w:lang w:val="sk-SK" w:eastAsia="sk-SK"/>
        </w:rPr>
      </w:pPr>
    </w:p>
    <w:p w:rsidR="002151F6" w:rsidRPr="002151F6" w:rsidP="002151F6">
      <w:pPr>
        <w:bidi w:val="0"/>
        <w:spacing w:after="0" w:line="240" w:lineRule="auto"/>
        <w:jc w:val="both"/>
        <w:rPr>
          <w:rFonts w:ascii="Times New Roman" w:hAnsi="Times New Roman"/>
          <w:b/>
          <w:bCs/>
          <w:sz w:val="12"/>
          <w:szCs w:val="24"/>
          <w:lang w:val="sk-SK" w:eastAsia="sk-SK"/>
        </w:rPr>
      </w:pPr>
    </w:p>
    <w:p w:rsidR="002151F6" w:rsidRPr="002151F6" w:rsidP="002151F6">
      <w:pPr>
        <w:pBdr>
          <w:top w:val="single" w:sz="4" w:space="1" w:color="auto"/>
          <w:left w:val="single" w:sz="4" w:space="4" w:color="auto"/>
          <w:bottom w:val="single" w:sz="4" w:space="0" w:color="auto"/>
          <w:right w:val="single" w:sz="4" w:space="4" w:color="auto"/>
        </w:pBdr>
        <w:bidi w:val="0"/>
        <w:spacing w:after="0" w:line="240" w:lineRule="auto"/>
        <w:rPr>
          <w:rFonts w:ascii="Times New Roman" w:hAnsi="Times New Roman"/>
          <w:b/>
          <w:bCs/>
          <w:sz w:val="24"/>
          <w:szCs w:val="24"/>
          <w:lang w:val="sk-SK" w:eastAsia="sk-SK"/>
        </w:rPr>
      </w:pPr>
      <w:r w:rsidRPr="002151F6">
        <w:rPr>
          <w:rFonts w:ascii="Times New Roman" w:hAnsi="Times New Roman"/>
          <w:b/>
          <w:bCs/>
          <w:sz w:val="24"/>
          <w:szCs w:val="24"/>
          <w:lang w:val="sk-SK" w:eastAsia="sk-SK"/>
        </w:rPr>
        <w:t>Výdavky sú zabezpečené v rámci limitu výdavkov kapitoly Ministerstva financií SR na rok 2016.</w:t>
      </w:r>
    </w:p>
    <w:p w:rsidR="002151F6" w:rsidRPr="002151F6" w:rsidP="002151F6">
      <w:pPr>
        <w:bidi w:val="0"/>
        <w:spacing w:after="0" w:line="240" w:lineRule="auto"/>
        <w:rPr>
          <w:rFonts w:ascii="Times New Roman" w:hAnsi="Times New Roman"/>
          <w:b/>
          <w:bCs/>
          <w:sz w:val="24"/>
          <w:szCs w:val="24"/>
          <w:lang w:val="sk-SK" w:eastAsia="sk-SK"/>
        </w:rPr>
      </w:pPr>
      <w:r w:rsidRPr="002151F6">
        <w:rPr>
          <w:rFonts w:ascii="Times New Roman" w:hAnsi="Times New Roman"/>
          <w:b/>
          <w:bCs/>
          <w:sz w:val="24"/>
          <w:szCs w:val="24"/>
          <w:lang w:val="sk-SK" w:eastAsia="sk-SK"/>
        </w:rPr>
        <w:t>2.2. Popis a charakteristika návrhu</w:t>
      </w:r>
    </w:p>
    <w:p w:rsidR="002151F6" w:rsidRPr="002151F6" w:rsidP="002151F6">
      <w:pPr>
        <w:bidi w:val="0"/>
        <w:spacing w:after="0" w:line="240" w:lineRule="auto"/>
        <w:rPr>
          <w:rFonts w:ascii="Times New Roman" w:hAnsi="Times New Roman"/>
          <w:sz w:val="24"/>
          <w:szCs w:val="24"/>
          <w:lang w:val="sk-SK" w:eastAsia="sk-SK"/>
        </w:rPr>
      </w:pPr>
    </w:p>
    <w:p w:rsidR="002151F6" w:rsidRPr="002151F6" w:rsidP="002151F6">
      <w:pPr>
        <w:bidi w:val="0"/>
        <w:spacing w:after="0" w:line="240" w:lineRule="auto"/>
        <w:jc w:val="both"/>
        <w:rPr>
          <w:rFonts w:ascii="Times New Roman" w:hAnsi="Times New Roman"/>
          <w:b/>
          <w:bCs/>
          <w:sz w:val="24"/>
          <w:szCs w:val="24"/>
          <w:lang w:val="sk-SK" w:eastAsia="sk-SK"/>
        </w:rPr>
      </w:pPr>
      <w:r w:rsidRPr="002151F6">
        <w:rPr>
          <w:rFonts w:ascii="Times New Roman" w:hAnsi="Times New Roman"/>
          <w:b/>
          <w:bCs/>
          <w:sz w:val="24"/>
          <w:szCs w:val="24"/>
          <w:lang w:val="sk-SK" w:eastAsia="sk-SK"/>
        </w:rPr>
        <w:t>2.2.1. Popis návrhu:</w:t>
      </w:r>
    </w:p>
    <w:p w:rsidR="002151F6" w:rsidRPr="002151F6" w:rsidP="002151F6">
      <w:pPr>
        <w:bidi w:val="0"/>
        <w:spacing w:after="0" w:line="240" w:lineRule="auto"/>
        <w:jc w:val="both"/>
        <w:rPr>
          <w:rFonts w:ascii="Times New Roman" w:hAnsi="Times New Roman"/>
          <w:b/>
          <w:bCs/>
          <w:sz w:val="24"/>
          <w:szCs w:val="24"/>
          <w:lang w:val="sk-SK" w:eastAsia="sk-SK"/>
        </w:rPr>
      </w:pPr>
    </w:p>
    <w:p w:rsidR="002151F6" w:rsidRPr="002151F6" w:rsidP="002151F6">
      <w:pPr>
        <w:bidi w:val="0"/>
        <w:spacing w:after="0" w:line="240" w:lineRule="auto"/>
        <w:ind w:firstLine="708"/>
        <w:jc w:val="both"/>
        <w:rPr>
          <w:rFonts w:ascii="Times New Roman" w:hAnsi="Times New Roman"/>
          <w:sz w:val="24"/>
          <w:szCs w:val="24"/>
          <w:lang w:val="sk-SK" w:eastAsia="sk-SK"/>
        </w:rPr>
      </w:pPr>
      <w:r w:rsidRPr="002151F6">
        <w:rPr>
          <w:rFonts w:ascii="Times New Roman" w:hAnsi="Times New Roman"/>
          <w:sz w:val="24"/>
          <w:szCs w:val="24"/>
          <w:lang w:val="sk-SK" w:eastAsia="sk-SK"/>
        </w:rPr>
        <w:t>Akú problematiku návrh rieši? Kto bude návrh implementovať? Kde sa budú služby poskytovať?</w:t>
      </w:r>
    </w:p>
    <w:p w:rsidR="002151F6" w:rsidRPr="002151F6" w:rsidP="002151F6">
      <w:pPr>
        <w:bidi w:val="0"/>
        <w:spacing w:after="0" w:line="240" w:lineRule="auto"/>
        <w:rPr>
          <w:rFonts w:ascii="Times New Roman" w:hAnsi="Times New Roman"/>
          <w:sz w:val="24"/>
          <w:szCs w:val="24"/>
          <w:lang w:val="sk-SK" w:eastAsia="sk-SK"/>
        </w:rPr>
      </w:pPr>
    </w:p>
    <w:p w:rsidR="00281349" w:rsidRPr="00281349" w:rsidP="00673BF3">
      <w:pPr>
        <w:bidi w:val="0"/>
        <w:spacing w:after="0" w:line="240" w:lineRule="auto"/>
        <w:ind w:firstLine="708"/>
        <w:jc w:val="both"/>
        <w:rPr>
          <w:rFonts w:ascii="Times New Roman" w:hAnsi="Times New Roman"/>
          <w:sz w:val="24"/>
          <w:szCs w:val="24"/>
          <w:lang w:val="sk-SK" w:eastAsia="sk-SK"/>
        </w:rPr>
      </w:pPr>
      <w:r w:rsidRPr="002151F6" w:rsidR="002151F6">
        <w:rPr>
          <w:rFonts w:ascii="Times New Roman" w:hAnsi="Times New Roman"/>
          <w:sz w:val="24"/>
          <w:szCs w:val="24"/>
          <w:lang w:val="sk-SK" w:eastAsia="sk-SK"/>
        </w:rPr>
        <w:t xml:space="preserve">Spravodlivým kritériom na stanovenie základu registračného poplatku je hodnota vozidla. Určenie sadzby poplatku len podľa výkonu motora, ako je tomu v súčasnosti,  nie je dostatočné. Hodnota vozidla klesá podľa opotrebenia vozidla, ale predovšetkým podľa jeho veku. Preto sa navrhuje celková zmena systému určovania sadzieb tohto poplatku nielen podľa výkonu motora, ale aj podľa koeficientu zostatkovej hodnoty vozidla v čase. Výsledkom zmeny systému sú nové sadzby poplatku stanovené dosadením výkonových a vekových parametrov vozidla do vzorca ustanoveného v položke 65 sadzobníka správnych poplatkov. Takéto uplatnenie sadzieb umožňuje zníženie sadzieb poplatku pre absolútnu väčšinu nových vozidiel. V prípade druhého a ďalšieho zápisu držiteľa vozidla sa uplatnia sadzby zodpovedajúce veku tohto vozidla. Minimálna výška registračného poplatku je stanovená na 33 eur a slúži na pokrytie administratívnych úkonov spojených so zápisom držiteľa vozidla. </w:t>
      </w:r>
      <w:r w:rsidRPr="00281349">
        <w:rPr>
          <w:rFonts w:ascii="Times New Roman" w:hAnsi="Times New Roman"/>
          <w:b/>
          <w:sz w:val="24"/>
          <w:szCs w:val="24"/>
          <w:lang w:val="sk-SK" w:eastAsia="sk-SK"/>
        </w:rPr>
        <w:t xml:space="preserve">Finančný vplyv uplatnenia nových sadzieb registračného poplatku je z hľadiska verejných financií nastavený tak, aby bol rozpočtovo neutrálny. </w:t>
      </w:r>
      <w:r w:rsidRPr="00281349">
        <w:rPr>
          <w:rFonts w:ascii="Times New Roman" w:hAnsi="Times New Roman"/>
          <w:sz w:val="24"/>
          <w:szCs w:val="24"/>
          <w:lang w:val="sk-SK" w:eastAsia="sk-SK"/>
        </w:rPr>
        <w:t>Kumulatívny benefit obyvateľstva a podnikateľov zo znížených sadzieb poplatku pri zápise držiteľa sa rovná kumulatívnej strate obyvateľstva a podnikateľov zo zvýšených sadzieb pri ďalšom zápise držiteľa vozidla do evidencie.</w:t>
      </w:r>
      <w:r w:rsidRPr="00281349">
        <w:rPr>
          <w:rFonts w:ascii="Times New Roman" w:hAnsi="Times New Roman"/>
          <w:b/>
          <w:sz w:val="24"/>
          <w:szCs w:val="24"/>
          <w:lang w:val="sk-SK" w:eastAsia="sk-SK"/>
        </w:rPr>
        <w:t xml:space="preserve"> Celkový finančný vplyv je v dôsledku zníženia poplatku pre vozidlá s alternatívnym pohonom a zavedenia oslobodenia trvalého vyradenia vozidla podľa zákona o odpadoch negatívny. </w:t>
      </w:r>
    </w:p>
    <w:p w:rsidR="002151F6" w:rsidRPr="002151F6" w:rsidP="00281349">
      <w:pPr>
        <w:bidi w:val="0"/>
        <w:spacing w:after="0" w:line="240" w:lineRule="auto"/>
        <w:ind w:firstLine="708"/>
        <w:jc w:val="both"/>
        <w:rPr>
          <w:rFonts w:ascii="Times New Roman" w:hAnsi="Times New Roman"/>
          <w:sz w:val="24"/>
          <w:szCs w:val="24"/>
          <w:lang w:val="sk-SK" w:eastAsia="sk-SK"/>
        </w:rPr>
      </w:pPr>
    </w:p>
    <w:p w:rsidR="002151F6" w:rsidRPr="002151F6" w:rsidP="002151F6">
      <w:pPr>
        <w:bidi w:val="0"/>
        <w:spacing w:after="0" w:line="240" w:lineRule="auto"/>
        <w:jc w:val="both"/>
        <w:rPr>
          <w:rFonts w:ascii="Times New Roman" w:hAnsi="Times New Roman"/>
          <w:sz w:val="24"/>
          <w:szCs w:val="24"/>
          <w:lang w:val="sk-SK" w:eastAsia="sk-SK"/>
        </w:rPr>
      </w:pPr>
      <w:r w:rsidRPr="002151F6">
        <w:rPr>
          <w:rFonts w:ascii="Times New Roman" w:hAnsi="Times New Roman"/>
          <w:sz w:val="24"/>
          <w:szCs w:val="24"/>
          <w:lang w:val="sk-SK" w:eastAsia="sk-SK"/>
        </w:rPr>
        <w:t>Položka 65 sadzobníka správnych poplatkov, v ktorej je registračný poplatok implementovaný, sa vyberá na Oddeleniach dopravných inšpektorátov a Klientskych centrách Okresných úradov. Zmena systému určovania sadzieb nezakladá zvýšené požiadavky na zamestnancov verejnej správy, nemá vplyv na procesy a poskytovanie služieb verejnej správy, keďže poplatok sa vyberá prostredníctvom systému centrálnej evidencie poplatkov (systém eKolok) predovšetkým na samoobslužných zariadeniach prevádzkovateľa systému eKolok (kiosky), ale aj na mobilných zariadeniach alebo cez platobné predpisy generované úradníkom v Module správnych poplatkov (MSP). Navrhovaná zmena sa implementuje do rozhrania MSP, do kioskov a centrálneho systému evidencie poplatkov (IS PEP) v deň účinnosti zákona tak, ako keby šlo o štandardnú zmenu sadzieb poplatkov, ktorých je v jednom roku niekoľko. Vzorec uvedený v položke 65 generuje cca 300 kombinácií sadzieb s konečnou výškou poplatku, pričom pri individuálnom posúdení hodnoty vozidla podľa poznámky 4 položky 65 sa výška poplatku určí úradníkom.</w:t>
      </w:r>
    </w:p>
    <w:p w:rsidR="002151F6" w:rsidP="002151F6">
      <w:pPr>
        <w:bidi w:val="0"/>
        <w:spacing w:after="0" w:line="240" w:lineRule="auto"/>
        <w:rPr>
          <w:rFonts w:ascii="Times New Roman" w:hAnsi="Times New Roman"/>
          <w:sz w:val="24"/>
          <w:szCs w:val="24"/>
          <w:lang w:val="sk-SK" w:eastAsia="sk-SK"/>
        </w:rPr>
      </w:pPr>
    </w:p>
    <w:p w:rsidR="00281349" w:rsidRPr="00281349" w:rsidP="00281349">
      <w:pPr>
        <w:bidi w:val="0"/>
        <w:spacing w:line="240" w:lineRule="auto"/>
        <w:jc w:val="both"/>
        <w:rPr>
          <w:rFonts w:ascii="Times New Roman" w:hAnsi="Times New Roman"/>
          <w:sz w:val="24"/>
          <w:szCs w:val="24"/>
          <w:lang w:val="sk-SK" w:eastAsia="sk-SK"/>
        </w:rPr>
      </w:pPr>
      <w:r w:rsidRPr="00281349">
        <w:rPr>
          <w:rFonts w:ascii="Times New Roman" w:hAnsi="Times New Roman"/>
          <w:sz w:val="24"/>
          <w:szCs w:val="24"/>
          <w:lang w:val="sk-SK" w:eastAsia="sk-SK"/>
        </w:rPr>
        <w:t>Zároveň sa navrhuje doplnenie položky 73 d) sadzobníka správnych poplatkov, ktorým sa oslobodzuje platenie správneho poplatku pri trvalom vyradení vozidla z evidencie, ktoré podlieha spracovaniu podľa zákona o odpadoch.</w:t>
      </w:r>
    </w:p>
    <w:p w:rsidR="002151F6" w:rsidRPr="002151F6" w:rsidP="002151F6">
      <w:pPr>
        <w:bidi w:val="0"/>
        <w:spacing w:after="0" w:line="240" w:lineRule="auto"/>
        <w:jc w:val="both"/>
        <w:rPr>
          <w:rFonts w:ascii="Times New Roman" w:hAnsi="Times New Roman"/>
          <w:sz w:val="24"/>
          <w:szCs w:val="24"/>
          <w:lang w:val="sk-SK" w:eastAsia="sk-SK"/>
        </w:rPr>
      </w:pPr>
      <w:r w:rsidRPr="002151F6">
        <w:rPr>
          <w:rFonts w:ascii="Times New Roman" w:hAnsi="Times New Roman"/>
          <w:sz w:val="24"/>
          <w:szCs w:val="24"/>
          <w:lang w:val="sk-SK" w:eastAsia="sk-SK"/>
        </w:rPr>
        <w:t>Súčasne sa navrhuje zvýšenie poplatkov za udelenie a zmenu licencie na prevádzkovanie hazardných hier, čím sa cieli regulácia vydávania povolení na prevádzkovanie hazardných hier (položka 140 sadzobníka správnych poplatkov).</w:t>
      </w:r>
    </w:p>
    <w:p w:rsidR="002151F6" w:rsidRPr="002151F6" w:rsidP="002151F6">
      <w:pPr>
        <w:bidi w:val="0"/>
        <w:spacing w:after="0" w:line="240" w:lineRule="auto"/>
        <w:jc w:val="both"/>
        <w:rPr>
          <w:rFonts w:ascii="Times New Roman" w:hAnsi="Times New Roman"/>
          <w:sz w:val="24"/>
          <w:szCs w:val="24"/>
          <w:lang w:val="sk-SK" w:eastAsia="sk-SK"/>
        </w:rPr>
      </w:pPr>
      <w:r w:rsidRPr="002151F6">
        <w:rPr>
          <w:rFonts w:ascii="Times New Roman" w:hAnsi="Times New Roman"/>
          <w:sz w:val="24"/>
          <w:szCs w:val="24"/>
          <w:lang w:val="sk-SK" w:eastAsia="sk-SK"/>
        </w:rPr>
        <w:t>V súvislosti s návrhom na oslobodenie subjektu Slovenská konsolidačná, ktorý vymáha pohľadávky verejného sektora podľa zákona č. 374/2014 Z. z. o pohľadávkach štátu a o zmene a doplnení niektorých zákonov, sa cieli zjednodušenie administratívneho postupu pri súdnych konaniach v prípadoch, keď sa vymáhajú pohľadávky verejného sektora. Ušetrené náklady na súdne poplatky sa prejavia v zlepšenom hospodárení Slovenskej konsolidačnej, ktoré si môže štát premietnuť do vyšších dividend, preto je vplyv na hospodárenie verejných financií neutrálny.</w:t>
      </w:r>
    </w:p>
    <w:p w:rsidR="002151F6" w:rsidRPr="002151F6" w:rsidP="002151F6">
      <w:pPr>
        <w:bidi w:val="0"/>
        <w:spacing w:after="0" w:line="240" w:lineRule="auto"/>
        <w:rPr>
          <w:rFonts w:ascii="Times New Roman" w:hAnsi="Times New Roman"/>
          <w:sz w:val="24"/>
          <w:szCs w:val="24"/>
          <w:lang w:val="sk-SK" w:eastAsia="sk-SK"/>
        </w:rPr>
      </w:pPr>
      <w:r w:rsidRPr="002151F6">
        <w:rPr>
          <w:rFonts w:ascii="Times New Roman" w:hAnsi="Times New Roman"/>
          <w:sz w:val="24"/>
          <w:szCs w:val="24"/>
          <w:lang w:val="sk-SK" w:eastAsia="sk-SK"/>
        </w:rPr>
        <w:t>.......................................................................................................................................................</w:t>
      </w:r>
    </w:p>
    <w:p w:rsidR="002151F6" w:rsidRPr="002151F6" w:rsidP="002151F6">
      <w:pPr>
        <w:bidi w:val="0"/>
        <w:spacing w:after="0" w:line="240" w:lineRule="auto"/>
        <w:rPr>
          <w:rFonts w:ascii="Times New Roman" w:hAnsi="Times New Roman"/>
          <w:sz w:val="24"/>
          <w:szCs w:val="24"/>
          <w:lang w:val="sk-SK" w:eastAsia="sk-SK"/>
        </w:rPr>
      </w:pPr>
    </w:p>
    <w:p w:rsidR="002151F6" w:rsidRPr="002151F6" w:rsidP="002151F6">
      <w:pPr>
        <w:bidi w:val="0"/>
        <w:spacing w:after="0" w:line="240" w:lineRule="auto"/>
        <w:rPr>
          <w:rFonts w:ascii="Times New Roman" w:hAnsi="Times New Roman"/>
          <w:sz w:val="24"/>
          <w:szCs w:val="24"/>
          <w:lang w:val="sk-SK" w:eastAsia="sk-SK"/>
        </w:rPr>
      </w:pPr>
    </w:p>
    <w:p w:rsidR="002151F6" w:rsidRPr="002151F6" w:rsidP="002151F6">
      <w:pPr>
        <w:bidi w:val="0"/>
        <w:spacing w:after="0" w:line="240" w:lineRule="auto"/>
        <w:rPr>
          <w:rFonts w:ascii="Times New Roman" w:hAnsi="Times New Roman"/>
          <w:b/>
          <w:bCs/>
          <w:sz w:val="24"/>
          <w:szCs w:val="24"/>
          <w:lang w:val="sk-SK" w:eastAsia="sk-SK"/>
        </w:rPr>
      </w:pPr>
      <w:r w:rsidRPr="002151F6">
        <w:rPr>
          <w:rFonts w:ascii="Times New Roman" w:hAnsi="Times New Roman"/>
          <w:b/>
          <w:bCs/>
          <w:sz w:val="24"/>
          <w:szCs w:val="24"/>
          <w:lang w:val="sk-SK" w:eastAsia="sk-SK"/>
        </w:rPr>
        <w:t>2.2.2. Charakteristika návrhu:</w:t>
      </w:r>
    </w:p>
    <w:p w:rsidR="002151F6" w:rsidRPr="002151F6" w:rsidP="002151F6">
      <w:pPr>
        <w:bidi w:val="0"/>
        <w:spacing w:after="0" w:line="240" w:lineRule="auto"/>
        <w:rPr>
          <w:rFonts w:ascii="Times New Roman" w:hAnsi="Times New Roman"/>
          <w:sz w:val="24"/>
          <w:szCs w:val="24"/>
          <w:lang w:val="sk-SK" w:eastAsia="sk-SK"/>
        </w:rPr>
      </w:pPr>
    </w:p>
    <w:p w:rsidR="002151F6" w:rsidRPr="002151F6" w:rsidP="002151F6">
      <w:pPr>
        <w:bidi w:val="0"/>
        <w:spacing w:after="0" w:line="240" w:lineRule="auto"/>
        <w:rPr>
          <w:rFonts w:ascii="Times New Roman" w:hAnsi="Times New Roman"/>
          <w:sz w:val="24"/>
          <w:szCs w:val="24"/>
          <w:lang w:val="sk-SK" w:eastAsia="sk-SK"/>
        </w:rPr>
      </w:pPr>
      <w:r w:rsidRPr="002151F6" w:rsidR="00281349">
        <w:rPr>
          <w:rFonts w:ascii="Times New Roman" w:hAnsi="Times New Roman"/>
          <w:sz w:val="24"/>
          <w:szCs w:val="24"/>
          <w:bdr w:val="single" w:sz="4" w:space="0" w:color="auto"/>
          <w:lang w:val="sk-SK" w:eastAsia="sk-SK"/>
        </w:rPr>
        <w:t xml:space="preserve">     </w:t>
      </w:r>
      <w:r w:rsidRPr="002151F6">
        <w:rPr>
          <w:rFonts w:ascii="Times New Roman" w:hAnsi="Times New Roman"/>
          <w:b/>
          <w:sz w:val="24"/>
          <w:szCs w:val="24"/>
          <w:lang w:val="sk-SK" w:eastAsia="sk-SK"/>
        </w:rPr>
        <w:t xml:space="preserve">  </w:t>
      </w:r>
      <w:r w:rsidRPr="002151F6">
        <w:rPr>
          <w:rFonts w:ascii="Times New Roman" w:hAnsi="Times New Roman"/>
          <w:sz w:val="24"/>
          <w:szCs w:val="24"/>
          <w:lang w:val="sk-SK" w:eastAsia="sk-SK"/>
        </w:rPr>
        <w:t>zmena sadzby</w:t>
      </w:r>
    </w:p>
    <w:p w:rsidR="002151F6" w:rsidRPr="002151F6" w:rsidP="002151F6">
      <w:pPr>
        <w:bidi w:val="0"/>
        <w:spacing w:after="0" w:line="240" w:lineRule="auto"/>
        <w:rPr>
          <w:rFonts w:ascii="Times New Roman" w:hAnsi="Times New Roman"/>
          <w:sz w:val="24"/>
          <w:szCs w:val="24"/>
          <w:lang w:val="sk-SK" w:eastAsia="sk-SK"/>
        </w:rPr>
      </w:pPr>
      <w:r w:rsidRPr="002151F6">
        <w:rPr>
          <w:rFonts w:ascii="Times New Roman" w:hAnsi="Times New Roman"/>
          <w:sz w:val="24"/>
          <w:szCs w:val="24"/>
          <w:bdr w:val="single" w:sz="4" w:space="0" w:color="auto"/>
          <w:lang w:val="sk-SK" w:eastAsia="sk-SK"/>
        </w:rPr>
        <w:t xml:space="preserve">     </w:t>
      </w:r>
      <w:r w:rsidRPr="002151F6">
        <w:rPr>
          <w:rFonts w:ascii="Times New Roman" w:hAnsi="Times New Roman"/>
          <w:sz w:val="24"/>
          <w:szCs w:val="24"/>
          <w:lang w:val="sk-SK" w:eastAsia="sk-SK"/>
        </w:rPr>
        <w:t xml:space="preserve">  zmena v nároku</w:t>
      </w:r>
    </w:p>
    <w:p w:rsidR="002151F6" w:rsidRPr="002151F6" w:rsidP="002151F6">
      <w:pPr>
        <w:bidi w:val="0"/>
        <w:spacing w:after="0" w:line="240" w:lineRule="auto"/>
        <w:rPr>
          <w:rFonts w:ascii="Times New Roman" w:hAnsi="Times New Roman"/>
          <w:sz w:val="24"/>
          <w:szCs w:val="24"/>
          <w:lang w:val="sk-SK" w:eastAsia="sk-SK"/>
        </w:rPr>
      </w:pPr>
      <w:r w:rsidRPr="002151F6">
        <w:rPr>
          <w:rFonts w:ascii="Times New Roman" w:hAnsi="Times New Roman"/>
          <w:sz w:val="24"/>
          <w:szCs w:val="24"/>
          <w:bdr w:val="single" w:sz="4" w:space="0" w:color="auto"/>
          <w:lang w:val="sk-SK" w:eastAsia="sk-SK"/>
        </w:rPr>
        <w:t xml:space="preserve">     </w:t>
      </w:r>
      <w:r w:rsidRPr="002151F6">
        <w:rPr>
          <w:rFonts w:ascii="Times New Roman" w:hAnsi="Times New Roman"/>
          <w:sz w:val="24"/>
          <w:szCs w:val="24"/>
          <w:lang w:val="sk-SK" w:eastAsia="sk-SK"/>
        </w:rPr>
        <w:t xml:space="preserve">  nová služba alebo nariadenie (alebo ich zrušenie)</w:t>
      </w:r>
    </w:p>
    <w:p w:rsidR="002151F6" w:rsidRPr="002151F6" w:rsidP="002151F6">
      <w:pPr>
        <w:bidi w:val="0"/>
        <w:spacing w:after="0" w:line="240" w:lineRule="auto"/>
        <w:rPr>
          <w:rFonts w:ascii="Times New Roman" w:hAnsi="Times New Roman"/>
          <w:sz w:val="24"/>
          <w:szCs w:val="24"/>
          <w:lang w:val="sk-SK" w:eastAsia="sk-SK"/>
        </w:rPr>
      </w:pPr>
      <w:r w:rsidRPr="002151F6">
        <w:rPr>
          <w:rFonts w:ascii="Times New Roman" w:hAnsi="Times New Roman"/>
          <w:sz w:val="24"/>
          <w:szCs w:val="24"/>
          <w:bdr w:val="single" w:sz="4" w:space="0" w:color="auto"/>
          <w:lang w:val="sk-SK" w:eastAsia="sk-SK"/>
        </w:rPr>
        <w:t xml:space="preserve"> </w:t>
      </w:r>
      <w:r w:rsidR="00281349">
        <w:rPr>
          <w:rFonts w:ascii="Times New Roman" w:hAnsi="Times New Roman"/>
          <w:sz w:val="24"/>
          <w:szCs w:val="24"/>
          <w:bdr w:val="single" w:sz="4" w:space="0" w:color="auto"/>
          <w:lang w:val="sk-SK" w:eastAsia="sk-SK"/>
        </w:rPr>
        <w:t>x</w:t>
      </w:r>
      <w:r w:rsidRPr="002151F6">
        <w:rPr>
          <w:rFonts w:ascii="Times New Roman" w:hAnsi="Times New Roman"/>
          <w:sz w:val="24"/>
          <w:szCs w:val="24"/>
          <w:bdr w:val="single" w:sz="4" w:space="0" w:color="auto"/>
          <w:lang w:val="sk-SK" w:eastAsia="sk-SK"/>
        </w:rPr>
        <w:t xml:space="preserve">  </w:t>
      </w:r>
      <w:r w:rsidRPr="002151F6">
        <w:rPr>
          <w:rFonts w:ascii="Times New Roman" w:hAnsi="Times New Roman"/>
          <w:sz w:val="24"/>
          <w:szCs w:val="24"/>
          <w:lang w:val="sk-SK" w:eastAsia="sk-SK"/>
        </w:rPr>
        <w:t xml:space="preserve">  kombinovaný návrh</w:t>
      </w:r>
    </w:p>
    <w:p w:rsidR="002151F6" w:rsidRPr="002151F6" w:rsidP="002151F6">
      <w:pPr>
        <w:bidi w:val="0"/>
        <w:spacing w:after="0" w:line="240" w:lineRule="auto"/>
        <w:rPr>
          <w:rFonts w:ascii="Times New Roman" w:hAnsi="Times New Roman"/>
          <w:sz w:val="24"/>
          <w:szCs w:val="24"/>
          <w:lang w:val="sk-SK" w:eastAsia="sk-SK"/>
        </w:rPr>
      </w:pPr>
      <w:r w:rsidRPr="002151F6">
        <w:rPr>
          <w:rFonts w:ascii="Times New Roman" w:hAnsi="Times New Roman"/>
          <w:sz w:val="24"/>
          <w:szCs w:val="24"/>
          <w:bdr w:val="single" w:sz="4" w:space="0" w:color="auto"/>
          <w:lang w:val="sk-SK" w:eastAsia="sk-SK"/>
        </w:rPr>
        <w:t xml:space="preserve">     </w:t>
      </w:r>
      <w:r w:rsidRPr="002151F6">
        <w:rPr>
          <w:rFonts w:ascii="Times New Roman" w:hAnsi="Times New Roman"/>
          <w:sz w:val="24"/>
          <w:szCs w:val="24"/>
          <w:lang w:val="sk-SK" w:eastAsia="sk-SK"/>
        </w:rPr>
        <w:t xml:space="preserve">  iné </w:t>
      </w:r>
    </w:p>
    <w:p w:rsidR="002151F6" w:rsidRPr="002151F6" w:rsidP="002151F6">
      <w:pPr>
        <w:bidi w:val="0"/>
        <w:spacing w:after="0" w:line="240" w:lineRule="auto"/>
        <w:rPr>
          <w:rFonts w:ascii="Times New Roman" w:hAnsi="Times New Roman"/>
          <w:sz w:val="24"/>
          <w:szCs w:val="24"/>
          <w:lang w:val="sk-SK" w:eastAsia="sk-SK"/>
        </w:rPr>
      </w:pPr>
    </w:p>
    <w:p w:rsidR="002151F6" w:rsidRPr="002151F6" w:rsidP="002151F6">
      <w:pPr>
        <w:bidi w:val="0"/>
        <w:spacing w:after="0" w:line="240" w:lineRule="auto"/>
        <w:rPr>
          <w:rFonts w:ascii="Times New Roman" w:hAnsi="Times New Roman"/>
          <w:sz w:val="24"/>
          <w:szCs w:val="24"/>
          <w:lang w:val="sk-SK" w:eastAsia="sk-SK"/>
        </w:rPr>
      </w:pPr>
    </w:p>
    <w:p w:rsidR="002151F6" w:rsidRPr="002151F6" w:rsidP="002151F6">
      <w:pPr>
        <w:bidi w:val="0"/>
        <w:spacing w:after="0" w:line="240" w:lineRule="auto"/>
        <w:rPr>
          <w:rFonts w:ascii="Times New Roman" w:hAnsi="Times New Roman"/>
          <w:sz w:val="24"/>
          <w:szCs w:val="24"/>
          <w:lang w:val="sk-SK" w:eastAsia="sk-SK"/>
        </w:rPr>
      </w:pPr>
      <w:r w:rsidRPr="002151F6">
        <w:rPr>
          <w:rFonts w:ascii="Times New Roman" w:hAnsi="Times New Roman"/>
          <w:b/>
          <w:bCs/>
          <w:sz w:val="24"/>
          <w:szCs w:val="24"/>
          <w:lang w:val="sk-SK" w:eastAsia="sk-SK"/>
        </w:rPr>
        <w:t>2.2.3. Predpoklady vývoja objemu aktivít:</w:t>
      </w:r>
    </w:p>
    <w:p w:rsidR="002151F6" w:rsidRPr="002151F6" w:rsidP="002151F6">
      <w:pPr>
        <w:bidi w:val="0"/>
        <w:spacing w:after="0" w:line="240" w:lineRule="auto"/>
        <w:rPr>
          <w:rFonts w:ascii="Times New Roman" w:hAnsi="Times New Roman"/>
          <w:sz w:val="24"/>
          <w:szCs w:val="24"/>
          <w:lang w:val="sk-SK" w:eastAsia="sk-SK"/>
        </w:rPr>
      </w:pPr>
    </w:p>
    <w:p w:rsidR="002151F6" w:rsidRPr="002151F6" w:rsidP="002151F6">
      <w:pPr>
        <w:bidi w:val="0"/>
        <w:spacing w:after="0" w:line="240" w:lineRule="auto"/>
        <w:jc w:val="both"/>
        <w:rPr>
          <w:rFonts w:ascii="Times New Roman" w:hAnsi="Times New Roman"/>
          <w:sz w:val="24"/>
          <w:szCs w:val="24"/>
          <w:lang w:val="sk-SK" w:eastAsia="sk-SK"/>
        </w:rPr>
      </w:pPr>
      <w:r w:rsidRPr="002151F6">
        <w:rPr>
          <w:rFonts w:ascii="Times New Roman" w:hAnsi="Times New Roman"/>
          <w:sz w:val="24"/>
          <w:szCs w:val="24"/>
          <w:lang w:val="sk-SK" w:eastAsia="sk-SK"/>
        </w:rPr>
        <w:t>Navrhovanou zmenou sadzieb sa nepredpokladá ani pozitívny ani negatívny vplyv na správanie sa podnikateľov a obyvateľstva pri evidencii vozidiel do registra vozidiel v Slovenskej republike. Z tohto dôvodu početnosť úkonov príslušných správnych orgánov v horizonte jedného roka zostáva zachovaný. Nové sadzby, ktoré vyplývajú dosadením hodnôt do vzorca sú nastavené tak, aby neznamenali výpadok, ale súčasne ani dodatočný príjem verejných financií.</w:t>
      </w:r>
    </w:p>
    <w:p w:rsidR="002151F6" w:rsidRPr="002151F6" w:rsidP="002151F6">
      <w:pPr>
        <w:bidi w:val="0"/>
        <w:spacing w:after="0" w:line="240" w:lineRule="auto"/>
        <w:jc w:val="both"/>
        <w:rPr>
          <w:rFonts w:ascii="Times New Roman" w:hAnsi="Times New Roman"/>
          <w:sz w:val="24"/>
          <w:szCs w:val="24"/>
          <w:lang w:val="sk-SK" w:eastAsia="sk-SK"/>
        </w:rPr>
      </w:pPr>
    </w:p>
    <w:p w:rsidR="002151F6" w:rsidRPr="002151F6" w:rsidP="002151F6">
      <w:pPr>
        <w:bidi w:val="0"/>
        <w:spacing w:after="0" w:line="240" w:lineRule="auto"/>
        <w:jc w:val="both"/>
        <w:rPr>
          <w:rFonts w:ascii="Times New Roman" w:hAnsi="Times New Roman"/>
          <w:sz w:val="24"/>
          <w:szCs w:val="24"/>
          <w:lang w:val="sk-SK" w:eastAsia="sk-SK"/>
        </w:rPr>
      </w:pPr>
      <w:r w:rsidRPr="002151F6">
        <w:rPr>
          <w:rFonts w:ascii="Times New Roman" w:hAnsi="Times New Roman"/>
          <w:sz w:val="24"/>
          <w:szCs w:val="24"/>
          <w:lang w:val="sk-SK" w:eastAsia="sk-SK"/>
        </w:rPr>
        <w:t>Pri vydávaní individuálnych licencií na prevádzkovanie hazardných hier sa zvýšením poplatkov predpokladá stabilizácia počtu návrhov na dodatkovanie (spracovanie zmeny) v udelených licenciách.</w:t>
      </w:r>
    </w:p>
    <w:p w:rsidR="002151F6" w:rsidRPr="002151F6" w:rsidP="002151F6">
      <w:pPr>
        <w:bidi w:val="0"/>
        <w:spacing w:after="0" w:line="240" w:lineRule="auto"/>
        <w:rPr>
          <w:rFonts w:ascii="Times New Roman" w:hAnsi="Times New Roman"/>
          <w:sz w:val="24"/>
          <w:szCs w:val="24"/>
          <w:lang w:val="sk-SK" w:eastAsia="sk-SK"/>
        </w:rPr>
      </w:pPr>
    </w:p>
    <w:p w:rsidR="002151F6" w:rsidRPr="002151F6" w:rsidP="002151F6">
      <w:pPr>
        <w:bidi w:val="0"/>
        <w:spacing w:after="0" w:line="240" w:lineRule="auto"/>
        <w:rPr>
          <w:rFonts w:ascii="Times New Roman" w:hAnsi="Times New Roman"/>
          <w:b/>
          <w:bCs/>
          <w:sz w:val="24"/>
          <w:szCs w:val="24"/>
          <w:lang w:val="sk-SK" w:eastAsia="sk-SK"/>
        </w:rPr>
      </w:pPr>
      <w:r w:rsidRPr="002151F6">
        <w:rPr>
          <w:rFonts w:ascii="Times New Roman" w:hAnsi="Times New Roman"/>
          <w:b/>
          <w:bCs/>
          <w:sz w:val="24"/>
          <w:szCs w:val="24"/>
          <w:lang w:val="sk-SK" w:eastAsia="sk-SK"/>
        </w:rPr>
        <w:t>2.2.4. Výpočty vplyvov na verejné financie</w:t>
      </w:r>
    </w:p>
    <w:p w:rsidR="002151F6" w:rsidRPr="002151F6" w:rsidP="002151F6">
      <w:pPr>
        <w:bidi w:val="0"/>
        <w:spacing w:after="0" w:line="240" w:lineRule="auto"/>
        <w:rPr>
          <w:rFonts w:ascii="Times New Roman" w:hAnsi="Times New Roman"/>
          <w:sz w:val="24"/>
          <w:szCs w:val="24"/>
          <w:lang w:val="sk-SK" w:eastAsia="sk-SK"/>
        </w:rPr>
      </w:pPr>
    </w:p>
    <w:p w:rsidR="002151F6" w:rsidRPr="002151F6" w:rsidP="002151F6">
      <w:pPr>
        <w:bidi w:val="0"/>
        <w:spacing w:after="0" w:line="240" w:lineRule="auto"/>
        <w:ind w:firstLine="708"/>
        <w:jc w:val="both"/>
        <w:rPr>
          <w:rFonts w:ascii="Times New Roman" w:hAnsi="Times New Roman"/>
          <w:sz w:val="24"/>
          <w:szCs w:val="24"/>
          <w:lang w:val="sk-SK" w:eastAsia="sk-SK"/>
        </w:rPr>
      </w:pPr>
      <w:r w:rsidRPr="002151F6">
        <w:rPr>
          <w:rFonts w:ascii="Times New Roman" w:hAnsi="Times New Roman"/>
          <w:sz w:val="24"/>
          <w:szCs w:val="24"/>
          <w:lang w:val="sk-SK" w:eastAsia="sk-SK"/>
        </w:rPr>
        <w:t>Ročne sa v Slovenskej republike zapíše do evidencie vozidiel približne 135 000 nových vozidiel kategórií L, M</w:t>
      </w:r>
      <w:r w:rsidRPr="002151F6">
        <w:rPr>
          <w:rFonts w:ascii="Times New Roman" w:hAnsi="Times New Roman"/>
          <w:sz w:val="24"/>
          <w:szCs w:val="24"/>
          <w:vertAlign w:val="subscript"/>
          <w:lang w:val="sk-SK" w:eastAsia="sk-SK"/>
        </w:rPr>
        <w:t>1</w:t>
      </w:r>
      <w:r w:rsidRPr="002151F6">
        <w:rPr>
          <w:rFonts w:ascii="Times New Roman" w:hAnsi="Times New Roman"/>
          <w:sz w:val="24"/>
          <w:szCs w:val="24"/>
          <w:lang w:val="sk-SK" w:eastAsia="sk-SK"/>
        </w:rPr>
        <w:t>, N</w:t>
      </w:r>
      <w:r w:rsidRPr="002151F6">
        <w:rPr>
          <w:rFonts w:ascii="Times New Roman" w:hAnsi="Times New Roman"/>
          <w:sz w:val="24"/>
          <w:szCs w:val="24"/>
          <w:vertAlign w:val="subscript"/>
          <w:lang w:val="sk-SK" w:eastAsia="sk-SK"/>
        </w:rPr>
        <w:t>1</w:t>
      </w:r>
      <w:r w:rsidRPr="002151F6">
        <w:rPr>
          <w:rFonts w:ascii="Times New Roman" w:hAnsi="Times New Roman"/>
          <w:sz w:val="24"/>
          <w:szCs w:val="24"/>
          <w:lang w:val="sk-SK" w:eastAsia="sk-SK"/>
        </w:rPr>
        <w:t xml:space="preserve"> (vrátane vozidiel dovezených zo zahraničia), pričom ďalších registrácii tuzemských vozidiel kategórií L, M</w:t>
      </w:r>
      <w:r w:rsidRPr="002151F6">
        <w:rPr>
          <w:rFonts w:ascii="Times New Roman" w:hAnsi="Times New Roman"/>
          <w:sz w:val="24"/>
          <w:szCs w:val="24"/>
          <w:vertAlign w:val="subscript"/>
          <w:lang w:val="sk-SK" w:eastAsia="sk-SK"/>
        </w:rPr>
        <w:t>1</w:t>
      </w:r>
      <w:r w:rsidRPr="002151F6">
        <w:rPr>
          <w:rFonts w:ascii="Times New Roman" w:hAnsi="Times New Roman"/>
          <w:sz w:val="24"/>
          <w:szCs w:val="24"/>
          <w:lang w:val="sk-SK" w:eastAsia="sk-SK"/>
        </w:rPr>
        <w:t>, N</w:t>
      </w:r>
      <w:r w:rsidRPr="002151F6">
        <w:rPr>
          <w:rFonts w:ascii="Times New Roman" w:hAnsi="Times New Roman"/>
          <w:sz w:val="24"/>
          <w:szCs w:val="24"/>
          <w:vertAlign w:val="subscript"/>
          <w:lang w:val="sk-SK" w:eastAsia="sk-SK"/>
        </w:rPr>
        <w:t>1</w:t>
      </w:r>
      <w:r w:rsidRPr="002151F6">
        <w:rPr>
          <w:rFonts w:ascii="Times New Roman" w:hAnsi="Times New Roman"/>
          <w:sz w:val="24"/>
          <w:szCs w:val="24"/>
          <w:lang w:val="sk-SK" w:eastAsia="sk-SK"/>
        </w:rPr>
        <w:t xml:space="preserve"> je ročne zaznamenaných približne 280 000. Celkový výber registračného poplatku pri prvej registrácii predstavuje ročne 36,6 mil. EUR a pri ďalšej registrácii 9,2 mil. EUR (spolu teda takmer 47 mil. EUR). Väčšina nových držiteľov z prvej skupiny bude po zmene benefitovať, pretože sadzby poplatku sa im znížia. Menšia časť z druhej skupiny (tuzemské vozidlá) bude pri evidencii vozidla platiť vyšší poplatok. Bližšie čísla uvádza nasledovná tabuľka.</w:t>
      </w:r>
    </w:p>
    <w:p w:rsidR="002151F6" w:rsidRPr="002151F6" w:rsidP="002151F6">
      <w:pPr>
        <w:bidi w:val="0"/>
        <w:spacing w:after="0" w:line="240" w:lineRule="auto"/>
        <w:ind w:firstLine="708"/>
        <w:jc w:val="both"/>
        <w:rPr>
          <w:rFonts w:ascii="Times New Roman" w:hAnsi="Times New Roman"/>
          <w:sz w:val="24"/>
          <w:szCs w:val="24"/>
          <w:lang w:val="sk-SK" w:eastAsia="sk-SK"/>
        </w:rPr>
      </w:pPr>
    </w:p>
    <w:tbl>
      <w:tblPr>
        <w:tblStyle w:val="TableNormal"/>
        <w:tblW w:w="8188" w:type="dxa"/>
        <w:jc w:val="center"/>
        <w:tblCellMar>
          <w:left w:w="70" w:type="dxa"/>
          <w:right w:w="70" w:type="dxa"/>
        </w:tblCellMar>
      </w:tblPr>
      <w:tblGrid>
        <w:gridCol w:w="180"/>
        <w:gridCol w:w="1770"/>
        <w:gridCol w:w="1007"/>
        <w:gridCol w:w="153"/>
        <w:gridCol w:w="1123"/>
        <w:gridCol w:w="1007"/>
        <w:gridCol w:w="119"/>
        <w:gridCol w:w="858"/>
        <w:gridCol w:w="1009"/>
        <w:gridCol w:w="134"/>
        <w:gridCol w:w="843"/>
      </w:tblGrid>
      <w:tr>
        <w:tblPrEx>
          <w:tblW w:w="8188" w:type="dxa"/>
          <w:jc w:val="center"/>
          <w:tblCellMar>
            <w:left w:w="70" w:type="dxa"/>
            <w:right w:w="70" w:type="dxa"/>
          </w:tblCellMar>
        </w:tblPrEx>
        <w:trPr>
          <w:trHeight w:hRule="exact" w:val="284"/>
          <w:jc w:val="center"/>
        </w:trPr>
        <w:tc>
          <w:tcPr>
            <w:tcW w:w="8188" w:type="dxa"/>
            <w:gridSpan w:val="11"/>
            <w:tcBorders>
              <w:top w:val="nil"/>
              <w:left w:val="nil"/>
              <w:bottom w:val="none" w:sz="0" w:space="0" w:color="auto"/>
              <w:right w:val="nil"/>
            </w:tcBorders>
            <w:shd w:val="clear" w:color="auto" w:fill="000000"/>
            <w:textDirection w:val="lrTb"/>
            <w:vAlign w:val="center"/>
          </w:tcPr>
          <w:p w:rsidR="002151F6" w:rsidRPr="002151F6" w:rsidP="00501AD0">
            <w:pPr>
              <w:pStyle w:val="Heading3"/>
              <w:bidi w:val="0"/>
              <w:spacing w:after="0" w:line="240" w:lineRule="auto"/>
            </w:pPr>
            <w:r w:rsidRPr="002151F6">
              <w:t>Zmeny sadzieb registračného poplatku z pohľadu počtu poplatníkov</w:t>
            </w:r>
          </w:p>
        </w:tc>
      </w:tr>
      <w:tr>
        <w:tblPrEx>
          <w:tblW w:w="8188" w:type="dxa"/>
          <w:jc w:val="center"/>
          <w:tblCellMar>
            <w:left w:w="70" w:type="dxa"/>
            <w:right w:w="70" w:type="dxa"/>
          </w:tblCellMar>
        </w:tblPrEx>
        <w:trPr>
          <w:trHeight w:val="283"/>
          <w:jc w:val="center"/>
        </w:trPr>
        <w:tc>
          <w:tcPr>
            <w:tcW w:w="1950" w:type="dxa"/>
            <w:gridSpan w:val="2"/>
            <w:tcBorders>
              <w:top w:val="nil"/>
              <w:left w:val="nil"/>
              <w:bottom w:val="none" w:sz="0" w:space="0" w:color="auto"/>
              <w:right w:val="single" w:sz="4" w:space="0" w:color="auto"/>
            </w:tcBorders>
            <w:shd w:val="clear" w:color="auto" w:fill="BFBFBF"/>
            <w:noWrap/>
            <w:textDirection w:val="lrTb"/>
            <w:vAlign w:val="center"/>
          </w:tcPr>
          <w:p w:rsidR="002151F6" w:rsidRPr="002151F6" w:rsidP="00501AD0">
            <w:pPr>
              <w:bidi w:val="0"/>
              <w:spacing w:after="0"/>
              <w:jc w:val="center"/>
              <w:rPr>
                <w:rFonts w:cs="Arial Narrow"/>
                <w:b/>
                <w:bCs/>
                <w:sz w:val="18"/>
                <w:szCs w:val="18"/>
                <w:lang w:val="sk-SK"/>
              </w:rPr>
            </w:pPr>
            <w:r w:rsidRPr="002151F6">
              <w:rPr>
                <w:rFonts w:cs="Arial Narrow"/>
                <w:b/>
                <w:bCs/>
                <w:sz w:val="18"/>
                <w:szCs w:val="18"/>
                <w:lang w:val="sk-SK"/>
              </w:rPr>
              <w:t>Kategórie vozidiel L, M</w:t>
            </w:r>
            <w:r w:rsidRPr="002151F6">
              <w:rPr>
                <w:rFonts w:cs="Arial Narrow"/>
                <w:b/>
                <w:bCs/>
                <w:sz w:val="18"/>
                <w:szCs w:val="18"/>
                <w:vertAlign w:val="subscript"/>
                <w:lang w:val="sk-SK"/>
              </w:rPr>
              <w:t>1</w:t>
            </w:r>
            <w:r w:rsidRPr="002151F6">
              <w:rPr>
                <w:rFonts w:cs="Arial Narrow"/>
                <w:b/>
                <w:bCs/>
                <w:sz w:val="18"/>
                <w:szCs w:val="18"/>
                <w:lang w:val="sk-SK"/>
              </w:rPr>
              <w:t>, N</w:t>
            </w:r>
            <w:r w:rsidRPr="002151F6">
              <w:rPr>
                <w:rFonts w:cs="Arial Narrow"/>
                <w:b/>
                <w:bCs/>
                <w:sz w:val="18"/>
                <w:szCs w:val="18"/>
                <w:vertAlign w:val="subscript"/>
                <w:lang w:val="sk-SK"/>
              </w:rPr>
              <w:t>1</w:t>
            </w:r>
          </w:p>
        </w:tc>
        <w:tc>
          <w:tcPr>
            <w:tcW w:w="1041" w:type="dxa"/>
            <w:tcBorders>
              <w:top w:val="nil"/>
              <w:left w:val="single" w:sz="4" w:space="0" w:color="auto"/>
              <w:bottom w:val="none" w:sz="0" w:space="0" w:color="auto"/>
              <w:right w:val="nil"/>
            </w:tcBorders>
            <w:shd w:val="clear" w:color="auto" w:fill="BFBFBF"/>
            <w:textDirection w:val="lrTb"/>
            <w:vAlign w:val="center"/>
          </w:tcPr>
          <w:p w:rsidR="002151F6" w:rsidRPr="002151F6" w:rsidP="00501AD0">
            <w:pPr>
              <w:bidi w:val="0"/>
              <w:spacing w:after="0"/>
              <w:jc w:val="center"/>
              <w:rPr>
                <w:rFonts w:cs="Arial"/>
                <w:b/>
                <w:bCs/>
                <w:sz w:val="18"/>
                <w:szCs w:val="18"/>
                <w:lang w:val="sk-SK"/>
              </w:rPr>
            </w:pPr>
            <w:r w:rsidRPr="002151F6">
              <w:rPr>
                <w:rFonts w:cs="Arial"/>
                <w:b/>
                <w:bCs/>
                <w:sz w:val="20"/>
                <w:szCs w:val="20"/>
                <w:lang w:val="sk-SK"/>
              </w:rPr>
              <w:t>Prvá registrácia</w:t>
            </w:r>
          </w:p>
        </w:tc>
        <w:tc>
          <w:tcPr>
            <w:tcW w:w="1276" w:type="dxa"/>
            <w:gridSpan w:val="2"/>
            <w:tcBorders>
              <w:top w:val="nil"/>
              <w:left w:val="nil"/>
              <w:bottom w:val="none" w:sz="0" w:space="0" w:color="auto"/>
              <w:right w:val="single" w:sz="4" w:space="0" w:color="auto"/>
            </w:tcBorders>
            <w:shd w:val="clear" w:color="auto" w:fill="BFBFBF"/>
            <w:noWrap/>
            <w:textDirection w:val="lrTb"/>
            <w:vAlign w:val="center"/>
          </w:tcPr>
          <w:p w:rsidR="002151F6" w:rsidRPr="002151F6" w:rsidP="00501AD0">
            <w:pPr>
              <w:bidi w:val="0"/>
              <w:spacing w:after="0"/>
              <w:rPr>
                <w:rFonts w:cs="Arial"/>
                <w:b/>
                <w:bCs/>
                <w:sz w:val="20"/>
                <w:szCs w:val="20"/>
                <w:lang w:val="sk-SK"/>
              </w:rPr>
            </w:pPr>
            <w:r w:rsidRPr="002151F6">
              <w:rPr>
                <w:rFonts w:cs="Arial"/>
                <w:b/>
                <w:bCs/>
                <w:sz w:val="20"/>
                <w:szCs w:val="20"/>
                <w:lang w:val="sk-SK"/>
              </w:rPr>
              <w:t>Podiel na držiteľoch</w:t>
            </w:r>
          </w:p>
        </w:tc>
        <w:tc>
          <w:tcPr>
            <w:tcW w:w="970" w:type="dxa"/>
            <w:tcBorders>
              <w:top w:val="nil"/>
              <w:left w:val="single" w:sz="4" w:space="0" w:color="auto"/>
              <w:bottom w:val="none" w:sz="0" w:space="0" w:color="auto"/>
              <w:right w:val="none" w:sz="0" w:space="0" w:color="auto"/>
            </w:tcBorders>
            <w:shd w:val="clear" w:color="auto" w:fill="BFBFBF"/>
            <w:textDirection w:val="lrTb"/>
            <w:vAlign w:val="center"/>
          </w:tcPr>
          <w:p w:rsidR="002151F6" w:rsidRPr="002151F6" w:rsidP="00501AD0">
            <w:pPr>
              <w:bidi w:val="0"/>
              <w:spacing w:after="0"/>
              <w:jc w:val="center"/>
              <w:rPr>
                <w:rFonts w:cs="Arial"/>
                <w:b/>
                <w:bCs/>
                <w:sz w:val="18"/>
                <w:szCs w:val="18"/>
                <w:lang w:val="sk-SK"/>
              </w:rPr>
            </w:pPr>
            <w:r w:rsidRPr="002151F6">
              <w:rPr>
                <w:rFonts w:cs="Arial"/>
                <w:b/>
                <w:bCs/>
                <w:sz w:val="20"/>
                <w:szCs w:val="20"/>
                <w:lang w:val="sk-SK"/>
              </w:rPr>
              <w:t>Ďalšia registrácia</w:t>
            </w:r>
          </w:p>
        </w:tc>
        <w:tc>
          <w:tcPr>
            <w:tcW w:w="984" w:type="dxa"/>
            <w:gridSpan w:val="2"/>
            <w:tcBorders>
              <w:top w:val="nil"/>
              <w:left w:val="none" w:sz="0" w:space="0" w:color="auto"/>
              <w:bottom w:val="none" w:sz="0" w:space="0" w:color="auto"/>
              <w:right w:val="single" w:sz="4" w:space="0" w:color="auto"/>
            </w:tcBorders>
            <w:shd w:val="clear" w:color="auto" w:fill="BFBFBF"/>
            <w:textDirection w:val="lrTb"/>
            <w:vAlign w:val="center"/>
          </w:tcPr>
          <w:p w:rsidR="002151F6" w:rsidRPr="002151F6" w:rsidP="00501AD0">
            <w:pPr>
              <w:bidi w:val="0"/>
              <w:spacing w:after="0"/>
              <w:rPr>
                <w:rFonts w:cs="Arial"/>
                <w:b/>
                <w:bCs/>
                <w:sz w:val="20"/>
                <w:szCs w:val="20"/>
                <w:lang w:val="sk-SK"/>
              </w:rPr>
            </w:pPr>
            <w:r w:rsidRPr="002151F6">
              <w:rPr>
                <w:rFonts w:cs="Arial"/>
                <w:b/>
                <w:bCs/>
                <w:sz w:val="20"/>
                <w:szCs w:val="20"/>
                <w:lang w:val="sk-SK"/>
              </w:rPr>
              <w:t>Podiel na držiteľoch</w:t>
            </w:r>
          </w:p>
        </w:tc>
        <w:tc>
          <w:tcPr>
            <w:tcW w:w="1004" w:type="dxa"/>
            <w:tcBorders>
              <w:top w:val="nil"/>
              <w:left w:val="single" w:sz="4" w:space="0" w:color="auto"/>
              <w:bottom w:val="none" w:sz="0" w:space="0" w:color="auto"/>
              <w:right w:val="none" w:sz="0" w:space="0" w:color="auto"/>
            </w:tcBorders>
            <w:shd w:val="clear" w:color="auto" w:fill="BFBFBF"/>
            <w:textDirection w:val="lrTb"/>
            <w:vAlign w:val="center"/>
          </w:tcPr>
          <w:p w:rsidR="002151F6" w:rsidRPr="002151F6" w:rsidP="00501AD0">
            <w:pPr>
              <w:bidi w:val="0"/>
              <w:spacing w:after="0"/>
              <w:jc w:val="center"/>
              <w:rPr>
                <w:rFonts w:cs="Arial"/>
                <w:b/>
                <w:bCs/>
                <w:sz w:val="20"/>
                <w:szCs w:val="20"/>
                <w:lang w:val="sk-SK"/>
              </w:rPr>
            </w:pPr>
            <w:r w:rsidRPr="002151F6">
              <w:rPr>
                <w:rFonts w:cs="Arial"/>
                <w:b/>
                <w:bCs/>
                <w:sz w:val="20"/>
                <w:szCs w:val="20"/>
                <w:lang w:val="sk-SK"/>
              </w:rPr>
              <w:t>Všetky registrácie</w:t>
            </w:r>
          </w:p>
        </w:tc>
        <w:tc>
          <w:tcPr>
            <w:tcW w:w="963" w:type="dxa"/>
            <w:gridSpan w:val="2"/>
            <w:tcBorders>
              <w:top w:val="nil"/>
              <w:left w:val="none" w:sz="0" w:space="0" w:color="auto"/>
              <w:bottom w:val="none" w:sz="0" w:space="0" w:color="auto"/>
              <w:right w:val="none" w:sz="0" w:space="0" w:color="auto"/>
            </w:tcBorders>
            <w:shd w:val="clear" w:color="auto" w:fill="BFBFBF"/>
            <w:textDirection w:val="lrTb"/>
            <w:vAlign w:val="center"/>
          </w:tcPr>
          <w:p w:rsidR="002151F6" w:rsidRPr="002151F6" w:rsidP="00501AD0">
            <w:pPr>
              <w:bidi w:val="0"/>
              <w:spacing w:after="0"/>
              <w:jc w:val="center"/>
              <w:rPr>
                <w:rFonts w:cs="Arial"/>
                <w:b/>
                <w:bCs/>
                <w:sz w:val="20"/>
                <w:szCs w:val="20"/>
                <w:lang w:val="sk-SK"/>
              </w:rPr>
            </w:pPr>
            <w:r w:rsidRPr="002151F6">
              <w:rPr>
                <w:rFonts w:cs="Arial"/>
                <w:b/>
                <w:bCs/>
                <w:sz w:val="20"/>
                <w:szCs w:val="20"/>
                <w:lang w:val="sk-SK"/>
              </w:rPr>
              <w:t>Podiel na držiteľoch</w:t>
            </w:r>
          </w:p>
        </w:tc>
      </w:tr>
      <w:tr>
        <w:tblPrEx>
          <w:tblW w:w="8188" w:type="dxa"/>
          <w:jc w:val="center"/>
          <w:tblCellMar>
            <w:left w:w="70" w:type="dxa"/>
            <w:right w:w="70" w:type="dxa"/>
          </w:tblCellMar>
        </w:tblPrEx>
        <w:trPr>
          <w:trHeight w:val="194"/>
          <w:jc w:val="center"/>
        </w:trPr>
        <w:tc>
          <w:tcPr>
            <w:tcW w:w="1950" w:type="dxa"/>
            <w:gridSpan w:val="2"/>
            <w:tcBorders>
              <w:top w:val="nil"/>
              <w:left w:val="nil"/>
              <w:bottom w:val="nil"/>
              <w:right w:val="single" w:sz="4" w:space="0" w:color="auto"/>
            </w:tcBorders>
            <w:noWrap/>
            <w:textDirection w:val="lrTb"/>
            <w:vAlign w:val="center"/>
          </w:tcPr>
          <w:p w:rsidR="002151F6" w:rsidRPr="002151F6" w:rsidP="00501AD0">
            <w:pPr>
              <w:bidi w:val="0"/>
              <w:spacing w:after="80"/>
              <w:rPr>
                <w:rFonts w:cs="Arial Narrow"/>
                <w:sz w:val="20"/>
                <w:szCs w:val="20"/>
                <w:lang w:val="sk-SK"/>
              </w:rPr>
            </w:pPr>
            <w:r w:rsidRPr="002151F6">
              <w:rPr>
                <w:rFonts w:cs="Arial Narrow"/>
                <w:sz w:val="20"/>
                <w:szCs w:val="20"/>
                <w:lang w:val="sk-SK"/>
              </w:rPr>
              <w:t>zvýšenie poplatku</w:t>
            </w:r>
          </w:p>
        </w:tc>
        <w:tc>
          <w:tcPr>
            <w:tcW w:w="2317" w:type="dxa"/>
            <w:gridSpan w:val="3"/>
            <w:tcBorders>
              <w:top w:val="nil"/>
              <w:left w:val="single" w:sz="4" w:space="0" w:color="auto"/>
              <w:bottom w:val="nil"/>
              <w:right w:val="single" w:sz="4" w:space="0" w:color="auto"/>
            </w:tcBorders>
            <w:textDirection w:val="lrTb"/>
            <w:vAlign w:val="center"/>
          </w:tcPr>
          <w:p w:rsidR="002151F6" w:rsidRPr="002151F6" w:rsidP="00501AD0">
            <w:pPr>
              <w:bidi w:val="0"/>
              <w:spacing w:after="80"/>
              <w:jc w:val="center"/>
              <w:rPr>
                <w:rFonts w:cs="Arial"/>
                <w:sz w:val="20"/>
                <w:szCs w:val="20"/>
                <w:lang w:val="sk-SK"/>
              </w:rPr>
            </w:pPr>
            <w:r w:rsidRPr="002151F6">
              <w:rPr>
                <w:rFonts w:cs="Arial"/>
                <w:sz w:val="20"/>
                <w:szCs w:val="20"/>
                <w:lang w:val="sk-SK"/>
              </w:rPr>
              <w:t>3 550                    3%</w:t>
            </w:r>
          </w:p>
        </w:tc>
        <w:tc>
          <w:tcPr>
            <w:tcW w:w="1089" w:type="dxa"/>
            <w:gridSpan w:val="2"/>
            <w:tcBorders>
              <w:top w:val="nil"/>
              <w:left w:val="single" w:sz="4" w:space="0" w:color="auto"/>
              <w:bottom w:val="nil"/>
              <w:right w:val="none" w:sz="0" w:space="0" w:color="auto"/>
            </w:tcBorders>
            <w:textDirection w:val="lrTb"/>
            <w:vAlign w:val="center"/>
          </w:tcPr>
          <w:p w:rsidR="002151F6" w:rsidRPr="002151F6" w:rsidP="00501AD0">
            <w:pPr>
              <w:bidi w:val="0"/>
              <w:spacing w:after="80"/>
              <w:jc w:val="center"/>
              <w:rPr>
                <w:rFonts w:cs="Arial Narrow"/>
                <w:sz w:val="20"/>
                <w:szCs w:val="20"/>
                <w:lang w:val="sk-SK"/>
              </w:rPr>
            </w:pPr>
            <w:r w:rsidRPr="002151F6">
              <w:rPr>
                <w:rFonts w:cs="Arial Narrow"/>
                <w:sz w:val="20"/>
                <w:szCs w:val="20"/>
                <w:lang w:val="sk-SK"/>
              </w:rPr>
              <w:t>63 774</w:t>
            </w:r>
          </w:p>
        </w:tc>
        <w:tc>
          <w:tcPr>
            <w:tcW w:w="865" w:type="dxa"/>
            <w:tcBorders>
              <w:top w:val="nil"/>
              <w:left w:val="none" w:sz="0" w:space="0" w:color="auto"/>
              <w:bottom w:val="nil"/>
              <w:right w:val="single" w:sz="4" w:space="0" w:color="auto"/>
            </w:tcBorders>
            <w:textDirection w:val="lrTb"/>
            <w:vAlign w:val="center"/>
          </w:tcPr>
          <w:p w:rsidR="002151F6" w:rsidRPr="002151F6" w:rsidP="00501AD0">
            <w:pPr>
              <w:bidi w:val="0"/>
              <w:spacing w:after="80"/>
              <w:jc w:val="center"/>
              <w:rPr>
                <w:rFonts w:cs="Arial Narrow"/>
                <w:sz w:val="20"/>
                <w:szCs w:val="20"/>
                <w:lang w:val="sk-SK"/>
              </w:rPr>
            </w:pPr>
            <w:r w:rsidRPr="002151F6">
              <w:rPr>
                <w:rFonts w:cs="Arial Narrow"/>
                <w:sz w:val="20"/>
                <w:szCs w:val="20"/>
                <w:lang w:val="sk-SK"/>
              </w:rPr>
              <w:t>23%</w:t>
            </w:r>
          </w:p>
        </w:tc>
        <w:tc>
          <w:tcPr>
            <w:tcW w:w="1206" w:type="dxa"/>
            <w:gridSpan w:val="2"/>
            <w:tcBorders>
              <w:top w:val="nil"/>
              <w:left w:val="single" w:sz="4" w:space="0" w:color="auto"/>
              <w:bottom w:val="nil"/>
              <w:right w:val="nil"/>
            </w:tcBorders>
            <w:textDirection w:val="lrTb"/>
            <w:vAlign w:val="center"/>
          </w:tcPr>
          <w:p w:rsidR="002151F6" w:rsidRPr="002151F6" w:rsidP="00501AD0">
            <w:pPr>
              <w:bidi w:val="0"/>
              <w:spacing w:after="80"/>
              <w:jc w:val="center"/>
              <w:rPr>
                <w:rFonts w:cs="Arial Narrow"/>
                <w:sz w:val="18"/>
                <w:szCs w:val="18"/>
                <w:lang w:val="sk-SK"/>
              </w:rPr>
            </w:pPr>
            <w:r w:rsidRPr="002151F6">
              <w:rPr>
                <w:rFonts w:cs="Arial Narrow"/>
                <w:sz w:val="18"/>
                <w:szCs w:val="18"/>
                <w:lang w:val="sk-SK"/>
              </w:rPr>
              <w:t>67 324</w:t>
            </w:r>
          </w:p>
        </w:tc>
        <w:tc>
          <w:tcPr>
            <w:tcW w:w="761" w:type="dxa"/>
            <w:tcBorders>
              <w:top w:val="nil"/>
              <w:left w:val="nil"/>
              <w:bottom w:val="nil"/>
              <w:right w:val="none" w:sz="0" w:space="0" w:color="auto"/>
            </w:tcBorders>
            <w:textDirection w:val="lrTb"/>
            <w:vAlign w:val="center"/>
          </w:tcPr>
          <w:p w:rsidR="002151F6" w:rsidRPr="002151F6" w:rsidP="00501AD0">
            <w:pPr>
              <w:bidi w:val="0"/>
              <w:spacing w:after="80"/>
              <w:jc w:val="center"/>
              <w:rPr>
                <w:rFonts w:cs="Arial Narrow"/>
                <w:sz w:val="18"/>
                <w:szCs w:val="18"/>
                <w:lang w:val="sk-SK"/>
              </w:rPr>
            </w:pPr>
            <w:r w:rsidRPr="002151F6">
              <w:rPr>
                <w:rFonts w:cs="Arial Narrow"/>
                <w:sz w:val="18"/>
                <w:szCs w:val="18"/>
                <w:lang w:val="sk-SK"/>
              </w:rPr>
              <w:t>16%</w:t>
            </w:r>
          </w:p>
        </w:tc>
      </w:tr>
      <w:tr>
        <w:tblPrEx>
          <w:tblW w:w="8188" w:type="dxa"/>
          <w:jc w:val="center"/>
          <w:tblCellMar>
            <w:left w:w="70" w:type="dxa"/>
            <w:right w:w="70" w:type="dxa"/>
          </w:tblCellMar>
        </w:tblPrEx>
        <w:trPr>
          <w:trHeight w:val="194"/>
          <w:jc w:val="center"/>
        </w:trPr>
        <w:tc>
          <w:tcPr>
            <w:tcW w:w="1950" w:type="dxa"/>
            <w:gridSpan w:val="2"/>
            <w:tcBorders>
              <w:top w:val="nil"/>
              <w:left w:val="nil"/>
              <w:bottom w:val="nil"/>
              <w:right w:val="single" w:sz="4" w:space="0" w:color="auto"/>
            </w:tcBorders>
            <w:noWrap/>
            <w:textDirection w:val="lrTb"/>
            <w:vAlign w:val="center"/>
          </w:tcPr>
          <w:p w:rsidR="002151F6" w:rsidRPr="002151F6" w:rsidP="00501AD0">
            <w:pPr>
              <w:bidi w:val="0"/>
              <w:spacing w:after="80"/>
              <w:rPr>
                <w:rFonts w:cs="Arial Narrow"/>
                <w:sz w:val="20"/>
                <w:szCs w:val="20"/>
                <w:lang w:val="sk-SK"/>
              </w:rPr>
            </w:pPr>
            <w:r w:rsidRPr="002151F6">
              <w:rPr>
                <w:rFonts w:cs="Arial Narrow"/>
                <w:sz w:val="20"/>
                <w:szCs w:val="20"/>
                <w:lang w:val="sk-SK"/>
              </w:rPr>
              <w:t>nezmenený poplatok</w:t>
            </w:r>
          </w:p>
        </w:tc>
        <w:tc>
          <w:tcPr>
            <w:tcW w:w="1194" w:type="dxa"/>
            <w:gridSpan w:val="2"/>
            <w:tcBorders>
              <w:top w:val="nil"/>
              <w:left w:val="single" w:sz="4" w:space="0" w:color="auto"/>
              <w:bottom w:val="nil"/>
              <w:right w:val="nil"/>
            </w:tcBorders>
            <w:textDirection w:val="lrTb"/>
            <w:vAlign w:val="center"/>
          </w:tcPr>
          <w:p w:rsidR="002151F6" w:rsidRPr="002151F6" w:rsidP="00501AD0">
            <w:pPr>
              <w:bidi w:val="0"/>
              <w:spacing w:after="80"/>
              <w:jc w:val="center"/>
              <w:rPr>
                <w:rFonts w:cs="Arial"/>
                <w:sz w:val="20"/>
                <w:szCs w:val="20"/>
                <w:lang w:val="sk-SK"/>
              </w:rPr>
            </w:pPr>
            <w:r w:rsidRPr="002151F6">
              <w:rPr>
                <w:rFonts w:cs="Arial Narrow"/>
                <w:sz w:val="20"/>
                <w:szCs w:val="20"/>
                <w:lang w:val="sk-SK"/>
              </w:rPr>
              <w:t>63 996</w:t>
            </w:r>
          </w:p>
        </w:tc>
        <w:tc>
          <w:tcPr>
            <w:tcW w:w="1123" w:type="dxa"/>
            <w:tcBorders>
              <w:top w:val="nil"/>
              <w:left w:val="nil"/>
              <w:bottom w:val="nil"/>
              <w:right w:val="single" w:sz="4" w:space="0" w:color="auto"/>
            </w:tcBorders>
            <w:textDirection w:val="lrTb"/>
            <w:vAlign w:val="center"/>
          </w:tcPr>
          <w:p w:rsidR="002151F6" w:rsidRPr="002151F6" w:rsidP="00501AD0">
            <w:pPr>
              <w:bidi w:val="0"/>
              <w:spacing w:after="80"/>
              <w:jc w:val="center"/>
              <w:rPr>
                <w:rFonts w:cs="Arial"/>
                <w:sz w:val="20"/>
                <w:szCs w:val="20"/>
                <w:lang w:val="sk-SK"/>
              </w:rPr>
            </w:pPr>
            <w:r w:rsidRPr="002151F6">
              <w:rPr>
                <w:rFonts w:cs="Arial"/>
                <w:sz w:val="20"/>
                <w:szCs w:val="20"/>
                <w:lang w:val="sk-SK"/>
              </w:rPr>
              <w:t>47%</w:t>
            </w:r>
          </w:p>
        </w:tc>
        <w:tc>
          <w:tcPr>
            <w:tcW w:w="1089" w:type="dxa"/>
            <w:gridSpan w:val="2"/>
            <w:tcBorders>
              <w:top w:val="nil"/>
              <w:left w:val="single" w:sz="4" w:space="0" w:color="auto"/>
              <w:bottom w:val="nil"/>
              <w:right w:val="none" w:sz="0" w:space="0" w:color="auto"/>
            </w:tcBorders>
            <w:textDirection w:val="lrTb"/>
            <w:vAlign w:val="center"/>
          </w:tcPr>
          <w:p w:rsidR="002151F6" w:rsidRPr="002151F6" w:rsidP="00501AD0">
            <w:pPr>
              <w:bidi w:val="0"/>
              <w:spacing w:after="80"/>
              <w:jc w:val="center"/>
              <w:rPr>
                <w:rFonts w:cs="Arial Narrow"/>
                <w:sz w:val="20"/>
                <w:szCs w:val="20"/>
                <w:lang w:val="sk-SK"/>
              </w:rPr>
            </w:pPr>
            <w:r w:rsidRPr="002151F6">
              <w:rPr>
                <w:rFonts w:cs="Arial Narrow"/>
                <w:sz w:val="20"/>
                <w:szCs w:val="20"/>
                <w:lang w:val="sk-SK"/>
              </w:rPr>
              <w:t>215 989</w:t>
            </w:r>
          </w:p>
        </w:tc>
        <w:tc>
          <w:tcPr>
            <w:tcW w:w="865" w:type="dxa"/>
            <w:tcBorders>
              <w:top w:val="nil"/>
              <w:left w:val="none" w:sz="0" w:space="0" w:color="auto"/>
              <w:bottom w:val="nil"/>
              <w:right w:val="single" w:sz="4" w:space="0" w:color="auto"/>
            </w:tcBorders>
            <w:textDirection w:val="lrTb"/>
            <w:vAlign w:val="center"/>
          </w:tcPr>
          <w:p w:rsidR="002151F6" w:rsidRPr="002151F6" w:rsidP="00501AD0">
            <w:pPr>
              <w:bidi w:val="0"/>
              <w:spacing w:after="80"/>
              <w:jc w:val="center"/>
              <w:rPr>
                <w:rFonts w:cs="Arial Narrow"/>
                <w:sz w:val="20"/>
                <w:szCs w:val="20"/>
                <w:lang w:val="sk-SK"/>
              </w:rPr>
            </w:pPr>
            <w:r w:rsidRPr="002151F6">
              <w:rPr>
                <w:rFonts w:cs="Arial Narrow"/>
                <w:sz w:val="20"/>
                <w:szCs w:val="20"/>
                <w:lang w:val="sk-SK"/>
              </w:rPr>
              <w:t>77%</w:t>
            </w:r>
          </w:p>
        </w:tc>
        <w:tc>
          <w:tcPr>
            <w:tcW w:w="1206" w:type="dxa"/>
            <w:gridSpan w:val="2"/>
            <w:tcBorders>
              <w:top w:val="nil"/>
              <w:left w:val="single" w:sz="4" w:space="0" w:color="auto"/>
              <w:bottom w:val="nil"/>
              <w:right w:val="nil"/>
            </w:tcBorders>
            <w:textDirection w:val="lrTb"/>
            <w:vAlign w:val="center"/>
          </w:tcPr>
          <w:p w:rsidR="002151F6" w:rsidRPr="002151F6" w:rsidP="00501AD0">
            <w:pPr>
              <w:bidi w:val="0"/>
              <w:spacing w:after="80"/>
              <w:jc w:val="center"/>
              <w:rPr>
                <w:rFonts w:cs="Arial Narrow"/>
                <w:sz w:val="18"/>
                <w:szCs w:val="18"/>
                <w:lang w:val="sk-SK"/>
              </w:rPr>
            </w:pPr>
            <w:r w:rsidRPr="002151F6">
              <w:rPr>
                <w:rFonts w:cs="Arial Narrow"/>
                <w:sz w:val="18"/>
                <w:szCs w:val="18"/>
                <w:lang w:val="sk-SK"/>
              </w:rPr>
              <w:t>279 985</w:t>
            </w:r>
          </w:p>
        </w:tc>
        <w:tc>
          <w:tcPr>
            <w:tcW w:w="761" w:type="dxa"/>
            <w:tcBorders>
              <w:top w:val="nil"/>
              <w:left w:val="nil"/>
              <w:bottom w:val="nil"/>
              <w:right w:val="none" w:sz="0" w:space="0" w:color="auto"/>
            </w:tcBorders>
            <w:textDirection w:val="lrTb"/>
            <w:vAlign w:val="center"/>
          </w:tcPr>
          <w:p w:rsidR="002151F6" w:rsidRPr="002151F6" w:rsidP="00501AD0">
            <w:pPr>
              <w:bidi w:val="0"/>
              <w:spacing w:after="80"/>
              <w:jc w:val="center"/>
              <w:rPr>
                <w:rFonts w:cs="Arial Narrow"/>
                <w:sz w:val="18"/>
                <w:szCs w:val="18"/>
                <w:lang w:val="sk-SK"/>
              </w:rPr>
            </w:pPr>
            <w:r w:rsidRPr="002151F6">
              <w:rPr>
                <w:rFonts w:cs="Arial Narrow"/>
                <w:sz w:val="18"/>
                <w:szCs w:val="18"/>
                <w:lang w:val="sk-SK"/>
              </w:rPr>
              <w:t>67%</w:t>
            </w:r>
          </w:p>
        </w:tc>
      </w:tr>
      <w:tr>
        <w:tblPrEx>
          <w:tblW w:w="8188" w:type="dxa"/>
          <w:jc w:val="center"/>
          <w:tblCellMar>
            <w:left w:w="70" w:type="dxa"/>
            <w:right w:w="70" w:type="dxa"/>
          </w:tblCellMar>
        </w:tblPrEx>
        <w:trPr>
          <w:trHeight w:val="194"/>
          <w:jc w:val="center"/>
        </w:trPr>
        <w:tc>
          <w:tcPr>
            <w:tcW w:w="1950" w:type="dxa"/>
            <w:gridSpan w:val="2"/>
            <w:tcBorders>
              <w:top w:val="nil"/>
              <w:left w:val="nil"/>
              <w:bottom w:val="nil"/>
              <w:right w:val="single" w:sz="4" w:space="0" w:color="auto"/>
            </w:tcBorders>
            <w:noWrap/>
            <w:textDirection w:val="lrTb"/>
            <w:vAlign w:val="center"/>
          </w:tcPr>
          <w:p w:rsidR="002151F6" w:rsidRPr="002151F6" w:rsidP="00501AD0">
            <w:pPr>
              <w:bidi w:val="0"/>
              <w:spacing w:after="80"/>
              <w:rPr>
                <w:rFonts w:cs="Arial Narrow"/>
                <w:sz w:val="20"/>
                <w:szCs w:val="20"/>
                <w:lang w:val="sk-SK"/>
              </w:rPr>
            </w:pPr>
            <w:r w:rsidRPr="002151F6">
              <w:rPr>
                <w:rFonts w:cs="Arial Narrow"/>
                <w:sz w:val="20"/>
                <w:szCs w:val="20"/>
                <w:lang w:val="sk-SK"/>
              </w:rPr>
              <w:t>zníženie poplatku</w:t>
            </w:r>
          </w:p>
        </w:tc>
        <w:tc>
          <w:tcPr>
            <w:tcW w:w="1194" w:type="dxa"/>
            <w:gridSpan w:val="2"/>
            <w:tcBorders>
              <w:top w:val="nil"/>
              <w:left w:val="single" w:sz="4" w:space="0" w:color="auto"/>
              <w:bottom w:val="nil"/>
              <w:right w:val="nil"/>
            </w:tcBorders>
            <w:textDirection w:val="lrTb"/>
            <w:vAlign w:val="center"/>
          </w:tcPr>
          <w:p w:rsidR="002151F6" w:rsidRPr="002151F6" w:rsidP="00501AD0">
            <w:pPr>
              <w:bidi w:val="0"/>
              <w:spacing w:after="80"/>
              <w:jc w:val="center"/>
              <w:rPr>
                <w:rFonts w:cs="Arial"/>
                <w:sz w:val="20"/>
                <w:szCs w:val="20"/>
                <w:lang w:val="sk-SK"/>
              </w:rPr>
            </w:pPr>
            <w:r w:rsidRPr="002151F6">
              <w:rPr>
                <w:rFonts w:cs="Arial Narrow"/>
                <w:sz w:val="20"/>
                <w:szCs w:val="20"/>
                <w:lang w:val="sk-SK"/>
              </w:rPr>
              <w:t>68 261</w:t>
            </w:r>
          </w:p>
        </w:tc>
        <w:tc>
          <w:tcPr>
            <w:tcW w:w="1123" w:type="dxa"/>
            <w:tcBorders>
              <w:top w:val="nil"/>
              <w:left w:val="nil"/>
              <w:bottom w:val="nil"/>
              <w:right w:val="single" w:sz="4" w:space="0" w:color="auto"/>
            </w:tcBorders>
            <w:textDirection w:val="lrTb"/>
            <w:vAlign w:val="center"/>
          </w:tcPr>
          <w:p w:rsidR="002151F6" w:rsidRPr="002151F6" w:rsidP="00501AD0">
            <w:pPr>
              <w:bidi w:val="0"/>
              <w:spacing w:after="80"/>
              <w:jc w:val="center"/>
              <w:rPr>
                <w:rFonts w:cs="Arial"/>
                <w:sz w:val="20"/>
                <w:szCs w:val="20"/>
                <w:lang w:val="sk-SK"/>
              </w:rPr>
            </w:pPr>
            <w:r w:rsidRPr="002151F6">
              <w:rPr>
                <w:rFonts w:cs="Arial"/>
                <w:sz w:val="20"/>
                <w:szCs w:val="20"/>
                <w:lang w:val="sk-SK"/>
              </w:rPr>
              <w:t>50%</w:t>
            </w:r>
          </w:p>
        </w:tc>
        <w:tc>
          <w:tcPr>
            <w:tcW w:w="1089" w:type="dxa"/>
            <w:gridSpan w:val="2"/>
            <w:tcBorders>
              <w:top w:val="nil"/>
              <w:left w:val="single" w:sz="4" w:space="0" w:color="auto"/>
              <w:bottom w:val="nil"/>
              <w:right w:val="none" w:sz="0" w:space="0" w:color="auto"/>
            </w:tcBorders>
            <w:textDirection w:val="lrTb"/>
            <w:vAlign w:val="center"/>
          </w:tcPr>
          <w:p w:rsidR="002151F6" w:rsidRPr="002151F6" w:rsidP="00501AD0">
            <w:pPr>
              <w:bidi w:val="0"/>
              <w:spacing w:after="80"/>
              <w:jc w:val="center"/>
              <w:rPr>
                <w:rFonts w:cs="Arial Narrow"/>
                <w:sz w:val="20"/>
                <w:szCs w:val="20"/>
                <w:lang w:val="sk-SK"/>
              </w:rPr>
            </w:pPr>
            <w:r w:rsidRPr="002151F6">
              <w:rPr>
                <w:rFonts w:cs="Arial Narrow"/>
                <w:sz w:val="20"/>
                <w:szCs w:val="20"/>
                <w:lang w:val="sk-SK"/>
              </w:rPr>
              <w:t>0</w:t>
            </w:r>
          </w:p>
        </w:tc>
        <w:tc>
          <w:tcPr>
            <w:tcW w:w="865" w:type="dxa"/>
            <w:tcBorders>
              <w:top w:val="nil"/>
              <w:left w:val="none" w:sz="0" w:space="0" w:color="auto"/>
              <w:bottom w:val="nil"/>
              <w:right w:val="single" w:sz="4" w:space="0" w:color="auto"/>
            </w:tcBorders>
            <w:textDirection w:val="lrTb"/>
            <w:vAlign w:val="center"/>
          </w:tcPr>
          <w:p w:rsidR="002151F6" w:rsidRPr="002151F6" w:rsidP="00501AD0">
            <w:pPr>
              <w:bidi w:val="0"/>
              <w:spacing w:after="80"/>
              <w:jc w:val="center"/>
              <w:rPr>
                <w:rFonts w:cs="Arial Narrow"/>
                <w:sz w:val="20"/>
                <w:szCs w:val="20"/>
                <w:lang w:val="sk-SK"/>
              </w:rPr>
            </w:pPr>
            <w:r w:rsidRPr="002151F6">
              <w:rPr>
                <w:rFonts w:cs="Arial Narrow"/>
                <w:sz w:val="20"/>
                <w:szCs w:val="20"/>
                <w:lang w:val="sk-SK"/>
              </w:rPr>
              <w:t>0%</w:t>
            </w:r>
          </w:p>
        </w:tc>
        <w:tc>
          <w:tcPr>
            <w:tcW w:w="1206" w:type="dxa"/>
            <w:gridSpan w:val="2"/>
            <w:tcBorders>
              <w:top w:val="nil"/>
              <w:left w:val="single" w:sz="4" w:space="0" w:color="auto"/>
              <w:bottom w:val="nil"/>
              <w:right w:val="nil"/>
            </w:tcBorders>
            <w:textDirection w:val="lrTb"/>
            <w:vAlign w:val="center"/>
          </w:tcPr>
          <w:p w:rsidR="002151F6" w:rsidRPr="002151F6" w:rsidP="00501AD0">
            <w:pPr>
              <w:bidi w:val="0"/>
              <w:spacing w:after="80"/>
              <w:jc w:val="center"/>
              <w:rPr>
                <w:rFonts w:cs="Arial Narrow"/>
                <w:sz w:val="18"/>
                <w:szCs w:val="18"/>
                <w:lang w:val="sk-SK"/>
              </w:rPr>
            </w:pPr>
            <w:r w:rsidRPr="002151F6">
              <w:rPr>
                <w:rFonts w:cs="Arial Narrow"/>
                <w:sz w:val="18"/>
                <w:szCs w:val="18"/>
                <w:lang w:val="sk-SK"/>
              </w:rPr>
              <w:t>68 261</w:t>
            </w:r>
          </w:p>
        </w:tc>
        <w:tc>
          <w:tcPr>
            <w:tcW w:w="761" w:type="dxa"/>
            <w:tcBorders>
              <w:top w:val="nil"/>
              <w:left w:val="nil"/>
              <w:bottom w:val="nil"/>
              <w:right w:val="none" w:sz="0" w:space="0" w:color="auto"/>
            </w:tcBorders>
            <w:textDirection w:val="lrTb"/>
            <w:vAlign w:val="center"/>
          </w:tcPr>
          <w:p w:rsidR="002151F6" w:rsidRPr="002151F6" w:rsidP="00501AD0">
            <w:pPr>
              <w:bidi w:val="0"/>
              <w:spacing w:after="80"/>
              <w:jc w:val="center"/>
              <w:rPr>
                <w:rFonts w:cs="Arial Narrow"/>
                <w:sz w:val="18"/>
                <w:szCs w:val="18"/>
                <w:lang w:val="sk-SK"/>
              </w:rPr>
            </w:pPr>
            <w:r w:rsidRPr="002151F6">
              <w:rPr>
                <w:rFonts w:cs="Arial Narrow"/>
                <w:sz w:val="18"/>
                <w:szCs w:val="18"/>
                <w:lang w:val="sk-SK"/>
              </w:rPr>
              <w:t>17%</w:t>
            </w:r>
          </w:p>
        </w:tc>
      </w:tr>
      <w:tr>
        <w:tblPrEx>
          <w:tblW w:w="8188" w:type="dxa"/>
          <w:jc w:val="center"/>
          <w:tblCellMar>
            <w:left w:w="70" w:type="dxa"/>
            <w:right w:w="70" w:type="dxa"/>
          </w:tblCellMar>
        </w:tblPrEx>
        <w:trPr>
          <w:trHeight w:val="194"/>
          <w:jc w:val="center"/>
        </w:trPr>
        <w:tc>
          <w:tcPr>
            <w:tcW w:w="1950" w:type="dxa"/>
            <w:gridSpan w:val="2"/>
            <w:tcBorders>
              <w:top w:val="nil"/>
              <w:left w:val="nil"/>
              <w:bottom w:val="nil"/>
              <w:right w:val="single" w:sz="4" w:space="0" w:color="auto"/>
            </w:tcBorders>
            <w:noWrap/>
            <w:textDirection w:val="lrTb"/>
            <w:vAlign w:val="center"/>
          </w:tcPr>
          <w:p w:rsidR="002151F6" w:rsidRPr="002151F6" w:rsidP="00501AD0">
            <w:pPr>
              <w:bidi w:val="0"/>
              <w:spacing w:after="80"/>
              <w:rPr>
                <w:rFonts w:cs="Arial Narrow"/>
                <w:b/>
                <w:sz w:val="20"/>
                <w:szCs w:val="20"/>
                <w:lang w:val="sk-SK"/>
              </w:rPr>
            </w:pPr>
            <w:r w:rsidRPr="002151F6">
              <w:rPr>
                <w:rFonts w:cs="Arial Narrow"/>
                <w:b/>
                <w:sz w:val="20"/>
                <w:szCs w:val="20"/>
                <w:lang w:val="sk-SK"/>
              </w:rPr>
              <w:t>spolu</w:t>
            </w:r>
          </w:p>
        </w:tc>
        <w:tc>
          <w:tcPr>
            <w:tcW w:w="1194" w:type="dxa"/>
            <w:gridSpan w:val="2"/>
            <w:tcBorders>
              <w:top w:val="nil"/>
              <w:left w:val="single" w:sz="4" w:space="0" w:color="auto"/>
              <w:bottom w:val="nil"/>
              <w:right w:val="nil"/>
            </w:tcBorders>
            <w:textDirection w:val="lrTb"/>
            <w:vAlign w:val="center"/>
          </w:tcPr>
          <w:p w:rsidR="002151F6" w:rsidRPr="002151F6" w:rsidP="00501AD0">
            <w:pPr>
              <w:bidi w:val="0"/>
              <w:spacing w:after="80"/>
              <w:jc w:val="center"/>
              <w:rPr>
                <w:rFonts w:cs="Arial Narrow"/>
                <w:b/>
                <w:sz w:val="20"/>
                <w:szCs w:val="20"/>
                <w:lang w:val="sk-SK"/>
              </w:rPr>
            </w:pPr>
            <w:r w:rsidRPr="002151F6">
              <w:rPr>
                <w:rFonts w:cs="Arial Narrow"/>
                <w:b/>
                <w:sz w:val="20"/>
                <w:szCs w:val="20"/>
                <w:lang w:val="sk-SK"/>
              </w:rPr>
              <w:t>135 807</w:t>
            </w:r>
          </w:p>
        </w:tc>
        <w:tc>
          <w:tcPr>
            <w:tcW w:w="1123" w:type="dxa"/>
            <w:tcBorders>
              <w:top w:val="nil"/>
              <w:left w:val="nil"/>
              <w:bottom w:val="nil"/>
              <w:right w:val="single" w:sz="4" w:space="0" w:color="auto"/>
            </w:tcBorders>
            <w:textDirection w:val="lrTb"/>
            <w:vAlign w:val="center"/>
          </w:tcPr>
          <w:p w:rsidR="002151F6" w:rsidRPr="002151F6" w:rsidP="00501AD0">
            <w:pPr>
              <w:bidi w:val="0"/>
              <w:spacing w:after="80"/>
              <w:jc w:val="center"/>
              <w:rPr>
                <w:rFonts w:cs="Arial"/>
                <w:b/>
                <w:sz w:val="20"/>
                <w:szCs w:val="20"/>
                <w:lang w:val="sk-SK"/>
              </w:rPr>
            </w:pPr>
            <w:r w:rsidRPr="002151F6">
              <w:rPr>
                <w:rFonts w:cs="Arial"/>
                <w:b/>
                <w:sz w:val="20"/>
                <w:szCs w:val="20"/>
                <w:lang w:val="sk-SK"/>
              </w:rPr>
              <w:t>100%</w:t>
            </w:r>
          </w:p>
        </w:tc>
        <w:tc>
          <w:tcPr>
            <w:tcW w:w="1089" w:type="dxa"/>
            <w:gridSpan w:val="2"/>
            <w:tcBorders>
              <w:top w:val="nil"/>
              <w:left w:val="single" w:sz="4" w:space="0" w:color="auto"/>
              <w:bottom w:val="nil"/>
              <w:right w:val="none" w:sz="0" w:space="0" w:color="auto"/>
            </w:tcBorders>
            <w:textDirection w:val="lrTb"/>
            <w:vAlign w:val="center"/>
          </w:tcPr>
          <w:p w:rsidR="002151F6" w:rsidRPr="002151F6" w:rsidP="00501AD0">
            <w:pPr>
              <w:bidi w:val="0"/>
              <w:spacing w:after="80"/>
              <w:jc w:val="center"/>
              <w:rPr>
                <w:rFonts w:cs="Arial Narrow"/>
                <w:b/>
                <w:sz w:val="20"/>
                <w:szCs w:val="20"/>
                <w:lang w:val="sk-SK"/>
              </w:rPr>
            </w:pPr>
            <w:r w:rsidRPr="002151F6">
              <w:rPr>
                <w:rFonts w:cs="Arial Narrow"/>
                <w:b/>
                <w:sz w:val="20"/>
                <w:szCs w:val="20"/>
                <w:lang w:val="sk-SK"/>
              </w:rPr>
              <w:t>279 763</w:t>
            </w:r>
          </w:p>
        </w:tc>
        <w:tc>
          <w:tcPr>
            <w:tcW w:w="865" w:type="dxa"/>
            <w:tcBorders>
              <w:top w:val="nil"/>
              <w:left w:val="none" w:sz="0" w:space="0" w:color="auto"/>
              <w:bottom w:val="nil"/>
              <w:right w:val="single" w:sz="4" w:space="0" w:color="auto"/>
            </w:tcBorders>
            <w:textDirection w:val="lrTb"/>
            <w:vAlign w:val="center"/>
          </w:tcPr>
          <w:p w:rsidR="002151F6" w:rsidRPr="002151F6" w:rsidP="00501AD0">
            <w:pPr>
              <w:bidi w:val="0"/>
              <w:spacing w:after="80"/>
              <w:jc w:val="center"/>
              <w:rPr>
                <w:rFonts w:cs="Arial Narrow"/>
                <w:b/>
                <w:sz w:val="20"/>
                <w:szCs w:val="20"/>
                <w:lang w:val="sk-SK"/>
              </w:rPr>
            </w:pPr>
            <w:r w:rsidRPr="002151F6">
              <w:rPr>
                <w:rFonts w:cs="Arial Narrow"/>
                <w:b/>
                <w:sz w:val="20"/>
                <w:szCs w:val="20"/>
                <w:lang w:val="sk-SK"/>
              </w:rPr>
              <w:t>100%</w:t>
            </w:r>
          </w:p>
        </w:tc>
        <w:tc>
          <w:tcPr>
            <w:tcW w:w="1206" w:type="dxa"/>
            <w:gridSpan w:val="2"/>
            <w:tcBorders>
              <w:top w:val="nil"/>
              <w:left w:val="single" w:sz="4" w:space="0" w:color="auto"/>
              <w:bottom w:val="nil"/>
              <w:right w:val="nil"/>
            </w:tcBorders>
            <w:textDirection w:val="lrTb"/>
            <w:vAlign w:val="center"/>
          </w:tcPr>
          <w:p w:rsidR="002151F6" w:rsidRPr="002151F6" w:rsidP="00501AD0">
            <w:pPr>
              <w:bidi w:val="0"/>
              <w:spacing w:after="80"/>
              <w:jc w:val="center"/>
              <w:rPr>
                <w:rFonts w:cs="Arial Narrow"/>
                <w:b/>
                <w:sz w:val="18"/>
                <w:szCs w:val="18"/>
                <w:lang w:val="sk-SK"/>
              </w:rPr>
            </w:pPr>
            <w:r w:rsidRPr="002151F6">
              <w:rPr>
                <w:rFonts w:cs="Arial Narrow"/>
                <w:b/>
                <w:sz w:val="18"/>
                <w:szCs w:val="18"/>
                <w:lang w:val="sk-SK"/>
              </w:rPr>
              <w:t>415 570</w:t>
            </w:r>
          </w:p>
        </w:tc>
        <w:tc>
          <w:tcPr>
            <w:tcW w:w="761" w:type="dxa"/>
            <w:tcBorders>
              <w:top w:val="nil"/>
              <w:left w:val="nil"/>
              <w:bottom w:val="nil"/>
              <w:right w:val="none" w:sz="0" w:space="0" w:color="auto"/>
            </w:tcBorders>
            <w:textDirection w:val="lrTb"/>
            <w:vAlign w:val="center"/>
          </w:tcPr>
          <w:p w:rsidR="002151F6" w:rsidRPr="002151F6" w:rsidP="00501AD0">
            <w:pPr>
              <w:bidi w:val="0"/>
              <w:spacing w:after="80"/>
              <w:jc w:val="center"/>
              <w:rPr>
                <w:rFonts w:cs="Arial Narrow"/>
                <w:b/>
                <w:sz w:val="18"/>
                <w:szCs w:val="18"/>
                <w:lang w:val="sk-SK"/>
              </w:rPr>
            </w:pPr>
            <w:r w:rsidRPr="002151F6">
              <w:rPr>
                <w:rFonts w:cs="Arial Narrow"/>
                <w:b/>
                <w:sz w:val="18"/>
                <w:szCs w:val="18"/>
                <w:lang w:val="sk-SK"/>
              </w:rPr>
              <w:t>100%</w:t>
            </w:r>
          </w:p>
        </w:tc>
      </w:tr>
      <w:tr>
        <w:tblPrEx>
          <w:tblW w:w="8188" w:type="dxa"/>
          <w:jc w:val="center"/>
          <w:tblCellMar>
            <w:left w:w="70" w:type="dxa"/>
            <w:right w:w="70" w:type="dxa"/>
          </w:tblCellMar>
        </w:tblPrEx>
        <w:trPr>
          <w:trHeight w:val="194"/>
          <w:jc w:val="center"/>
        </w:trPr>
        <w:tc>
          <w:tcPr>
            <w:tcW w:w="180" w:type="dxa"/>
            <w:tcBorders>
              <w:top w:val="single" w:sz="4" w:space="0" w:color="auto"/>
              <w:left w:val="nil"/>
              <w:bottom w:val="none" w:sz="0" w:space="0" w:color="auto"/>
              <w:right w:val="nil"/>
            </w:tcBorders>
            <w:textDirection w:val="lrTb"/>
            <w:vAlign w:val="top"/>
          </w:tcPr>
          <w:p w:rsidR="002151F6" w:rsidRPr="002151F6" w:rsidP="00501AD0">
            <w:pPr>
              <w:bidi w:val="0"/>
              <w:jc w:val="right"/>
              <w:rPr>
                <w:rFonts w:cs="Arial Narrow"/>
                <w:iCs/>
                <w:sz w:val="16"/>
                <w:szCs w:val="16"/>
                <w:lang w:val="sk-SK"/>
              </w:rPr>
            </w:pPr>
          </w:p>
        </w:tc>
        <w:tc>
          <w:tcPr>
            <w:tcW w:w="8008" w:type="dxa"/>
            <w:gridSpan w:val="10"/>
            <w:tcBorders>
              <w:top w:val="single" w:sz="4" w:space="0" w:color="auto"/>
              <w:left w:val="nil"/>
              <w:bottom w:val="none" w:sz="0" w:space="0" w:color="auto"/>
              <w:right w:val="nil"/>
            </w:tcBorders>
            <w:noWrap/>
            <w:textDirection w:val="lrTb"/>
            <w:vAlign w:val="center"/>
          </w:tcPr>
          <w:p w:rsidR="002151F6" w:rsidRPr="002151F6" w:rsidP="00501AD0">
            <w:pPr>
              <w:bidi w:val="0"/>
              <w:jc w:val="right"/>
              <w:rPr>
                <w:rFonts w:cs="Arial"/>
                <w:iCs/>
                <w:sz w:val="16"/>
                <w:szCs w:val="16"/>
                <w:lang w:val="sk-SK"/>
              </w:rPr>
            </w:pPr>
          </w:p>
        </w:tc>
      </w:tr>
    </w:tbl>
    <w:p w:rsidR="0040784B" w:rsidRPr="002151F6" w:rsidP="002151F6">
      <w:pPr>
        <w:tabs>
          <w:tab w:val="num" w:pos="1080"/>
        </w:tabs>
        <w:bidi w:val="0"/>
        <w:spacing w:after="0" w:line="240" w:lineRule="auto"/>
        <w:jc w:val="both"/>
        <w:rPr>
          <w:rFonts w:ascii="Times New Roman" w:hAnsi="Times New Roman"/>
          <w:bCs/>
          <w:sz w:val="24"/>
          <w:szCs w:val="20"/>
          <w:lang w:val="sk-SK" w:eastAsia="sk-SK"/>
        </w:rPr>
        <w:sectPr w:rsidSect="00DB0ADF">
          <w:headerReference w:type="default" r:id="rId12"/>
          <w:pgSz w:w="11906" w:h="16838"/>
          <w:pgMar w:top="1417" w:right="1417" w:bottom="1276" w:left="1417" w:header="708" w:footer="708" w:gutter="0"/>
          <w:lnNumType w:distance="0"/>
          <w:pgNumType w:start="8"/>
          <w:cols w:space="708"/>
          <w:noEndnote w:val="0"/>
          <w:bidi w:val="0"/>
          <w:docGrid w:linePitch="360"/>
        </w:sectPr>
      </w:pPr>
    </w:p>
    <w:p w:rsidR="002151F6" w:rsidRPr="002151F6" w:rsidP="002468FF">
      <w:pPr>
        <w:tabs>
          <w:tab w:val="num" w:pos="1080"/>
        </w:tabs>
        <w:bidi w:val="0"/>
        <w:spacing w:after="0" w:line="240" w:lineRule="auto"/>
        <w:jc w:val="right"/>
        <w:rPr>
          <w:rFonts w:ascii="Times New Roman" w:hAnsi="Times New Roman"/>
          <w:bCs/>
          <w:sz w:val="24"/>
          <w:szCs w:val="20"/>
          <w:lang w:val="sk-SK" w:eastAsia="sk-SK"/>
        </w:rPr>
      </w:pPr>
      <w:r w:rsidRPr="004F1A69" w:rsidR="004F1A69">
        <w:rPr>
          <w:rFonts w:ascii="Times New Roman" w:hAnsi="Times New Roman"/>
          <w:bCs/>
          <w:sz w:val="24"/>
          <w:szCs w:val="20"/>
          <w:lang w:val="sk-SK" w:eastAsia="sk-SK"/>
        </w:rPr>
        <w:t>Tabuľka č. 3</w:t>
      </w:r>
    </w:p>
    <w:tbl>
      <w:tblPr>
        <w:tblStyle w:val="TableNormal"/>
        <w:tblpPr w:leftFromText="141" w:rightFromText="141" w:vertAnchor="page" w:horzAnchor="margin" w:tblpXSpec="center" w:tblpY="1876"/>
        <w:tblW w:w="13950" w:type="dxa"/>
        <w:tblCellMar>
          <w:left w:w="70" w:type="dxa"/>
          <w:right w:w="70" w:type="dxa"/>
        </w:tblCellMar>
      </w:tblPr>
      <w:tblGrid>
        <w:gridCol w:w="3898"/>
        <w:gridCol w:w="1417"/>
        <w:gridCol w:w="1276"/>
        <w:gridCol w:w="1134"/>
        <w:gridCol w:w="1276"/>
        <w:gridCol w:w="4949"/>
      </w:tblGrid>
      <w:tr>
        <w:tblPrEx>
          <w:tblW w:w="13950" w:type="dxa"/>
          <w:tblCellMar>
            <w:left w:w="70" w:type="dxa"/>
            <w:right w:w="70" w:type="dxa"/>
          </w:tblCellMar>
        </w:tblPrEx>
        <w:trPr>
          <w:cantSplit/>
          <w:trHeight w:val="255"/>
        </w:trPr>
        <w:tc>
          <w:tcPr>
            <w:tcW w:w="389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151F6" w:rsidRPr="002151F6" w:rsidP="004F1A69">
            <w:pPr>
              <w:bidi w:val="0"/>
              <w:spacing w:after="0" w:line="240" w:lineRule="auto"/>
              <w:jc w:val="center"/>
              <w:rPr>
                <w:rFonts w:ascii="Times New Roman" w:hAnsi="Times New Roman"/>
                <w:b/>
                <w:bCs/>
                <w:sz w:val="24"/>
                <w:szCs w:val="24"/>
                <w:lang w:val="sk-SK" w:eastAsia="sk-SK"/>
              </w:rPr>
            </w:pPr>
            <w:r w:rsidRPr="002151F6">
              <w:rPr>
                <w:rFonts w:ascii="Times New Roman" w:hAnsi="Times New Roman"/>
                <w:b/>
                <w:bCs/>
                <w:sz w:val="24"/>
                <w:szCs w:val="24"/>
                <w:lang w:val="sk-SK" w:eastAsia="sk-SK"/>
              </w:rPr>
              <w:t>Príjmy (v eurách)</w:t>
            </w:r>
          </w:p>
        </w:tc>
        <w:tc>
          <w:tcPr>
            <w:tcW w:w="5103"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2151F6" w:rsidRPr="002151F6" w:rsidP="004F1A69">
            <w:pPr>
              <w:bidi w:val="0"/>
              <w:spacing w:after="0" w:line="240" w:lineRule="auto"/>
              <w:jc w:val="center"/>
              <w:rPr>
                <w:rFonts w:ascii="Times New Roman" w:hAnsi="Times New Roman"/>
                <w:b/>
                <w:bCs/>
                <w:sz w:val="24"/>
                <w:szCs w:val="24"/>
                <w:lang w:val="sk-SK" w:eastAsia="sk-SK"/>
              </w:rPr>
            </w:pPr>
            <w:r w:rsidRPr="002151F6">
              <w:rPr>
                <w:rFonts w:ascii="Times New Roman" w:hAnsi="Times New Roman"/>
                <w:b/>
                <w:bCs/>
                <w:sz w:val="24"/>
                <w:szCs w:val="24"/>
                <w:lang w:val="sk-SK" w:eastAsia="sk-SK"/>
              </w:rPr>
              <w:t>Vplyv na rozpočet verejnej správy</w:t>
            </w:r>
          </w:p>
        </w:tc>
        <w:tc>
          <w:tcPr>
            <w:tcW w:w="4949"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51F6" w:rsidRPr="002151F6" w:rsidP="004F1A69">
            <w:pPr>
              <w:bidi w:val="0"/>
              <w:spacing w:after="0" w:line="240" w:lineRule="auto"/>
              <w:jc w:val="center"/>
              <w:rPr>
                <w:rFonts w:ascii="Times New Roman" w:hAnsi="Times New Roman"/>
                <w:b/>
                <w:bCs/>
                <w:sz w:val="24"/>
                <w:szCs w:val="24"/>
                <w:lang w:val="sk-SK" w:eastAsia="sk-SK"/>
              </w:rPr>
            </w:pPr>
            <w:r w:rsidRPr="002151F6">
              <w:rPr>
                <w:rFonts w:ascii="Times New Roman" w:hAnsi="Times New Roman"/>
                <w:b/>
                <w:bCs/>
                <w:sz w:val="24"/>
                <w:szCs w:val="24"/>
                <w:lang w:val="sk-SK" w:eastAsia="sk-SK"/>
              </w:rPr>
              <w:t>poznámka</w:t>
            </w:r>
          </w:p>
        </w:tc>
      </w:tr>
      <w:tr>
        <w:tblPrEx>
          <w:tblW w:w="13950" w:type="dxa"/>
          <w:tblCellMar>
            <w:left w:w="70" w:type="dxa"/>
            <w:right w:w="70" w:type="dxa"/>
          </w:tblCellMar>
        </w:tblPrEx>
        <w:trPr>
          <w:cantSplit/>
          <w:trHeight w:val="255"/>
        </w:trPr>
        <w:tc>
          <w:tcPr>
            <w:tcW w:w="3898" w:type="dxa"/>
            <w:vMerge/>
            <w:tcBorders>
              <w:top w:val="single" w:sz="4" w:space="0" w:color="auto"/>
              <w:left w:val="single" w:sz="4" w:space="0" w:color="auto"/>
              <w:bottom w:val="single" w:sz="4" w:space="0" w:color="auto"/>
              <w:right w:val="single" w:sz="4" w:space="0" w:color="auto"/>
            </w:tcBorders>
            <w:textDirection w:val="lrTb"/>
            <w:vAlign w:val="center"/>
          </w:tcPr>
          <w:p w:rsidR="002151F6" w:rsidRPr="002151F6" w:rsidP="004F1A69">
            <w:pPr>
              <w:bidi w:val="0"/>
              <w:spacing w:after="0" w:line="240" w:lineRule="auto"/>
              <w:rPr>
                <w:rFonts w:ascii="Times New Roman" w:hAnsi="Times New Roman"/>
                <w:b/>
                <w:bCs/>
                <w:color w:val="FFFFFF"/>
                <w:sz w:val="24"/>
                <w:szCs w:val="24"/>
                <w:lang w:val="sk-SK" w:eastAsia="sk-SK"/>
              </w:rPr>
            </w:pPr>
          </w:p>
        </w:tc>
        <w:tc>
          <w:tcPr>
            <w:tcW w:w="1417" w:type="dxa"/>
            <w:tcBorders>
              <w:top w:val="nil"/>
              <w:left w:val="nil"/>
              <w:bottom w:val="single" w:sz="4" w:space="0" w:color="auto"/>
              <w:right w:val="single" w:sz="4" w:space="0" w:color="auto"/>
            </w:tcBorders>
            <w:shd w:val="clear" w:color="auto" w:fill="BFBFBF"/>
            <w:textDirection w:val="lrTb"/>
            <w:vAlign w:val="top"/>
          </w:tcPr>
          <w:p w:rsidR="002151F6" w:rsidRPr="002151F6" w:rsidP="004F1A69">
            <w:pPr>
              <w:bidi w:val="0"/>
              <w:spacing w:after="0" w:line="240" w:lineRule="auto"/>
              <w:jc w:val="center"/>
              <w:rPr>
                <w:rFonts w:ascii="Times New Roman" w:hAnsi="Times New Roman"/>
                <w:b/>
                <w:bCs/>
                <w:sz w:val="24"/>
                <w:szCs w:val="24"/>
                <w:lang w:val="sk-SK" w:eastAsia="sk-SK"/>
              </w:rPr>
            </w:pPr>
            <w:r w:rsidRPr="002151F6">
              <w:rPr>
                <w:rFonts w:ascii="Times New Roman" w:hAnsi="Times New Roman"/>
                <w:b/>
                <w:bCs/>
                <w:sz w:val="24"/>
                <w:szCs w:val="24"/>
                <w:lang w:val="sk-SK" w:eastAsia="sk-SK"/>
              </w:rPr>
              <w:t>2016</w:t>
            </w:r>
          </w:p>
        </w:tc>
        <w:tc>
          <w:tcPr>
            <w:tcW w:w="1276" w:type="dxa"/>
            <w:tcBorders>
              <w:top w:val="nil"/>
              <w:left w:val="nil"/>
              <w:bottom w:val="single" w:sz="4" w:space="0" w:color="auto"/>
              <w:right w:val="single" w:sz="4" w:space="0" w:color="auto"/>
            </w:tcBorders>
            <w:shd w:val="clear" w:color="auto" w:fill="BFBFBF"/>
            <w:textDirection w:val="lrTb"/>
            <w:vAlign w:val="top"/>
          </w:tcPr>
          <w:p w:rsidR="002151F6" w:rsidRPr="002151F6" w:rsidP="004F1A69">
            <w:pPr>
              <w:bidi w:val="0"/>
              <w:spacing w:after="0" w:line="240" w:lineRule="auto"/>
              <w:jc w:val="center"/>
              <w:rPr>
                <w:rFonts w:ascii="Times New Roman" w:hAnsi="Times New Roman"/>
                <w:b/>
                <w:bCs/>
                <w:sz w:val="24"/>
                <w:szCs w:val="24"/>
                <w:lang w:val="sk-SK" w:eastAsia="sk-SK"/>
              </w:rPr>
            </w:pPr>
            <w:r w:rsidRPr="002151F6">
              <w:rPr>
                <w:rFonts w:ascii="Times New Roman" w:hAnsi="Times New Roman"/>
                <w:b/>
                <w:bCs/>
                <w:sz w:val="24"/>
                <w:szCs w:val="24"/>
                <w:lang w:val="sk-SK" w:eastAsia="sk-SK"/>
              </w:rPr>
              <w:t>2017</w:t>
            </w:r>
          </w:p>
        </w:tc>
        <w:tc>
          <w:tcPr>
            <w:tcW w:w="1134" w:type="dxa"/>
            <w:tcBorders>
              <w:top w:val="nil"/>
              <w:left w:val="nil"/>
              <w:bottom w:val="single" w:sz="4" w:space="0" w:color="auto"/>
              <w:right w:val="single" w:sz="4" w:space="0" w:color="auto"/>
            </w:tcBorders>
            <w:shd w:val="clear" w:color="auto" w:fill="BFBFBF"/>
            <w:textDirection w:val="lrTb"/>
            <w:vAlign w:val="top"/>
          </w:tcPr>
          <w:p w:rsidR="002151F6" w:rsidRPr="002151F6" w:rsidP="004F1A69">
            <w:pPr>
              <w:bidi w:val="0"/>
              <w:spacing w:after="0" w:line="240" w:lineRule="auto"/>
              <w:jc w:val="center"/>
              <w:rPr>
                <w:rFonts w:ascii="Times New Roman" w:hAnsi="Times New Roman"/>
                <w:b/>
                <w:bCs/>
                <w:sz w:val="24"/>
                <w:szCs w:val="24"/>
                <w:lang w:val="sk-SK" w:eastAsia="sk-SK"/>
              </w:rPr>
            </w:pPr>
            <w:r w:rsidRPr="002151F6">
              <w:rPr>
                <w:rFonts w:ascii="Times New Roman" w:hAnsi="Times New Roman"/>
                <w:b/>
                <w:bCs/>
                <w:sz w:val="24"/>
                <w:szCs w:val="24"/>
                <w:lang w:val="sk-SK" w:eastAsia="sk-SK"/>
              </w:rPr>
              <w:t>2018</w:t>
            </w:r>
          </w:p>
        </w:tc>
        <w:tc>
          <w:tcPr>
            <w:tcW w:w="1276" w:type="dxa"/>
            <w:tcBorders>
              <w:top w:val="nil"/>
              <w:left w:val="nil"/>
              <w:bottom w:val="single" w:sz="4" w:space="0" w:color="auto"/>
              <w:right w:val="single" w:sz="4" w:space="0" w:color="auto"/>
            </w:tcBorders>
            <w:shd w:val="clear" w:color="auto" w:fill="BFBFBF"/>
            <w:textDirection w:val="lrTb"/>
            <w:vAlign w:val="top"/>
          </w:tcPr>
          <w:p w:rsidR="002151F6" w:rsidRPr="002151F6" w:rsidP="004F1A69">
            <w:pPr>
              <w:bidi w:val="0"/>
              <w:spacing w:after="0" w:line="240" w:lineRule="auto"/>
              <w:jc w:val="center"/>
              <w:rPr>
                <w:rFonts w:ascii="Times New Roman" w:hAnsi="Times New Roman"/>
                <w:b/>
                <w:bCs/>
                <w:sz w:val="24"/>
                <w:szCs w:val="24"/>
                <w:lang w:val="sk-SK" w:eastAsia="sk-SK"/>
              </w:rPr>
            </w:pPr>
            <w:r w:rsidRPr="002151F6">
              <w:rPr>
                <w:rFonts w:ascii="Times New Roman" w:hAnsi="Times New Roman"/>
                <w:b/>
                <w:bCs/>
                <w:sz w:val="24"/>
                <w:szCs w:val="24"/>
                <w:lang w:val="sk-SK" w:eastAsia="sk-SK"/>
              </w:rPr>
              <w:t>2019</w:t>
            </w:r>
          </w:p>
        </w:tc>
        <w:tc>
          <w:tcPr>
            <w:tcW w:w="4949" w:type="dxa"/>
            <w:vMerge/>
            <w:tcBorders>
              <w:top w:val="single" w:sz="4" w:space="0" w:color="auto"/>
              <w:left w:val="single" w:sz="4" w:space="0" w:color="auto"/>
              <w:bottom w:val="single" w:sz="4" w:space="0" w:color="auto"/>
              <w:right w:val="single" w:sz="4" w:space="0" w:color="auto"/>
            </w:tcBorders>
            <w:textDirection w:val="lrTb"/>
            <w:vAlign w:val="center"/>
          </w:tcPr>
          <w:p w:rsidR="002151F6" w:rsidRPr="002151F6" w:rsidP="004F1A69">
            <w:pPr>
              <w:bidi w:val="0"/>
              <w:spacing w:after="0" w:line="240" w:lineRule="auto"/>
              <w:rPr>
                <w:rFonts w:ascii="Times New Roman" w:hAnsi="Times New Roman"/>
                <w:b/>
                <w:bCs/>
                <w:color w:val="FFFFFF"/>
                <w:sz w:val="24"/>
                <w:szCs w:val="24"/>
                <w:lang w:val="sk-SK" w:eastAsia="sk-SK"/>
              </w:rPr>
            </w:pPr>
          </w:p>
        </w:tc>
      </w:tr>
      <w:tr>
        <w:tblPrEx>
          <w:tblW w:w="13950" w:type="dxa"/>
          <w:tblCellMar>
            <w:left w:w="70" w:type="dxa"/>
            <w:right w:w="70" w:type="dxa"/>
          </w:tblCellMar>
        </w:tblPrEx>
        <w:trPr>
          <w:trHeight w:val="255"/>
        </w:trPr>
        <w:tc>
          <w:tcPr>
            <w:tcW w:w="3898" w:type="dxa"/>
            <w:tcBorders>
              <w:top w:val="nil"/>
              <w:left w:val="single" w:sz="4" w:space="0" w:color="auto"/>
              <w:bottom w:val="single" w:sz="4" w:space="0" w:color="auto"/>
              <w:right w:val="single" w:sz="4" w:space="0" w:color="auto"/>
            </w:tcBorders>
            <w:textDirection w:val="lrTb"/>
            <w:vAlign w:val="top"/>
          </w:tcPr>
          <w:p w:rsidR="002151F6" w:rsidRPr="002151F6" w:rsidP="004F1A69">
            <w:pPr>
              <w:bidi w:val="0"/>
              <w:spacing w:after="0" w:line="240" w:lineRule="auto"/>
              <w:rPr>
                <w:rFonts w:ascii="Times New Roman" w:hAnsi="Times New Roman"/>
                <w:b/>
                <w:bCs/>
                <w:sz w:val="24"/>
                <w:szCs w:val="24"/>
                <w:vertAlign w:val="superscript"/>
                <w:lang w:val="sk-SK" w:eastAsia="sk-SK"/>
              </w:rPr>
            </w:pPr>
            <w:r w:rsidRPr="002151F6">
              <w:rPr>
                <w:rFonts w:ascii="Times New Roman" w:hAnsi="Times New Roman"/>
                <w:b/>
                <w:bCs/>
                <w:sz w:val="24"/>
                <w:szCs w:val="24"/>
                <w:lang w:val="sk-SK" w:eastAsia="sk-SK"/>
              </w:rPr>
              <w:t>Daňové príjmy (100)</w:t>
            </w:r>
            <w:r w:rsidRPr="002151F6">
              <w:rPr>
                <w:rFonts w:ascii="Times New Roman" w:hAnsi="Times New Roman"/>
                <w:b/>
                <w:bCs/>
                <w:sz w:val="24"/>
                <w:szCs w:val="24"/>
                <w:vertAlign w:val="superscript"/>
                <w:lang w:val="sk-SK" w:eastAsia="sk-SK"/>
              </w:rPr>
              <w:t>1</w:t>
            </w:r>
          </w:p>
        </w:tc>
        <w:tc>
          <w:tcPr>
            <w:tcW w:w="1417" w:type="dxa"/>
            <w:tcBorders>
              <w:top w:val="nil"/>
              <w:left w:val="nil"/>
              <w:bottom w:val="single" w:sz="4" w:space="0" w:color="auto"/>
              <w:right w:val="single" w:sz="4" w:space="0" w:color="auto"/>
            </w:tcBorders>
            <w:textDirection w:val="lrTb"/>
            <w:vAlign w:val="top"/>
          </w:tcPr>
          <w:p w:rsidR="002151F6" w:rsidRPr="002151F6" w:rsidP="004F1A69">
            <w:pPr>
              <w:bidi w:val="0"/>
              <w:spacing w:after="0" w:line="240" w:lineRule="auto"/>
              <w:jc w:val="center"/>
              <w:rPr>
                <w:rFonts w:ascii="Times New Roman" w:hAnsi="Times New Roman"/>
                <w:b/>
                <w:bCs/>
                <w:sz w:val="24"/>
                <w:szCs w:val="24"/>
                <w:lang w:val="sk-SK" w:eastAsia="sk-SK"/>
              </w:rPr>
            </w:pPr>
          </w:p>
        </w:tc>
        <w:tc>
          <w:tcPr>
            <w:tcW w:w="1276" w:type="dxa"/>
            <w:tcBorders>
              <w:top w:val="nil"/>
              <w:left w:val="nil"/>
              <w:bottom w:val="single" w:sz="4" w:space="0" w:color="auto"/>
              <w:right w:val="single" w:sz="4" w:space="0" w:color="auto"/>
            </w:tcBorders>
            <w:textDirection w:val="lrTb"/>
            <w:vAlign w:val="top"/>
          </w:tcPr>
          <w:p w:rsidR="002151F6" w:rsidRPr="002151F6" w:rsidP="004F1A69">
            <w:pPr>
              <w:bidi w:val="0"/>
              <w:spacing w:after="0" w:line="240" w:lineRule="auto"/>
              <w:jc w:val="center"/>
              <w:rPr>
                <w:rFonts w:ascii="Times New Roman" w:hAnsi="Times New Roman"/>
                <w:b/>
                <w:bCs/>
                <w:sz w:val="24"/>
                <w:szCs w:val="24"/>
                <w:lang w:val="sk-SK" w:eastAsia="sk-SK"/>
              </w:rPr>
            </w:pPr>
          </w:p>
        </w:tc>
        <w:tc>
          <w:tcPr>
            <w:tcW w:w="1134" w:type="dxa"/>
            <w:tcBorders>
              <w:top w:val="nil"/>
              <w:left w:val="nil"/>
              <w:bottom w:val="single" w:sz="4" w:space="0" w:color="auto"/>
              <w:right w:val="single" w:sz="4" w:space="0" w:color="auto"/>
            </w:tcBorders>
            <w:textDirection w:val="lrTb"/>
            <w:vAlign w:val="top"/>
          </w:tcPr>
          <w:p w:rsidR="002151F6" w:rsidRPr="002151F6" w:rsidP="004F1A69">
            <w:pPr>
              <w:bidi w:val="0"/>
              <w:spacing w:after="0" w:line="240" w:lineRule="auto"/>
              <w:jc w:val="center"/>
              <w:rPr>
                <w:rFonts w:ascii="Times New Roman" w:hAnsi="Times New Roman"/>
                <w:b/>
                <w:bCs/>
                <w:sz w:val="24"/>
                <w:szCs w:val="24"/>
                <w:lang w:val="sk-SK" w:eastAsia="sk-SK"/>
              </w:rPr>
            </w:pPr>
          </w:p>
        </w:tc>
        <w:tc>
          <w:tcPr>
            <w:tcW w:w="1276" w:type="dxa"/>
            <w:tcBorders>
              <w:top w:val="nil"/>
              <w:left w:val="nil"/>
              <w:bottom w:val="single" w:sz="4" w:space="0" w:color="auto"/>
              <w:right w:val="single" w:sz="4" w:space="0" w:color="auto"/>
            </w:tcBorders>
            <w:textDirection w:val="lrTb"/>
            <w:vAlign w:val="top"/>
          </w:tcPr>
          <w:p w:rsidR="002151F6" w:rsidRPr="002151F6" w:rsidP="004F1A69">
            <w:pPr>
              <w:bidi w:val="0"/>
              <w:spacing w:after="0" w:line="240" w:lineRule="auto"/>
              <w:jc w:val="center"/>
              <w:rPr>
                <w:rFonts w:ascii="Times New Roman" w:hAnsi="Times New Roman"/>
                <w:b/>
                <w:bCs/>
                <w:sz w:val="24"/>
                <w:szCs w:val="24"/>
                <w:lang w:val="sk-SK" w:eastAsia="sk-SK"/>
              </w:rPr>
            </w:pPr>
          </w:p>
        </w:tc>
        <w:tc>
          <w:tcPr>
            <w:tcW w:w="4949" w:type="dxa"/>
            <w:tcBorders>
              <w:top w:val="nil"/>
              <w:left w:val="nil"/>
              <w:bottom w:val="single" w:sz="4" w:space="0" w:color="auto"/>
              <w:right w:val="single" w:sz="4" w:space="0" w:color="auto"/>
            </w:tcBorders>
            <w:noWrap/>
            <w:textDirection w:val="lrTb"/>
            <w:vAlign w:val="bottom"/>
          </w:tcPr>
          <w:p w:rsidR="002151F6" w:rsidRPr="002151F6" w:rsidP="004F1A69">
            <w:pPr>
              <w:bidi w:val="0"/>
              <w:spacing w:after="0" w:line="240" w:lineRule="auto"/>
              <w:rPr>
                <w:rFonts w:ascii="Times New Roman" w:hAnsi="Times New Roman"/>
                <w:sz w:val="24"/>
                <w:szCs w:val="24"/>
                <w:lang w:val="sk-SK" w:eastAsia="sk-SK"/>
              </w:rPr>
            </w:pPr>
            <w:r w:rsidRPr="002151F6">
              <w:rPr>
                <w:rFonts w:ascii="Times New Roman" w:hAnsi="Times New Roman"/>
                <w:sz w:val="24"/>
                <w:szCs w:val="24"/>
                <w:lang w:val="sk-SK" w:eastAsia="sk-SK"/>
              </w:rPr>
              <w:t> </w:t>
            </w:r>
          </w:p>
        </w:tc>
      </w:tr>
      <w:tr>
        <w:tblPrEx>
          <w:tblW w:w="13950" w:type="dxa"/>
          <w:tblCellMar>
            <w:left w:w="70" w:type="dxa"/>
            <w:right w:w="70" w:type="dxa"/>
          </w:tblCellMar>
        </w:tblPrEx>
        <w:trPr>
          <w:trHeight w:val="255"/>
        </w:trPr>
        <w:tc>
          <w:tcPr>
            <w:tcW w:w="3898" w:type="dxa"/>
            <w:tcBorders>
              <w:top w:val="nil"/>
              <w:left w:val="single" w:sz="4" w:space="0" w:color="auto"/>
              <w:bottom w:val="single" w:sz="4" w:space="0" w:color="auto"/>
              <w:right w:val="single" w:sz="4" w:space="0" w:color="auto"/>
            </w:tcBorders>
            <w:textDirection w:val="lrTb"/>
            <w:vAlign w:val="top"/>
          </w:tcPr>
          <w:p w:rsidR="002151F6" w:rsidRPr="002151F6" w:rsidP="004F1A69">
            <w:pPr>
              <w:bidi w:val="0"/>
              <w:spacing w:after="0" w:line="240" w:lineRule="auto"/>
              <w:rPr>
                <w:rFonts w:ascii="Times New Roman" w:hAnsi="Times New Roman"/>
                <w:bCs/>
                <w:sz w:val="24"/>
                <w:szCs w:val="24"/>
                <w:lang w:val="sk-SK" w:eastAsia="sk-SK"/>
              </w:rPr>
            </w:pPr>
            <w:r w:rsidRPr="002151F6">
              <w:rPr>
                <w:rFonts w:ascii="Times New Roman" w:hAnsi="Times New Roman"/>
                <w:b/>
                <w:bCs/>
                <w:sz w:val="24"/>
                <w:szCs w:val="24"/>
                <w:lang w:val="sk-SK" w:eastAsia="sk-SK"/>
              </w:rPr>
              <w:t>Nedaňové príjmy (200)</w:t>
            </w:r>
            <w:r w:rsidRPr="002151F6">
              <w:rPr>
                <w:rFonts w:ascii="Times New Roman" w:hAnsi="Times New Roman"/>
                <w:b/>
                <w:bCs/>
                <w:sz w:val="24"/>
                <w:szCs w:val="24"/>
                <w:vertAlign w:val="superscript"/>
                <w:lang w:val="sk-SK" w:eastAsia="sk-SK"/>
              </w:rPr>
              <w:t>1</w:t>
            </w:r>
            <w:r w:rsidRPr="002151F6">
              <w:rPr>
                <w:rFonts w:ascii="Times New Roman" w:hAnsi="Times New Roman"/>
                <w:bCs/>
                <w:sz w:val="24"/>
                <w:szCs w:val="24"/>
                <w:lang w:val="sk-SK" w:eastAsia="sk-SK"/>
              </w:rPr>
              <w:t> </w:t>
            </w:r>
          </w:p>
          <w:p w:rsidR="002151F6" w:rsidRPr="002151F6" w:rsidP="004F1A69">
            <w:pPr>
              <w:bidi w:val="0"/>
              <w:spacing w:after="0" w:line="240" w:lineRule="auto"/>
              <w:rPr>
                <w:rFonts w:ascii="Times New Roman" w:hAnsi="Times New Roman"/>
                <w:b/>
                <w:bCs/>
                <w:sz w:val="24"/>
                <w:szCs w:val="24"/>
                <w:vertAlign w:val="superscript"/>
                <w:lang w:val="sk-SK" w:eastAsia="sk-SK"/>
              </w:rPr>
            </w:pPr>
            <w:r w:rsidRPr="002151F6">
              <w:rPr>
                <w:rFonts w:ascii="Times New Roman" w:hAnsi="Times New Roman"/>
                <w:bCs/>
                <w:sz w:val="24"/>
                <w:szCs w:val="24"/>
                <w:lang w:val="sk-SK" w:eastAsia="sk-SK"/>
              </w:rPr>
              <w:t>z toho:</w:t>
            </w:r>
          </w:p>
          <w:p w:rsidR="002151F6" w:rsidRPr="002151F6" w:rsidP="004F1A69">
            <w:pPr>
              <w:bidi w:val="0"/>
              <w:spacing w:after="0" w:line="240" w:lineRule="auto"/>
              <w:rPr>
                <w:rFonts w:ascii="Times New Roman" w:hAnsi="Times New Roman"/>
                <w:bCs/>
                <w:sz w:val="24"/>
                <w:szCs w:val="24"/>
                <w:lang w:val="sk-SK" w:eastAsia="sk-SK"/>
              </w:rPr>
            </w:pPr>
            <w:r w:rsidRPr="002151F6">
              <w:rPr>
                <w:rFonts w:ascii="Times New Roman" w:hAnsi="Times New Roman"/>
                <w:bCs/>
                <w:sz w:val="24"/>
                <w:szCs w:val="24"/>
                <w:lang w:val="sk-SK" w:eastAsia="sk-SK"/>
              </w:rPr>
              <w:t>221004 ostatné poplatky</w:t>
            </w:r>
          </w:p>
          <w:p w:rsidR="002151F6" w:rsidRPr="002151F6" w:rsidP="004F1A69">
            <w:pPr>
              <w:bidi w:val="0"/>
              <w:spacing w:after="0" w:line="240" w:lineRule="auto"/>
              <w:rPr>
                <w:rFonts w:ascii="Times New Roman" w:hAnsi="Times New Roman"/>
                <w:bCs/>
                <w:sz w:val="24"/>
                <w:szCs w:val="24"/>
                <w:lang w:val="sk-SK" w:eastAsia="sk-SK"/>
              </w:rPr>
            </w:pPr>
            <w:r w:rsidRPr="002151F6">
              <w:rPr>
                <w:rFonts w:ascii="Times New Roman" w:hAnsi="Times New Roman"/>
                <w:bCs/>
                <w:sz w:val="24"/>
                <w:szCs w:val="24"/>
                <w:lang w:val="sk-SK" w:eastAsia="sk-SK"/>
              </w:rPr>
              <w:t>221001 súdne poplatky</w:t>
            </w:r>
          </w:p>
          <w:p w:rsidR="002151F6" w:rsidRPr="002151F6" w:rsidP="004F1A69">
            <w:pPr>
              <w:bidi w:val="0"/>
              <w:spacing w:after="0" w:line="240" w:lineRule="auto"/>
              <w:rPr>
                <w:rFonts w:ascii="Times New Roman" w:hAnsi="Times New Roman"/>
                <w:b/>
                <w:bCs/>
                <w:sz w:val="24"/>
                <w:szCs w:val="24"/>
                <w:lang w:val="sk-SK" w:eastAsia="sk-SK"/>
              </w:rPr>
            </w:pPr>
            <w:r w:rsidRPr="002151F6">
              <w:rPr>
                <w:rFonts w:ascii="Times New Roman" w:hAnsi="Times New Roman"/>
                <w:bCs/>
                <w:sz w:val="24"/>
                <w:szCs w:val="24"/>
                <w:lang w:val="sk-SK" w:eastAsia="sk-SK"/>
              </w:rPr>
              <w:t>211003 dividendy</w:t>
            </w:r>
          </w:p>
        </w:tc>
        <w:tc>
          <w:tcPr>
            <w:tcW w:w="1417" w:type="dxa"/>
            <w:tcBorders>
              <w:top w:val="nil"/>
              <w:left w:val="nil"/>
              <w:bottom w:val="single" w:sz="4" w:space="0" w:color="auto"/>
              <w:right w:val="single" w:sz="4" w:space="0" w:color="auto"/>
            </w:tcBorders>
            <w:textDirection w:val="lrTb"/>
            <w:vAlign w:val="top"/>
          </w:tcPr>
          <w:p w:rsidR="002151F6" w:rsidRPr="002151F6" w:rsidP="004F1A69">
            <w:pPr>
              <w:bidi w:val="0"/>
              <w:spacing w:after="0" w:line="240" w:lineRule="auto"/>
              <w:jc w:val="center"/>
              <w:rPr>
                <w:rFonts w:ascii="Times New Roman" w:hAnsi="Times New Roman"/>
                <w:b/>
                <w:bCs/>
                <w:sz w:val="24"/>
                <w:szCs w:val="24"/>
                <w:lang w:val="sk-SK" w:eastAsia="sk-SK"/>
              </w:rPr>
            </w:pPr>
          </w:p>
        </w:tc>
        <w:tc>
          <w:tcPr>
            <w:tcW w:w="1276" w:type="dxa"/>
            <w:tcBorders>
              <w:top w:val="nil"/>
              <w:left w:val="nil"/>
              <w:bottom w:val="single" w:sz="4" w:space="0" w:color="auto"/>
              <w:right w:val="single" w:sz="4" w:space="0" w:color="auto"/>
            </w:tcBorders>
            <w:textDirection w:val="lrTb"/>
            <w:vAlign w:val="top"/>
          </w:tcPr>
          <w:p w:rsidR="00465E15" w:rsidP="00465E15">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-864 50</w:t>
            </w:r>
            <w:r w:rsidRPr="007D5748">
              <w:rPr>
                <w:rFonts w:ascii="Times New Roman" w:hAnsi="Times New Roman"/>
                <w:b/>
                <w:bCs/>
                <w:sz w:val="24"/>
                <w:szCs w:val="24"/>
                <w:lang w:eastAsia="sk-SK"/>
              </w:rPr>
              <w:t>0</w:t>
            </w:r>
          </w:p>
          <w:p w:rsidR="002151F6" w:rsidRPr="002151F6" w:rsidP="004F1A69">
            <w:pPr>
              <w:bidi w:val="0"/>
              <w:spacing w:after="0" w:line="240" w:lineRule="auto"/>
              <w:jc w:val="center"/>
              <w:rPr>
                <w:rFonts w:ascii="Times New Roman" w:hAnsi="Times New Roman"/>
                <w:b/>
                <w:bCs/>
                <w:sz w:val="24"/>
                <w:szCs w:val="24"/>
                <w:lang w:val="sk-SK" w:eastAsia="sk-SK"/>
              </w:rPr>
            </w:pPr>
          </w:p>
          <w:p w:rsidR="00465E15" w:rsidRPr="00465E15" w:rsidP="00465E15">
            <w:pPr>
              <w:bidi w:val="0"/>
              <w:spacing w:after="0" w:line="240" w:lineRule="auto"/>
              <w:jc w:val="center"/>
              <w:rPr>
                <w:rFonts w:ascii="Times New Roman" w:hAnsi="Times New Roman"/>
                <w:bCs/>
                <w:sz w:val="24"/>
                <w:szCs w:val="24"/>
                <w:lang w:eastAsia="sk-SK"/>
              </w:rPr>
            </w:pPr>
            <w:r w:rsidRPr="00465E15">
              <w:rPr>
                <w:rFonts w:ascii="Times New Roman" w:hAnsi="Times New Roman"/>
                <w:bCs/>
                <w:sz w:val="24"/>
                <w:szCs w:val="24"/>
                <w:lang w:eastAsia="sk-SK"/>
              </w:rPr>
              <w:t>-864 500</w:t>
            </w:r>
          </w:p>
          <w:p w:rsidR="002151F6" w:rsidRPr="002151F6" w:rsidP="004F1A69">
            <w:pPr>
              <w:bidi w:val="0"/>
              <w:spacing w:after="0" w:line="240" w:lineRule="auto"/>
              <w:jc w:val="center"/>
              <w:rPr>
                <w:rFonts w:ascii="Times New Roman" w:hAnsi="Times New Roman"/>
                <w:bCs/>
                <w:sz w:val="24"/>
                <w:szCs w:val="24"/>
                <w:lang w:val="sk-SK" w:eastAsia="sk-SK"/>
              </w:rPr>
            </w:pPr>
            <w:r w:rsidRPr="002151F6">
              <w:rPr>
                <w:rFonts w:ascii="Times New Roman" w:hAnsi="Times New Roman"/>
                <w:bCs/>
                <w:sz w:val="24"/>
                <w:szCs w:val="24"/>
                <w:lang w:val="sk-SK" w:eastAsia="sk-SK"/>
              </w:rPr>
              <w:t>-10 000</w:t>
            </w:r>
          </w:p>
          <w:p w:rsidR="002151F6" w:rsidRPr="002151F6" w:rsidP="004F1A69">
            <w:pPr>
              <w:bidi w:val="0"/>
              <w:spacing w:after="0" w:line="240" w:lineRule="auto"/>
              <w:jc w:val="center"/>
              <w:rPr>
                <w:rFonts w:ascii="Times New Roman" w:hAnsi="Times New Roman"/>
                <w:b/>
                <w:bCs/>
                <w:sz w:val="24"/>
                <w:szCs w:val="24"/>
                <w:lang w:val="sk-SK" w:eastAsia="sk-SK"/>
              </w:rPr>
            </w:pPr>
            <w:r w:rsidRPr="002151F6">
              <w:rPr>
                <w:rFonts w:ascii="Times New Roman" w:hAnsi="Times New Roman"/>
                <w:bCs/>
                <w:sz w:val="24"/>
                <w:szCs w:val="24"/>
                <w:lang w:val="sk-SK" w:eastAsia="sk-SK"/>
              </w:rPr>
              <w:t>+10 000</w:t>
            </w:r>
          </w:p>
        </w:tc>
        <w:tc>
          <w:tcPr>
            <w:tcW w:w="1134" w:type="dxa"/>
            <w:tcBorders>
              <w:top w:val="nil"/>
              <w:left w:val="nil"/>
              <w:bottom w:val="single" w:sz="4" w:space="0" w:color="auto"/>
              <w:right w:val="single" w:sz="4" w:space="0" w:color="auto"/>
            </w:tcBorders>
            <w:textDirection w:val="lrTb"/>
            <w:vAlign w:val="top"/>
          </w:tcPr>
          <w:p w:rsidR="00465E15" w:rsidP="00465E15">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-864 50</w:t>
            </w:r>
            <w:r w:rsidRPr="007D5748">
              <w:rPr>
                <w:rFonts w:ascii="Times New Roman" w:hAnsi="Times New Roman"/>
                <w:b/>
                <w:bCs/>
                <w:sz w:val="24"/>
                <w:szCs w:val="24"/>
                <w:lang w:eastAsia="sk-SK"/>
              </w:rPr>
              <w:t>0</w:t>
            </w:r>
          </w:p>
          <w:p w:rsidR="002151F6" w:rsidRPr="002151F6" w:rsidP="004F1A69">
            <w:pPr>
              <w:bidi w:val="0"/>
              <w:spacing w:after="0" w:line="240" w:lineRule="auto"/>
              <w:jc w:val="center"/>
              <w:rPr>
                <w:rFonts w:ascii="Times New Roman" w:hAnsi="Times New Roman"/>
                <w:b/>
                <w:bCs/>
                <w:sz w:val="24"/>
                <w:szCs w:val="24"/>
                <w:lang w:val="sk-SK" w:eastAsia="sk-SK"/>
              </w:rPr>
            </w:pPr>
          </w:p>
          <w:p w:rsidR="00465E15" w:rsidRPr="00465E15" w:rsidP="00465E15">
            <w:pPr>
              <w:bidi w:val="0"/>
              <w:spacing w:after="0" w:line="240" w:lineRule="auto"/>
              <w:jc w:val="center"/>
              <w:rPr>
                <w:rFonts w:ascii="Times New Roman" w:hAnsi="Times New Roman"/>
                <w:bCs/>
                <w:sz w:val="24"/>
                <w:szCs w:val="24"/>
                <w:lang w:eastAsia="sk-SK"/>
              </w:rPr>
            </w:pPr>
            <w:r w:rsidRPr="00465E15">
              <w:rPr>
                <w:rFonts w:ascii="Times New Roman" w:hAnsi="Times New Roman"/>
                <w:bCs/>
                <w:sz w:val="24"/>
                <w:szCs w:val="24"/>
                <w:lang w:eastAsia="sk-SK"/>
              </w:rPr>
              <w:t>-864 500</w:t>
            </w:r>
          </w:p>
          <w:p w:rsidR="002151F6" w:rsidRPr="002151F6" w:rsidP="004F1A69">
            <w:pPr>
              <w:bidi w:val="0"/>
              <w:spacing w:after="0" w:line="240" w:lineRule="auto"/>
              <w:jc w:val="center"/>
              <w:rPr>
                <w:rFonts w:ascii="Times New Roman" w:hAnsi="Times New Roman"/>
                <w:bCs/>
                <w:sz w:val="24"/>
                <w:szCs w:val="24"/>
                <w:lang w:val="sk-SK" w:eastAsia="sk-SK"/>
              </w:rPr>
            </w:pPr>
            <w:r w:rsidRPr="002151F6">
              <w:rPr>
                <w:rFonts w:ascii="Times New Roman" w:hAnsi="Times New Roman"/>
                <w:bCs/>
                <w:sz w:val="24"/>
                <w:szCs w:val="24"/>
                <w:lang w:val="sk-SK" w:eastAsia="sk-SK"/>
              </w:rPr>
              <w:t>-10 000</w:t>
            </w:r>
          </w:p>
          <w:p w:rsidR="002151F6" w:rsidRPr="002151F6" w:rsidP="004F1A69">
            <w:pPr>
              <w:bidi w:val="0"/>
              <w:spacing w:after="0" w:line="240" w:lineRule="auto"/>
              <w:jc w:val="center"/>
              <w:rPr>
                <w:rFonts w:ascii="Times New Roman" w:hAnsi="Times New Roman"/>
                <w:b/>
                <w:bCs/>
                <w:sz w:val="24"/>
                <w:szCs w:val="24"/>
                <w:lang w:val="sk-SK" w:eastAsia="sk-SK"/>
              </w:rPr>
            </w:pPr>
            <w:r w:rsidRPr="002151F6">
              <w:rPr>
                <w:rFonts w:ascii="Times New Roman" w:hAnsi="Times New Roman"/>
                <w:bCs/>
                <w:sz w:val="24"/>
                <w:szCs w:val="24"/>
                <w:lang w:val="sk-SK" w:eastAsia="sk-SK"/>
              </w:rPr>
              <w:t>+10 000</w:t>
            </w:r>
          </w:p>
        </w:tc>
        <w:tc>
          <w:tcPr>
            <w:tcW w:w="1276" w:type="dxa"/>
            <w:tcBorders>
              <w:top w:val="nil"/>
              <w:left w:val="nil"/>
              <w:bottom w:val="single" w:sz="4" w:space="0" w:color="auto"/>
              <w:right w:val="single" w:sz="4" w:space="0" w:color="auto"/>
            </w:tcBorders>
            <w:textDirection w:val="lrTb"/>
            <w:vAlign w:val="top"/>
          </w:tcPr>
          <w:p w:rsidR="00465E15" w:rsidP="00465E15">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-864 50</w:t>
            </w:r>
            <w:r w:rsidRPr="007D5748">
              <w:rPr>
                <w:rFonts w:ascii="Times New Roman" w:hAnsi="Times New Roman"/>
                <w:b/>
                <w:bCs/>
                <w:sz w:val="24"/>
                <w:szCs w:val="24"/>
                <w:lang w:eastAsia="sk-SK"/>
              </w:rPr>
              <w:t>0</w:t>
            </w:r>
          </w:p>
          <w:p w:rsidR="002151F6" w:rsidRPr="002151F6" w:rsidP="004F1A69">
            <w:pPr>
              <w:bidi w:val="0"/>
              <w:spacing w:after="0" w:line="240" w:lineRule="auto"/>
              <w:jc w:val="center"/>
              <w:rPr>
                <w:rFonts w:ascii="Times New Roman" w:hAnsi="Times New Roman"/>
                <w:b/>
                <w:bCs/>
                <w:sz w:val="24"/>
                <w:szCs w:val="24"/>
                <w:lang w:val="sk-SK" w:eastAsia="sk-SK"/>
              </w:rPr>
            </w:pPr>
          </w:p>
          <w:p w:rsidR="00465E15" w:rsidRPr="00465E15" w:rsidP="00465E15">
            <w:pPr>
              <w:bidi w:val="0"/>
              <w:spacing w:after="0" w:line="240" w:lineRule="auto"/>
              <w:jc w:val="center"/>
              <w:rPr>
                <w:rFonts w:ascii="Times New Roman" w:hAnsi="Times New Roman"/>
                <w:bCs/>
                <w:sz w:val="24"/>
                <w:szCs w:val="24"/>
                <w:lang w:eastAsia="sk-SK"/>
              </w:rPr>
            </w:pPr>
            <w:r w:rsidRPr="00465E15">
              <w:rPr>
                <w:rFonts w:ascii="Times New Roman" w:hAnsi="Times New Roman"/>
                <w:bCs/>
                <w:sz w:val="24"/>
                <w:szCs w:val="24"/>
                <w:lang w:eastAsia="sk-SK"/>
              </w:rPr>
              <w:t>-864 500</w:t>
            </w:r>
          </w:p>
          <w:p w:rsidR="002151F6" w:rsidRPr="002151F6" w:rsidP="004F1A69">
            <w:pPr>
              <w:bidi w:val="0"/>
              <w:spacing w:after="0" w:line="240" w:lineRule="auto"/>
              <w:jc w:val="center"/>
              <w:rPr>
                <w:rFonts w:ascii="Times New Roman" w:hAnsi="Times New Roman"/>
                <w:bCs/>
                <w:sz w:val="24"/>
                <w:szCs w:val="24"/>
                <w:lang w:val="sk-SK" w:eastAsia="sk-SK"/>
              </w:rPr>
            </w:pPr>
            <w:r w:rsidRPr="002151F6">
              <w:rPr>
                <w:rFonts w:ascii="Times New Roman" w:hAnsi="Times New Roman"/>
                <w:bCs/>
                <w:sz w:val="24"/>
                <w:szCs w:val="24"/>
                <w:lang w:val="sk-SK" w:eastAsia="sk-SK"/>
              </w:rPr>
              <w:t>-10 000</w:t>
            </w:r>
          </w:p>
          <w:p w:rsidR="002151F6" w:rsidRPr="002151F6" w:rsidP="004F1A69">
            <w:pPr>
              <w:bidi w:val="0"/>
              <w:spacing w:after="0" w:line="240" w:lineRule="auto"/>
              <w:jc w:val="center"/>
              <w:rPr>
                <w:rFonts w:ascii="Times New Roman" w:hAnsi="Times New Roman"/>
                <w:b/>
                <w:bCs/>
                <w:sz w:val="24"/>
                <w:szCs w:val="24"/>
                <w:lang w:val="sk-SK" w:eastAsia="sk-SK"/>
              </w:rPr>
            </w:pPr>
            <w:r w:rsidRPr="002151F6">
              <w:rPr>
                <w:rFonts w:ascii="Times New Roman" w:hAnsi="Times New Roman"/>
                <w:bCs/>
                <w:sz w:val="24"/>
                <w:szCs w:val="24"/>
                <w:lang w:val="sk-SK" w:eastAsia="sk-SK"/>
              </w:rPr>
              <w:t>+10 000</w:t>
            </w:r>
          </w:p>
        </w:tc>
        <w:tc>
          <w:tcPr>
            <w:tcW w:w="4949" w:type="dxa"/>
            <w:tcBorders>
              <w:top w:val="nil"/>
              <w:left w:val="nil"/>
              <w:bottom w:val="single" w:sz="4" w:space="0" w:color="auto"/>
              <w:right w:val="single" w:sz="4" w:space="0" w:color="auto"/>
            </w:tcBorders>
            <w:noWrap/>
            <w:textDirection w:val="lrTb"/>
            <w:vAlign w:val="bottom"/>
          </w:tcPr>
          <w:p w:rsidR="002151F6" w:rsidRPr="00465E15" w:rsidP="00465E15">
            <w:pPr>
              <w:bidi w:val="0"/>
              <w:spacing w:after="0" w:line="240" w:lineRule="auto"/>
              <w:jc w:val="both"/>
              <w:rPr>
                <w:rFonts w:ascii="Times New Roman" w:hAnsi="Times New Roman"/>
                <w:sz w:val="24"/>
                <w:szCs w:val="24"/>
                <w:lang w:val="sk-SK" w:eastAsia="sk-SK"/>
              </w:rPr>
            </w:pPr>
            <w:r w:rsidRPr="00465E15">
              <w:rPr>
                <w:rFonts w:ascii="Times New Roman" w:hAnsi="Times New Roman"/>
                <w:sz w:val="24"/>
                <w:szCs w:val="24"/>
                <w:lang w:val="sk-SK" w:eastAsia="sk-SK"/>
              </w:rPr>
              <w:t xml:space="preserve">Pozitívny vplyv zvýšenia poplatku z udeľovania </w:t>
            </w:r>
            <w:r w:rsidRPr="00465E15" w:rsidR="00465E15">
              <w:rPr>
                <w:rFonts w:ascii="Times New Roman" w:hAnsi="Times New Roman"/>
                <w:sz w:val="24"/>
                <w:szCs w:val="24"/>
                <w:lang w:val="sk-SK" w:eastAsia="sk-SK"/>
              </w:rPr>
              <w:t xml:space="preserve"> licencií na hazardné hry vo výške 55 500 eur, negatívny vplyv zníženia poplatku pre vozidlá s alternatívnym pohonom vo výške 788 000 eur a negatívny vplyv vo výške 132 000 eur za oslobodenie trvalého vyradenia vozidla podľa zákona o odpadoch (všetko príjem zo správnych poplatkov vo VPS cez systém eKolok), negatívny vplyv oslobodenia Slovenskej konsolidačnej od súdnych poplatkov pri vymáhaní pohľadávok štátu a pozitívny vplyv zo zlepšenia  hospodárenia Slovenskej konsolidačnej z úspor na súdnych poplatkoch, ktoré si štát uplatní ako dividendy, ktoré sú príjmom kapitoly MF SR.</w:t>
            </w:r>
          </w:p>
        </w:tc>
      </w:tr>
      <w:tr>
        <w:tblPrEx>
          <w:tblW w:w="13950" w:type="dxa"/>
          <w:tblCellMar>
            <w:left w:w="70" w:type="dxa"/>
            <w:right w:w="70" w:type="dxa"/>
          </w:tblCellMar>
        </w:tblPrEx>
        <w:trPr>
          <w:trHeight w:val="255"/>
        </w:trPr>
        <w:tc>
          <w:tcPr>
            <w:tcW w:w="3898" w:type="dxa"/>
            <w:tcBorders>
              <w:top w:val="nil"/>
              <w:left w:val="single" w:sz="4" w:space="0" w:color="auto"/>
              <w:bottom w:val="single" w:sz="4" w:space="0" w:color="auto"/>
              <w:right w:val="single" w:sz="4" w:space="0" w:color="auto"/>
            </w:tcBorders>
            <w:textDirection w:val="lrTb"/>
            <w:vAlign w:val="top"/>
          </w:tcPr>
          <w:p w:rsidR="002151F6" w:rsidRPr="002151F6" w:rsidP="004F1A69">
            <w:pPr>
              <w:bidi w:val="0"/>
              <w:spacing w:after="0" w:line="240" w:lineRule="auto"/>
              <w:rPr>
                <w:rFonts w:ascii="Times New Roman" w:hAnsi="Times New Roman"/>
                <w:b/>
                <w:bCs/>
                <w:sz w:val="24"/>
                <w:szCs w:val="24"/>
                <w:lang w:val="sk-SK" w:eastAsia="sk-SK"/>
              </w:rPr>
            </w:pPr>
            <w:r w:rsidRPr="002151F6">
              <w:rPr>
                <w:rFonts w:ascii="Times New Roman" w:hAnsi="Times New Roman"/>
                <w:b/>
                <w:bCs/>
                <w:sz w:val="24"/>
                <w:szCs w:val="24"/>
                <w:lang w:val="sk-SK" w:eastAsia="sk-SK"/>
              </w:rPr>
              <w:t>Granty a transfery (300)</w:t>
            </w:r>
            <w:r w:rsidRPr="002151F6">
              <w:rPr>
                <w:rFonts w:ascii="Times New Roman" w:hAnsi="Times New Roman"/>
                <w:b/>
                <w:bCs/>
                <w:sz w:val="24"/>
                <w:szCs w:val="24"/>
                <w:vertAlign w:val="superscript"/>
                <w:lang w:val="sk-SK" w:eastAsia="sk-SK"/>
              </w:rPr>
              <w:t>1</w:t>
            </w:r>
          </w:p>
        </w:tc>
        <w:tc>
          <w:tcPr>
            <w:tcW w:w="1417" w:type="dxa"/>
            <w:tcBorders>
              <w:top w:val="nil"/>
              <w:left w:val="nil"/>
              <w:bottom w:val="single" w:sz="4" w:space="0" w:color="auto"/>
              <w:right w:val="single" w:sz="4" w:space="0" w:color="auto"/>
            </w:tcBorders>
            <w:textDirection w:val="lrTb"/>
            <w:vAlign w:val="top"/>
          </w:tcPr>
          <w:p w:rsidR="002151F6" w:rsidRPr="002151F6" w:rsidP="004F1A69">
            <w:pPr>
              <w:bidi w:val="0"/>
              <w:spacing w:after="0" w:line="240" w:lineRule="auto"/>
              <w:jc w:val="center"/>
              <w:rPr>
                <w:rFonts w:ascii="Times New Roman" w:hAnsi="Times New Roman"/>
                <w:b/>
                <w:bCs/>
                <w:sz w:val="24"/>
                <w:szCs w:val="24"/>
                <w:lang w:val="sk-SK" w:eastAsia="sk-SK"/>
              </w:rPr>
            </w:pPr>
          </w:p>
        </w:tc>
        <w:tc>
          <w:tcPr>
            <w:tcW w:w="1276" w:type="dxa"/>
            <w:tcBorders>
              <w:top w:val="nil"/>
              <w:left w:val="nil"/>
              <w:bottom w:val="single" w:sz="4" w:space="0" w:color="auto"/>
              <w:right w:val="single" w:sz="4" w:space="0" w:color="auto"/>
            </w:tcBorders>
            <w:textDirection w:val="lrTb"/>
            <w:vAlign w:val="top"/>
          </w:tcPr>
          <w:p w:rsidR="002151F6" w:rsidRPr="002151F6" w:rsidP="004F1A69">
            <w:pPr>
              <w:bidi w:val="0"/>
              <w:spacing w:after="0" w:line="240" w:lineRule="auto"/>
              <w:jc w:val="center"/>
              <w:rPr>
                <w:rFonts w:ascii="Times New Roman" w:hAnsi="Times New Roman"/>
                <w:b/>
                <w:bCs/>
                <w:sz w:val="24"/>
                <w:szCs w:val="24"/>
                <w:lang w:val="sk-SK" w:eastAsia="sk-SK"/>
              </w:rPr>
            </w:pPr>
          </w:p>
        </w:tc>
        <w:tc>
          <w:tcPr>
            <w:tcW w:w="1134" w:type="dxa"/>
            <w:tcBorders>
              <w:top w:val="nil"/>
              <w:left w:val="nil"/>
              <w:bottom w:val="single" w:sz="4" w:space="0" w:color="auto"/>
              <w:right w:val="single" w:sz="4" w:space="0" w:color="auto"/>
            </w:tcBorders>
            <w:textDirection w:val="lrTb"/>
            <w:vAlign w:val="top"/>
          </w:tcPr>
          <w:p w:rsidR="002151F6" w:rsidRPr="002151F6" w:rsidP="004F1A69">
            <w:pPr>
              <w:bidi w:val="0"/>
              <w:spacing w:after="0" w:line="240" w:lineRule="auto"/>
              <w:jc w:val="center"/>
              <w:rPr>
                <w:rFonts w:ascii="Times New Roman" w:hAnsi="Times New Roman"/>
                <w:b/>
                <w:bCs/>
                <w:sz w:val="24"/>
                <w:szCs w:val="24"/>
                <w:lang w:val="sk-SK" w:eastAsia="sk-SK"/>
              </w:rPr>
            </w:pPr>
          </w:p>
        </w:tc>
        <w:tc>
          <w:tcPr>
            <w:tcW w:w="1276" w:type="dxa"/>
            <w:tcBorders>
              <w:top w:val="nil"/>
              <w:left w:val="nil"/>
              <w:bottom w:val="single" w:sz="4" w:space="0" w:color="auto"/>
              <w:right w:val="single" w:sz="4" w:space="0" w:color="auto"/>
            </w:tcBorders>
            <w:textDirection w:val="lrTb"/>
            <w:vAlign w:val="top"/>
          </w:tcPr>
          <w:p w:rsidR="002151F6" w:rsidRPr="002151F6" w:rsidP="004F1A69">
            <w:pPr>
              <w:bidi w:val="0"/>
              <w:spacing w:after="0" w:line="240" w:lineRule="auto"/>
              <w:jc w:val="center"/>
              <w:rPr>
                <w:rFonts w:ascii="Times New Roman" w:hAnsi="Times New Roman"/>
                <w:b/>
                <w:bCs/>
                <w:sz w:val="24"/>
                <w:szCs w:val="24"/>
                <w:lang w:val="sk-SK" w:eastAsia="sk-SK"/>
              </w:rPr>
            </w:pPr>
          </w:p>
        </w:tc>
        <w:tc>
          <w:tcPr>
            <w:tcW w:w="4949" w:type="dxa"/>
            <w:tcBorders>
              <w:top w:val="nil"/>
              <w:left w:val="nil"/>
              <w:bottom w:val="single" w:sz="4" w:space="0" w:color="auto"/>
              <w:right w:val="single" w:sz="4" w:space="0" w:color="auto"/>
            </w:tcBorders>
            <w:noWrap/>
            <w:textDirection w:val="lrTb"/>
            <w:vAlign w:val="bottom"/>
          </w:tcPr>
          <w:p w:rsidR="002151F6" w:rsidRPr="002151F6" w:rsidP="004F1A69">
            <w:pPr>
              <w:bidi w:val="0"/>
              <w:spacing w:after="0" w:line="240" w:lineRule="auto"/>
              <w:rPr>
                <w:rFonts w:ascii="Times New Roman" w:hAnsi="Times New Roman"/>
                <w:sz w:val="24"/>
                <w:szCs w:val="24"/>
                <w:lang w:val="sk-SK" w:eastAsia="sk-SK"/>
              </w:rPr>
            </w:pPr>
            <w:r w:rsidRPr="002151F6">
              <w:rPr>
                <w:rFonts w:ascii="Times New Roman" w:hAnsi="Times New Roman"/>
                <w:sz w:val="24"/>
                <w:szCs w:val="24"/>
                <w:lang w:val="sk-SK" w:eastAsia="sk-SK"/>
              </w:rPr>
              <w:t xml:space="preserve">  </w:t>
            </w:r>
          </w:p>
        </w:tc>
      </w:tr>
      <w:tr>
        <w:tblPrEx>
          <w:tblW w:w="13950" w:type="dxa"/>
          <w:tblCellMar>
            <w:left w:w="70" w:type="dxa"/>
            <w:right w:w="70" w:type="dxa"/>
          </w:tblCellMar>
        </w:tblPrEx>
        <w:trPr>
          <w:trHeight w:val="255"/>
        </w:trPr>
        <w:tc>
          <w:tcPr>
            <w:tcW w:w="3898" w:type="dxa"/>
            <w:tcBorders>
              <w:top w:val="nil"/>
              <w:left w:val="single" w:sz="4" w:space="0" w:color="auto"/>
              <w:bottom w:val="single" w:sz="4" w:space="0" w:color="auto"/>
              <w:right w:val="single" w:sz="4" w:space="0" w:color="auto"/>
            </w:tcBorders>
            <w:textDirection w:val="lrTb"/>
            <w:vAlign w:val="top"/>
          </w:tcPr>
          <w:p w:rsidR="002151F6" w:rsidRPr="002151F6" w:rsidP="004F1A69">
            <w:pPr>
              <w:bidi w:val="0"/>
              <w:spacing w:after="0" w:line="240" w:lineRule="auto"/>
              <w:rPr>
                <w:rFonts w:ascii="Times New Roman" w:hAnsi="Times New Roman"/>
                <w:b/>
                <w:bCs/>
                <w:sz w:val="24"/>
                <w:szCs w:val="24"/>
                <w:lang w:val="sk-SK" w:eastAsia="sk-SK"/>
              </w:rPr>
            </w:pPr>
            <w:r w:rsidRPr="002151F6">
              <w:rPr>
                <w:rFonts w:ascii="Times New Roman" w:hAnsi="Times New Roman"/>
                <w:b/>
                <w:bCs/>
                <w:sz w:val="24"/>
                <w:szCs w:val="24"/>
                <w:lang w:val="sk-SK" w:eastAsia="sk-SK"/>
              </w:rPr>
              <w:t>Príjmy z transakcií s finančnými aktívami a finančnými pasívami (400)</w:t>
            </w:r>
          </w:p>
        </w:tc>
        <w:tc>
          <w:tcPr>
            <w:tcW w:w="1417" w:type="dxa"/>
            <w:tcBorders>
              <w:top w:val="nil"/>
              <w:left w:val="nil"/>
              <w:bottom w:val="single" w:sz="4" w:space="0" w:color="auto"/>
              <w:right w:val="single" w:sz="4" w:space="0" w:color="auto"/>
            </w:tcBorders>
            <w:shd w:val="clear" w:color="auto" w:fill="FFFF99"/>
            <w:textDirection w:val="lrTb"/>
            <w:vAlign w:val="top"/>
          </w:tcPr>
          <w:p w:rsidR="002151F6" w:rsidRPr="002151F6" w:rsidP="004F1A69">
            <w:pPr>
              <w:bidi w:val="0"/>
              <w:spacing w:after="0" w:line="240" w:lineRule="auto"/>
              <w:jc w:val="center"/>
              <w:rPr>
                <w:rFonts w:ascii="Times New Roman" w:hAnsi="Times New Roman"/>
                <w:b/>
                <w:bCs/>
                <w:sz w:val="24"/>
                <w:szCs w:val="24"/>
                <w:lang w:val="sk-SK" w:eastAsia="sk-SK"/>
              </w:rPr>
            </w:pPr>
            <w:r w:rsidRPr="002151F6">
              <w:rPr>
                <w:rFonts w:ascii="Times New Roman" w:hAnsi="Times New Roman"/>
                <w:b/>
                <w:bCs/>
                <w:sz w:val="24"/>
                <w:szCs w:val="24"/>
                <w:lang w:val="sk-SK" w:eastAsia="sk-SK"/>
              </w:rPr>
              <w:t> </w:t>
            </w:r>
          </w:p>
        </w:tc>
        <w:tc>
          <w:tcPr>
            <w:tcW w:w="1276" w:type="dxa"/>
            <w:tcBorders>
              <w:top w:val="nil"/>
              <w:left w:val="nil"/>
              <w:bottom w:val="single" w:sz="4" w:space="0" w:color="auto"/>
              <w:right w:val="single" w:sz="4" w:space="0" w:color="auto"/>
            </w:tcBorders>
            <w:shd w:val="clear" w:color="auto" w:fill="FFFF99"/>
            <w:textDirection w:val="lrTb"/>
            <w:vAlign w:val="top"/>
          </w:tcPr>
          <w:p w:rsidR="002151F6" w:rsidRPr="002151F6" w:rsidP="004F1A69">
            <w:pPr>
              <w:bidi w:val="0"/>
              <w:spacing w:after="0" w:line="240" w:lineRule="auto"/>
              <w:jc w:val="center"/>
              <w:rPr>
                <w:rFonts w:ascii="Times New Roman" w:hAnsi="Times New Roman"/>
                <w:b/>
                <w:bCs/>
                <w:sz w:val="24"/>
                <w:szCs w:val="24"/>
                <w:lang w:val="sk-SK" w:eastAsia="sk-SK"/>
              </w:rPr>
            </w:pPr>
            <w:r w:rsidRPr="002151F6">
              <w:rPr>
                <w:rFonts w:ascii="Times New Roman" w:hAnsi="Times New Roman"/>
                <w:b/>
                <w:bCs/>
                <w:sz w:val="24"/>
                <w:szCs w:val="24"/>
                <w:lang w:val="sk-SK" w:eastAsia="sk-SK"/>
              </w:rPr>
              <w:t> </w:t>
            </w:r>
          </w:p>
        </w:tc>
        <w:tc>
          <w:tcPr>
            <w:tcW w:w="1134" w:type="dxa"/>
            <w:tcBorders>
              <w:top w:val="nil"/>
              <w:left w:val="nil"/>
              <w:bottom w:val="single" w:sz="4" w:space="0" w:color="auto"/>
              <w:right w:val="single" w:sz="4" w:space="0" w:color="auto"/>
            </w:tcBorders>
            <w:shd w:val="clear" w:color="auto" w:fill="FFFF99"/>
            <w:textDirection w:val="lrTb"/>
            <w:vAlign w:val="top"/>
          </w:tcPr>
          <w:p w:rsidR="002151F6" w:rsidRPr="002151F6" w:rsidP="004F1A69">
            <w:pPr>
              <w:bidi w:val="0"/>
              <w:spacing w:after="0" w:line="240" w:lineRule="auto"/>
              <w:jc w:val="center"/>
              <w:rPr>
                <w:rFonts w:ascii="Times New Roman" w:hAnsi="Times New Roman"/>
                <w:b/>
                <w:bCs/>
                <w:sz w:val="24"/>
                <w:szCs w:val="24"/>
                <w:lang w:val="sk-SK" w:eastAsia="sk-SK"/>
              </w:rPr>
            </w:pPr>
            <w:r w:rsidRPr="002151F6">
              <w:rPr>
                <w:rFonts w:ascii="Times New Roman" w:hAnsi="Times New Roman"/>
                <w:b/>
                <w:bCs/>
                <w:sz w:val="24"/>
                <w:szCs w:val="24"/>
                <w:lang w:val="sk-SK" w:eastAsia="sk-SK"/>
              </w:rPr>
              <w:t> </w:t>
            </w:r>
          </w:p>
        </w:tc>
        <w:tc>
          <w:tcPr>
            <w:tcW w:w="1276" w:type="dxa"/>
            <w:tcBorders>
              <w:top w:val="nil"/>
              <w:left w:val="nil"/>
              <w:bottom w:val="single" w:sz="4" w:space="0" w:color="auto"/>
              <w:right w:val="single" w:sz="4" w:space="0" w:color="auto"/>
            </w:tcBorders>
            <w:shd w:val="clear" w:color="auto" w:fill="FFFF99"/>
            <w:textDirection w:val="lrTb"/>
            <w:vAlign w:val="top"/>
          </w:tcPr>
          <w:p w:rsidR="002151F6" w:rsidRPr="002151F6" w:rsidP="004F1A69">
            <w:pPr>
              <w:bidi w:val="0"/>
              <w:spacing w:after="0" w:line="240" w:lineRule="auto"/>
              <w:jc w:val="center"/>
              <w:rPr>
                <w:rFonts w:ascii="Times New Roman" w:hAnsi="Times New Roman"/>
                <w:b/>
                <w:bCs/>
                <w:sz w:val="24"/>
                <w:szCs w:val="24"/>
                <w:lang w:val="sk-SK" w:eastAsia="sk-SK"/>
              </w:rPr>
            </w:pPr>
            <w:r w:rsidRPr="002151F6">
              <w:rPr>
                <w:rFonts w:ascii="Times New Roman" w:hAnsi="Times New Roman"/>
                <w:b/>
                <w:bCs/>
                <w:sz w:val="24"/>
                <w:szCs w:val="24"/>
                <w:lang w:val="sk-SK" w:eastAsia="sk-SK"/>
              </w:rPr>
              <w:t> </w:t>
            </w:r>
          </w:p>
        </w:tc>
        <w:tc>
          <w:tcPr>
            <w:tcW w:w="4949" w:type="dxa"/>
            <w:tcBorders>
              <w:top w:val="nil"/>
              <w:left w:val="nil"/>
              <w:bottom w:val="single" w:sz="4" w:space="0" w:color="auto"/>
              <w:right w:val="single" w:sz="4" w:space="0" w:color="auto"/>
            </w:tcBorders>
            <w:noWrap/>
            <w:textDirection w:val="lrTb"/>
            <w:vAlign w:val="bottom"/>
          </w:tcPr>
          <w:p w:rsidR="002151F6" w:rsidRPr="002151F6" w:rsidP="004F1A69">
            <w:pPr>
              <w:bidi w:val="0"/>
              <w:spacing w:after="0" w:line="240" w:lineRule="auto"/>
              <w:rPr>
                <w:rFonts w:ascii="Times New Roman" w:hAnsi="Times New Roman"/>
                <w:sz w:val="24"/>
                <w:szCs w:val="24"/>
                <w:lang w:val="sk-SK" w:eastAsia="sk-SK"/>
              </w:rPr>
            </w:pPr>
            <w:r w:rsidRPr="002151F6">
              <w:rPr>
                <w:rFonts w:ascii="Times New Roman" w:hAnsi="Times New Roman"/>
                <w:sz w:val="24"/>
                <w:szCs w:val="24"/>
                <w:lang w:val="sk-SK" w:eastAsia="sk-SK"/>
              </w:rPr>
              <w:t> </w:t>
            </w:r>
          </w:p>
        </w:tc>
      </w:tr>
      <w:tr>
        <w:tblPrEx>
          <w:tblW w:w="13950" w:type="dxa"/>
          <w:tblCellMar>
            <w:left w:w="70" w:type="dxa"/>
            <w:right w:w="70" w:type="dxa"/>
          </w:tblCellMar>
        </w:tblPrEx>
        <w:trPr>
          <w:trHeight w:val="255"/>
        </w:trPr>
        <w:tc>
          <w:tcPr>
            <w:tcW w:w="3898" w:type="dxa"/>
            <w:tcBorders>
              <w:top w:val="nil"/>
              <w:left w:val="single" w:sz="4" w:space="0" w:color="auto"/>
              <w:bottom w:val="single" w:sz="4" w:space="0" w:color="auto"/>
              <w:right w:val="single" w:sz="4" w:space="0" w:color="auto"/>
            </w:tcBorders>
            <w:textDirection w:val="lrTb"/>
            <w:vAlign w:val="top"/>
          </w:tcPr>
          <w:p w:rsidR="002151F6" w:rsidRPr="002151F6" w:rsidP="004F1A69">
            <w:pPr>
              <w:bidi w:val="0"/>
              <w:spacing w:after="0" w:line="240" w:lineRule="auto"/>
              <w:rPr>
                <w:rFonts w:ascii="Times New Roman" w:hAnsi="Times New Roman"/>
                <w:b/>
                <w:bCs/>
                <w:sz w:val="24"/>
                <w:szCs w:val="24"/>
                <w:lang w:val="sk-SK" w:eastAsia="sk-SK"/>
              </w:rPr>
            </w:pPr>
            <w:r w:rsidRPr="002151F6">
              <w:rPr>
                <w:rFonts w:ascii="Times New Roman" w:hAnsi="Times New Roman"/>
                <w:b/>
                <w:bCs/>
                <w:sz w:val="24"/>
                <w:szCs w:val="24"/>
                <w:lang w:val="sk-SK" w:eastAsia="sk-SK"/>
              </w:rPr>
              <w:t>Prijaté úvery, pôžičky a návratné finančné výpomoci (500)</w:t>
            </w:r>
          </w:p>
        </w:tc>
        <w:tc>
          <w:tcPr>
            <w:tcW w:w="1417" w:type="dxa"/>
            <w:tcBorders>
              <w:top w:val="nil"/>
              <w:left w:val="nil"/>
              <w:bottom w:val="single" w:sz="4" w:space="0" w:color="auto"/>
              <w:right w:val="single" w:sz="4" w:space="0" w:color="auto"/>
            </w:tcBorders>
            <w:shd w:val="clear" w:color="auto" w:fill="FFFF99"/>
            <w:textDirection w:val="lrTb"/>
            <w:vAlign w:val="top"/>
          </w:tcPr>
          <w:p w:rsidR="002151F6" w:rsidRPr="002151F6" w:rsidP="004F1A69">
            <w:pPr>
              <w:bidi w:val="0"/>
              <w:spacing w:after="0" w:line="240" w:lineRule="auto"/>
              <w:jc w:val="center"/>
              <w:rPr>
                <w:rFonts w:ascii="Times New Roman" w:hAnsi="Times New Roman"/>
                <w:b/>
                <w:bCs/>
                <w:sz w:val="24"/>
                <w:szCs w:val="24"/>
                <w:lang w:val="sk-SK" w:eastAsia="sk-SK"/>
              </w:rPr>
            </w:pPr>
            <w:r w:rsidRPr="002151F6">
              <w:rPr>
                <w:rFonts w:ascii="Times New Roman" w:hAnsi="Times New Roman"/>
                <w:b/>
                <w:bCs/>
                <w:sz w:val="24"/>
                <w:szCs w:val="24"/>
                <w:lang w:val="sk-SK" w:eastAsia="sk-SK"/>
              </w:rPr>
              <w:t> </w:t>
            </w:r>
          </w:p>
        </w:tc>
        <w:tc>
          <w:tcPr>
            <w:tcW w:w="1276" w:type="dxa"/>
            <w:tcBorders>
              <w:top w:val="nil"/>
              <w:left w:val="nil"/>
              <w:bottom w:val="single" w:sz="4" w:space="0" w:color="auto"/>
              <w:right w:val="single" w:sz="4" w:space="0" w:color="auto"/>
            </w:tcBorders>
            <w:shd w:val="clear" w:color="auto" w:fill="FFFF99"/>
            <w:textDirection w:val="lrTb"/>
            <w:vAlign w:val="top"/>
          </w:tcPr>
          <w:p w:rsidR="002151F6" w:rsidRPr="002151F6" w:rsidP="004F1A69">
            <w:pPr>
              <w:bidi w:val="0"/>
              <w:spacing w:after="0" w:line="240" w:lineRule="auto"/>
              <w:jc w:val="center"/>
              <w:rPr>
                <w:rFonts w:ascii="Times New Roman" w:hAnsi="Times New Roman"/>
                <w:b/>
                <w:bCs/>
                <w:sz w:val="24"/>
                <w:szCs w:val="24"/>
                <w:lang w:val="sk-SK" w:eastAsia="sk-SK"/>
              </w:rPr>
            </w:pPr>
            <w:r w:rsidRPr="002151F6">
              <w:rPr>
                <w:rFonts w:ascii="Times New Roman" w:hAnsi="Times New Roman"/>
                <w:b/>
                <w:bCs/>
                <w:sz w:val="24"/>
                <w:szCs w:val="24"/>
                <w:lang w:val="sk-SK" w:eastAsia="sk-SK"/>
              </w:rPr>
              <w:t> </w:t>
            </w:r>
          </w:p>
        </w:tc>
        <w:tc>
          <w:tcPr>
            <w:tcW w:w="1134" w:type="dxa"/>
            <w:tcBorders>
              <w:top w:val="nil"/>
              <w:left w:val="nil"/>
              <w:bottom w:val="single" w:sz="4" w:space="0" w:color="auto"/>
              <w:right w:val="single" w:sz="4" w:space="0" w:color="auto"/>
            </w:tcBorders>
            <w:shd w:val="clear" w:color="auto" w:fill="FFFF99"/>
            <w:textDirection w:val="lrTb"/>
            <w:vAlign w:val="top"/>
          </w:tcPr>
          <w:p w:rsidR="002151F6" w:rsidRPr="002151F6" w:rsidP="004F1A69">
            <w:pPr>
              <w:bidi w:val="0"/>
              <w:spacing w:after="0" w:line="240" w:lineRule="auto"/>
              <w:jc w:val="center"/>
              <w:rPr>
                <w:rFonts w:ascii="Times New Roman" w:hAnsi="Times New Roman"/>
                <w:b/>
                <w:bCs/>
                <w:sz w:val="24"/>
                <w:szCs w:val="24"/>
                <w:lang w:val="sk-SK" w:eastAsia="sk-SK"/>
              </w:rPr>
            </w:pPr>
            <w:r w:rsidRPr="002151F6">
              <w:rPr>
                <w:rFonts w:ascii="Times New Roman" w:hAnsi="Times New Roman"/>
                <w:b/>
                <w:bCs/>
                <w:sz w:val="24"/>
                <w:szCs w:val="24"/>
                <w:lang w:val="sk-SK" w:eastAsia="sk-SK"/>
              </w:rPr>
              <w:t> </w:t>
            </w:r>
          </w:p>
        </w:tc>
        <w:tc>
          <w:tcPr>
            <w:tcW w:w="1276" w:type="dxa"/>
            <w:tcBorders>
              <w:top w:val="nil"/>
              <w:left w:val="nil"/>
              <w:bottom w:val="single" w:sz="4" w:space="0" w:color="auto"/>
              <w:right w:val="single" w:sz="4" w:space="0" w:color="auto"/>
            </w:tcBorders>
            <w:shd w:val="clear" w:color="auto" w:fill="FFFF99"/>
            <w:textDirection w:val="lrTb"/>
            <w:vAlign w:val="top"/>
          </w:tcPr>
          <w:p w:rsidR="002151F6" w:rsidRPr="002151F6" w:rsidP="004F1A69">
            <w:pPr>
              <w:bidi w:val="0"/>
              <w:spacing w:after="0" w:line="240" w:lineRule="auto"/>
              <w:jc w:val="center"/>
              <w:rPr>
                <w:rFonts w:ascii="Times New Roman" w:hAnsi="Times New Roman"/>
                <w:b/>
                <w:bCs/>
                <w:sz w:val="24"/>
                <w:szCs w:val="24"/>
                <w:lang w:val="sk-SK" w:eastAsia="sk-SK"/>
              </w:rPr>
            </w:pPr>
            <w:r w:rsidRPr="002151F6">
              <w:rPr>
                <w:rFonts w:ascii="Times New Roman" w:hAnsi="Times New Roman"/>
                <w:b/>
                <w:bCs/>
                <w:sz w:val="24"/>
                <w:szCs w:val="24"/>
                <w:lang w:val="sk-SK" w:eastAsia="sk-SK"/>
              </w:rPr>
              <w:t> </w:t>
            </w:r>
          </w:p>
        </w:tc>
        <w:tc>
          <w:tcPr>
            <w:tcW w:w="4949" w:type="dxa"/>
            <w:tcBorders>
              <w:top w:val="nil"/>
              <w:left w:val="nil"/>
              <w:bottom w:val="single" w:sz="4" w:space="0" w:color="auto"/>
              <w:right w:val="single" w:sz="4" w:space="0" w:color="auto"/>
            </w:tcBorders>
            <w:noWrap/>
            <w:textDirection w:val="lrTb"/>
            <w:vAlign w:val="bottom"/>
          </w:tcPr>
          <w:p w:rsidR="002151F6" w:rsidRPr="002151F6" w:rsidP="004F1A69">
            <w:pPr>
              <w:bidi w:val="0"/>
              <w:spacing w:after="0" w:line="240" w:lineRule="auto"/>
              <w:rPr>
                <w:rFonts w:ascii="Times New Roman" w:hAnsi="Times New Roman"/>
                <w:sz w:val="24"/>
                <w:szCs w:val="24"/>
                <w:lang w:val="sk-SK" w:eastAsia="sk-SK"/>
              </w:rPr>
            </w:pPr>
            <w:r w:rsidRPr="002151F6">
              <w:rPr>
                <w:rFonts w:ascii="Times New Roman" w:hAnsi="Times New Roman"/>
                <w:sz w:val="24"/>
                <w:szCs w:val="24"/>
                <w:lang w:val="sk-SK" w:eastAsia="sk-SK"/>
              </w:rPr>
              <w:t> </w:t>
            </w:r>
          </w:p>
        </w:tc>
      </w:tr>
      <w:tr>
        <w:tblPrEx>
          <w:tblW w:w="13950" w:type="dxa"/>
          <w:tblCellMar>
            <w:left w:w="70" w:type="dxa"/>
            <w:right w:w="70" w:type="dxa"/>
          </w:tblCellMar>
        </w:tblPrEx>
        <w:trPr>
          <w:trHeight w:val="255"/>
        </w:trPr>
        <w:tc>
          <w:tcPr>
            <w:tcW w:w="3898" w:type="dxa"/>
            <w:tcBorders>
              <w:top w:val="nil"/>
              <w:left w:val="single" w:sz="4" w:space="0" w:color="auto"/>
              <w:bottom w:val="single" w:sz="4" w:space="0" w:color="auto"/>
              <w:right w:val="single" w:sz="4" w:space="0" w:color="auto"/>
            </w:tcBorders>
            <w:shd w:val="clear" w:color="auto" w:fill="BFBFBF"/>
            <w:textDirection w:val="lrTb"/>
            <w:vAlign w:val="top"/>
          </w:tcPr>
          <w:p w:rsidR="002151F6" w:rsidRPr="002151F6" w:rsidP="004F1A69">
            <w:pPr>
              <w:bidi w:val="0"/>
              <w:spacing w:after="0" w:line="240" w:lineRule="auto"/>
              <w:rPr>
                <w:rFonts w:ascii="Times New Roman" w:hAnsi="Times New Roman"/>
                <w:b/>
                <w:bCs/>
                <w:sz w:val="24"/>
                <w:szCs w:val="24"/>
                <w:lang w:val="sk-SK" w:eastAsia="sk-SK"/>
              </w:rPr>
            </w:pPr>
            <w:r w:rsidRPr="002151F6">
              <w:rPr>
                <w:rFonts w:ascii="Times New Roman" w:hAnsi="Times New Roman"/>
                <w:b/>
                <w:bCs/>
                <w:sz w:val="24"/>
                <w:szCs w:val="24"/>
                <w:lang w:val="sk-SK" w:eastAsia="sk-SK"/>
              </w:rPr>
              <w:t>Dopad na príjmy verejnej správy celkom</w:t>
            </w:r>
          </w:p>
        </w:tc>
        <w:tc>
          <w:tcPr>
            <w:tcW w:w="1417" w:type="dxa"/>
            <w:tcBorders>
              <w:top w:val="nil"/>
              <w:left w:val="nil"/>
              <w:bottom w:val="single" w:sz="4" w:space="0" w:color="auto"/>
              <w:right w:val="single" w:sz="4" w:space="0" w:color="auto"/>
            </w:tcBorders>
            <w:shd w:val="clear" w:color="auto" w:fill="BFBFBF"/>
            <w:textDirection w:val="lrTb"/>
            <w:vAlign w:val="top"/>
          </w:tcPr>
          <w:p w:rsidR="002151F6" w:rsidRPr="002151F6" w:rsidP="004F1A69">
            <w:pPr>
              <w:bidi w:val="0"/>
              <w:spacing w:after="0" w:line="240" w:lineRule="auto"/>
              <w:jc w:val="center"/>
              <w:rPr>
                <w:rFonts w:ascii="Times New Roman" w:hAnsi="Times New Roman"/>
                <w:b/>
                <w:bCs/>
                <w:sz w:val="24"/>
                <w:szCs w:val="24"/>
                <w:lang w:val="sk-SK" w:eastAsia="sk-SK"/>
              </w:rPr>
            </w:pPr>
            <w:r w:rsidRPr="002151F6">
              <w:rPr>
                <w:rFonts w:ascii="Times New Roman" w:hAnsi="Times New Roman"/>
                <w:b/>
                <w:bCs/>
                <w:sz w:val="24"/>
                <w:szCs w:val="24"/>
                <w:lang w:val="sk-SK" w:eastAsia="sk-SK"/>
              </w:rPr>
              <w:t>0</w:t>
            </w:r>
          </w:p>
        </w:tc>
        <w:tc>
          <w:tcPr>
            <w:tcW w:w="1276" w:type="dxa"/>
            <w:tcBorders>
              <w:top w:val="nil"/>
              <w:left w:val="nil"/>
              <w:bottom w:val="single" w:sz="4" w:space="0" w:color="auto"/>
              <w:right w:val="single" w:sz="4" w:space="0" w:color="auto"/>
            </w:tcBorders>
            <w:shd w:val="clear" w:color="auto" w:fill="BFBFBF"/>
            <w:textDirection w:val="lrTb"/>
            <w:vAlign w:val="top"/>
          </w:tcPr>
          <w:p w:rsidR="00465E15" w:rsidP="00465E15">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-864 50</w:t>
            </w:r>
            <w:r w:rsidRPr="007D5748">
              <w:rPr>
                <w:rFonts w:ascii="Times New Roman" w:hAnsi="Times New Roman"/>
                <w:b/>
                <w:bCs/>
                <w:sz w:val="24"/>
                <w:szCs w:val="24"/>
                <w:lang w:eastAsia="sk-SK"/>
              </w:rPr>
              <w:t>0</w:t>
            </w:r>
          </w:p>
          <w:p w:rsidR="002151F6" w:rsidRPr="002151F6" w:rsidP="004F1A69">
            <w:pPr>
              <w:bidi w:val="0"/>
              <w:spacing w:after="0" w:line="240" w:lineRule="auto"/>
              <w:jc w:val="center"/>
              <w:rPr>
                <w:rFonts w:ascii="Times New Roman" w:hAnsi="Times New Roman"/>
                <w:b/>
                <w:bCs/>
                <w:sz w:val="24"/>
                <w:szCs w:val="24"/>
                <w:lang w:val="sk-SK" w:eastAsia="sk-SK"/>
              </w:rPr>
            </w:pPr>
          </w:p>
        </w:tc>
        <w:tc>
          <w:tcPr>
            <w:tcW w:w="1134" w:type="dxa"/>
            <w:tcBorders>
              <w:top w:val="nil"/>
              <w:left w:val="nil"/>
              <w:bottom w:val="single" w:sz="4" w:space="0" w:color="auto"/>
              <w:right w:val="single" w:sz="4" w:space="0" w:color="auto"/>
            </w:tcBorders>
            <w:shd w:val="clear" w:color="auto" w:fill="BFBFBF"/>
            <w:textDirection w:val="lrTb"/>
            <w:vAlign w:val="top"/>
          </w:tcPr>
          <w:p w:rsidR="00465E15" w:rsidP="00465E15">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-864 50</w:t>
            </w:r>
            <w:r w:rsidRPr="007D5748">
              <w:rPr>
                <w:rFonts w:ascii="Times New Roman" w:hAnsi="Times New Roman"/>
                <w:b/>
                <w:bCs/>
                <w:sz w:val="24"/>
                <w:szCs w:val="24"/>
                <w:lang w:eastAsia="sk-SK"/>
              </w:rPr>
              <w:t>0</w:t>
            </w:r>
          </w:p>
          <w:p w:rsidR="002151F6" w:rsidRPr="002151F6" w:rsidP="004F1A69">
            <w:pPr>
              <w:bidi w:val="0"/>
              <w:spacing w:after="0" w:line="240" w:lineRule="auto"/>
              <w:jc w:val="center"/>
              <w:rPr>
                <w:rFonts w:ascii="Times New Roman" w:hAnsi="Times New Roman"/>
                <w:b/>
                <w:bCs/>
                <w:sz w:val="24"/>
                <w:szCs w:val="24"/>
                <w:lang w:val="sk-SK" w:eastAsia="sk-SK"/>
              </w:rPr>
            </w:pPr>
          </w:p>
        </w:tc>
        <w:tc>
          <w:tcPr>
            <w:tcW w:w="1276" w:type="dxa"/>
            <w:tcBorders>
              <w:top w:val="nil"/>
              <w:left w:val="nil"/>
              <w:bottom w:val="single" w:sz="4" w:space="0" w:color="auto"/>
              <w:right w:val="single" w:sz="4" w:space="0" w:color="auto"/>
            </w:tcBorders>
            <w:shd w:val="clear" w:color="auto" w:fill="BFBFBF"/>
            <w:textDirection w:val="lrTb"/>
            <w:vAlign w:val="top"/>
          </w:tcPr>
          <w:p w:rsidR="00465E15" w:rsidP="00465E15">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-864 50</w:t>
            </w:r>
            <w:r w:rsidRPr="007D5748">
              <w:rPr>
                <w:rFonts w:ascii="Times New Roman" w:hAnsi="Times New Roman"/>
                <w:b/>
                <w:bCs/>
                <w:sz w:val="24"/>
                <w:szCs w:val="24"/>
                <w:lang w:eastAsia="sk-SK"/>
              </w:rPr>
              <w:t>0</w:t>
            </w:r>
          </w:p>
          <w:p w:rsidR="002151F6" w:rsidRPr="002151F6" w:rsidP="004F1A69">
            <w:pPr>
              <w:bidi w:val="0"/>
              <w:spacing w:after="0" w:line="240" w:lineRule="auto"/>
              <w:jc w:val="center"/>
              <w:rPr>
                <w:rFonts w:ascii="Times New Roman" w:hAnsi="Times New Roman"/>
                <w:b/>
                <w:bCs/>
                <w:sz w:val="24"/>
                <w:szCs w:val="24"/>
                <w:lang w:val="sk-SK" w:eastAsia="sk-SK"/>
              </w:rPr>
            </w:pPr>
          </w:p>
        </w:tc>
        <w:tc>
          <w:tcPr>
            <w:tcW w:w="4949" w:type="dxa"/>
            <w:tcBorders>
              <w:top w:val="nil"/>
              <w:left w:val="nil"/>
              <w:bottom w:val="single" w:sz="4" w:space="0" w:color="auto"/>
              <w:right w:val="single" w:sz="4" w:space="0" w:color="auto"/>
            </w:tcBorders>
            <w:shd w:val="clear" w:color="auto" w:fill="BFBFBF"/>
            <w:noWrap/>
            <w:textDirection w:val="lrTb"/>
            <w:vAlign w:val="bottom"/>
          </w:tcPr>
          <w:p w:rsidR="002151F6" w:rsidRPr="002151F6" w:rsidP="004F1A69">
            <w:pPr>
              <w:bidi w:val="0"/>
              <w:spacing w:after="0" w:line="240" w:lineRule="auto"/>
              <w:rPr>
                <w:rFonts w:ascii="Times New Roman" w:hAnsi="Times New Roman"/>
                <w:sz w:val="24"/>
                <w:szCs w:val="24"/>
                <w:lang w:val="sk-SK" w:eastAsia="sk-SK"/>
              </w:rPr>
            </w:pPr>
            <w:r w:rsidRPr="002151F6">
              <w:rPr>
                <w:rFonts w:ascii="Times New Roman" w:hAnsi="Times New Roman"/>
                <w:sz w:val="24"/>
                <w:szCs w:val="24"/>
                <w:lang w:val="sk-SK" w:eastAsia="sk-SK"/>
              </w:rPr>
              <w:t> </w:t>
            </w:r>
          </w:p>
        </w:tc>
      </w:tr>
    </w:tbl>
    <w:p w:rsidR="00BC4C40" w:rsidP="002151F6">
      <w:pPr>
        <w:tabs>
          <w:tab w:val="num" w:pos="1080"/>
        </w:tabs>
        <w:bidi w:val="0"/>
        <w:spacing w:after="0" w:line="240" w:lineRule="auto"/>
        <w:jc w:val="both"/>
        <w:rPr>
          <w:rFonts w:ascii="Times New Roman" w:hAnsi="Times New Roman"/>
          <w:bCs/>
          <w:sz w:val="20"/>
          <w:szCs w:val="20"/>
          <w:lang w:val="sk-SK" w:eastAsia="sk-SK"/>
        </w:rPr>
      </w:pPr>
    </w:p>
    <w:p w:rsidR="00BC4C40" w:rsidP="002151F6">
      <w:pPr>
        <w:tabs>
          <w:tab w:val="num" w:pos="1080"/>
        </w:tabs>
        <w:bidi w:val="0"/>
        <w:spacing w:after="0" w:line="240" w:lineRule="auto"/>
        <w:jc w:val="both"/>
        <w:rPr>
          <w:rFonts w:ascii="Times New Roman" w:hAnsi="Times New Roman"/>
          <w:bCs/>
          <w:sz w:val="20"/>
          <w:szCs w:val="20"/>
          <w:lang w:val="sk-SK" w:eastAsia="sk-SK"/>
        </w:rPr>
      </w:pPr>
    </w:p>
    <w:p w:rsidR="00BC4C40" w:rsidP="002151F6">
      <w:pPr>
        <w:tabs>
          <w:tab w:val="num" w:pos="1080"/>
        </w:tabs>
        <w:bidi w:val="0"/>
        <w:spacing w:after="0" w:line="240" w:lineRule="auto"/>
        <w:jc w:val="both"/>
        <w:rPr>
          <w:rFonts w:ascii="Times New Roman" w:hAnsi="Times New Roman"/>
          <w:bCs/>
          <w:sz w:val="20"/>
          <w:szCs w:val="20"/>
          <w:lang w:val="sk-SK" w:eastAsia="sk-SK"/>
        </w:rPr>
      </w:pPr>
    </w:p>
    <w:p w:rsidR="00BC4C40" w:rsidP="002151F6">
      <w:pPr>
        <w:tabs>
          <w:tab w:val="num" w:pos="1080"/>
        </w:tabs>
        <w:bidi w:val="0"/>
        <w:spacing w:after="0" w:line="240" w:lineRule="auto"/>
        <w:jc w:val="both"/>
        <w:rPr>
          <w:rFonts w:ascii="Times New Roman" w:hAnsi="Times New Roman"/>
          <w:bCs/>
          <w:sz w:val="20"/>
          <w:szCs w:val="20"/>
          <w:lang w:val="sk-SK" w:eastAsia="sk-SK"/>
        </w:rPr>
      </w:pPr>
    </w:p>
    <w:p w:rsidR="00BC4C40" w:rsidP="002151F6">
      <w:pPr>
        <w:tabs>
          <w:tab w:val="num" w:pos="1080"/>
        </w:tabs>
        <w:bidi w:val="0"/>
        <w:spacing w:after="0" w:line="240" w:lineRule="auto"/>
        <w:jc w:val="both"/>
        <w:rPr>
          <w:rFonts w:ascii="Times New Roman" w:hAnsi="Times New Roman"/>
          <w:bCs/>
          <w:sz w:val="20"/>
          <w:szCs w:val="20"/>
          <w:lang w:val="sk-SK" w:eastAsia="sk-SK"/>
        </w:rPr>
      </w:pPr>
    </w:p>
    <w:p w:rsidR="00BC4C40" w:rsidP="002151F6">
      <w:pPr>
        <w:tabs>
          <w:tab w:val="num" w:pos="1080"/>
        </w:tabs>
        <w:bidi w:val="0"/>
        <w:spacing w:after="0" w:line="240" w:lineRule="auto"/>
        <w:jc w:val="both"/>
        <w:rPr>
          <w:rFonts w:ascii="Times New Roman" w:hAnsi="Times New Roman"/>
          <w:bCs/>
          <w:sz w:val="20"/>
          <w:szCs w:val="20"/>
          <w:lang w:val="sk-SK" w:eastAsia="sk-SK"/>
        </w:rPr>
      </w:pPr>
    </w:p>
    <w:p w:rsidR="00BC4C40" w:rsidP="002151F6">
      <w:pPr>
        <w:tabs>
          <w:tab w:val="num" w:pos="1080"/>
        </w:tabs>
        <w:bidi w:val="0"/>
        <w:spacing w:after="0" w:line="240" w:lineRule="auto"/>
        <w:jc w:val="both"/>
        <w:rPr>
          <w:rFonts w:ascii="Times New Roman" w:hAnsi="Times New Roman"/>
          <w:bCs/>
          <w:sz w:val="20"/>
          <w:szCs w:val="20"/>
          <w:lang w:val="sk-SK" w:eastAsia="sk-SK"/>
        </w:rPr>
      </w:pPr>
    </w:p>
    <w:p w:rsidR="00BC4C40" w:rsidP="002151F6">
      <w:pPr>
        <w:tabs>
          <w:tab w:val="num" w:pos="1080"/>
        </w:tabs>
        <w:bidi w:val="0"/>
        <w:spacing w:after="0" w:line="240" w:lineRule="auto"/>
        <w:jc w:val="both"/>
        <w:rPr>
          <w:rFonts w:ascii="Times New Roman" w:hAnsi="Times New Roman"/>
          <w:bCs/>
          <w:sz w:val="20"/>
          <w:szCs w:val="20"/>
          <w:lang w:val="sk-SK" w:eastAsia="sk-SK"/>
        </w:rPr>
      </w:pPr>
    </w:p>
    <w:p w:rsidR="00BC4C40" w:rsidP="002151F6">
      <w:pPr>
        <w:tabs>
          <w:tab w:val="num" w:pos="1080"/>
        </w:tabs>
        <w:bidi w:val="0"/>
        <w:spacing w:after="0" w:line="240" w:lineRule="auto"/>
        <w:jc w:val="both"/>
        <w:rPr>
          <w:rFonts w:ascii="Times New Roman" w:hAnsi="Times New Roman"/>
          <w:bCs/>
          <w:sz w:val="20"/>
          <w:szCs w:val="20"/>
          <w:lang w:val="sk-SK" w:eastAsia="sk-SK"/>
        </w:rPr>
      </w:pPr>
    </w:p>
    <w:p w:rsidR="00BC4C40" w:rsidP="002151F6">
      <w:pPr>
        <w:tabs>
          <w:tab w:val="num" w:pos="1080"/>
        </w:tabs>
        <w:bidi w:val="0"/>
        <w:spacing w:after="0" w:line="240" w:lineRule="auto"/>
        <w:jc w:val="both"/>
        <w:rPr>
          <w:rFonts w:ascii="Times New Roman" w:hAnsi="Times New Roman"/>
          <w:bCs/>
          <w:sz w:val="20"/>
          <w:szCs w:val="20"/>
          <w:lang w:val="sk-SK" w:eastAsia="sk-SK"/>
        </w:rPr>
      </w:pPr>
    </w:p>
    <w:p w:rsidR="00BC4C40" w:rsidP="002151F6">
      <w:pPr>
        <w:tabs>
          <w:tab w:val="num" w:pos="1080"/>
        </w:tabs>
        <w:bidi w:val="0"/>
        <w:spacing w:after="0" w:line="240" w:lineRule="auto"/>
        <w:jc w:val="both"/>
        <w:rPr>
          <w:rFonts w:ascii="Times New Roman" w:hAnsi="Times New Roman"/>
          <w:bCs/>
          <w:sz w:val="20"/>
          <w:szCs w:val="20"/>
          <w:lang w:val="sk-SK" w:eastAsia="sk-SK"/>
        </w:rPr>
      </w:pPr>
    </w:p>
    <w:p w:rsidR="00BC4C40" w:rsidP="002151F6">
      <w:pPr>
        <w:tabs>
          <w:tab w:val="num" w:pos="1080"/>
        </w:tabs>
        <w:bidi w:val="0"/>
        <w:spacing w:after="0" w:line="240" w:lineRule="auto"/>
        <w:jc w:val="both"/>
        <w:rPr>
          <w:rFonts w:ascii="Times New Roman" w:hAnsi="Times New Roman"/>
          <w:bCs/>
          <w:sz w:val="20"/>
          <w:szCs w:val="20"/>
          <w:lang w:val="sk-SK" w:eastAsia="sk-SK"/>
        </w:rPr>
      </w:pPr>
    </w:p>
    <w:p w:rsidR="00BC4C40" w:rsidP="002151F6">
      <w:pPr>
        <w:tabs>
          <w:tab w:val="num" w:pos="1080"/>
        </w:tabs>
        <w:bidi w:val="0"/>
        <w:spacing w:after="0" w:line="240" w:lineRule="auto"/>
        <w:jc w:val="both"/>
        <w:rPr>
          <w:rFonts w:ascii="Times New Roman" w:hAnsi="Times New Roman"/>
          <w:bCs/>
          <w:sz w:val="20"/>
          <w:szCs w:val="20"/>
          <w:lang w:val="sk-SK" w:eastAsia="sk-SK"/>
        </w:rPr>
      </w:pPr>
    </w:p>
    <w:p w:rsidR="00BC4C40" w:rsidP="002151F6">
      <w:pPr>
        <w:tabs>
          <w:tab w:val="num" w:pos="1080"/>
        </w:tabs>
        <w:bidi w:val="0"/>
        <w:spacing w:after="0" w:line="240" w:lineRule="auto"/>
        <w:jc w:val="both"/>
        <w:rPr>
          <w:rFonts w:ascii="Times New Roman" w:hAnsi="Times New Roman"/>
          <w:bCs/>
          <w:sz w:val="20"/>
          <w:szCs w:val="20"/>
          <w:lang w:val="sk-SK" w:eastAsia="sk-SK"/>
        </w:rPr>
      </w:pPr>
    </w:p>
    <w:p w:rsidR="00BC4C40" w:rsidP="002151F6">
      <w:pPr>
        <w:tabs>
          <w:tab w:val="num" w:pos="1080"/>
        </w:tabs>
        <w:bidi w:val="0"/>
        <w:spacing w:after="0" w:line="240" w:lineRule="auto"/>
        <w:jc w:val="both"/>
        <w:rPr>
          <w:rFonts w:ascii="Times New Roman" w:hAnsi="Times New Roman"/>
          <w:bCs/>
          <w:sz w:val="20"/>
          <w:szCs w:val="20"/>
          <w:lang w:val="sk-SK" w:eastAsia="sk-SK"/>
        </w:rPr>
      </w:pPr>
    </w:p>
    <w:p w:rsidR="00BC4C40" w:rsidP="002151F6">
      <w:pPr>
        <w:tabs>
          <w:tab w:val="num" w:pos="1080"/>
        </w:tabs>
        <w:bidi w:val="0"/>
        <w:spacing w:after="0" w:line="240" w:lineRule="auto"/>
        <w:jc w:val="both"/>
        <w:rPr>
          <w:rFonts w:ascii="Times New Roman" w:hAnsi="Times New Roman"/>
          <w:bCs/>
          <w:sz w:val="20"/>
          <w:szCs w:val="20"/>
          <w:lang w:val="sk-SK" w:eastAsia="sk-SK"/>
        </w:rPr>
      </w:pPr>
    </w:p>
    <w:p w:rsidR="00BC4C40" w:rsidP="002151F6">
      <w:pPr>
        <w:tabs>
          <w:tab w:val="num" w:pos="1080"/>
        </w:tabs>
        <w:bidi w:val="0"/>
        <w:spacing w:after="0" w:line="240" w:lineRule="auto"/>
        <w:jc w:val="both"/>
        <w:rPr>
          <w:rFonts w:ascii="Times New Roman" w:hAnsi="Times New Roman"/>
          <w:bCs/>
          <w:sz w:val="20"/>
          <w:szCs w:val="20"/>
          <w:lang w:val="sk-SK" w:eastAsia="sk-SK"/>
        </w:rPr>
      </w:pPr>
    </w:p>
    <w:p w:rsidR="002151F6" w:rsidRPr="00BC4C40" w:rsidP="00BC4C40">
      <w:pPr>
        <w:pStyle w:val="ListParagraph"/>
        <w:numPr>
          <w:numId w:val="17"/>
        </w:numPr>
        <w:tabs>
          <w:tab w:val="num" w:pos="1080"/>
        </w:tabs>
        <w:bidi w:val="0"/>
        <w:spacing w:after="0" w:line="240" w:lineRule="auto"/>
        <w:jc w:val="both"/>
        <w:rPr>
          <w:rFonts w:ascii="Times New Roman" w:hAnsi="Times New Roman"/>
          <w:bCs/>
          <w:sz w:val="20"/>
          <w:szCs w:val="20"/>
          <w:lang w:eastAsia="sk-SK"/>
        </w:rPr>
      </w:pPr>
      <w:r w:rsidR="00BC4C40">
        <w:rPr>
          <w:rFonts w:ascii="Times New Roman" w:hAnsi="Times New Roman"/>
          <w:bCs/>
          <w:sz w:val="20"/>
          <w:szCs w:val="20"/>
          <w:lang w:eastAsia="sk-SK"/>
        </w:rPr>
        <w:t xml:space="preserve">príjmy </w:t>
      </w:r>
      <w:r w:rsidRPr="00BC4C40">
        <w:rPr>
          <w:rFonts w:ascii="Times New Roman" w:hAnsi="Times New Roman"/>
          <w:bCs/>
          <w:sz w:val="20"/>
          <w:szCs w:val="20"/>
          <w:lang w:eastAsia="sk-SK"/>
        </w:rPr>
        <w:t>rozpísať až do položiek platnej ekonomickej klasifikácie</w:t>
      </w:r>
    </w:p>
    <w:p w:rsidR="002151F6" w:rsidRPr="002151F6" w:rsidP="002151F6">
      <w:pPr>
        <w:tabs>
          <w:tab w:val="num" w:pos="1080"/>
        </w:tabs>
        <w:bidi w:val="0"/>
        <w:spacing w:after="0" w:line="240" w:lineRule="auto"/>
        <w:jc w:val="both"/>
        <w:rPr>
          <w:rFonts w:ascii="Times New Roman" w:hAnsi="Times New Roman"/>
          <w:bCs/>
          <w:sz w:val="24"/>
          <w:szCs w:val="20"/>
          <w:lang w:val="sk-SK" w:eastAsia="sk-SK"/>
        </w:rPr>
      </w:pPr>
    </w:p>
    <w:p w:rsidR="002151F6" w:rsidRPr="002151F6" w:rsidP="004F1A69">
      <w:pPr>
        <w:tabs>
          <w:tab w:val="num" w:pos="1080"/>
        </w:tabs>
        <w:bidi w:val="0"/>
        <w:spacing w:after="0" w:line="240" w:lineRule="auto"/>
        <w:ind w:left="709"/>
        <w:jc w:val="both"/>
        <w:rPr>
          <w:rFonts w:ascii="Times New Roman" w:hAnsi="Times New Roman"/>
          <w:b/>
          <w:bCs/>
          <w:sz w:val="24"/>
          <w:szCs w:val="20"/>
          <w:lang w:val="sk-SK" w:eastAsia="sk-SK"/>
        </w:rPr>
      </w:pPr>
      <w:r w:rsidRPr="002151F6">
        <w:rPr>
          <w:rFonts w:ascii="Times New Roman" w:hAnsi="Times New Roman"/>
          <w:b/>
          <w:bCs/>
          <w:sz w:val="24"/>
          <w:szCs w:val="20"/>
          <w:lang w:val="sk-SK" w:eastAsia="sk-SK"/>
        </w:rPr>
        <w:t>Poznámka:</w:t>
      </w:r>
    </w:p>
    <w:p w:rsidR="002151F6" w:rsidRPr="002151F6" w:rsidP="004F1A69">
      <w:pPr>
        <w:tabs>
          <w:tab w:val="num" w:pos="1080"/>
        </w:tabs>
        <w:bidi w:val="0"/>
        <w:spacing w:after="0" w:line="240" w:lineRule="auto"/>
        <w:ind w:left="709"/>
        <w:jc w:val="both"/>
        <w:rPr>
          <w:rFonts w:ascii="Times New Roman" w:hAnsi="Times New Roman"/>
          <w:bCs/>
          <w:sz w:val="24"/>
          <w:szCs w:val="20"/>
          <w:lang w:val="sk-SK" w:eastAsia="sk-SK"/>
        </w:rPr>
      </w:pPr>
      <w:r w:rsidRPr="002151F6">
        <w:rPr>
          <w:rFonts w:ascii="Times New Roman" w:hAnsi="Times New Roman"/>
          <w:bCs/>
          <w:sz w:val="24"/>
          <w:szCs w:val="20"/>
          <w:lang w:val="sk-SK" w:eastAsia="sk-SK"/>
        </w:rPr>
        <w:t>Ak sa vplyv týka viacerých subjektov verejnej správy, vypĺňa sa samostatná tabuľka za každý subjekt.</w:t>
      </w:r>
    </w:p>
    <w:p w:rsidR="002151F6" w:rsidRPr="002151F6" w:rsidP="002151F6">
      <w:pPr>
        <w:tabs>
          <w:tab w:val="num" w:pos="1080"/>
        </w:tabs>
        <w:bidi w:val="0"/>
        <w:spacing w:after="0" w:line="240" w:lineRule="auto"/>
        <w:ind w:right="-578"/>
        <w:jc w:val="right"/>
        <w:rPr>
          <w:rFonts w:ascii="Times New Roman" w:hAnsi="Times New Roman"/>
          <w:bCs/>
          <w:sz w:val="24"/>
          <w:szCs w:val="24"/>
          <w:lang w:val="sk-SK" w:eastAsia="sk-SK"/>
        </w:rPr>
      </w:pPr>
      <w:r w:rsidRPr="002151F6">
        <w:rPr>
          <w:rFonts w:ascii="Times New Roman" w:hAnsi="Times New Roman"/>
          <w:bCs/>
          <w:sz w:val="24"/>
          <w:szCs w:val="24"/>
          <w:lang w:val="sk-SK" w:eastAsia="sk-SK"/>
        </w:rPr>
        <w:t xml:space="preserve"> </w:t>
      </w:r>
    </w:p>
    <w:p w:rsidR="002151F6" w:rsidRPr="002151F6" w:rsidP="002151F6">
      <w:pPr>
        <w:tabs>
          <w:tab w:val="num" w:pos="1080"/>
        </w:tabs>
        <w:bidi w:val="0"/>
        <w:spacing w:after="0" w:line="240" w:lineRule="auto"/>
        <w:ind w:right="-578"/>
        <w:jc w:val="right"/>
        <w:rPr>
          <w:rFonts w:ascii="Times New Roman" w:hAnsi="Times New Roman"/>
          <w:bCs/>
          <w:sz w:val="24"/>
          <w:szCs w:val="24"/>
          <w:lang w:val="sk-SK" w:eastAsia="sk-SK"/>
        </w:rPr>
      </w:pPr>
    </w:p>
    <w:p w:rsidR="002151F6" w:rsidRPr="002151F6" w:rsidP="002151F6">
      <w:pPr>
        <w:tabs>
          <w:tab w:val="num" w:pos="1080"/>
        </w:tabs>
        <w:bidi w:val="0"/>
        <w:spacing w:after="0" w:line="240" w:lineRule="auto"/>
        <w:ind w:right="-32"/>
        <w:jc w:val="right"/>
        <w:rPr>
          <w:rFonts w:ascii="Times New Roman" w:hAnsi="Times New Roman"/>
          <w:bCs/>
          <w:sz w:val="24"/>
          <w:szCs w:val="24"/>
          <w:lang w:val="sk-SK" w:eastAsia="sk-SK"/>
        </w:rPr>
      </w:pPr>
      <w:r w:rsidRPr="002151F6">
        <w:rPr>
          <w:rFonts w:ascii="Times New Roman" w:hAnsi="Times New Roman"/>
          <w:bCs/>
          <w:sz w:val="24"/>
          <w:szCs w:val="24"/>
          <w:lang w:val="sk-SK" w:eastAsia="sk-SK"/>
        </w:rPr>
        <w:t xml:space="preserve">Tabuľka č. 4 </w:t>
      </w:r>
    </w:p>
    <w:p w:rsidR="002151F6" w:rsidRPr="002151F6" w:rsidP="002151F6">
      <w:pPr>
        <w:tabs>
          <w:tab w:val="num" w:pos="1080"/>
        </w:tabs>
        <w:bidi w:val="0"/>
        <w:spacing w:after="0" w:line="240" w:lineRule="auto"/>
        <w:jc w:val="both"/>
        <w:rPr>
          <w:rFonts w:ascii="Times New Roman" w:hAnsi="Times New Roman"/>
          <w:bCs/>
          <w:sz w:val="24"/>
          <w:szCs w:val="20"/>
          <w:lang w:val="sk-SK" w:eastAsia="sk-SK"/>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2151F6" w:rsidRPr="002151F6" w:rsidP="00501AD0">
            <w:pPr>
              <w:bidi w:val="0"/>
              <w:spacing w:after="0" w:line="240" w:lineRule="auto"/>
              <w:jc w:val="center"/>
              <w:rPr>
                <w:rFonts w:ascii="Times New Roman" w:hAnsi="Times New Roman"/>
                <w:b/>
                <w:bCs/>
                <w:sz w:val="20"/>
                <w:szCs w:val="20"/>
                <w:lang w:val="sk-SK" w:eastAsia="sk-SK"/>
              </w:rPr>
            </w:pPr>
            <w:r w:rsidRPr="002151F6">
              <w:rPr>
                <w:rFonts w:ascii="Times New Roman" w:hAnsi="Times New Roman"/>
                <w:b/>
                <w:bCs/>
                <w:sz w:val="20"/>
                <w:szCs w:val="20"/>
                <w:lang w:val="sk-SK"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2151F6" w:rsidRPr="002151F6" w:rsidP="00501AD0">
            <w:pPr>
              <w:bidi w:val="0"/>
              <w:spacing w:after="0" w:line="240" w:lineRule="auto"/>
              <w:jc w:val="center"/>
              <w:rPr>
                <w:rFonts w:ascii="Times New Roman" w:hAnsi="Times New Roman"/>
                <w:b/>
                <w:bCs/>
                <w:sz w:val="20"/>
                <w:szCs w:val="20"/>
                <w:lang w:val="sk-SK" w:eastAsia="sk-SK"/>
              </w:rPr>
            </w:pPr>
            <w:r w:rsidRPr="002151F6">
              <w:rPr>
                <w:rFonts w:ascii="Times New Roman" w:hAnsi="Times New Roman"/>
                <w:b/>
                <w:bCs/>
                <w:sz w:val="20"/>
                <w:szCs w:val="20"/>
                <w:lang w:val="sk-SK"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51F6" w:rsidRPr="002151F6" w:rsidP="00501AD0">
            <w:pPr>
              <w:bidi w:val="0"/>
              <w:spacing w:after="0" w:line="240" w:lineRule="auto"/>
              <w:jc w:val="center"/>
              <w:rPr>
                <w:rFonts w:ascii="Times New Roman" w:hAnsi="Times New Roman"/>
                <w:b/>
                <w:bCs/>
                <w:sz w:val="24"/>
                <w:szCs w:val="24"/>
                <w:lang w:val="sk-SK" w:eastAsia="sk-SK"/>
              </w:rPr>
            </w:pPr>
            <w:r w:rsidRPr="002151F6">
              <w:rPr>
                <w:rFonts w:ascii="Times New Roman" w:hAnsi="Times New Roman"/>
                <w:b/>
                <w:bCs/>
                <w:sz w:val="24"/>
                <w:szCs w:val="24"/>
                <w:lang w:val="sk-SK" w:eastAsia="sk-SK"/>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2151F6" w:rsidRPr="002151F6" w:rsidP="00501AD0">
            <w:pPr>
              <w:bidi w:val="0"/>
              <w:spacing w:after="0" w:line="240" w:lineRule="auto"/>
              <w:rPr>
                <w:rFonts w:ascii="Times New Roman" w:hAnsi="Times New Roman"/>
                <w:b/>
                <w:bCs/>
                <w:color w:val="FFFFFF"/>
                <w:sz w:val="20"/>
                <w:szCs w:val="20"/>
                <w:lang w:val="sk-SK" w:eastAsia="sk-SK"/>
              </w:rPr>
            </w:pPr>
          </w:p>
        </w:tc>
        <w:tc>
          <w:tcPr>
            <w:tcW w:w="1540" w:type="dxa"/>
            <w:tcBorders>
              <w:top w:val="nil"/>
              <w:left w:val="nil"/>
              <w:bottom w:val="single" w:sz="4" w:space="0" w:color="auto"/>
              <w:right w:val="single" w:sz="4" w:space="0" w:color="auto"/>
            </w:tcBorders>
            <w:shd w:val="clear" w:color="auto" w:fill="BFBFBF"/>
            <w:textDirection w:val="lrTb"/>
            <w:vAlign w:val="top"/>
          </w:tcPr>
          <w:p w:rsidR="002151F6" w:rsidRPr="002151F6" w:rsidP="00501AD0">
            <w:pPr>
              <w:bidi w:val="0"/>
              <w:spacing w:after="0" w:line="240" w:lineRule="auto"/>
              <w:jc w:val="center"/>
              <w:rPr>
                <w:rFonts w:ascii="Times New Roman" w:hAnsi="Times New Roman"/>
                <w:b/>
                <w:bCs/>
                <w:sz w:val="20"/>
                <w:szCs w:val="20"/>
                <w:lang w:val="sk-SK" w:eastAsia="sk-SK"/>
              </w:rPr>
            </w:pPr>
            <w:r w:rsidRPr="002151F6">
              <w:rPr>
                <w:rFonts w:ascii="Times New Roman" w:hAnsi="Times New Roman"/>
                <w:b/>
                <w:bCs/>
                <w:sz w:val="20"/>
                <w:szCs w:val="20"/>
                <w:lang w:val="sk-SK" w:eastAsia="sk-SK"/>
              </w:rPr>
              <w:t>2016</w:t>
            </w:r>
          </w:p>
        </w:tc>
        <w:tc>
          <w:tcPr>
            <w:tcW w:w="1540" w:type="dxa"/>
            <w:tcBorders>
              <w:top w:val="nil"/>
              <w:left w:val="nil"/>
              <w:bottom w:val="single" w:sz="4" w:space="0" w:color="auto"/>
              <w:right w:val="single" w:sz="4" w:space="0" w:color="auto"/>
            </w:tcBorders>
            <w:shd w:val="clear" w:color="auto" w:fill="BFBFBF"/>
            <w:textDirection w:val="lrTb"/>
            <w:vAlign w:val="top"/>
          </w:tcPr>
          <w:p w:rsidR="002151F6" w:rsidRPr="002151F6" w:rsidP="00501AD0">
            <w:pPr>
              <w:bidi w:val="0"/>
              <w:spacing w:after="0" w:line="240" w:lineRule="auto"/>
              <w:jc w:val="center"/>
              <w:rPr>
                <w:rFonts w:ascii="Times New Roman" w:hAnsi="Times New Roman"/>
                <w:b/>
                <w:bCs/>
                <w:sz w:val="20"/>
                <w:szCs w:val="20"/>
                <w:lang w:val="sk-SK" w:eastAsia="sk-SK"/>
              </w:rPr>
            </w:pPr>
            <w:r w:rsidRPr="002151F6">
              <w:rPr>
                <w:rFonts w:ascii="Times New Roman" w:hAnsi="Times New Roman"/>
                <w:b/>
                <w:bCs/>
                <w:sz w:val="20"/>
                <w:szCs w:val="20"/>
                <w:lang w:val="sk-SK" w:eastAsia="sk-SK"/>
              </w:rPr>
              <w:t>2017</w:t>
            </w:r>
          </w:p>
        </w:tc>
        <w:tc>
          <w:tcPr>
            <w:tcW w:w="1540" w:type="dxa"/>
            <w:tcBorders>
              <w:top w:val="nil"/>
              <w:left w:val="nil"/>
              <w:bottom w:val="single" w:sz="4" w:space="0" w:color="auto"/>
              <w:right w:val="single" w:sz="4" w:space="0" w:color="auto"/>
            </w:tcBorders>
            <w:shd w:val="clear" w:color="auto" w:fill="BFBFBF"/>
            <w:textDirection w:val="lrTb"/>
            <w:vAlign w:val="top"/>
          </w:tcPr>
          <w:p w:rsidR="002151F6" w:rsidRPr="002151F6" w:rsidP="00501AD0">
            <w:pPr>
              <w:bidi w:val="0"/>
              <w:spacing w:after="0" w:line="240" w:lineRule="auto"/>
              <w:jc w:val="center"/>
              <w:rPr>
                <w:rFonts w:ascii="Times New Roman" w:hAnsi="Times New Roman"/>
                <w:b/>
                <w:bCs/>
                <w:sz w:val="20"/>
                <w:szCs w:val="20"/>
                <w:lang w:val="sk-SK" w:eastAsia="sk-SK"/>
              </w:rPr>
            </w:pPr>
            <w:r w:rsidRPr="002151F6">
              <w:rPr>
                <w:rFonts w:ascii="Times New Roman" w:hAnsi="Times New Roman"/>
                <w:b/>
                <w:bCs/>
                <w:sz w:val="20"/>
                <w:szCs w:val="20"/>
                <w:lang w:val="sk-SK" w:eastAsia="sk-SK"/>
              </w:rPr>
              <w:t>2018</w:t>
            </w:r>
          </w:p>
        </w:tc>
        <w:tc>
          <w:tcPr>
            <w:tcW w:w="1540" w:type="dxa"/>
            <w:tcBorders>
              <w:top w:val="nil"/>
              <w:left w:val="nil"/>
              <w:bottom w:val="single" w:sz="4" w:space="0" w:color="auto"/>
              <w:right w:val="single" w:sz="4" w:space="0" w:color="auto"/>
            </w:tcBorders>
            <w:shd w:val="clear" w:color="auto" w:fill="BFBFBF"/>
            <w:textDirection w:val="lrTb"/>
            <w:vAlign w:val="top"/>
          </w:tcPr>
          <w:p w:rsidR="002151F6" w:rsidRPr="002151F6" w:rsidP="00501AD0">
            <w:pPr>
              <w:bidi w:val="0"/>
              <w:spacing w:after="0" w:line="240" w:lineRule="auto"/>
              <w:jc w:val="center"/>
              <w:rPr>
                <w:rFonts w:ascii="Times New Roman" w:hAnsi="Times New Roman"/>
                <w:b/>
                <w:bCs/>
                <w:sz w:val="24"/>
                <w:szCs w:val="24"/>
                <w:lang w:val="sk-SK" w:eastAsia="sk-SK"/>
              </w:rPr>
            </w:pPr>
            <w:r w:rsidRPr="002151F6">
              <w:rPr>
                <w:rFonts w:ascii="Times New Roman" w:hAnsi="Times New Roman"/>
                <w:b/>
                <w:bCs/>
                <w:sz w:val="24"/>
                <w:szCs w:val="24"/>
                <w:lang w:val="sk-SK" w:eastAsia="sk-SK"/>
              </w:rPr>
              <w:t>2019</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2151F6" w:rsidRPr="002151F6" w:rsidP="00501AD0">
            <w:pPr>
              <w:bidi w:val="0"/>
              <w:spacing w:after="0" w:line="240" w:lineRule="auto"/>
              <w:rPr>
                <w:rFonts w:ascii="Times New Roman" w:hAnsi="Times New Roman"/>
                <w:b/>
                <w:bCs/>
                <w:color w:val="FFFFFF"/>
                <w:sz w:val="24"/>
                <w:szCs w:val="24"/>
                <w:lang w:val="sk-SK"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151F6" w:rsidRPr="004A6AFD" w:rsidP="00501AD0">
            <w:pPr>
              <w:bidi w:val="0"/>
              <w:spacing w:after="0" w:line="240" w:lineRule="auto"/>
              <w:rPr>
                <w:rFonts w:ascii="Times New Roman" w:hAnsi="Times New Roman"/>
                <w:b/>
                <w:bCs/>
                <w:sz w:val="24"/>
                <w:szCs w:val="24"/>
                <w:lang w:val="sk-SK" w:eastAsia="sk-SK"/>
              </w:rPr>
            </w:pPr>
            <w:r w:rsidRPr="004A6AFD">
              <w:rPr>
                <w:rFonts w:ascii="Times New Roman" w:hAnsi="Times New Roman"/>
                <w:b/>
                <w:bCs/>
                <w:sz w:val="24"/>
                <w:szCs w:val="24"/>
                <w:lang w:val="sk-SK" w:eastAsia="sk-SK"/>
              </w:rPr>
              <w:t>Bežné výdavky (600)</w:t>
            </w:r>
          </w:p>
        </w:tc>
        <w:tc>
          <w:tcPr>
            <w:tcW w:w="1540" w:type="dxa"/>
            <w:tcBorders>
              <w:top w:val="nil"/>
              <w:left w:val="nil"/>
              <w:bottom w:val="single" w:sz="4" w:space="0" w:color="auto"/>
              <w:right w:val="single" w:sz="4" w:space="0" w:color="auto"/>
            </w:tcBorders>
            <w:textDirection w:val="lrTb"/>
            <w:vAlign w:val="top"/>
          </w:tcPr>
          <w:p w:rsidR="002151F6" w:rsidRPr="004A6AFD" w:rsidP="00501AD0">
            <w:pPr>
              <w:bidi w:val="0"/>
              <w:spacing w:after="0" w:line="240" w:lineRule="auto"/>
              <w:jc w:val="center"/>
              <w:rPr>
                <w:rFonts w:ascii="Times New Roman" w:hAnsi="Times New Roman"/>
                <w:b/>
                <w:bCs/>
                <w:sz w:val="24"/>
                <w:szCs w:val="24"/>
                <w:lang w:val="sk-SK" w:eastAsia="sk-SK"/>
              </w:rPr>
            </w:pPr>
          </w:p>
        </w:tc>
        <w:tc>
          <w:tcPr>
            <w:tcW w:w="1540" w:type="dxa"/>
            <w:tcBorders>
              <w:top w:val="nil"/>
              <w:left w:val="nil"/>
              <w:bottom w:val="single" w:sz="4" w:space="0" w:color="auto"/>
              <w:right w:val="single" w:sz="4" w:space="0" w:color="auto"/>
            </w:tcBorders>
            <w:textDirection w:val="lrTb"/>
            <w:vAlign w:val="top"/>
          </w:tcPr>
          <w:p w:rsidR="002151F6" w:rsidRPr="004A6AFD" w:rsidP="00501AD0">
            <w:pPr>
              <w:bidi w:val="0"/>
              <w:spacing w:after="0" w:line="240" w:lineRule="auto"/>
              <w:jc w:val="center"/>
              <w:rPr>
                <w:rFonts w:ascii="Times New Roman" w:hAnsi="Times New Roman"/>
                <w:b/>
                <w:bCs/>
                <w:sz w:val="24"/>
                <w:szCs w:val="24"/>
                <w:lang w:val="sk-SK" w:eastAsia="sk-SK"/>
              </w:rPr>
            </w:pPr>
          </w:p>
        </w:tc>
        <w:tc>
          <w:tcPr>
            <w:tcW w:w="1540" w:type="dxa"/>
            <w:tcBorders>
              <w:top w:val="nil"/>
              <w:left w:val="nil"/>
              <w:bottom w:val="single" w:sz="4" w:space="0" w:color="auto"/>
              <w:right w:val="single" w:sz="4" w:space="0" w:color="auto"/>
            </w:tcBorders>
            <w:textDirection w:val="lrTb"/>
            <w:vAlign w:val="top"/>
          </w:tcPr>
          <w:p w:rsidR="002151F6" w:rsidRPr="004A6AFD" w:rsidP="00501AD0">
            <w:pPr>
              <w:bidi w:val="0"/>
              <w:spacing w:after="0" w:line="240" w:lineRule="auto"/>
              <w:jc w:val="center"/>
              <w:rPr>
                <w:rFonts w:ascii="Times New Roman" w:hAnsi="Times New Roman"/>
                <w:b/>
                <w:bCs/>
                <w:sz w:val="24"/>
                <w:szCs w:val="24"/>
                <w:lang w:val="sk-SK" w:eastAsia="sk-SK"/>
              </w:rPr>
            </w:pPr>
          </w:p>
        </w:tc>
        <w:tc>
          <w:tcPr>
            <w:tcW w:w="1540" w:type="dxa"/>
            <w:tcBorders>
              <w:top w:val="nil"/>
              <w:left w:val="nil"/>
              <w:bottom w:val="single" w:sz="4" w:space="0" w:color="auto"/>
              <w:right w:val="single" w:sz="4" w:space="0" w:color="auto"/>
            </w:tcBorders>
            <w:textDirection w:val="lrTb"/>
            <w:vAlign w:val="top"/>
          </w:tcPr>
          <w:p w:rsidR="002151F6" w:rsidRPr="004A6AFD" w:rsidP="00501AD0">
            <w:pPr>
              <w:bidi w:val="0"/>
              <w:spacing w:after="0" w:line="240" w:lineRule="auto"/>
              <w:jc w:val="center"/>
              <w:rPr>
                <w:rFonts w:ascii="Times New Roman" w:hAnsi="Times New Roman"/>
                <w:b/>
                <w:bCs/>
                <w:sz w:val="24"/>
                <w:szCs w:val="24"/>
                <w:lang w:val="sk-SK" w:eastAsia="sk-SK"/>
              </w:rPr>
            </w:pPr>
          </w:p>
        </w:tc>
        <w:tc>
          <w:tcPr>
            <w:tcW w:w="2220" w:type="dxa"/>
            <w:tcBorders>
              <w:top w:val="nil"/>
              <w:left w:val="nil"/>
              <w:bottom w:val="single" w:sz="4" w:space="0" w:color="auto"/>
              <w:right w:val="single" w:sz="4" w:space="0" w:color="auto"/>
            </w:tcBorders>
            <w:noWrap/>
            <w:textDirection w:val="lrTb"/>
            <w:vAlign w:val="bottom"/>
          </w:tcPr>
          <w:p w:rsidR="002151F6" w:rsidRPr="004A6AFD" w:rsidP="00501AD0">
            <w:pPr>
              <w:bidi w:val="0"/>
              <w:spacing w:after="0" w:line="240" w:lineRule="auto"/>
              <w:rPr>
                <w:rFonts w:ascii="Times New Roman" w:hAnsi="Times New Roman"/>
                <w:sz w:val="24"/>
                <w:szCs w:val="24"/>
                <w:lang w:val="sk-SK" w:eastAsia="sk-SK"/>
              </w:rPr>
            </w:pPr>
            <w:r w:rsidRPr="004A6AFD">
              <w:rPr>
                <w:rFonts w:ascii="Times New Roman" w:hAnsi="Times New Roman"/>
                <w:sz w:val="24"/>
                <w:szCs w:val="24"/>
                <w:lang w:val="sk-SK"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151F6" w:rsidRPr="004A6AFD" w:rsidP="00501AD0">
            <w:pPr>
              <w:bidi w:val="0"/>
              <w:spacing w:after="0" w:line="240" w:lineRule="auto"/>
              <w:rPr>
                <w:rFonts w:ascii="Times New Roman" w:hAnsi="Times New Roman"/>
                <w:sz w:val="24"/>
                <w:szCs w:val="24"/>
                <w:lang w:val="sk-SK" w:eastAsia="sk-SK"/>
              </w:rPr>
            </w:pPr>
            <w:r w:rsidRPr="004A6AFD">
              <w:rPr>
                <w:rFonts w:ascii="Times New Roman" w:hAnsi="Times New Roman"/>
                <w:sz w:val="24"/>
                <w:szCs w:val="24"/>
                <w:lang w:val="sk-SK"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2151F6" w:rsidRPr="004A6AFD" w:rsidP="00501AD0">
            <w:pPr>
              <w:bidi w:val="0"/>
              <w:spacing w:after="0" w:line="240" w:lineRule="auto"/>
              <w:jc w:val="center"/>
              <w:rPr>
                <w:rFonts w:ascii="Times New Roman" w:hAnsi="Times New Roman"/>
                <w:sz w:val="24"/>
                <w:szCs w:val="24"/>
                <w:lang w:val="sk-SK" w:eastAsia="sk-SK"/>
              </w:rPr>
            </w:pPr>
          </w:p>
        </w:tc>
        <w:tc>
          <w:tcPr>
            <w:tcW w:w="1540" w:type="dxa"/>
            <w:tcBorders>
              <w:top w:val="nil"/>
              <w:left w:val="nil"/>
              <w:bottom w:val="single" w:sz="4" w:space="0" w:color="auto"/>
              <w:right w:val="single" w:sz="4" w:space="0" w:color="auto"/>
            </w:tcBorders>
            <w:textDirection w:val="lrTb"/>
            <w:vAlign w:val="top"/>
          </w:tcPr>
          <w:p w:rsidR="002151F6" w:rsidRPr="004A6AFD" w:rsidP="00501AD0">
            <w:pPr>
              <w:bidi w:val="0"/>
              <w:spacing w:after="0" w:line="240" w:lineRule="auto"/>
              <w:jc w:val="center"/>
              <w:rPr>
                <w:rFonts w:ascii="Times New Roman" w:hAnsi="Times New Roman"/>
                <w:sz w:val="24"/>
                <w:szCs w:val="24"/>
                <w:lang w:val="sk-SK" w:eastAsia="sk-SK"/>
              </w:rPr>
            </w:pPr>
          </w:p>
        </w:tc>
        <w:tc>
          <w:tcPr>
            <w:tcW w:w="1540" w:type="dxa"/>
            <w:tcBorders>
              <w:top w:val="nil"/>
              <w:left w:val="nil"/>
              <w:bottom w:val="single" w:sz="4" w:space="0" w:color="auto"/>
              <w:right w:val="single" w:sz="4" w:space="0" w:color="auto"/>
            </w:tcBorders>
            <w:textDirection w:val="lrTb"/>
            <w:vAlign w:val="top"/>
          </w:tcPr>
          <w:p w:rsidR="002151F6" w:rsidRPr="004A6AFD" w:rsidP="00501AD0">
            <w:pPr>
              <w:bidi w:val="0"/>
              <w:spacing w:after="0" w:line="240" w:lineRule="auto"/>
              <w:jc w:val="center"/>
              <w:rPr>
                <w:rFonts w:ascii="Times New Roman" w:hAnsi="Times New Roman"/>
                <w:sz w:val="24"/>
                <w:szCs w:val="24"/>
                <w:lang w:val="sk-SK" w:eastAsia="sk-SK"/>
              </w:rPr>
            </w:pPr>
          </w:p>
        </w:tc>
        <w:tc>
          <w:tcPr>
            <w:tcW w:w="1540" w:type="dxa"/>
            <w:tcBorders>
              <w:top w:val="nil"/>
              <w:left w:val="nil"/>
              <w:bottom w:val="single" w:sz="4" w:space="0" w:color="auto"/>
              <w:right w:val="single" w:sz="4" w:space="0" w:color="auto"/>
            </w:tcBorders>
            <w:textDirection w:val="lrTb"/>
            <w:vAlign w:val="top"/>
          </w:tcPr>
          <w:p w:rsidR="002151F6" w:rsidRPr="004A6AFD" w:rsidP="00501AD0">
            <w:pPr>
              <w:bidi w:val="0"/>
              <w:spacing w:after="0" w:line="240" w:lineRule="auto"/>
              <w:jc w:val="center"/>
              <w:rPr>
                <w:rFonts w:ascii="Times New Roman" w:hAnsi="Times New Roman"/>
                <w:sz w:val="24"/>
                <w:szCs w:val="24"/>
                <w:lang w:val="sk-SK" w:eastAsia="sk-SK"/>
              </w:rPr>
            </w:pPr>
          </w:p>
        </w:tc>
        <w:tc>
          <w:tcPr>
            <w:tcW w:w="2220" w:type="dxa"/>
            <w:tcBorders>
              <w:top w:val="nil"/>
              <w:left w:val="nil"/>
              <w:bottom w:val="single" w:sz="4" w:space="0" w:color="auto"/>
              <w:right w:val="single" w:sz="4" w:space="0" w:color="auto"/>
            </w:tcBorders>
            <w:noWrap/>
            <w:textDirection w:val="lrTb"/>
            <w:vAlign w:val="bottom"/>
          </w:tcPr>
          <w:p w:rsidR="002151F6" w:rsidRPr="004A6AFD" w:rsidP="00501AD0">
            <w:pPr>
              <w:bidi w:val="0"/>
              <w:spacing w:after="0" w:line="240" w:lineRule="auto"/>
              <w:rPr>
                <w:rFonts w:ascii="Times New Roman" w:hAnsi="Times New Roman"/>
                <w:sz w:val="24"/>
                <w:szCs w:val="24"/>
                <w:lang w:val="sk-SK" w:eastAsia="sk-SK"/>
              </w:rPr>
            </w:pPr>
            <w:r w:rsidRPr="004A6AFD">
              <w:rPr>
                <w:rFonts w:ascii="Times New Roman" w:hAnsi="Times New Roman"/>
                <w:sz w:val="24"/>
                <w:szCs w:val="24"/>
                <w:lang w:val="sk-SK"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151F6" w:rsidRPr="004A6AFD" w:rsidP="00501AD0">
            <w:pPr>
              <w:bidi w:val="0"/>
              <w:spacing w:after="0" w:line="240" w:lineRule="auto"/>
              <w:rPr>
                <w:rFonts w:ascii="Times New Roman" w:hAnsi="Times New Roman"/>
                <w:sz w:val="24"/>
                <w:szCs w:val="24"/>
                <w:vertAlign w:val="superscript"/>
                <w:lang w:val="sk-SK" w:eastAsia="sk-SK"/>
              </w:rPr>
            </w:pPr>
            <w:r w:rsidRPr="004A6AFD">
              <w:rPr>
                <w:rFonts w:ascii="Times New Roman" w:hAnsi="Times New Roman"/>
                <w:sz w:val="24"/>
                <w:szCs w:val="24"/>
                <w:lang w:val="sk-SK" w:eastAsia="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2151F6" w:rsidRPr="004A6AFD" w:rsidP="00501AD0">
            <w:pPr>
              <w:bidi w:val="0"/>
              <w:spacing w:after="0" w:line="240" w:lineRule="auto"/>
              <w:jc w:val="center"/>
              <w:rPr>
                <w:rFonts w:ascii="Times New Roman" w:hAnsi="Times New Roman"/>
                <w:sz w:val="24"/>
                <w:szCs w:val="24"/>
                <w:lang w:val="sk-SK" w:eastAsia="sk-SK"/>
              </w:rPr>
            </w:pPr>
          </w:p>
        </w:tc>
        <w:tc>
          <w:tcPr>
            <w:tcW w:w="1540" w:type="dxa"/>
            <w:tcBorders>
              <w:top w:val="nil"/>
              <w:left w:val="nil"/>
              <w:bottom w:val="single" w:sz="4" w:space="0" w:color="auto"/>
              <w:right w:val="single" w:sz="4" w:space="0" w:color="auto"/>
            </w:tcBorders>
            <w:textDirection w:val="lrTb"/>
            <w:vAlign w:val="top"/>
          </w:tcPr>
          <w:p w:rsidR="002151F6" w:rsidRPr="004A6AFD" w:rsidP="00501AD0">
            <w:pPr>
              <w:bidi w:val="0"/>
              <w:spacing w:after="0" w:line="240" w:lineRule="auto"/>
              <w:jc w:val="center"/>
              <w:rPr>
                <w:rFonts w:ascii="Times New Roman" w:hAnsi="Times New Roman"/>
                <w:sz w:val="24"/>
                <w:szCs w:val="24"/>
                <w:lang w:val="sk-SK" w:eastAsia="sk-SK"/>
              </w:rPr>
            </w:pPr>
          </w:p>
        </w:tc>
        <w:tc>
          <w:tcPr>
            <w:tcW w:w="1540" w:type="dxa"/>
            <w:tcBorders>
              <w:top w:val="nil"/>
              <w:left w:val="nil"/>
              <w:bottom w:val="single" w:sz="4" w:space="0" w:color="auto"/>
              <w:right w:val="single" w:sz="4" w:space="0" w:color="auto"/>
            </w:tcBorders>
            <w:textDirection w:val="lrTb"/>
            <w:vAlign w:val="top"/>
          </w:tcPr>
          <w:p w:rsidR="002151F6" w:rsidRPr="004A6AFD" w:rsidP="00501AD0">
            <w:pPr>
              <w:bidi w:val="0"/>
              <w:spacing w:after="0" w:line="240" w:lineRule="auto"/>
              <w:jc w:val="center"/>
              <w:rPr>
                <w:rFonts w:ascii="Times New Roman" w:hAnsi="Times New Roman"/>
                <w:sz w:val="24"/>
                <w:szCs w:val="24"/>
                <w:lang w:val="sk-SK" w:eastAsia="sk-SK"/>
              </w:rPr>
            </w:pPr>
          </w:p>
        </w:tc>
        <w:tc>
          <w:tcPr>
            <w:tcW w:w="1540" w:type="dxa"/>
            <w:tcBorders>
              <w:top w:val="nil"/>
              <w:left w:val="nil"/>
              <w:bottom w:val="single" w:sz="4" w:space="0" w:color="auto"/>
              <w:right w:val="single" w:sz="4" w:space="0" w:color="auto"/>
            </w:tcBorders>
            <w:textDirection w:val="lrTb"/>
            <w:vAlign w:val="top"/>
          </w:tcPr>
          <w:p w:rsidR="002151F6" w:rsidRPr="004A6AFD" w:rsidP="00501AD0">
            <w:pPr>
              <w:bidi w:val="0"/>
              <w:spacing w:after="0" w:line="240" w:lineRule="auto"/>
              <w:jc w:val="center"/>
              <w:rPr>
                <w:rFonts w:ascii="Times New Roman" w:hAnsi="Times New Roman"/>
                <w:sz w:val="24"/>
                <w:szCs w:val="24"/>
                <w:lang w:val="sk-SK" w:eastAsia="sk-SK"/>
              </w:rPr>
            </w:pPr>
          </w:p>
        </w:tc>
        <w:tc>
          <w:tcPr>
            <w:tcW w:w="2220" w:type="dxa"/>
            <w:tcBorders>
              <w:top w:val="nil"/>
              <w:left w:val="nil"/>
              <w:bottom w:val="single" w:sz="4" w:space="0" w:color="auto"/>
              <w:right w:val="single" w:sz="4" w:space="0" w:color="auto"/>
            </w:tcBorders>
            <w:noWrap/>
            <w:textDirection w:val="lrTb"/>
            <w:vAlign w:val="bottom"/>
          </w:tcPr>
          <w:p w:rsidR="002151F6" w:rsidRPr="004A6AFD" w:rsidP="00501AD0">
            <w:pPr>
              <w:bidi w:val="0"/>
              <w:spacing w:after="0" w:line="240" w:lineRule="auto"/>
              <w:rPr>
                <w:rFonts w:ascii="Times New Roman" w:hAnsi="Times New Roman"/>
                <w:sz w:val="24"/>
                <w:szCs w:val="24"/>
                <w:lang w:val="sk-SK" w:eastAsia="sk-SK"/>
              </w:rPr>
            </w:pPr>
            <w:r w:rsidRPr="004A6AFD">
              <w:rPr>
                <w:rFonts w:ascii="Times New Roman" w:hAnsi="Times New Roman"/>
                <w:sz w:val="24"/>
                <w:szCs w:val="24"/>
                <w:lang w:val="sk-SK"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151F6" w:rsidRPr="004A6AFD" w:rsidP="00501AD0">
            <w:pPr>
              <w:bidi w:val="0"/>
              <w:spacing w:after="0" w:line="240" w:lineRule="auto"/>
              <w:rPr>
                <w:rFonts w:ascii="Times New Roman" w:hAnsi="Times New Roman"/>
                <w:sz w:val="24"/>
                <w:szCs w:val="24"/>
                <w:vertAlign w:val="superscript"/>
                <w:lang w:val="sk-SK" w:eastAsia="sk-SK"/>
              </w:rPr>
            </w:pPr>
            <w:r w:rsidRPr="004A6AFD">
              <w:rPr>
                <w:rFonts w:ascii="Times New Roman" w:hAnsi="Times New Roman"/>
                <w:sz w:val="24"/>
                <w:szCs w:val="24"/>
                <w:lang w:val="sk-SK" w:eastAsia="sk-SK"/>
              </w:rPr>
              <w:t xml:space="preserve">  Tovary a služby (630)</w:t>
            </w:r>
            <w:r w:rsidRPr="004A6AFD">
              <w:rPr>
                <w:rFonts w:ascii="Times New Roman" w:hAnsi="Times New Roman"/>
                <w:sz w:val="24"/>
                <w:szCs w:val="24"/>
                <w:vertAlign w:val="superscript"/>
                <w:lang w:val="sk-SK" w:eastAsia="sk-SK"/>
              </w:rPr>
              <w:t>2</w:t>
            </w:r>
          </w:p>
        </w:tc>
        <w:tc>
          <w:tcPr>
            <w:tcW w:w="1540" w:type="dxa"/>
            <w:tcBorders>
              <w:top w:val="nil"/>
              <w:left w:val="nil"/>
              <w:bottom w:val="single" w:sz="4" w:space="0" w:color="auto"/>
              <w:right w:val="single" w:sz="4" w:space="0" w:color="auto"/>
            </w:tcBorders>
            <w:textDirection w:val="lrTb"/>
            <w:vAlign w:val="top"/>
          </w:tcPr>
          <w:p w:rsidR="00DB0ADF" w:rsidP="00501AD0">
            <w:pPr>
              <w:bidi w:val="0"/>
              <w:spacing w:after="0" w:line="240" w:lineRule="auto"/>
              <w:jc w:val="center"/>
              <w:rPr>
                <w:rFonts w:ascii="Times New Roman" w:hAnsi="Times New Roman"/>
                <w:sz w:val="24"/>
                <w:szCs w:val="24"/>
                <w:lang w:val="sk-SK" w:eastAsia="sk-SK"/>
              </w:rPr>
            </w:pPr>
            <w:r w:rsidRPr="004A6AFD" w:rsidR="002151F6">
              <w:rPr>
                <w:rFonts w:ascii="Times New Roman" w:hAnsi="Times New Roman"/>
                <w:sz w:val="24"/>
                <w:szCs w:val="24"/>
                <w:lang w:val="sk-SK" w:eastAsia="sk-SK"/>
              </w:rPr>
              <w:t>50 000</w:t>
            </w:r>
          </w:p>
          <w:p w:rsidR="00DB0ADF" w:rsidRPr="00DB0ADF" w:rsidP="00DB0ADF">
            <w:pPr>
              <w:bidi w:val="0"/>
              <w:rPr>
                <w:rFonts w:ascii="Times New Roman" w:hAnsi="Times New Roman"/>
                <w:sz w:val="24"/>
                <w:szCs w:val="24"/>
                <w:lang w:val="sk-SK" w:eastAsia="sk-SK"/>
              </w:rPr>
            </w:pPr>
          </w:p>
          <w:p w:rsidR="00DB0ADF" w:rsidRPr="00DB0ADF" w:rsidP="00DB0ADF">
            <w:pPr>
              <w:bidi w:val="0"/>
              <w:rPr>
                <w:rFonts w:ascii="Times New Roman" w:hAnsi="Times New Roman"/>
                <w:sz w:val="24"/>
                <w:szCs w:val="24"/>
                <w:lang w:val="sk-SK" w:eastAsia="sk-SK"/>
              </w:rPr>
            </w:pPr>
          </w:p>
          <w:p w:rsidR="00DB0ADF" w:rsidRPr="00DB0ADF" w:rsidP="00DB0ADF">
            <w:pPr>
              <w:bidi w:val="0"/>
              <w:rPr>
                <w:rFonts w:ascii="Times New Roman" w:hAnsi="Times New Roman"/>
                <w:sz w:val="24"/>
                <w:szCs w:val="24"/>
                <w:lang w:val="sk-SK" w:eastAsia="sk-SK"/>
              </w:rPr>
            </w:pPr>
          </w:p>
          <w:p w:rsidR="00DB0ADF" w:rsidRPr="00DB0ADF" w:rsidP="00DB0ADF">
            <w:pPr>
              <w:bidi w:val="0"/>
              <w:rPr>
                <w:rFonts w:ascii="Times New Roman" w:hAnsi="Times New Roman"/>
                <w:sz w:val="24"/>
                <w:szCs w:val="24"/>
                <w:lang w:val="sk-SK" w:eastAsia="sk-SK"/>
              </w:rPr>
            </w:pPr>
          </w:p>
          <w:p w:rsidR="002151F6" w:rsidRPr="00DB0ADF" w:rsidP="00DB0ADF">
            <w:pPr>
              <w:bidi w:val="0"/>
              <w:jc w:val="center"/>
              <w:rPr>
                <w:rFonts w:ascii="Times New Roman" w:hAnsi="Times New Roman"/>
                <w:sz w:val="24"/>
                <w:szCs w:val="24"/>
                <w:lang w:val="sk-SK" w:eastAsia="sk-SK"/>
              </w:rPr>
            </w:pPr>
          </w:p>
        </w:tc>
        <w:tc>
          <w:tcPr>
            <w:tcW w:w="1540" w:type="dxa"/>
            <w:tcBorders>
              <w:top w:val="nil"/>
              <w:left w:val="nil"/>
              <w:bottom w:val="single" w:sz="4" w:space="0" w:color="auto"/>
              <w:right w:val="single" w:sz="4" w:space="0" w:color="auto"/>
            </w:tcBorders>
            <w:textDirection w:val="lrTb"/>
            <w:vAlign w:val="top"/>
          </w:tcPr>
          <w:p w:rsidR="002151F6" w:rsidRPr="004A6AFD" w:rsidP="00501AD0">
            <w:pPr>
              <w:bidi w:val="0"/>
              <w:spacing w:after="0" w:line="240" w:lineRule="auto"/>
              <w:jc w:val="center"/>
              <w:rPr>
                <w:rFonts w:ascii="Times New Roman" w:hAnsi="Times New Roman"/>
                <w:sz w:val="24"/>
                <w:szCs w:val="24"/>
                <w:lang w:val="sk-SK" w:eastAsia="sk-SK"/>
              </w:rPr>
            </w:pPr>
          </w:p>
        </w:tc>
        <w:tc>
          <w:tcPr>
            <w:tcW w:w="1540" w:type="dxa"/>
            <w:tcBorders>
              <w:top w:val="nil"/>
              <w:left w:val="nil"/>
              <w:bottom w:val="single" w:sz="4" w:space="0" w:color="auto"/>
              <w:right w:val="single" w:sz="4" w:space="0" w:color="auto"/>
            </w:tcBorders>
            <w:textDirection w:val="lrTb"/>
            <w:vAlign w:val="top"/>
          </w:tcPr>
          <w:p w:rsidR="002151F6" w:rsidRPr="004A6AFD" w:rsidP="00501AD0">
            <w:pPr>
              <w:bidi w:val="0"/>
              <w:spacing w:after="0" w:line="240" w:lineRule="auto"/>
              <w:jc w:val="center"/>
              <w:rPr>
                <w:rFonts w:ascii="Times New Roman" w:hAnsi="Times New Roman"/>
                <w:sz w:val="24"/>
                <w:szCs w:val="24"/>
                <w:lang w:val="sk-SK" w:eastAsia="sk-SK"/>
              </w:rPr>
            </w:pPr>
          </w:p>
        </w:tc>
        <w:tc>
          <w:tcPr>
            <w:tcW w:w="1540" w:type="dxa"/>
            <w:tcBorders>
              <w:top w:val="nil"/>
              <w:left w:val="nil"/>
              <w:bottom w:val="single" w:sz="4" w:space="0" w:color="auto"/>
              <w:right w:val="single" w:sz="4" w:space="0" w:color="auto"/>
            </w:tcBorders>
            <w:textDirection w:val="lrTb"/>
            <w:vAlign w:val="top"/>
          </w:tcPr>
          <w:p w:rsidR="002151F6" w:rsidRPr="004A6AFD" w:rsidP="00501AD0">
            <w:pPr>
              <w:bidi w:val="0"/>
              <w:spacing w:after="0" w:line="240" w:lineRule="auto"/>
              <w:jc w:val="center"/>
              <w:rPr>
                <w:rFonts w:ascii="Times New Roman" w:hAnsi="Times New Roman"/>
                <w:sz w:val="24"/>
                <w:szCs w:val="24"/>
                <w:lang w:val="sk-SK" w:eastAsia="sk-SK"/>
              </w:rPr>
            </w:pPr>
          </w:p>
        </w:tc>
        <w:tc>
          <w:tcPr>
            <w:tcW w:w="2220" w:type="dxa"/>
            <w:tcBorders>
              <w:top w:val="nil"/>
              <w:left w:val="nil"/>
              <w:bottom w:val="single" w:sz="4" w:space="0" w:color="auto"/>
              <w:right w:val="single" w:sz="4" w:space="0" w:color="auto"/>
            </w:tcBorders>
            <w:noWrap/>
            <w:textDirection w:val="lrTb"/>
            <w:vAlign w:val="bottom"/>
          </w:tcPr>
          <w:p w:rsidR="002151F6" w:rsidRPr="004A6AFD" w:rsidP="00CD128E">
            <w:pPr>
              <w:bidi w:val="0"/>
              <w:spacing w:after="0" w:line="240" w:lineRule="auto"/>
              <w:jc w:val="both"/>
              <w:rPr>
                <w:rFonts w:ascii="Times New Roman" w:hAnsi="Times New Roman"/>
                <w:sz w:val="24"/>
                <w:szCs w:val="24"/>
                <w:lang w:val="sk-SK" w:eastAsia="sk-SK"/>
              </w:rPr>
            </w:pPr>
            <w:r w:rsidRPr="004A6AFD">
              <w:rPr>
                <w:rFonts w:ascii="Times New Roman" w:hAnsi="Times New Roman"/>
                <w:sz w:val="24"/>
                <w:szCs w:val="24"/>
                <w:lang w:val="sk-SK" w:eastAsia="sk-SK"/>
              </w:rPr>
              <w:t>Krytie bežných výdavkov prostredníctvom zmluvy medzi MF SR a Slovenskou poštou, a.s. o poskytovaní služby vedenia centrálnej evidencie, zúčtovania a vrátenia poplatkov a  prevádzkovania centrálneho systému  pre službu evidencie, zúčtovania a vrátenia poplatkov (e-Kolok)*</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151F6" w:rsidRPr="004A6AFD" w:rsidP="00501AD0">
            <w:pPr>
              <w:bidi w:val="0"/>
              <w:spacing w:after="0" w:line="240" w:lineRule="auto"/>
              <w:rPr>
                <w:rFonts w:ascii="Times New Roman" w:hAnsi="Times New Roman"/>
                <w:sz w:val="24"/>
                <w:szCs w:val="24"/>
                <w:lang w:val="sk-SK" w:eastAsia="sk-SK"/>
              </w:rPr>
            </w:pPr>
            <w:r w:rsidRPr="004A6AFD">
              <w:rPr>
                <w:rFonts w:ascii="Times New Roman" w:hAnsi="Times New Roman"/>
                <w:sz w:val="24"/>
                <w:szCs w:val="24"/>
                <w:lang w:val="sk-SK" w:eastAsia="sk-SK"/>
              </w:rPr>
              <w:t xml:space="preserve">  Bežné transfery (640)</w:t>
            </w:r>
            <w:r w:rsidRPr="004A6AFD">
              <w:rPr>
                <w:rFonts w:ascii="Times New Roman" w:hAnsi="Times New Roman"/>
                <w:sz w:val="24"/>
                <w:szCs w:val="24"/>
                <w:vertAlign w:val="superscript"/>
                <w:lang w:val="sk-SK" w:eastAsia="sk-SK"/>
              </w:rPr>
              <w:t>2</w:t>
            </w:r>
          </w:p>
        </w:tc>
        <w:tc>
          <w:tcPr>
            <w:tcW w:w="1540" w:type="dxa"/>
            <w:tcBorders>
              <w:top w:val="nil"/>
              <w:left w:val="nil"/>
              <w:bottom w:val="single" w:sz="4" w:space="0" w:color="auto"/>
              <w:right w:val="single" w:sz="4" w:space="0" w:color="auto"/>
            </w:tcBorders>
            <w:textDirection w:val="lrTb"/>
            <w:vAlign w:val="top"/>
          </w:tcPr>
          <w:p w:rsidR="002151F6" w:rsidRPr="004A6AFD" w:rsidP="00501AD0">
            <w:pPr>
              <w:bidi w:val="0"/>
              <w:spacing w:after="0" w:line="240" w:lineRule="auto"/>
              <w:jc w:val="center"/>
              <w:rPr>
                <w:rFonts w:ascii="Times New Roman" w:hAnsi="Times New Roman"/>
                <w:sz w:val="24"/>
                <w:szCs w:val="24"/>
                <w:lang w:val="sk-SK" w:eastAsia="sk-SK"/>
              </w:rPr>
            </w:pPr>
          </w:p>
        </w:tc>
        <w:tc>
          <w:tcPr>
            <w:tcW w:w="1540" w:type="dxa"/>
            <w:tcBorders>
              <w:top w:val="nil"/>
              <w:left w:val="nil"/>
              <w:bottom w:val="single" w:sz="4" w:space="0" w:color="auto"/>
              <w:right w:val="single" w:sz="4" w:space="0" w:color="auto"/>
            </w:tcBorders>
            <w:textDirection w:val="lrTb"/>
            <w:vAlign w:val="top"/>
          </w:tcPr>
          <w:p w:rsidR="002151F6" w:rsidRPr="004A6AFD" w:rsidP="00501AD0">
            <w:pPr>
              <w:bidi w:val="0"/>
              <w:spacing w:after="0" w:line="240" w:lineRule="auto"/>
              <w:jc w:val="center"/>
              <w:rPr>
                <w:rFonts w:ascii="Times New Roman" w:hAnsi="Times New Roman"/>
                <w:sz w:val="24"/>
                <w:szCs w:val="24"/>
                <w:lang w:val="sk-SK" w:eastAsia="sk-SK"/>
              </w:rPr>
            </w:pPr>
          </w:p>
        </w:tc>
        <w:tc>
          <w:tcPr>
            <w:tcW w:w="1540" w:type="dxa"/>
            <w:tcBorders>
              <w:top w:val="nil"/>
              <w:left w:val="nil"/>
              <w:bottom w:val="single" w:sz="4" w:space="0" w:color="auto"/>
              <w:right w:val="single" w:sz="4" w:space="0" w:color="auto"/>
            </w:tcBorders>
            <w:textDirection w:val="lrTb"/>
            <w:vAlign w:val="top"/>
          </w:tcPr>
          <w:p w:rsidR="002151F6" w:rsidRPr="004A6AFD" w:rsidP="00501AD0">
            <w:pPr>
              <w:bidi w:val="0"/>
              <w:spacing w:after="0" w:line="240" w:lineRule="auto"/>
              <w:jc w:val="center"/>
              <w:rPr>
                <w:rFonts w:ascii="Times New Roman" w:hAnsi="Times New Roman"/>
                <w:sz w:val="24"/>
                <w:szCs w:val="24"/>
                <w:lang w:val="sk-SK" w:eastAsia="sk-SK"/>
              </w:rPr>
            </w:pPr>
          </w:p>
        </w:tc>
        <w:tc>
          <w:tcPr>
            <w:tcW w:w="1540" w:type="dxa"/>
            <w:tcBorders>
              <w:top w:val="nil"/>
              <w:left w:val="nil"/>
              <w:bottom w:val="single" w:sz="4" w:space="0" w:color="auto"/>
              <w:right w:val="single" w:sz="4" w:space="0" w:color="auto"/>
            </w:tcBorders>
            <w:textDirection w:val="lrTb"/>
            <w:vAlign w:val="top"/>
          </w:tcPr>
          <w:p w:rsidR="002151F6" w:rsidRPr="004A6AFD" w:rsidP="00501AD0">
            <w:pPr>
              <w:bidi w:val="0"/>
              <w:spacing w:after="0" w:line="240" w:lineRule="auto"/>
              <w:jc w:val="center"/>
              <w:rPr>
                <w:rFonts w:ascii="Times New Roman" w:hAnsi="Times New Roman"/>
                <w:sz w:val="24"/>
                <w:szCs w:val="24"/>
                <w:lang w:val="sk-SK" w:eastAsia="sk-SK"/>
              </w:rPr>
            </w:pPr>
          </w:p>
        </w:tc>
        <w:tc>
          <w:tcPr>
            <w:tcW w:w="2220" w:type="dxa"/>
            <w:tcBorders>
              <w:top w:val="nil"/>
              <w:left w:val="nil"/>
              <w:bottom w:val="single" w:sz="4" w:space="0" w:color="auto"/>
              <w:right w:val="single" w:sz="4" w:space="0" w:color="auto"/>
            </w:tcBorders>
            <w:noWrap/>
            <w:textDirection w:val="lrTb"/>
            <w:vAlign w:val="bottom"/>
          </w:tcPr>
          <w:p w:rsidR="002151F6" w:rsidRPr="004A6AFD" w:rsidP="00501AD0">
            <w:pPr>
              <w:bidi w:val="0"/>
              <w:spacing w:after="0" w:line="240" w:lineRule="auto"/>
              <w:rPr>
                <w:rFonts w:ascii="Times New Roman" w:hAnsi="Times New Roman"/>
                <w:sz w:val="24"/>
                <w:szCs w:val="24"/>
                <w:lang w:val="sk-SK" w:eastAsia="sk-SK"/>
              </w:rPr>
            </w:pPr>
            <w:r w:rsidRPr="004A6AFD">
              <w:rPr>
                <w:rFonts w:ascii="Times New Roman" w:hAnsi="Times New Roman"/>
                <w:sz w:val="24"/>
                <w:szCs w:val="24"/>
                <w:lang w:val="sk-SK"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2151F6" w:rsidRPr="004A6AFD" w:rsidP="00501AD0">
            <w:pPr>
              <w:bidi w:val="0"/>
              <w:spacing w:after="0" w:line="240" w:lineRule="auto"/>
              <w:rPr>
                <w:rFonts w:ascii="Times New Roman" w:hAnsi="Times New Roman"/>
                <w:sz w:val="24"/>
                <w:szCs w:val="24"/>
                <w:lang w:val="sk-SK" w:eastAsia="sk-SK"/>
              </w:rPr>
            </w:pPr>
            <w:r w:rsidRPr="004A6AFD">
              <w:rPr>
                <w:rFonts w:ascii="Times New Roman" w:hAnsi="Times New Roman"/>
                <w:sz w:val="24"/>
                <w:szCs w:val="24"/>
                <w:lang w:val="sk-SK" w:eastAsia="sk-SK"/>
              </w:rPr>
              <w:t xml:space="preserve">  Splácanie úrokov a ostatné platby súvisiace s </w:t>
            </w:r>
            <w:r w:rsidRPr="004A6AFD">
              <w:rPr>
                <w:rFonts w:ascii="Times New Roman" w:hAnsi="Times New Roman"/>
                <w:sz w:val="24"/>
                <w:szCs w:val="24"/>
                <w:lang w:val="sk-SK"/>
              </w:rPr>
              <w:t xml:space="preserve"> </w:t>
            </w:r>
            <w:r w:rsidRPr="004A6AFD">
              <w:rPr>
                <w:rFonts w:ascii="Times New Roman" w:hAnsi="Times New Roman"/>
                <w:sz w:val="24"/>
                <w:szCs w:val="24"/>
                <w:lang w:val="sk-SK" w:eastAsia="sk-SK"/>
              </w:rPr>
              <w:t>úverom, pôžičkou, návratnou finančnou výpomocou a finančným prenájmom (650)</w:t>
            </w:r>
            <w:r w:rsidRPr="004A6AFD">
              <w:rPr>
                <w:rFonts w:ascii="Times New Roman" w:hAnsi="Times New Roman"/>
                <w:sz w:val="24"/>
                <w:szCs w:val="24"/>
                <w:vertAlign w:val="superscript"/>
                <w:lang w:val="sk-SK" w:eastAsia="sk-SK"/>
              </w:rPr>
              <w:t>2</w:t>
            </w:r>
          </w:p>
        </w:tc>
        <w:tc>
          <w:tcPr>
            <w:tcW w:w="1540" w:type="dxa"/>
            <w:tcBorders>
              <w:top w:val="nil"/>
              <w:left w:val="nil"/>
              <w:bottom w:val="single" w:sz="4" w:space="0" w:color="auto"/>
              <w:right w:val="single" w:sz="4" w:space="0" w:color="auto"/>
            </w:tcBorders>
            <w:textDirection w:val="lrTb"/>
            <w:vAlign w:val="top"/>
          </w:tcPr>
          <w:p w:rsidR="002151F6" w:rsidRPr="004A6AFD" w:rsidP="00501AD0">
            <w:pPr>
              <w:bidi w:val="0"/>
              <w:spacing w:after="0" w:line="240" w:lineRule="auto"/>
              <w:jc w:val="center"/>
              <w:rPr>
                <w:rFonts w:ascii="Times New Roman" w:hAnsi="Times New Roman"/>
                <w:sz w:val="24"/>
                <w:szCs w:val="24"/>
                <w:lang w:val="sk-SK" w:eastAsia="sk-SK"/>
              </w:rPr>
            </w:pPr>
          </w:p>
        </w:tc>
        <w:tc>
          <w:tcPr>
            <w:tcW w:w="1540" w:type="dxa"/>
            <w:tcBorders>
              <w:top w:val="nil"/>
              <w:left w:val="nil"/>
              <w:bottom w:val="single" w:sz="4" w:space="0" w:color="auto"/>
              <w:right w:val="single" w:sz="4" w:space="0" w:color="auto"/>
            </w:tcBorders>
            <w:textDirection w:val="lrTb"/>
            <w:vAlign w:val="top"/>
          </w:tcPr>
          <w:p w:rsidR="002151F6" w:rsidRPr="004A6AFD" w:rsidP="00501AD0">
            <w:pPr>
              <w:bidi w:val="0"/>
              <w:spacing w:after="0" w:line="240" w:lineRule="auto"/>
              <w:jc w:val="center"/>
              <w:rPr>
                <w:rFonts w:ascii="Times New Roman" w:hAnsi="Times New Roman"/>
                <w:sz w:val="24"/>
                <w:szCs w:val="24"/>
                <w:lang w:val="sk-SK" w:eastAsia="sk-SK"/>
              </w:rPr>
            </w:pPr>
          </w:p>
        </w:tc>
        <w:tc>
          <w:tcPr>
            <w:tcW w:w="1540" w:type="dxa"/>
            <w:tcBorders>
              <w:top w:val="nil"/>
              <w:left w:val="nil"/>
              <w:bottom w:val="single" w:sz="4" w:space="0" w:color="auto"/>
              <w:right w:val="single" w:sz="4" w:space="0" w:color="auto"/>
            </w:tcBorders>
            <w:textDirection w:val="lrTb"/>
            <w:vAlign w:val="top"/>
          </w:tcPr>
          <w:p w:rsidR="002151F6" w:rsidRPr="004A6AFD" w:rsidP="00501AD0">
            <w:pPr>
              <w:bidi w:val="0"/>
              <w:spacing w:after="0" w:line="240" w:lineRule="auto"/>
              <w:jc w:val="center"/>
              <w:rPr>
                <w:rFonts w:ascii="Times New Roman" w:hAnsi="Times New Roman"/>
                <w:sz w:val="24"/>
                <w:szCs w:val="24"/>
                <w:lang w:val="sk-SK" w:eastAsia="sk-SK"/>
              </w:rPr>
            </w:pPr>
          </w:p>
        </w:tc>
        <w:tc>
          <w:tcPr>
            <w:tcW w:w="1540" w:type="dxa"/>
            <w:tcBorders>
              <w:top w:val="nil"/>
              <w:left w:val="nil"/>
              <w:bottom w:val="single" w:sz="4" w:space="0" w:color="auto"/>
              <w:right w:val="single" w:sz="4" w:space="0" w:color="auto"/>
            </w:tcBorders>
            <w:textDirection w:val="lrTb"/>
            <w:vAlign w:val="top"/>
          </w:tcPr>
          <w:p w:rsidR="002151F6" w:rsidRPr="004A6AFD" w:rsidP="00501AD0">
            <w:pPr>
              <w:bidi w:val="0"/>
              <w:spacing w:after="0" w:line="240" w:lineRule="auto"/>
              <w:jc w:val="center"/>
              <w:rPr>
                <w:rFonts w:ascii="Times New Roman" w:hAnsi="Times New Roman"/>
                <w:sz w:val="24"/>
                <w:szCs w:val="24"/>
                <w:lang w:val="sk-SK" w:eastAsia="sk-SK"/>
              </w:rPr>
            </w:pPr>
          </w:p>
        </w:tc>
        <w:tc>
          <w:tcPr>
            <w:tcW w:w="2220" w:type="dxa"/>
            <w:tcBorders>
              <w:top w:val="nil"/>
              <w:left w:val="nil"/>
              <w:bottom w:val="single" w:sz="4" w:space="0" w:color="auto"/>
              <w:right w:val="single" w:sz="4" w:space="0" w:color="auto"/>
            </w:tcBorders>
            <w:noWrap/>
            <w:textDirection w:val="lrTb"/>
            <w:vAlign w:val="bottom"/>
          </w:tcPr>
          <w:p w:rsidR="002151F6" w:rsidRPr="004A6AFD" w:rsidP="00501AD0">
            <w:pPr>
              <w:bidi w:val="0"/>
              <w:spacing w:after="0" w:line="240" w:lineRule="auto"/>
              <w:rPr>
                <w:rFonts w:ascii="Times New Roman" w:hAnsi="Times New Roman"/>
                <w:sz w:val="24"/>
                <w:szCs w:val="24"/>
                <w:lang w:val="sk-SK"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151F6" w:rsidRPr="004A6AFD" w:rsidP="00501AD0">
            <w:pPr>
              <w:bidi w:val="0"/>
              <w:spacing w:after="0" w:line="240" w:lineRule="auto"/>
              <w:rPr>
                <w:rFonts w:ascii="Times New Roman" w:hAnsi="Times New Roman"/>
                <w:b/>
                <w:bCs/>
                <w:sz w:val="24"/>
                <w:szCs w:val="24"/>
                <w:lang w:val="sk-SK" w:eastAsia="sk-SK"/>
              </w:rPr>
            </w:pPr>
            <w:r w:rsidRPr="004A6AFD">
              <w:rPr>
                <w:rFonts w:ascii="Times New Roman" w:hAnsi="Times New Roman"/>
                <w:b/>
                <w:bCs/>
                <w:sz w:val="24"/>
                <w:szCs w:val="24"/>
                <w:lang w:val="sk-SK" w:eastAsia="sk-SK"/>
              </w:rPr>
              <w:t>Kapitálové výdavky (700)</w:t>
            </w:r>
          </w:p>
        </w:tc>
        <w:tc>
          <w:tcPr>
            <w:tcW w:w="1540" w:type="dxa"/>
            <w:tcBorders>
              <w:top w:val="nil"/>
              <w:left w:val="nil"/>
              <w:bottom w:val="single" w:sz="4" w:space="0" w:color="auto"/>
              <w:right w:val="single" w:sz="4" w:space="0" w:color="auto"/>
            </w:tcBorders>
            <w:textDirection w:val="lrTb"/>
            <w:vAlign w:val="top"/>
          </w:tcPr>
          <w:p w:rsidR="002151F6" w:rsidRPr="004A6AFD" w:rsidP="00501AD0">
            <w:pPr>
              <w:bidi w:val="0"/>
              <w:spacing w:after="0" w:line="240" w:lineRule="auto"/>
              <w:jc w:val="center"/>
              <w:rPr>
                <w:rFonts w:ascii="Times New Roman" w:hAnsi="Times New Roman"/>
                <w:b/>
                <w:bCs/>
                <w:sz w:val="24"/>
                <w:szCs w:val="24"/>
                <w:lang w:val="sk-SK" w:eastAsia="sk-SK"/>
              </w:rPr>
            </w:pPr>
          </w:p>
        </w:tc>
        <w:tc>
          <w:tcPr>
            <w:tcW w:w="1540" w:type="dxa"/>
            <w:tcBorders>
              <w:top w:val="nil"/>
              <w:left w:val="nil"/>
              <w:bottom w:val="single" w:sz="4" w:space="0" w:color="auto"/>
              <w:right w:val="single" w:sz="4" w:space="0" w:color="auto"/>
            </w:tcBorders>
            <w:textDirection w:val="lrTb"/>
            <w:vAlign w:val="top"/>
          </w:tcPr>
          <w:p w:rsidR="002151F6" w:rsidRPr="004A6AFD" w:rsidP="00501AD0">
            <w:pPr>
              <w:bidi w:val="0"/>
              <w:spacing w:after="0" w:line="240" w:lineRule="auto"/>
              <w:jc w:val="center"/>
              <w:rPr>
                <w:rFonts w:ascii="Times New Roman" w:hAnsi="Times New Roman"/>
                <w:b/>
                <w:bCs/>
                <w:sz w:val="24"/>
                <w:szCs w:val="24"/>
                <w:lang w:val="sk-SK" w:eastAsia="sk-SK"/>
              </w:rPr>
            </w:pPr>
          </w:p>
        </w:tc>
        <w:tc>
          <w:tcPr>
            <w:tcW w:w="1540" w:type="dxa"/>
            <w:tcBorders>
              <w:top w:val="nil"/>
              <w:left w:val="nil"/>
              <w:bottom w:val="single" w:sz="4" w:space="0" w:color="auto"/>
              <w:right w:val="single" w:sz="4" w:space="0" w:color="auto"/>
            </w:tcBorders>
            <w:textDirection w:val="lrTb"/>
            <w:vAlign w:val="top"/>
          </w:tcPr>
          <w:p w:rsidR="002151F6" w:rsidRPr="004A6AFD" w:rsidP="00501AD0">
            <w:pPr>
              <w:bidi w:val="0"/>
              <w:spacing w:after="0" w:line="240" w:lineRule="auto"/>
              <w:jc w:val="center"/>
              <w:rPr>
                <w:rFonts w:ascii="Times New Roman" w:hAnsi="Times New Roman"/>
                <w:b/>
                <w:bCs/>
                <w:sz w:val="24"/>
                <w:szCs w:val="24"/>
                <w:lang w:val="sk-SK" w:eastAsia="sk-SK"/>
              </w:rPr>
            </w:pPr>
          </w:p>
        </w:tc>
        <w:tc>
          <w:tcPr>
            <w:tcW w:w="1540" w:type="dxa"/>
            <w:tcBorders>
              <w:top w:val="nil"/>
              <w:left w:val="nil"/>
              <w:bottom w:val="single" w:sz="4" w:space="0" w:color="auto"/>
              <w:right w:val="single" w:sz="4" w:space="0" w:color="auto"/>
            </w:tcBorders>
            <w:textDirection w:val="lrTb"/>
            <w:vAlign w:val="top"/>
          </w:tcPr>
          <w:p w:rsidR="002151F6" w:rsidRPr="004A6AFD" w:rsidP="00501AD0">
            <w:pPr>
              <w:bidi w:val="0"/>
              <w:spacing w:after="0" w:line="240" w:lineRule="auto"/>
              <w:jc w:val="center"/>
              <w:rPr>
                <w:rFonts w:ascii="Times New Roman" w:hAnsi="Times New Roman"/>
                <w:b/>
                <w:bCs/>
                <w:sz w:val="24"/>
                <w:szCs w:val="24"/>
                <w:lang w:val="sk-SK" w:eastAsia="sk-SK"/>
              </w:rPr>
            </w:pPr>
          </w:p>
        </w:tc>
        <w:tc>
          <w:tcPr>
            <w:tcW w:w="2220" w:type="dxa"/>
            <w:tcBorders>
              <w:top w:val="nil"/>
              <w:left w:val="nil"/>
              <w:bottom w:val="single" w:sz="4" w:space="0" w:color="auto"/>
              <w:right w:val="single" w:sz="4" w:space="0" w:color="auto"/>
            </w:tcBorders>
            <w:noWrap/>
            <w:textDirection w:val="lrTb"/>
            <w:vAlign w:val="bottom"/>
          </w:tcPr>
          <w:p w:rsidR="002151F6" w:rsidRPr="004A6AFD" w:rsidP="00501AD0">
            <w:pPr>
              <w:bidi w:val="0"/>
              <w:spacing w:after="0" w:line="240" w:lineRule="auto"/>
              <w:rPr>
                <w:rFonts w:ascii="Times New Roman" w:hAnsi="Times New Roman"/>
                <w:sz w:val="24"/>
                <w:szCs w:val="24"/>
                <w:lang w:val="sk-SK" w:eastAsia="sk-SK"/>
              </w:rPr>
            </w:pPr>
            <w:r w:rsidRPr="004A6AFD">
              <w:rPr>
                <w:rFonts w:ascii="Times New Roman" w:hAnsi="Times New Roman"/>
                <w:sz w:val="24"/>
                <w:szCs w:val="24"/>
                <w:lang w:val="sk-SK"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151F6" w:rsidRPr="004A6AFD" w:rsidP="00501AD0">
            <w:pPr>
              <w:bidi w:val="0"/>
              <w:spacing w:after="0" w:line="240" w:lineRule="auto"/>
              <w:rPr>
                <w:rFonts w:ascii="Times New Roman" w:hAnsi="Times New Roman"/>
                <w:sz w:val="24"/>
                <w:szCs w:val="24"/>
                <w:lang w:val="sk-SK" w:eastAsia="sk-SK"/>
              </w:rPr>
            </w:pPr>
            <w:r w:rsidRPr="004A6AFD">
              <w:rPr>
                <w:rFonts w:ascii="Times New Roman" w:hAnsi="Times New Roman"/>
                <w:sz w:val="24"/>
                <w:szCs w:val="24"/>
                <w:lang w:val="sk-SK" w:eastAsia="sk-SK"/>
              </w:rPr>
              <w:t xml:space="preserve">  Obstarávanie kapitálových aktív (710)</w:t>
            </w:r>
            <w:r w:rsidRPr="004A6AFD">
              <w:rPr>
                <w:rFonts w:ascii="Times New Roman" w:hAnsi="Times New Roman"/>
                <w:sz w:val="24"/>
                <w:szCs w:val="24"/>
                <w:vertAlign w:val="superscript"/>
                <w:lang w:val="sk-SK" w:eastAsia="sk-SK"/>
              </w:rPr>
              <w:t>2</w:t>
            </w:r>
          </w:p>
        </w:tc>
        <w:tc>
          <w:tcPr>
            <w:tcW w:w="1540" w:type="dxa"/>
            <w:tcBorders>
              <w:top w:val="nil"/>
              <w:left w:val="nil"/>
              <w:bottom w:val="single" w:sz="4" w:space="0" w:color="auto"/>
              <w:right w:val="single" w:sz="4" w:space="0" w:color="auto"/>
            </w:tcBorders>
            <w:textDirection w:val="lrTb"/>
            <w:vAlign w:val="top"/>
          </w:tcPr>
          <w:p w:rsidR="002151F6" w:rsidRPr="004A6AFD" w:rsidP="00501AD0">
            <w:pPr>
              <w:bidi w:val="0"/>
              <w:spacing w:after="0" w:line="240" w:lineRule="auto"/>
              <w:jc w:val="center"/>
              <w:rPr>
                <w:rFonts w:ascii="Times New Roman" w:hAnsi="Times New Roman"/>
                <w:sz w:val="24"/>
                <w:szCs w:val="24"/>
                <w:lang w:val="sk-SK" w:eastAsia="sk-SK"/>
              </w:rPr>
            </w:pPr>
          </w:p>
        </w:tc>
        <w:tc>
          <w:tcPr>
            <w:tcW w:w="1540" w:type="dxa"/>
            <w:tcBorders>
              <w:top w:val="nil"/>
              <w:left w:val="nil"/>
              <w:bottom w:val="single" w:sz="4" w:space="0" w:color="auto"/>
              <w:right w:val="single" w:sz="4" w:space="0" w:color="auto"/>
            </w:tcBorders>
            <w:textDirection w:val="lrTb"/>
            <w:vAlign w:val="top"/>
          </w:tcPr>
          <w:p w:rsidR="002151F6" w:rsidRPr="004A6AFD" w:rsidP="00501AD0">
            <w:pPr>
              <w:bidi w:val="0"/>
              <w:spacing w:after="0" w:line="240" w:lineRule="auto"/>
              <w:jc w:val="center"/>
              <w:rPr>
                <w:rFonts w:ascii="Times New Roman" w:hAnsi="Times New Roman"/>
                <w:sz w:val="24"/>
                <w:szCs w:val="24"/>
                <w:lang w:val="sk-SK" w:eastAsia="sk-SK"/>
              </w:rPr>
            </w:pPr>
          </w:p>
        </w:tc>
        <w:tc>
          <w:tcPr>
            <w:tcW w:w="1540" w:type="dxa"/>
            <w:tcBorders>
              <w:top w:val="nil"/>
              <w:left w:val="nil"/>
              <w:bottom w:val="single" w:sz="4" w:space="0" w:color="auto"/>
              <w:right w:val="single" w:sz="4" w:space="0" w:color="auto"/>
            </w:tcBorders>
            <w:textDirection w:val="lrTb"/>
            <w:vAlign w:val="top"/>
          </w:tcPr>
          <w:p w:rsidR="002151F6" w:rsidRPr="004A6AFD" w:rsidP="00501AD0">
            <w:pPr>
              <w:bidi w:val="0"/>
              <w:spacing w:after="0" w:line="240" w:lineRule="auto"/>
              <w:jc w:val="center"/>
              <w:rPr>
                <w:rFonts w:ascii="Times New Roman" w:hAnsi="Times New Roman"/>
                <w:sz w:val="24"/>
                <w:szCs w:val="24"/>
                <w:lang w:val="sk-SK" w:eastAsia="sk-SK"/>
              </w:rPr>
            </w:pPr>
          </w:p>
        </w:tc>
        <w:tc>
          <w:tcPr>
            <w:tcW w:w="1540" w:type="dxa"/>
            <w:tcBorders>
              <w:top w:val="nil"/>
              <w:left w:val="nil"/>
              <w:bottom w:val="single" w:sz="4" w:space="0" w:color="auto"/>
              <w:right w:val="single" w:sz="4" w:space="0" w:color="auto"/>
            </w:tcBorders>
            <w:textDirection w:val="lrTb"/>
            <w:vAlign w:val="top"/>
          </w:tcPr>
          <w:p w:rsidR="002151F6" w:rsidRPr="004A6AFD" w:rsidP="00501AD0">
            <w:pPr>
              <w:bidi w:val="0"/>
              <w:spacing w:after="0" w:line="240" w:lineRule="auto"/>
              <w:jc w:val="center"/>
              <w:rPr>
                <w:rFonts w:ascii="Times New Roman" w:hAnsi="Times New Roman"/>
                <w:sz w:val="24"/>
                <w:szCs w:val="24"/>
                <w:lang w:val="sk-SK" w:eastAsia="sk-SK"/>
              </w:rPr>
            </w:pPr>
          </w:p>
        </w:tc>
        <w:tc>
          <w:tcPr>
            <w:tcW w:w="2220" w:type="dxa"/>
            <w:tcBorders>
              <w:top w:val="nil"/>
              <w:left w:val="nil"/>
              <w:bottom w:val="single" w:sz="4" w:space="0" w:color="auto"/>
              <w:right w:val="single" w:sz="4" w:space="0" w:color="auto"/>
            </w:tcBorders>
            <w:noWrap/>
            <w:textDirection w:val="lrTb"/>
            <w:vAlign w:val="bottom"/>
          </w:tcPr>
          <w:p w:rsidR="002151F6" w:rsidRPr="004A6AFD" w:rsidP="00501AD0">
            <w:pPr>
              <w:bidi w:val="0"/>
              <w:spacing w:after="0" w:line="240" w:lineRule="auto"/>
              <w:rPr>
                <w:rFonts w:ascii="Times New Roman" w:hAnsi="Times New Roman"/>
                <w:sz w:val="24"/>
                <w:szCs w:val="24"/>
                <w:lang w:val="sk-SK" w:eastAsia="sk-SK"/>
              </w:rPr>
            </w:pPr>
            <w:r w:rsidRPr="004A6AFD">
              <w:rPr>
                <w:rFonts w:ascii="Times New Roman" w:hAnsi="Times New Roman"/>
                <w:sz w:val="24"/>
                <w:szCs w:val="24"/>
                <w:lang w:val="sk-SK"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151F6" w:rsidRPr="004A6AFD" w:rsidP="00501AD0">
            <w:pPr>
              <w:bidi w:val="0"/>
              <w:spacing w:after="0" w:line="240" w:lineRule="auto"/>
              <w:rPr>
                <w:rFonts w:ascii="Times New Roman" w:hAnsi="Times New Roman"/>
                <w:sz w:val="24"/>
                <w:szCs w:val="24"/>
                <w:lang w:val="sk-SK" w:eastAsia="sk-SK"/>
              </w:rPr>
            </w:pPr>
            <w:r w:rsidRPr="004A6AFD">
              <w:rPr>
                <w:rFonts w:ascii="Times New Roman" w:hAnsi="Times New Roman"/>
                <w:sz w:val="24"/>
                <w:szCs w:val="24"/>
                <w:lang w:val="sk-SK" w:eastAsia="sk-SK"/>
              </w:rPr>
              <w:t xml:space="preserve">  Kapitálové transfery (720)</w:t>
            </w:r>
            <w:r w:rsidRPr="004A6AFD">
              <w:rPr>
                <w:rFonts w:ascii="Times New Roman" w:hAnsi="Times New Roman"/>
                <w:sz w:val="24"/>
                <w:szCs w:val="24"/>
                <w:vertAlign w:val="superscript"/>
                <w:lang w:val="sk-SK" w:eastAsia="sk-SK"/>
              </w:rPr>
              <w:t>2</w:t>
            </w:r>
          </w:p>
        </w:tc>
        <w:tc>
          <w:tcPr>
            <w:tcW w:w="1540" w:type="dxa"/>
            <w:tcBorders>
              <w:top w:val="nil"/>
              <w:left w:val="nil"/>
              <w:bottom w:val="single" w:sz="4" w:space="0" w:color="auto"/>
              <w:right w:val="single" w:sz="4" w:space="0" w:color="auto"/>
            </w:tcBorders>
            <w:textDirection w:val="lrTb"/>
            <w:vAlign w:val="top"/>
          </w:tcPr>
          <w:p w:rsidR="002151F6" w:rsidRPr="004A6AFD" w:rsidP="00501AD0">
            <w:pPr>
              <w:bidi w:val="0"/>
              <w:spacing w:after="0" w:line="240" w:lineRule="auto"/>
              <w:jc w:val="center"/>
              <w:rPr>
                <w:rFonts w:ascii="Times New Roman" w:hAnsi="Times New Roman"/>
                <w:sz w:val="24"/>
                <w:szCs w:val="24"/>
                <w:lang w:val="sk-SK" w:eastAsia="sk-SK"/>
              </w:rPr>
            </w:pPr>
            <w:r w:rsidRPr="004A6AFD">
              <w:rPr>
                <w:rFonts w:ascii="Times New Roman" w:hAnsi="Times New Roman"/>
                <w:sz w:val="24"/>
                <w:szCs w:val="24"/>
                <w:lang w:val="sk-SK" w:eastAsia="sk-SK"/>
              </w:rPr>
              <w:t>350 000</w:t>
            </w:r>
          </w:p>
        </w:tc>
        <w:tc>
          <w:tcPr>
            <w:tcW w:w="1540" w:type="dxa"/>
            <w:tcBorders>
              <w:top w:val="nil"/>
              <w:left w:val="nil"/>
              <w:bottom w:val="single" w:sz="4" w:space="0" w:color="auto"/>
              <w:right w:val="single" w:sz="4" w:space="0" w:color="auto"/>
            </w:tcBorders>
            <w:textDirection w:val="lrTb"/>
            <w:vAlign w:val="top"/>
          </w:tcPr>
          <w:p w:rsidR="002151F6" w:rsidRPr="004A6AFD" w:rsidP="00501AD0">
            <w:pPr>
              <w:bidi w:val="0"/>
              <w:spacing w:after="0" w:line="240" w:lineRule="auto"/>
              <w:jc w:val="center"/>
              <w:rPr>
                <w:rFonts w:ascii="Times New Roman" w:hAnsi="Times New Roman"/>
                <w:sz w:val="24"/>
                <w:szCs w:val="24"/>
                <w:lang w:val="sk-SK" w:eastAsia="sk-SK"/>
              </w:rPr>
            </w:pPr>
          </w:p>
        </w:tc>
        <w:tc>
          <w:tcPr>
            <w:tcW w:w="1540" w:type="dxa"/>
            <w:tcBorders>
              <w:top w:val="nil"/>
              <w:left w:val="nil"/>
              <w:bottom w:val="single" w:sz="4" w:space="0" w:color="auto"/>
              <w:right w:val="single" w:sz="4" w:space="0" w:color="auto"/>
            </w:tcBorders>
            <w:textDirection w:val="lrTb"/>
            <w:vAlign w:val="top"/>
          </w:tcPr>
          <w:p w:rsidR="002151F6" w:rsidRPr="004A6AFD" w:rsidP="00501AD0">
            <w:pPr>
              <w:bidi w:val="0"/>
              <w:spacing w:after="0" w:line="240" w:lineRule="auto"/>
              <w:jc w:val="center"/>
              <w:rPr>
                <w:rFonts w:ascii="Times New Roman" w:hAnsi="Times New Roman"/>
                <w:sz w:val="24"/>
                <w:szCs w:val="24"/>
                <w:lang w:val="sk-SK" w:eastAsia="sk-SK"/>
              </w:rPr>
            </w:pPr>
          </w:p>
        </w:tc>
        <w:tc>
          <w:tcPr>
            <w:tcW w:w="1540" w:type="dxa"/>
            <w:tcBorders>
              <w:top w:val="nil"/>
              <w:left w:val="nil"/>
              <w:bottom w:val="single" w:sz="4" w:space="0" w:color="auto"/>
              <w:right w:val="single" w:sz="4" w:space="0" w:color="auto"/>
            </w:tcBorders>
            <w:textDirection w:val="lrTb"/>
            <w:vAlign w:val="top"/>
          </w:tcPr>
          <w:p w:rsidR="002151F6" w:rsidRPr="004A6AFD" w:rsidP="00501AD0">
            <w:pPr>
              <w:bidi w:val="0"/>
              <w:spacing w:after="0" w:line="240" w:lineRule="auto"/>
              <w:jc w:val="center"/>
              <w:rPr>
                <w:rFonts w:ascii="Times New Roman" w:hAnsi="Times New Roman"/>
                <w:sz w:val="24"/>
                <w:szCs w:val="24"/>
                <w:lang w:val="sk-SK" w:eastAsia="sk-SK"/>
              </w:rPr>
            </w:pPr>
          </w:p>
        </w:tc>
        <w:tc>
          <w:tcPr>
            <w:tcW w:w="2220" w:type="dxa"/>
            <w:tcBorders>
              <w:top w:val="nil"/>
              <w:left w:val="nil"/>
              <w:bottom w:val="single" w:sz="4" w:space="0" w:color="auto"/>
              <w:right w:val="single" w:sz="4" w:space="0" w:color="auto"/>
            </w:tcBorders>
            <w:noWrap/>
            <w:textDirection w:val="lrTb"/>
            <w:vAlign w:val="bottom"/>
          </w:tcPr>
          <w:p w:rsidR="002151F6" w:rsidRPr="004A6AFD" w:rsidP="00CD128E">
            <w:pPr>
              <w:bidi w:val="0"/>
              <w:spacing w:after="0" w:line="240" w:lineRule="auto"/>
              <w:rPr>
                <w:rFonts w:ascii="Times New Roman" w:hAnsi="Times New Roman"/>
                <w:sz w:val="24"/>
                <w:szCs w:val="24"/>
                <w:lang w:val="sk-SK" w:eastAsia="sk-SK"/>
              </w:rPr>
            </w:pPr>
            <w:r w:rsidRPr="004A6AFD">
              <w:rPr>
                <w:rFonts w:ascii="Times New Roman" w:hAnsi="Times New Roman"/>
                <w:sz w:val="24"/>
                <w:szCs w:val="24"/>
                <w:lang w:val="sk-SK" w:eastAsia="sk-SK"/>
              </w:rPr>
              <w:t>Navrhované rozpočtové opatrenie na NASES, upgrade systému IS-PEP**</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151F6" w:rsidRPr="002151F6" w:rsidP="00501AD0">
            <w:pPr>
              <w:bidi w:val="0"/>
              <w:spacing w:after="0" w:line="240" w:lineRule="auto"/>
              <w:rPr>
                <w:rFonts w:ascii="Times New Roman" w:hAnsi="Times New Roman"/>
                <w:b/>
                <w:bCs/>
                <w:sz w:val="20"/>
                <w:szCs w:val="20"/>
                <w:lang w:val="sk-SK" w:eastAsia="sk-SK"/>
              </w:rPr>
            </w:pPr>
            <w:r w:rsidRPr="002151F6">
              <w:rPr>
                <w:rFonts w:ascii="Times New Roman" w:hAnsi="Times New Roman"/>
                <w:b/>
                <w:bCs/>
                <w:sz w:val="20"/>
                <w:szCs w:val="20"/>
                <w:lang w:val="sk-SK"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2151F6" w:rsidRPr="002151F6" w:rsidP="00501AD0">
            <w:pPr>
              <w:bidi w:val="0"/>
              <w:spacing w:after="0" w:line="240" w:lineRule="auto"/>
              <w:jc w:val="center"/>
              <w:rPr>
                <w:rFonts w:ascii="Times New Roman" w:hAnsi="Times New Roman"/>
                <w:b/>
                <w:bCs/>
                <w:sz w:val="20"/>
                <w:szCs w:val="20"/>
                <w:lang w:val="sk-SK" w:eastAsia="sk-SK"/>
              </w:rPr>
            </w:pPr>
            <w:r w:rsidRPr="002151F6">
              <w:rPr>
                <w:rFonts w:ascii="Times New Roman" w:hAnsi="Times New Roman"/>
                <w:b/>
                <w:bCs/>
                <w:sz w:val="20"/>
                <w:szCs w:val="20"/>
                <w:lang w:val="sk-SK"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2151F6" w:rsidRPr="002151F6" w:rsidP="00501AD0">
            <w:pPr>
              <w:bidi w:val="0"/>
              <w:spacing w:after="0" w:line="240" w:lineRule="auto"/>
              <w:jc w:val="center"/>
              <w:rPr>
                <w:rFonts w:ascii="Times New Roman" w:hAnsi="Times New Roman"/>
                <w:b/>
                <w:bCs/>
                <w:sz w:val="20"/>
                <w:szCs w:val="20"/>
                <w:lang w:val="sk-SK" w:eastAsia="sk-SK"/>
              </w:rPr>
            </w:pPr>
            <w:r w:rsidRPr="002151F6">
              <w:rPr>
                <w:rFonts w:ascii="Times New Roman" w:hAnsi="Times New Roman"/>
                <w:b/>
                <w:bCs/>
                <w:sz w:val="20"/>
                <w:szCs w:val="20"/>
                <w:lang w:val="sk-SK"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2151F6" w:rsidRPr="002151F6" w:rsidP="00501AD0">
            <w:pPr>
              <w:bidi w:val="0"/>
              <w:spacing w:after="0" w:line="240" w:lineRule="auto"/>
              <w:jc w:val="center"/>
              <w:rPr>
                <w:rFonts w:ascii="Times New Roman" w:hAnsi="Times New Roman"/>
                <w:b/>
                <w:bCs/>
                <w:sz w:val="20"/>
                <w:szCs w:val="20"/>
                <w:lang w:val="sk-SK" w:eastAsia="sk-SK"/>
              </w:rPr>
            </w:pPr>
            <w:r w:rsidRPr="002151F6">
              <w:rPr>
                <w:rFonts w:ascii="Times New Roman" w:hAnsi="Times New Roman"/>
                <w:b/>
                <w:bCs/>
                <w:sz w:val="20"/>
                <w:szCs w:val="20"/>
                <w:lang w:val="sk-SK"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2151F6" w:rsidRPr="002151F6" w:rsidP="00501AD0">
            <w:pPr>
              <w:bidi w:val="0"/>
              <w:spacing w:after="0" w:line="240" w:lineRule="auto"/>
              <w:jc w:val="center"/>
              <w:rPr>
                <w:rFonts w:ascii="Times New Roman" w:hAnsi="Times New Roman"/>
                <w:b/>
                <w:bCs/>
                <w:sz w:val="24"/>
                <w:szCs w:val="24"/>
                <w:lang w:val="sk-SK" w:eastAsia="sk-SK"/>
              </w:rPr>
            </w:pPr>
            <w:r w:rsidRPr="002151F6">
              <w:rPr>
                <w:rFonts w:ascii="Times New Roman" w:hAnsi="Times New Roman"/>
                <w:b/>
                <w:bCs/>
                <w:sz w:val="24"/>
                <w:szCs w:val="24"/>
                <w:lang w:val="sk-SK" w:eastAsia="sk-SK"/>
              </w:rPr>
              <w:t> </w:t>
            </w:r>
          </w:p>
        </w:tc>
        <w:tc>
          <w:tcPr>
            <w:tcW w:w="2220" w:type="dxa"/>
            <w:tcBorders>
              <w:top w:val="nil"/>
              <w:left w:val="nil"/>
              <w:bottom w:val="single" w:sz="4" w:space="0" w:color="auto"/>
              <w:right w:val="single" w:sz="4" w:space="0" w:color="auto"/>
            </w:tcBorders>
            <w:noWrap/>
            <w:textDirection w:val="lrTb"/>
            <w:vAlign w:val="bottom"/>
          </w:tcPr>
          <w:p w:rsidR="002151F6" w:rsidRPr="002151F6" w:rsidP="00501AD0">
            <w:pPr>
              <w:bidi w:val="0"/>
              <w:spacing w:after="0" w:line="240" w:lineRule="auto"/>
              <w:rPr>
                <w:rFonts w:ascii="Times New Roman" w:hAnsi="Times New Roman"/>
                <w:sz w:val="24"/>
                <w:szCs w:val="24"/>
                <w:lang w:val="sk-SK" w:eastAsia="sk-SK"/>
              </w:rPr>
            </w:pPr>
            <w:r w:rsidRPr="002151F6">
              <w:rPr>
                <w:rFonts w:ascii="Times New Roman" w:hAnsi="Times New Roman"/>
                <w:sz w:val="24"/>
                <w:szCs w:val="24"/>
                <w:lang w:val="sk-SK" w:eastAsia="sk-SK"/>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151F6" w:rsidRPr="002151F6" w:rsidP="00501AD0">
            <w:pPr>
              <w:bidi w:val="0"/>
              <w:spacing w:after="0" w:line="240" w:lineRule="auto"/>
              <w:rPr>
                <w:rFonts w:ascii="Times New Roman" w:hAnsi="Times New Roman"/>
                <w:b/>
                <w:bCs/>
                <w:sz w:val="20"/>
                <w:szCs w:val="20"/>
                <w:lang w:val="sk-SK" w:eastAsia="sk-SK"/>
              </w:rPr>
            </w:pPr>
            <w:r w:rsidRPr="002151F6">
              <w:rPr>
                <w:rFonts w:ascii="Times New Roman" w:hAnsi="Times New Roman"/>
                <w:b/>
                <w:bCs/>
                <w:sz w:val="20"/>
                <w:szCs w:val="20"/>
                <w:lang w:val="sk-SK"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2151F6" w:rsidRPr="002151F6" w:rsidP="00501AD0">
            <w:pPr>
              <w:bidi w:val="0"/>
              <w:spacing w:after="0" w:line="240" w:lineRule="auto"/>
              <w:jc w:val="center"/>
              <w:rPr>
                <w:rFonts w:ascii="Times New Roman" w:hAnsi="Times New Roman"/>
                <w:b/>
                <w:bCs/>
                <w:sz w:val="20"/>
                <w:szCs w:val="20"/>
                <w:lang w:val="sk-SK" w:eastAsia="sk-SK"/>
              </w:rPr>
            </w:pPr>
            <w:r w:rsidRPr="002151F6">
              <w:rPr>
                <w:rFonts w:ascii="Times New Roman" w:hAnsi="Times New Roman"/>
                <w:b/>
                <w:bCs/>
                <w:sz w:val="20"/>
                <w:szCs w:val="20"/>
                <w:lang w:val="sk-SK" w:eastAsia="sk-SK"/>
              </w:rPr>
              <w:t>400 000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2151F6" w:rsidRPr="002151F6" w:rsidP="00501AD0">
            <w:pPr>
              <w:bidi w:val="0"/>
              <w:spacing w:after="0" w:line="240" w:lineRule="auto"/>
              <w:jc w:val="center"/>
              <w:rPr>
                <w:rFonts w:ascii="Times New Roman" w:hAnsi="Times New Roman"/>
                <w:b/>
                <w:bCs/>
                <w:sz w:val="20"/>
                <w:szCs w:val="20"/>
                <w:lang w:val="sk-SK" w:eastAsia="sk-SK"/>
              </w:rPr>
            </w:pPr>
            <w:r w:rsidRPr="002151F6">
              <w:rPr>
                <w:rFonts w:ascii="Times New Roman" w:hAnsi="Times New Roman"/>
                <w:b/>
                <w:bCs/>
                <w:sz w:val="20"/>
                <w:szCs w:val="20"/>
                <w:lang w:val="sk-SK" w:eastAsia="sk-SK"/>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2151F6" w:rsidRPr="002151F6" w:rsidP="00501AD0">
            <w:pPr>
              <w:bidi w:val="0"/>
              <w:spacing w:after="0" w:line="240" w:lineRule="auto"/>
              <w:jc w:val="center"/>
              <w:rPr>
                <w:rFonts w:ascii="Times New Roman" w:hAnsi="Times New Roman"/>
                <w:b/>
                <w:bCs/>
                <w:sz w:val="20"/>
                <w:szCs w:val="20"/>
                <w:lang w:val="sk-SK" w:eastAsia="sk-SK"/>
              </w:rPr>
            </w:pPr>
            <w:r w:rsidRPr="002151F6">
              <w:rPr>
                <w:rFonts w:ascii="Times New Roman" w:hAnsi="Times New Roman"/>
                <w:b/>
                <w:bCs/>
                <w:sz w:val="20"/>
                <w:szCs w:val="20"/>
                <w:lang w:val="sk-SK" w:eastAsia="sk-SK"/>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2151F6" w:rsidRPr="002151F6" w:rsidP="00501AD0">
            <w:pPr>
              <w:bidi w:val="0"/>
              <w:spacing w:after="0" w:line="240" w:lineRule="auto"/>
              <w:jc w:val="center"/>
              <w:rPr>
                <w:rFonts w:ascii="Times New Roman" w:hAnsi="Times New Roman"/>
                <w:b/>
                <w:bCs/>
                <w:sz w:val="24"/>
                <w:szCs w:val="24"/>
                <w:lang w:val="sk-SK" w:eastAsia="sk-SK"/>
              </w:rPr>
            </w:pPr>
            <w:r w:rsidRPr="002151F6">
              <w:rPr>
                <w:rFonts w:ascii="Times New Roman" w:hAnsi="Times New Roman"/>
                <w:b/>
                <w:bCs/>
                <w:sz w:val="20"/>
                <w:szCs w:val="24"/>
                <w:lang w:val="sk-SK" w:eastAsia="sk-SK"/>
              </w:rPr>
              <w:t>0</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2151F6" w:rsidRPr="002151F6" w:rsidP="00501AD0">
            <w:pPr>
              <w:bidi w:val="0"/>
              <w:spacing w:after="0" w:line="240" w:lineRule="auto"/>
              <w:rPr>
                <w:rFonts w:ascii="Times New Roman" w:hAnsi="Times New Roman"/>
                <w:sz w:val="24"/>
                <w:szCs w:val="24"/>
                <w:lang w:val="sk-SK" w:eastAsia="sk-SK"/>
              </w:rPr>
            </w:pPr>
            <w:r w:rsidRPr="002151F6">
              <w:rPr>
                <w:rFonts w:ascii="Times New Roman" w:hAnsi="Times New Roman"/>
                <w:sz w:val="24"/>
                <w:szCs w:val="24"/>
                <w:lang w:val="sk-SK" w:eastAsia="sk-SK"/>
              </w:rPr>
              <w:t> </w:t>
            </w:r>
          </w:p>
        </w:tc>
      </w:tr>
    </w:tbl>
    <w:p w:rsidR="002468FF" w:rsidRPr="004A6AFD" w:rsidP="002468FF">
      <w:pPr>
        <w:tabs>
          <w:tab w:val="num" w:pos="1080"/>
        </w:tabs>
        <w:bidi w:val="0"/>
        <w:spacing w:after="0" w:line="240" w:lineRule="auto"/>
        <w:rPr>
          <w:rFonts w:ascii="Times New Roman" w:hAnsi="Times New Roman"/>
          <w:bCs/>
          <w:sz w:val="24"/>
          <w:szCs w:val="24"/>
          <w:lang w:val="sk-SK" w:eastAsia="sk-SK"/>
        </w:rPr>
      </w:pPr>
      <w:r w:rsidRPr="004A6AFD" w:rsidR="002151F6">
        <w:rPr>
          <w:rFonts w:ascii="Times New Roman" w:hAnsi="Times New Roman"/>
          <w:bCs/>
          <w:sz w:val="24"/>
          <w:szCs w:val="24"/>
          <w:lang w:val="sk-SK" w:eastAsia="sk-SK"/>
        </w:rPr>
        <w:t>2 –  výdavky rozpísať až do položiek platnej ekonomickej klasifikácie</w:t>
      </w:r>
    </w:p>
    <w:p w:rsidR="002151F6" w:rsidRPr="004A6AFD" w:rsidP="00CD128E">
      <w:pPr>
        <w:tabs>
          <w:tab w:val="num" w:pos="1080"/>
        </w:tabs>
        <w:bidi w:val="0"/>
        <w:spacing w:after="0" w:line="240" w:lineRule="auto"/>
        <w:jc w:val="both"/>
        <w:rPr>
          <w:rFonts w:ascii="Times New Roman" w:hAnsi="Times New Roman"/>
          <w:bCs/>
          <w:sz w:val="24"/>
          <w:szCs w:val="24"/>
          <w:lang w:val="sk-SK" w:eastAsia="sk-SK"/>
        </w:rPr>
      </w:pPr>
      <w:r w:rsidRPr="004A6AFD" w:rsidR="002468FF">
        <w:rPr>
          <w:rFonts w:ascii="Times New Roman" w:hAnsi="Times New Roman"/>
          <w:bCs/>
          <w:sz w:val="24"/>
          <w:szCs w:val="24"/>
          <w:lang w:val="sk-SK" w:eastAsia="sk-SK"/>
        </w:rPr>
        <w:t>*</w:t>
      </w:r>
      <w:r w:rsidRPr="004A6AFD">
        <w:rPr>
          <w:rFonts w:ascii="Times New Roman" w:hAnsi="Times New Roman"/>
          <w:bCs/>
          <w:sz w:val="24"/>
          <w:szCs w:val="24"/>
          <w:lang w:val="sk-SK" w:eastAsia="sk-SK"/>
        </w:rPr>
        <w:t>do súčasného jednoduchého číselníka, bude potrebné zapracovať nové algoritmy výpočtu na kioskoch, Odhad úprav SW na kioskoch: 2 000,-- EUR bez DPH. Vzhľadom</w:t>
      </w:r>
      <w:r w:rsidRPr="004A6AFD" w:rsidR="00DD22F7">
        <w:rPr>
          <w:rFonts w:ascii="Times New Roman" w:hAnsi="Times New Roman"/>
          <w:bCs/>
          <w:sz w:val="24"/>
          <w:szCs w:val="24"/>
          <w:lang w:val="sk-SK" w:eastAsia="sk-SK"/>
        </w:rPr>
        <w:t xml:space="preserve"> na potrebu vyriešenia</w:t>
      </w:r>
      <w:r w:rsidRPr="004A6AFD">
        <w:rPr>
          <w:rFonts w:ascii="Times New Roman" w:hAnsi="Times New Roman"/>
          <w:bCs/>
          <w:sz w:val="24"/>
          <w:szCs w:val="24"/>
          <w:lang w:val="sk-SK" w:eastAsia="sk-SK"/>
        </w:rPr>
        <w:t xml:space="preserve"> zaokrúhľovania v súlade s § 6a zákona č. 145/1995 Z. z. o správnych poplatkoch v znení neskorších predpisov pri výpočte sumy správneho poplatku na kioskoch - SW na kioskoch vrátane úpravy komunikačného protokolu: cca 48 000,-- EUR bez DPH.</w:t>
      </w:r>
    </w:p>
    <w:p w:rsidR="002151F6" w:rsidRPr="004A6AFD" w:rsidP="00CD128E">
      <w:pPr>
        <w:tabs>
          <w:tab w:val="num" w:pos="1080"/>
        </w:tabs>
        <w:bidi w:val="0"/>
        <w:spacing w:after="0" w:line="240" w:lineRule="auto"/>
        <w:jc w:val="both"/>
        <w:rPr>
          <w:rFonts w:ascii="Times New Roman" w:hAnsi="Times New Roman"/>
          <w:bCs/>
          <w:sz w:val="24"/>
          <w:szCs w:val="24"/>
          <w:lang w:val="sk-SK" w:eastAsia="sk-SK"/>
        </w:rPr>
      </w:pPr>
      <w:r w:rsidRPr="004A6AFD">
        <w:rPr>
          <w:rFonts w:ascii="Times New Roman" w:hAnsi="Times New Roman"/>
          <w:bCs/>
          <w:sz w:val="24"/>
          <w:szCs w:val="24"/>
          <w:lang w:val="sk-SK" w:eastAsia="sk-SK"/>
        </w:rPr>
        <w:t xml:space="preserve">** do súčasného jednoduchého číselníka, bude potrebné zapracovať nové algoritmy výpočtu na kioskoch, IS PEP a MSP vrátane zmeny stromu služieb </w:t>
      </w:r>
      <w:r w:rsidR="00465E15">
        <w:rPr>
          <w:rFonts w:ascii="Times New Roman" w:hAnsi="Times New Roman"/>
          <w:bCs/>
          <w:sz w:val="24"/>
          <w:szCs w:val="24"/>
          <w:lang w:val="sk-SK" w:eastAsia="sk-SK"/>
        </w:rPr>
        <w:t xml:space="preserve">v odhadovanej sume </w:t>
      </w:r>
      <w:r w:rsidRPr="004A6AFD">
        <w:rPr>
          <w:rFonts w:ascii="Times New Roman" w:hAnsi="Times New Roman"/>
          <w:bCs/>
          <w:sz w:val="24"/>
          <w:szCs w:val="24"/>
          <w:lang w:val="sk-SK" w:eastAsia="sk-SK"/>
        </w:rPr>
        <w:t>cca 150 000,-- EUR bez DPH, Vzhľadom na potrebu vyriešenia zaokrúhľovania v súlade s § 6a zákona č. 145/1995 Z. z. o správnych poplatkoch v znení neskorších predpisov pri výpočte sumy správneho poplatku na kioskoch, v IS PEP, MSP, mobilnej aplikácii a virtuálnom kiosku, je potrebné počítať s nasledovnými odhadmi výdavkov: IS PEP, MPS, mobilná aplikácia, virtuálny kiosk:cca 200 000,-EUR bez DPH.</w:t>
      </w:r>
    </w:p>
    <w:p w:rsidR="002151F6" w:rsidRPr="004A6AFD" w:rsidP="00CD128E">
      <w:pPr>
        <w:tabs>
          <w:tab w:val="num" w:pos="1080"/>
        </w:tabs>
        <w:bidi w:val="0"/>
        <w:spacing w:after="0" w:line="240" w:lineRule="auto"/>
        <w:jc w:val="both"/>
        <w:rPr>
          <w:rFonts w:ascii="Times New Roman" w:hAnsi="Times New Roman"/>
          <w:bCs/>
          <w:sz w:val="24"/>
          <w:szCs w:val="24"/>
          <w:lang w:val="sk-SK" w:eastAsia="sk-SK"/>
        </w:rPr>
      </w:pPr>
      <w:r w:rsidRPr="004A6AFD">
        <w:rPr>
          <w:rFonts w:ascii="Times New Roman" w:hAnsi="Times New Roman"/>
          <w:bCs/>
          <w:sz w:val="24"/>
          <w:szCs w:val="24"/>
          <w:lang w:val="sk-SK" w:eastAsia="sk-SK"/>
        </w:rPr>
        <w:t>Sumy sú odhadované, presné čísla budú známe po vypracovaní štúdie uskutočniteľnosti.</w:t>
      </w:r>
    </w:p>
    <w:p w:rsidR="002151F6" w:rsidRPr="002151F6" w:rsidP="002468FF">
      <w:pPr>
        <w:tabs>
          <w:tab w:val="num" w:pos="1080"/>
        </w:tabs>
        <w:bidi w:val="0"/>
        <w:spacing w:after="0" w:line="240" w:lineRule="auto"/>
        <w:jc w:val="both"/>
        <w:rPr>
          <w:rFonts w:ascii="Times New Roman" w:hAnsi="Times New Roman"/>
          <w:bCs/>
          <w:sz w:val="20"/>
          <w:szCs w:val="20"/>
          <w:lang w:val="sk-SK" w:eastAsia="sk-SK"/>
        </w:rPr>
      </w:pPr>
    </w:p>
    <w:p w:rsidR="002151F6" w:rsidRPr="002151F6" w:rsidP="002151F6">
      <w:pPr>
        <w:tabs>
          <w:tab w:val="num" w:pos="1080"/>
        </w:tabs>
        <w:bidi w:val="0"/>
        <w:spacing w:after="0" w:line="240" w:lineRule="auto"/>
        <w:ind w:left="-900"/>
        <w:jc w:val="both"/>
        <w:rPr>
          <w:rFonts w:ascii="Times New Roman" w:hAnsi="Times New Roman"/>
          <w:bCs/>
          <w:sz w:val="20"/>
          <w:szCs w:val="20"/>
          <w:lang w:val="sk-SK" w:eastAsia="sk-SK"/>
        </w:rPr>
      </w:pPr>
    </w:p>
    <w:p w:rsidR="002151F6" w:rsidRPr="002151F6" w:rsidP="002151F6">
      <w:pPr>
        <w:tabs>
          <w:tab w:val="num" w:pos="1080"/>
        </w:tabs>
        <w:bidi w:val="0"/>
        <w:spacing w:after="0" w:line="240" w:lineRule="auto"/>
        <w:ind w:left="-900"/>
        <w:jc w:val="both"/>
        <w:rPr>
          <w:rFonts w:ascii="Times New Roman" w:hAnsi="Times New Roman"/>
          <w:bCs/>
          <w:sz w:val="20"/>
          <w:szCs w:val="20"/>
          <w:lang w:val="sk-SK" w:eastAsia="sk-SK"/>
        </w:rPr>
      </w:pPr>
    </w:p>
    <w:p w:rsidR="002151F6" w:rsidRPr="002151F6" w:rsidP="002151F6">
      <w:pPr>
        <w:tabs>
          <w:tab w:val="num" w:pos="1080"/>
        </w:tabs>
        <w:bidi w:val="0"/>
        <w:spacing w:after="0" w:line="240" w:lineRule="auto"/>
        <w:jc w:val="right"/>
        <w:rPr>
          <w:rFonts w:ascii="Times New Roman" w:hAnsi="Times New Roman"/>
          <w:bCs/>
          <w:sz w:val="24"/>
          <w:szCs w:val="24"/>
          <w:lang w:val="sk-SK" w:eastAsia="sk-SK"/>
        </w:rPr>
      </w:pPr>
      <w:r w:rsidRPr="002151F6">
        <w:rPr>
          <w:rFonts w:ascii="Times New Roman" w:hAnsi="Times New Roman"/>
          <w:bCs/>
          <w:sz w:val="24"/>
          <w:szCs w:val="24"/>
          <w:lang w:val="sk-SK" w:eastAsia="sk-SK"/>
        </w:rPr>
        <w:t xml:space="preserve">                 Tabuľka č. 5 </w:t>
      </w:r>
    </w:p>
    <w:p w:rsidR="002151F6" w:rsidRPr="002151F6" w:rsidP="002151F6">
      <w:pPr>
        <w:tabs>
          <w:tab w:val="num" w:pos="1080"/>
        </w:tabs>
        <w:bidi w:val="0"/>
        <w:spacing w:after="0" w:line="240" w:lineRule="auto"/>
        <w:jc w:val="both"/>
        <w:rPr>
          <w:rFonts w:ascii="Times New Roman" w:hAnsi="Times New Roman"/>
          <w:bCs/>
          <w:sz w:val="24"/>
          <w:szCs w:val="20"/>
          <w:lang w:val="sk-SK" w:eastAsia="sk-SK"/>
        </w:rPr>
      </w:pPr>
    </w:p>
    <w:tbl>
      <w:tblPr>
        <w:tblStyle w:val="TableNormal"/>
        <w:tblW w:w="15434" w:type="dxa"/>
        <w:tblInd w:w="-450" w:type="dxa"/>
        <w:tblCellMar>
          <w:left w:w="70" w:type="dxa"/>
          <w:right w:w="70" w:type="dxa"/>
        </w:tblCellMar>
      </w:tblPr>
      <w:tblGrid>
        <w:gridCol w:w="6188"/>
        <w:gridCol w:w="1698"/>
        <w:gridCol w:w="1788"/>
        <w:gridCol w:w="720"/>
        <w:gridCol w:w="1698"/>
        <w:gridCol w:w="1722"/>
        <w:gridCol w:w="630"/>
        <w:gridCol w:w="990"/>
      </w:tblGrid>
      <w:tr>
        <w:tblPrEx>
          <w:tblW w:w="15434" w:type="dxa"/>
          <w:tblInd w:w="-450"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151F6" w:rsidRPr="002151F6" w:rsidP="00501AD0">
            <w:pPr>
              <w:bidi w:val="0"/>
              <w:spacing w:after="0" w:line="240" w:lineRule="auto"/>
              <w:jc w:val="center"/>
              <w:rPr>
                <w:rFonts w:ascii="Times New Roman" w:hAnsi="Times New Roman"/>
                <w:b/>
                <w:bCs/>
                <w:sz w:val="24"/>
                <w:szCs w:val="24"/>
                <w:lang w:val="sk-SK" w:eastAsia="sk-SK"/>
              </w:rPr>
            </w:pPr>
            <w:r w:rsidRPr="002151F6">
              <w:rPr>
                <w:rFonts w:ascii="Times New Roman" w:hAnsi="Times New Roman"/>
                <w:b/>
                <w:bCs/>
                <w:sz w:val="24"/>
                <w:szCs w:val="24"/>
                <w:lang w:val="sk-SK"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extDirection w:val="lrTb"/>
            <w:vAlign w:val="top"/>
          </w:tcPr>
          <w:p w:rsidR="002151F6" w:rsidRPr="002151F6" w:rsidP="00501AD0">
            <w:pPr>
              <w:bidi w:val="0"/>
              <w:spacing w:after="0" w:line="240" w:lineRule="auto"/>
              <w:jc w:val="center"/>
              <w:rPr>
                <w:rFonts w:ascii="Times New Roman" w:hAnsi="Times New Roman"/>
                <w:b/>
                <w:bCs/>
                <w:sz w:val="24"/>
                <w:szCs w:val="24"/>
                <w:lang w:val="sk-SK" w:eastAsia="sk-SK"/>
              </w:rPr>
            </w:pPr>
            <w:r w:rsidRPr="002151F6">
              <w:rPr>
                <w:rFonts w:ascii="Times New Roman" w:hAnsi="Times New Roman"/>
                <w:b/>
                <w:bCs/>
                <w:sz w:val="24"/>
                <w:szCs w:val="24"/>
                <w:lang w:val="sk-SK"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51F6" w:rsidRPr="002151F6" w:rsidP="00501AD0">
            <w:pPr>
              <w:bidi w:val="0"/>
              <w:spacing w:after="0" w:line="240" w:lineRule="auto"/>
              <w:jc w:val="center"/>
              <w:rPr>
                <w:rFonts w:ascii="Times New Roman" w:hAnsi="Times New Roman"/>
                <w:b/>
                <w:bCs/>
                <w:sz w:val="24"/>
                <w:szCs w:val="24"/>
                <w:lang w:val="sk-SK" w:eastAsia="sk-SK"/>
              </w:rPr>
            </w:pPr>
            <w:r w:rsidRPr="002151F6">
              <w:rPr>
                <w:rFonts w:ascii="Times New Roman" w:hAnsi="Times New Roman"/>
                <w:b/>
                <w:bCs/>
                <w:sz w:val="24"/>
                <w:szCs w:val="24"/>
                <w:lang w:val="sk-SK" w:eastAsia="sk-SK"/>
              </w:rPr>
              <w:t>poznámka</w:t>
            </w:r>
          </w:p>
        </w:tc>
      </w:tr>
      <w:tr>
        <w:tblPrEx>
          <w:tblW w:w="15434" w:type="dxa"/>
          <w:tblInd w:w="-450"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151F6" w:rsidRPr="002151F6" w:rsidP="00501AD0">
            <w:pPr>
              <w:bidi w:val="0"/>
              <w:spacing w:after="0" w:line="240" w:lineRule="auto"/>
              <w:rPr>
                <w:rFonts w:ascii="Times New Roman" w:hAnsi="Times New Roman"/>
                <w:b/>
                <w:bCs/>
                <w:sz w:val="24"/>
                <w:szCs w:val="24"/>
                <w:lang w:val="sk-SK" w:eastAsia="sk-SK"/>
              </w:rPr>
            </w:pPr>
          </w:p>
        </w:tc>
        <w:tc>
          <w:tcPr>
            <w:tcW w:w="1698" w:type="dxa"/>
            <w:tcBorders>
              <w:top w:val="nil"/>
              <w:left w:val="nil"/>
              <w:bottom w:val="single" w:sz="4" w:space="0" w:color="auto"/>
              <w:right w:val="single" w:sz="4" w:space="0" w:color="auto"/>
            </w:tcBorders>
            <w:shd w:val="clear" w:color="auto" w:fill="BFBFBF"/>
            <w:textDirection w:val="lrTb"/>
            <w:vAlign w:val="top"/>
          </w:tcPr>
          <w:p w:rsidR="002151F6" w:rsidRPr="002151F6" w:rsidP="00501AD0">
            <w:pPr>
              <w:bidi w:val="0"/>
              <w:spacing w:after="0" w:line="240" w:lineRule="auto"/>
              <w:jc w:val="center"/>
              <w:rPr>
                <w:rFonts w:ascii="Times New Roman" w:hAnsi="Times New Roman"/>
                <w:b/>
                <w:bCs/>
                <w:sz w:val="24"/>
                <w:szCs w:val="24"/>
                <w:lang w:val="sk-SK" w:eastAsia="sk-SK"/>
              </w:rPr>
            </w:pPr>
            <w:r w:rsidRPr="002151F6">
              <w:rPr>
                <w:rFonts w:ascii="Times New Roman" w:hAnsi="Times New Roman"/>
                <w:b/>
                <w:bCs/>
                <w:sz w:val="24"/>
                <w:szCs w:val="24"/>
                <w:lang w:val="sk-SK" w:eastAsia="sk-SK"/>
              </w:rPr>
              <w:t>2016</w:t>
            </w:r>
          </w:p>
        </w:tc>
        <w:tc>
          <w:tcPr>
            <w:tcW w:w="1788" w:type="dxa"/>
            <w:tcBorders>
              <w:top w:val="nil"/>
              <w:left w:val="nil"/>
              <w:bottom w:val="single" w:sz="4" w:space="0" w:color="auto"/>
              <w:right w:val="single" w:sz="4" w:space="0" w:color="auto"/>
            </w:tcBorders>
            <w:shd w:val="clear" w:color="auto" w:fill="BFBFBF"/>
            <w:textDirection w:val="lrTb"/>
            <w:vAlign w:val="top"/>
          </w:tcPr>
          <w:p w:rsidR="002151F6" w:rsidRPr="002151F6" w:rsidP="00501AD0">
            <w:pPr>
              <w:bidi w:val="0"/>
              <w:spacing w:after="0" w:line="240" w:lineRule="auto"/>
              <w:jc w:val="center"/>
              <w:rPr>
                <w:rFonts w:ascii="Times New Roman" w:hAnsi="Times New Roman"/>
                <w:b/>
                <w:bCs/>
                <w:sz w:val="24"/>
                <w:szCs w:val="24"/>
                <w:lang w:val="sk-SK" w:eastAsia="sk-SK"/>
              </w:rPr>
            </w:pPr>
            <w:r w:rsidRPr="002151F6">
              <w:rPr>
                <w:rFonts w:ascii="Times New Roman" w:hAnsi="Times New Roman"/>
                <w:b/>
                <w:bCs/>
                <w:sz w:val="24"/>
                <w:szCs w:val="24"/>
                <w:lang w:val="sk-SK" w:eastAsia="sk-SK"/>
              </w:rPr>
              <w:t>2017</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2151F6" w:rsidRPr="002151F6" w:rsidP="00501AD0">
            <w:pPr>
              <w:bidi w:val="0"/>
              <w:spacing w:after="0" w:line="240" w:lineRule="auto"/>
              <w:jc w:val="center"/>
              <w:rPr>
                <w:rFonts w:ascii="Times New Roman" w:hAnsi="Times New Roman"/>
                <w:b/>
                <w:bCs/>
                <w:sz w:val="24"/>
                <w:szCs w:val="24"/>
                <w:lang w:val="sk-SK" w:eastAsia="sk-SK"/>
              </w:rPr>
            </w:pPr>
            <w:r w:rsidRPr="002151F6">
              <w:rPr>
                <w:rFonts w:ascii="Times New Roman" w:hAnsi="Times New Roman"/>
                <w:b/>
                <w:bCs/>
                <w:sz w:val="24"/>
                <w:szCs w:val="24"/>
                <w:lang w:val="sk-SK" w:eastAsia="sk-SK"/>
              </w:rPr>
              <w:t>2018</w:t>
            </w:r>
          </w:p>
        </w:tc>
        <w:tc>
          <w:tcPr>
            <w:tcW w:w="1722" w:type="dxa"/>
            <w:tcBorders>
              <w:top w:val="nil"/>
              <w:left w:val="nil"/>
              <w:bottom w:val="single" w:sz="4" w:space="0" w:color="auto"/>
              <w:right w:val="single" w:sz="4" w:space="0" w:color="auto"/>
            </w:tcBorders>
            <w:shd w:val="clear" w:color="auto" w:fill="BFBFBF"/>
            <w:textDirection w:val="lrTb"/>
            <w:vAlign w:val="top"/>
          </w:tcPr>
          <w:p w:rsidR="002151F6" w:rsidRPr="002151F6" w:rsidP="00501AD0">
            <w:pPr>
              <w:bidi w:val="0"/>
              <w:spacing w:after="0" w:line="240" w:lineRule="auto"/>
              <w:jc w:val="center"/>
              <w:rPr>
                <w:rFonts w:ascii="Times New Roman" w:hAnsi="Times New Roman"/>
                <w:b/>
                <w:bCs/>
                <w:sz w:val="24"/>
                <w:szCs w:val="24"/>
                <w:lang w:val="sk-SK" w:eastAsia="sk-SK"/>
              </w:rPr>
            </w:pPr>
            <w:r w:rsidRPr="002151F6">
              <w:rPr>
                <w:rFonts w:ascii="Times New Roman" w:hAnsi="Times New Roman"/>
                <w:b/>
                <w:bCs/>
                <w:sz w:val="24"/>
                <w:szCs w:val="24"/>
                <w:lang w:val="sk-SK" w:eastAsia="sk-SK"/>
              </w:rPr>
              <w:t>2019</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151F6" w:rsidRPr="002151F6" w:rsidP="00501AD0">
            <w:pPr>
              <w:bidi w:val="0"/>
              <w:spacing w:after="0" w:line="240" w:lineRule="auto"/>
              <w:rPr>
                <w:rFonts w:ascii="Times New Roman" w:hAnsi="Times New Roman"/>
                <w:b/>
                <w:bCs/>
                <w:color w:val="FFFFFF"/>
                <w:sz w:val="24"/>
                <w:szCs w:val="24"/>
                <w:lang w:val="sk-SK" w:eastAsia="sk-SK"/>
              </w:rPr>
            </w:pPr>
          </w:p>
        </w:tc>
      </w:tr>
      <w:tr>
        <w:tblPrEx>
          <w:tblW w:w="15434" w:type="dxa"/>
          <w:tblInd w:w="-450"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151F6" w:rsidRPr="002151F6" w:rsidP="00501AD0">
            <w:pPr>
              <w:bidi w:val="0"/>
              <w:spacing w:after="0" w:line="240" w:lineRule="auto"/>
              <w:rPr>
                <w:rFonts w:ascii="Times New Roman" w:hAnsi="Times New Roman"/>
                <w:b/>
                <w:bCs/>
                <w:sz w:val="24"/>
                <w:szCs w:val="24"/>
                <w:lang w:val="sk-SK" w:eastAsia="sk-SK"/>
              </w:rPr>
            </w:pPr>
            <w:r w:rsidRPr="002151F6">
              <w:rPr>
                <w:rFonts w:ascii="Times New Roman" w:hAnsi="Times New Roman"/>
                <w:b/>
                <w:bCs/>
                <w:sz w:val="24"/>
                <w:szCs w:val="24"/>
                <w:lang w:val="sk-SK" w:eastAsia="sk-SK"/>
              </w:rPr>
              <w:t>Počet zamestnancov celkom</w:t>
            </w:r>
          </w:p>
        </w:tc>
        <w:tc>
          <w:tcPr>
            <w:tcW w:w="1698" w:type="dxa"/>
            <w:tcBorders>
              <w:top w:val="nil"/>
              <w:left w:val="nil"/>
              <w:bottom w:val="single" w:sz="4" w:space="0" w:color="auto"/>
              <w:right w:val="single" w:sz="4" w:space="0" w:color="auto"/>
            </w:tcBorders>
            <w:textDirection w:val="lrTb"/>
            <w:vAlign w:val="top"/>
          </w:tcPr>
          <w:p w:rsidR="002151F6" w:rsidRPr="002151F6" w:rsidP="00501AD0">
            <w:pPr>
              <w:bidi w:val="0"/>
              <w:spacing w:after="0" w:line="240" w:lineRule="auto"/>
              <w:jc w:val="center"/>
              <w:rPr>
                <w:rFonts w:ascii="Times New Roman" w:hAnsi="Times New Roman"/>
                <w:b/>
                <w:bCs/>
                <w:sz w:val="24"/>
                <w:szCs w:val="24"/>
                <w:lang w:val="sk-SK" w:eastAsia="sk-SK"/>
              </w:rPr>
            </w:pPr>
          </w:p>
        </w:tc>
        <w:tc>
          <w:tcPr>
            <w:tcW w:w="1788" w:type="dxa"/>
            <w:tcBorders>
              <w:top w:val="nil"/>
              <w:left w:val="nil"/>
              <w:bottom w:val="single" w:sz="4" w:space="0" w:color="auto"/>
              <w:right w:val="single" w:sz="4" w:space="0" w:color="auto"/>
            </w:tcBorders>
            <w:textDirection w:val="lrTb"/>
            <w:vAlign w:val="top"/>
          </w:tcPr>
          <w:p w:rsidR="002151F6" w:rsidRPr="002151F6" w:rsidP="00501AD0">
            <w:pPr>
              <w:bidi w:val="0"/>
              <w:spacing w:after="0" w:line="240" w:lineRule="auto"/>
              <w:jc w:val="center"/>
              <w:rPr>
                <w:rFonts w:ascii="Times New Roman" w:hAnsi="Times New Roman"/>
                <w:b/>
                <w:bCs/>
                <w:sz w:val="24"/>
                <w:szCs w:val="24"/>
                <w:lang w:val="sk-SK" w:eastAsia="sk-SK"/>
              </w:rPr>
            </w:pPr>
          </w:p>
        </w:tc>
        <w:tc>
          <w:tcPr>
            <w:tcW w:w="2418" w:type="dxa"/>
            <w:gridSpan w:val="2"/>
            <w:tcBorders>
              <w:top w:val="nil"/>
              <w:left w:val="nil"/>
              <w:bottom w:val="single" w:sz="4" w:space="0" w:color="auto"/>
              <w:right w:val="single" w:sz="4" w:space="0" w:color="auto"/>
            </w:tcBorders>
            <w:textDirection w:val="lrTb"/>
            <w:vAlign w:val="top"/>
          </w:tcPr>
          <w:p w:rsidR="002151F6" w:rsidRPr="002151F6" w:rsidP="00501AD0">
            <w:pPr>
              <w:bidi w:val="0"/>
              <w:spacing w:after="0" w:line="240" w:lineRule="auto"/>
              <w:jc w:val="center"/>
              <w:rPr>
                <w:rFonts w:ascii="Times New Roman" w:hAnsi="Times New Roman"/>
                <w:b/>
                <w:bCs/>
                <w:sz w:val="24"/>
                <w:szCs w:val="24"/>
                <w:lang w:val="sk-SK" w:eastAsia="sk-SK"/>
              </w:rPr>
            </w:pPr>
          </w:p>
        </w:tc>
        <w:tc>
          <w:tcPr>
            <w:tcW w:w="1722" w:type="dxa"/>
            <w:tcBorders>
              <w:top w:val="nil"/>
              <w:left w:val="nil"/>
              <w:bottom w:val="single" w:sz="4" w:space="0" w:color="auto"/>
              <w:right w:val="single" w:sz="4" w:space="0" w:color="auto"/>
            </w:tcBorders>
            <w:textDirection w:val="lrTb"/>
            <w:vAlign w:val="top"/>
          </w:tcPr>
          <w:p w:rsidR="002151F6" w:rsidRPr="002151F6" w:rsidP="00501AD0">
            <w:pPr>
              <w:bidi w:val="0"/>
              <w:spacing w:after="0" w:line="240" w:lineRule="auto"/>
              <w:jc w:val="center"/>
              <w:rPr>
                <w:rFonts w:ascii="Times New Roman" w:hAnsi="Times New Roman"/>
                <w:b/>
                <w:bCs/>
                <w:sz w:val="24"/>
                <w:szCs w:val="24"/>
                <w:lang w:val="sk-SK"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2151F6" w:rsidRPr="002151F6" w:rsidP="00501AD0">
            <w:pPr>
              <w:bidi w:val="0"/>
              <w:spacing w:after="0" w:line="240" w:lineRule="auto"/>
              <w:rPr>
                <w:rFonts w:ascii="Times New Roman" w:hAnsi="Times New Roman"/>
                <w:sz w:val="24"/>
                <w:szCs w:val="24"/>
                <w:lang w:val="sk-SK" w:eastAsia="sk-SK"/>
              </w:rPr>
            </w:pPr>
            <w:r w:rsidRPr="002151F6">
              <w:rPr>
                <w:rFonts w:ascii="Times New Roman" w:hAnsi="Times New Roman"/>
                <w:sz w:val="24"/>
                <w:szCs w:val="24"/>
                <w:lang w:val="sk-SK" w:eastAsia="sk-SK"/>
              </w:rPr>
              <w:t> </w:t>
            </w:r>
          </w:p>
        </w:tc>
      </w:tr>
      <w:tr>
        <w:tblPrEx>
          <w:tblW w:w="15434" w:type="dxa"/>
          <w:tblInd w:w="-450"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151F6" w:rsidRPr="002151F6" w:rsidP="00501AD0">
            <w:pPr>
              <w:bidi w:val="0"/>
              <w:spacing w:after="0" w:line="240" w:lineRule="auto"/>
              <w:rPr>
                <w:rFonts w:ascii="Times New Roman" w:hAnsi="Times New Roman"/>
                <w:b/>
                <w:bCs/>
                <w:sz w:val="24"/>
                <w:szCs w:val="24"/>
                <w:lang w:val="sk-SK" w:eastAsia="sk-SK"/>
              </w:rPr>
            </w:pPr>
            <w:r w:rsidRPr="002151F6">
              <w:rPr>
                <w:rFonts w:ascii="Times New Roman" w:hAnsi="Times New Roman"/>
                <w:b/>
                <w:bCs/>
                <w:sz w:val="24"/>
                <w:szCs w:val="24"/>
                <w:lang w:val="sk-SK"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2151F6" w:rsidRPr="002151F6" w:rsidP="00501AD0">
            <w:pPr>
              <w:bidi w:val="0"/>
              <w:spacing w:after="0" w:line="240" w:lineRule="auto"/>
              <w:jc w:val="center"/>
              <w:rPr>
                <w:rFonts w:ascii="Times New Roman" w:hAnsi="Times New Roman"/>
                <w:b/>
                <w:bCs/>
                <w:sz w:val="24"/>
                <w:szCs w:val="24"/>
                <w:lang w:val="sk-SK"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2151F6" w:rsidRPr="002151F6" w:rsidP="00501AD0">
            <w:pPr>
              <w:bidi w:val="0"/>
              <w:spacing w:after="0" w:line="240" w:lineRule="auto"/>
              <w:jc w:val="center"/>
              <w:rPr>
                <w:rFonts w:ascii="Times New Roman" w:hAnsi="Times New Roman"/>
                <w:b/>
                <w:bCs/>
                <w:sz w:val="24"/>
                <w:szCs w:val="24"/>
                <w:lang w:val="sk-SK" w:eastAsia="sk-SK"/>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2151F6" w:rsidRPr="002151F6" w:rsidP="00501AD0">
            <w:pPr>
              <w:bidi w:val="0"/>
              <w:spacing w:after="0" w:line="240" w:lineRule="auto"/>
              <w:jc w:val="center"/>
              <w:rPr>
                <w:rFonts w:ascii="Times New Roman" w:hAnsi="Times New Roman"/>
                <w:b/>
                <w:bCs/>
                <w:sz w:val="24"/>
                <w:szCs w:val="24"/>
                <w:lang w:val="sk-SK" w:eastAsia="sk-SK"/>
              </w:rPr>
            </w:pPr>
          </w:p>
        </w:tc>
        <w:tc>
          <w:tcPr>
            <w:tcW w:w="1722" w:type="dxa"/>
            <w:tcBorders>
              <w:top w:val="single" w:sz="4" w:space="0" w:color="auto"/>
              <w:left w:val="nil"/>
              <w:bottom w:val="single" w:sz="4" w:space="0" w:color="auto"/>
              <w:right w:val="single" w:sz="4" w:space="0" w:color="auto"/>
            </w:tcBorders>
            <w:textDirection w:val="lrTb"/>
            <w:vAlign w:val="top"/>
          </w:tcPr>
          <w:p w:rsidR="002151F6" w:rsidRPr="002151F6" w:rsidP="00501AD0">
            <w:pPr>
              <w:bidi w:val="0"/>
              <w:spacing w:after="0" w:line="240" w:lineRule="auto"/>
              <w:jc w:val="center"/>
              <w:rPr>
                <w:rFonts w:ascii="Times New Roman" w:hAnsi="Times New Roman"/>
                <w:b/>
                <w:bCs/>
                <w:sz w:val="24"/>
                <w:szCs w:val="24"/>
                <w:lang w:val="sk-SK"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2151F6" w:rsidRPr="002151F6" w:rsidP="00501AD0">
            <w:pPr>
              <w:bidi w:val="0"/>
              <w:spacing w:after="0" w:line="240" w:lineRule="auto"/>
              <w:rPr>
                <w:rFonts w:ascii="Times New Roman" w:hAnsi="Times New Roman"/>
                <w:sz w:val="24"/>
                <w:szCs w:val="24"/>
                <w:lang w:val="sk-SK" w:eastAsia="sk-SK"/>
              </w:rPr>
            </w:pPr>
          </w:p>
        </w:tc>
      </w:tr>
      <w:tr>
        <w:tblPrEx>
          <w:tblW w:w="15434" w:type="dxa"/>
          <w:tblInd w:w="-450"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151F6" w:rsidRPr="002151F6" w:rsidP="00501AD0">
            <w:pPr>
              <w:bidi w:val="0"/>
              <w:spacing w:after="0" w:line="240" w:lineRule="auto"/>
              <w:rPr>
                <w:rFonts w:ascii="Times New Roman" w:hAnsi="Times New Roman"/>
                <w:b/>
                <w:bCs/>
                <w:sz w:val="24"/>
                <w:szCs w:val="24"/>
                <w:lang w:val="sk-SK" w:eastAsia="sk-SK"/>
              </w:rPr>
            </w:pPr>
            <w:r w:rsidRPr="002151F6">
              <w:rPr>
                <w:rFonts w:ascii="Times New Roman" w:hAnsi="Times New Roman"/>
                <w:b/>
                <w:bCs/>
                <w:sz w:val="24"/>
                <w:szCs w:val="24"/>
                <w:lang w:val="sk-SK" w:eastAsia="sk-SK"/>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2151F6" w:rsidRPr="002151F6" w:rsidP="00501AD0">
            <w:pPr>
              <w:bidi w:val="0"/>
              <w:spacing w:after="0" w:line="240" w:lineRule="auto"/>
              <w:jc w:val="center"/>
              <w:rPr>
                <w:rFonts w:ascii="Times New Roman" w:hAnsi="Times New Roman"/>
                <w:b/>
                <w:bCs/>
                <w:sz w:val="24"/>
                <w:szCs w:val="24"/>
                <w:lang w:val="sk-SK"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2151F6" w:rsidRPr="002151F6" w:rsidP="00501AD0">
            <w:pPr>
              <w:bidi w:val="0"/>
              <w:spacing w:after="0" w:line="240" w:lineRule="auto"/>
              <w:jc w:val="center"/>
              <w:rPr>
                <w:rFonts w:ascii="Times New Roman" w:hAnsi="Times New Roman"/>
                <w:b/>
                <w:bCs/>
                <w:sz w:val="24"/>
                <w:szCs w:val="24"/>
                <w:lang w:val="sk-SK" w:eastAsia="sk-SK"/>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2151F6" w:rsidRPr="002151F6" w:rsidP="00501AD0">
            <w:pPr>
              <w:bidi w:val="0"/>
              <w:spacing w:after="0" w:line="240" w:lineRule="auto"/>
              <w:jc w:val="center"/>
              <w:rPr>
                <w:rFonts w:ascii="Times New Roman" w:hAnsi="Times New Roman"/>
                <w:b/>
                <w:bCs/>
                <w:sz w:val="24"/>
                <w:szCs w:val="24"/>
                <w:lang w:val="sk-SK" w:eastAsia="sk-SK"/>
              </w:rPr>
            </w:pPr>
          </w:p>
        </w:tc>
        <w:tc>
          <w:tcPr>
            <w:tcW w:w="1722" w:type="dxa"/>
            <w:tcBorders>
              <w:top w:val="single" w:sz="4" w:space="0" w:color="auto"/>
              <w:left w:val="nil"/>
              <w:bottom w:val="single" w:sz="4" w:space="0" w:color="auto"/>
              <w:right w:val="single" w:sz="4" w:space="0" w:color="auto"/>
            </w:tcBorders>
            <w:textDirection w:val="lrTb"/>
            <w:vAlign w:val="top"/>
          </w:tcPr>
          <w:p w:rsidR="002151F6" w:rsidRPr="002151F6" w:rsidP="00501AD0">
            <w:pPr>
              <w:bidi w:val="0"/>
              <w:spacing w:after="0" w:line="240" w:lineRule="auto"/>
              <w:jc w:val="center"/>
              <w:rPr>
                <w:rFonts w:ascii="Times New Roman" w:hAnsi="Times New Roman"/>
                <w:b/>
                <w:bCs/>
                <w:sz w:val="24"/>
                <w:szCs w:val="24"/>
                <w:lang w:val="sk-SK"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2151F6" w:rsidRPr="002151F6" w:rsidP="00501AD0">
            <w:pPr>
              <w:bidi w:val="0"/>
              <w:spacing w:after="0" w:line="240" w:lineRule="auto"/>
              <w:rPr>
                <w:rFonts w:ascii="Times New Roman" w:hAnsi="Times New Roman"/>
                <w:sz w:val="24"/>
                <w:szCs w:val="24"/>
                <w:lang w:val="sk-SK" w:eastAsia="sk-SK"/>
              </w:rPr>
            </w:pPr>
            <w:r w:rsidRPr="002151F6">
              <w:rPr>
                <w:rFonts w:ascii="Times New Roman" w:hAnsi="Times New Roman"/>
                <w:sz w:val="24"/>
                <w:szCs w:val="24"/>
                <w:lang w:val="sk-SK" w:eastAsia="sk-SK"/>
              </w:rPr>
              <w:t> </w:t>
            </w:r>
          </w:p>
        </w:tc>
      </w:tr>
      <w:tr>
        <w:tblPrEx>
          <w:tblW w:w="15434" w:type="dxa"/>
          <w:tblInd w:w="-450"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151F6" w:rsidRPr="002151F6" w:rsidP="00501AD0">
            <w:pPr>
              <w:bidi w:val="0"/>
              <w:spacing w:after="0" w:line="240" w:lineRule="auto"/>
              <w:rPr>
                <w:rFonts w:ascii="Times New Roman" w:hAnsi="Times New Roman"/>
                <w:sz w:val="24"/>
                <w:szCs w:val="24"/>
                <w:lang w:val="sk-SK" w:eastAsia="sk-SK"/>
              </w:rPr>
            </w:pPr>
            <w:r w:rsidRPr="002151F6">
              <w:rPr>
                <w:rFonts w:ascii="Times New Roman" w:hAnsi="Times New Roman"/>
                <w:b/>
                <w:bCs/>
                <w:sz w:val="24"/>
                <w:szCs w:val="24"/>
                <w:lang w:val="sk-SK"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2151F6" w:rsidRPr="002151F6" w:rsidP="00501AD0">
            <w:pPr>
              <w:bidi w:val="0"/>
              <w:spacing w:after="0" w:line="240" w:lineRule="auto"/>
              <w:jc w:val="center"/>
              <w:rPr>
                <w:rFonts w:ascii="Times New Roman" w:hAnsi="Times New Roman"/>
                <w:sz w:val="24"/>
                <w:szCs w:val="24"/>
                <w:lang w:val="sk-SK" w:eastAsia="sk-SK"/>
              </w:rPr>
            </w:pPr>
            <w:r w:rsidRPr="002151F6">
              <w:rPr>
                <w:rFonts w:ascii="Times New Roman" w:hAnsi="Times New Roman"/>
                <w:sz w:val="24"/>
                <w:szCs w:val="24"/>
                <w:lang w:val="sk-SK" w:eastAsia="sk-SK"/>
              </w:rPr>
              <w:t> </w:t>
            </w:r>
          </w:p>
        </w:tc>
        <w:tc>
          <w:tcPr>
            <w:tcW w:w="1788" w:type="dxa"/>
            <w:tcBorders>
              <w:top w:val="single" w:sz="4" w:space="0" w:color="auto"/>
              <w:left w:val="nil"/>
              <w:bottom w:val="single" w:sz="4" w:space="0" w:color="auto"/>
              <w:right w:val="single" w:sz="4" w:space="0" w:color="auto"/>
            </w:tcBorders>
            <w:textDirection w:val="lrTb"/>
            <w:vAlign w:val="top"/>
          </w:tcPr>
          <w:p w:rsidR="002151F6" w:rsidRPr="002151F6" w:rsidP="00501AD0">
            <w:pPr>
              <w:bidi w:val="0"/>
              <w:spacing w:after="0" w:line="240" w:lineRule="auto"/>
              <w:jc w:val="center"/>
              <w:rPr>
                <w:rFonts w:ascii="Times New Roman" w:hAnsi="Times New Roman"/>
                <w:sz w:val="24"/>
                <w:szCs w:val="24"/>
                <w:lang w:val="sk-SK" w:eastAsia="sk-SK"/>
              </w:rPr>
            </w:pPr>
            <w:r w:rsidRPr="002151F6">
              <w:rPr>
                <w:rFonts w:ascii="Times New Roman" w:hAnsi="Times New Roman"/>
                <w:sz w:val="24"/>
                <w:szCs w:val="24"/>
                <w:lang w:val="sk-SK" w:eastAsia="sk-SK"/>
              </w:rPr>
              <w:t> </w:t>
            </w:r>
          </w:p>
        </w:tc>
        <w:tc>
          <w:tcPr>
            <w:tcW w:w="2418" w:type="dxa"/>
            <w:gridSpan w:val="2"/>
            <w:tcBorders>
              <w:top w:val="single" w:sz="4" w:space="0" w:color="auto"/>
              <w:left w:val="nil"/>
              <w:bottom w:val="single" w:sz="4" w:space="0" w:color="auto"/>
              <w:right w:val="single" w:sz="4" w:space="0" w:color="auto"/>
            </w:tcBorders>
            <w:textDirection w:val="lrTb"/>
            <w:vAlign w:val="top"/>
          </w:tcPr>
          <w:p w:rsidR="002151F6" w:rsidRPr="002151F6" w:rsidP="00501AD0">
            <w:pPr>
              <w:bidi w:val="0"/>
              <w:spacing w:after="0" w:line="240" w:lineRule="auto"/>
              <w:jc w:val="center"/>
              <w:rPr>
                <w:rFonts w:ascii="Times New Roman" w:hAnsi="Times New Roman"/>
                <w:sz w:val="24"/>
                <w:szCs w:val="24"/>
                <w:lang w:val="sk-SK" w:eastAsia="sk-SK"/>
              </w:rPr>
            </w:pPr>
            <w:r w:rsidRPr="002151F6">
              <w:rPr>
                <w:rFonts w:ascii="Times New Roman" w:hAnsi="Times New Roman"/>
                <w:sz w:val="24"/>
                <w:szCs w:val="24"/>
                <w:lang w:val="sk-SK" w:eastAsia="sk-SK"/>
              </w:rPr>
              <w:t> </w:t>
            </w:r>
          </w:p>
        </w:tc>
        <w:tc>
          <w:tcPr>
            <w:tcW w:w="1722" w:type="dxa"/>
            <w:tcBorders>
              <w:top w:val="single" w:sz="4" w:space="0" w:color="auto"/>
              <w:left w:val="nil"/>
              <w:bottom w:val="single" w:sz="4" w:space="0" w:color="auto"/>
              <w:right w:val="single" w:sz="4" w:space="0" w:color="auto"/>
            </w:tcBorders>
            <w:textDirection w:val="lrTb"/>
            <w:vAlign w:val="top"/>
          </w:tcPr>
          <w:p w:rsidR="002151F6" w:rsidRPr="002151F6" w:rsidP="00501AD0">
            <w:pPr>
              <w:bidi w:val="0"/>
              <w:spacing w:after="0" w:line="240" w:lineRule="auto"/>
              <w:jc w:val="center"/>
              <w:rPr>
                <w:rFonts w:ascii="Times New Roman" w:hAnsi="Times New Roman"/>
                <w:sz w:val="24"/>
                <w:szCs w:val="24"/>
                <w:lang w:val="sk-SK" w:eastAsia="sk-SK"/>
              </w:rPr>
            </w:pPr>
            <w:r w:rsidRPr="002151F6">
              <w:rPr>
                <w:rFonts w:ascii="Times New Roman" w:hAnsi="Times New Roman"/>
                <w:sz w:val="24"/>
                <w:szCs w:val="24"/>
                <w:lang w:val="sk-SK" w:eastAsia="sk-SK"/>
              </w:rPr>
              <w:t> </w:t>
            </w:r>
          </w:p>
        </w:tc>
        <w:tc>
          <w:tcPr>
            <w:tcW w:w="1620" w:type="dxa"/>
            <w:gridSpan w:val="2"/>
            <w:tcBorders>
              <w:top w:val="nil"/>
              <w:left w:val="nil"/>
              <w:bottom w:val="single" w:sz="4" w:space="0" w:color="auto"/>
              <w:right w:val="single" w:sz="4" w:space="0" w:color="auto"/>
            </w:tcBorders>
            <w:noWrap/>
            <w:textDirection w:val="lrTb"/>
            <w:vAlign w:val="bottom"/>
          </w:tcPr>
          <w:p w:rsidR="002151F6" w:rsidRPr="002151F6" w:rsidP="00501AD0">
            <w:pPr>
              <w:bidi w:val="0"/>
              <w:spacing w:after="0" w:line="240" w:lineRule="auto"/>
              <w:rPr>
                <w:rFonts w:ascii="Times New Roman" w:hAnsi="Times New Roman"/>
                <w:sz w:val="24"/>
                <w:szCs w:val="24"/>
                <w:lang w:val="sk-SK" w:eastAsia="sk-SK"/>
              </w:rPr>
            </w:pPr>
            <w:r w:rsidRPr="002151F6">
              <w:rPr>
                <w:rFonts w:ascii="Times New Roman" w:hAnsi="Times New Roman"/>
                <w:sz w:val="24"/>
                <w:szCs w:val="24"/>
                <w:lang w:val="sk-SK" w:eastAsia="sk-SK"/>
              </w:rPr>
              <w:t> </w:t>
            </w:r>
          </w:p>
        </w:tc>
      </w:tr>
      <w:tr>
        <w:tblPrEx>
          <w:tblW w:w="15434" w:type="dxa"/>
          <w:tblInd w:w="-450"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BFBFBF"/>
            <w:textDirection w:val="lrTb"/>
            <w:vAlign w:val="top"/>
          </w:tcPr>
          <w:p w:rsidR="002151F6" w:rsidRPr="002151F6" w:rsidP="00501AD0">
            <w:pPr>
              <w:bidi w:val="0"/>
              <w:spacing w:after="0" w:line="240" w:lineRule="auto"/>
              <w:rPr>
                <w:rFonts w:ascii="Times New Roman" w:hAnsi="Times New Roman"/>
                <w:b/>
                <w:bCs/>
                <w:sz w:val="24"/>
                <w:szCs w:val="24"/>
                <w:lang w:val="sk-SK" w:eastAsia="sk-SK"/>
              </w:rPr>
            </w:pPr>
            <w:r w:rsidRPr="002151F6">
              <w:rPr>
                <w:rFonts w:ascii="Times New Roman" w:hAnsi="Times New Roman"/>
                <w:b/>
                <w:bCs/>
                <w:sz w:val="24"/>
                <w:szCs w:val="24"/>
                <w:lang w:val="sk-SK" w:eastAsia="sk-SK"/>
              </w:rPr>
              <w:t>Osobné výdavky celkom (v eurách)</w:t>
            </w:r>
          </w:p>
        </w:tc>
        <w:tc>
          <w:tcPr>
            <w:tcW w:w="1698" w:type="dxa"/>
            <w:tcBorders>
              <w:top w:val="nil"/>
              <w:left w:val="nil"/>
              <w:bottom w:val="single" w:sz="4" w:space="0" w:color="auto"/>
              <w:right w:val="single" w:sz="4" w:space="0" w:color="auto"/>
            </w:tcBorders>
            <w:shd w:val="clear" w:color="auto" w:fill="BFBFBF"/>
            <w:textDirection w:val="lrTb"/>
            <w:vAlign w:val="top"/>
          </w:tcPr>
          <w:p w:rsidR="002151F6" w:rsidRPr="002151F6" w:rsidP="00501AD0">
            <w:pPr>
              <w:bidi w:val="0"/>
              <w:spacing w:after="0" w:line="240" w:lineRule="auto"/>
              <w:jc w:val="center"/>
              <w:rPr>
                <w:rFonts w:ascii="Times New Roman" w:hAnsi="Times New Roman"/>
                <w:b/>
                <w:bCs/>
                <w:sz w:val="24"/>
                <w:szCs w:val="24"/>
                <w:lang w:val="sk-SK" w:eastAsia="sk-SK"/>
              </w:rPr>
            </w:pPr>
            <w:r w:rsidRPr="002151F6">
              <w:rPr>
                <w:rFonts w:ascii="Times New Roman" w:hAnsi="Times New Roman"/>
                <w:b/>
                <w:bCs/>
                <w:sz w:val="24"/>
                <w:szCs w:val="24"/>
                <w:lang w:val="sk-SK" w:eastAsia="sk-SK"/>
              </w:rPr>
              <w:t>0</w:t>
            </w:r>
          </w:p>
        </w:tc>
        <w:tc>
          <w:tcPr>
            <w:tcW w:w="1788" w:type="dxa"/>
            <w:tcBorders>
              <w:top w:val="nil"/>
              <w:left w:val="nil"/>
              <w:bottom w:val="single" w:sz="4" w:space="0" w:color="auto"/>
              <w:right w:val="single" w:sz="4" w:space="0" w:color="auto"/>
            </w:tcBorders>
            <w:shd w:val="clear" w:color="auto" w:fill="BFBFBF"/>
            <w:textDirection w:val="lrTb"/>
            <w:vAlign w:val="top"/>
          </w:tcPr>
          <w:p w:rsidR="002151F6" w:rsidRPr="002151F6" w:rsidP="00501AD0">
            <w:pPr>
              <w:bidi w:val="0"/>
              <w:spacing w:after="0" w:line="240" w:lineRule="auto"/>
              <w:jc w:val="center"/>
              <w:rPr>
                <w:rFonts w:ascii="Times New Roman" w:hAnsi="Times New Roman"/>
                <w:b/>
                <w:bCs/>
                <w:sz w:val="24"/>
                <w:szCs w:val="24"/>
                <w:lang w:val="sk-SK" w:eastAsia="sk-SK"/>
              </w:rPr>
            </w:pPr>
            <w:r w:rsidRPr="002151F6">
              <w:rPr>
                <w:rFonts w:ascii="Times New Roman" w:hAnsi="Times New Roman"/>
                <w:b/>
                <w:bCs/>
                <w:sz w:val="24"/>
                <w:szCs w:val="24"/>
                <w:lang w:val="sk-SK" w:eastAsia="sk-SK"/>
              </w:rPr>
              <w:t>0</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2151F6" w:rsidRPr="002151F6" w:rsidP="00501AD0">
            <w:pPr>
              <w:bidi w:val="0"/>
              <w:spacing w:after="0" w:line="240" w:lineRule="auto"/>
              <w:jc w:val="center"/>
              <w:rPr>
                <w:rFonts w:ascii="Times New Roman" w:hAnsi="Times New Roman"/>
                <w:b/>
                <w:bCs/>
                <w:sz w:val="24"/>
                <w:szCs w:val="24"/>
                <w:lang w:val="sk-SK" w:eastAsia="sk-SK"/>
              </w:rPr>
            </w:pPr>
            <w:r w:rsidRPr="002151F6">
              <w:rPr>
                <w:rFonts w:ascii="Times New Roman" w:hAnsi="Times New Roman"/>
                <w:b/>
                <w:bCs/>
                <w:sz w:val="24"/>
                <w:szCs w:val="24"/>
                <w:lang w:val="sk-SK" w:eastAsia="sk-SK"/>
              </w:rPr>
              <w:t>0</w:t>
            </w:r>
          </w:p>
        </w:tc>
        <w:tc>
          <w:tcPr>
            <w:tcW w:w="1722" w:type="dxa"/>
            <w:tcBorders>
              <w:top w:val="nil"/>
              <w:left w:val="nil"/>
              <w:bottom w:val="single" w:sz="4" w:space="0" w:color="auto"/>
              <w:right w:val="single" w:sz="4" w:space="0" w:color="auto"/>
            </w:tcBorders>
            <w:shd w:val="clear" w:color="auto" w:fill="BFBFBF"/>
            <w:textDirection w:val="lrTb"/>
            <w:vAlign w:val="top"/>
          </w:tcPr>
          <w:p w:rsidR="002151F6" w:rsidRPr="002151F6" w:rsidP="00501AD0">
            <w:pPr>
              <w:bidi w:val="0"/>
              <w:spacing w:after="0" w:line="240" w:lineRule="auto"/>
              <w:jc w:val="center"/>
              <w:rPr>
                <w:rFonts w:ascii="Times New Roman" w:hAnsi="Times New Roman"/>
                <w:b/>
                <w:bCs/>
                <w:sz w:val="24"/>
                <w:szCs w:val="24"/>
                <w:lang w:val="sk-SK" w:eastAsia="sk-SK"/>
              </w:rPr>
            </w:pPr>
            <w:r w:rsidRPr="002151F6">
              <w:rPr>
                <w:rFonts w:ascii="Times New Roman" w:hAnsi="Times New Roman"/>
                <w:b/>
                <w:bCs/>
                <w:sz w:val="24"/>
                <w:szCs w:val="24"/>
                <w:lang w:val="sk-SK" w:eastAsia="sk-SK"/>
              </w:rPr>
              <w:t>0</w:t>
            </w:r>
          </w:p>
        </w:tc>
        <w:tc>
          <w:tcPr>
            <w:tcW w:w="1620" w:type="dxa"/>
            <w:gridSpan w:val="2"/>
            <w:tcBorders>
              <w:top w:val="nil"/>
              <w:left w:val="nil"/>
              <w:bottom w:val="single" w:sz="4" w:space="0" w:color="auto"/>
              <w:right w:val="single" w:sz="4" w:space="0" w:color="auto"/>
            </w:tcBorders>
            <w:shd w:val="clear" w:color="auto" w:fill="BFBFBF"/>
            <w:noWrap/>
            <w:textDirection w:val="lrTb"/>
            <w:vAlign w:val="bottom"/>
          </w:tcPr>
          <w:p w:rsidR="002151F6" w:rsidRPr="002151F6" w:rsidP="00501AD0">
            <w:pPr>
              <w:bidi w:val="0"/>
              <w:spacing w:after="0" w:line="240" w:lineRule="auto"/>
              <w:rPr>
                <w:rFonts w:ascii="Times New Roman" w:hAnsi="Times New Roman"/>
                <w:b/>
                <w:bCs/>
                <w:sz w:val="24"/>
                <w:szCs w:val="24"/>
                <w:lang w:val="sk-SK" w:eastAsia="sk-SK"/>
              </w:rPr>
            </w:pPr>
            <w:r w:rsidRPr="002151F6">
              <w:rPr>
                <w:rFonts w:ascii="Times New Roman" w:hAnsi="Times New Roman"/>
                <w:b/>
                <w:bCs/>
                <w:sz w:val="24"/>
                <w:szCs w:val="24"/>
                <w:lang w:val="sk-SK" w:eastAsia="sk-SK"/>
              </w:rPr>
              <w:t> </w:t>
            </w:r>
          </w:p>
        </w:tc>
      </w:tr>
      <w:tr>
        <w:tblPrEx>
          <w:tblW w:w="15434" w:type="dxa"/>
          <w:tblInd w:w="-450"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151F6" w:rsidRPr="002151F6" w:rsidP="00501AD0">
            <w:pPr>
              <w:bidi w:val="0"/>
              <w:spacing w:after="0" w:line="240" w:lineRule="auto"/>
              <w:rPr>
                <w:rFonts w:ascii="Times New Roman" w:hAnsi="Times New Roman"/>
                <w:b/>
                <w:bCs/>
                <w:sz w:val="24"/>
                <w:szCs w:val="24"/>
                <w:lang w:val="sk-SK" w:eastAsia="sk-SK"/>
              </w:rPr>
            </w:pPr>
            <w:r w:rsidRPr="002151F6">
              <w:rPr>
                <w:rFonts w:ascii="Times New Roman" w:hAnsi="Times New Roman"/>
                <w:b/>
                <w:bCs/>
                <w:sz w:val="24"/>
                <w:szCs w:val="24"/>
                <w:lang w:val="sk-SK" w:eastAsia="sk-SK"/>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top"/>
          </w:tcPr>
          <w:p w:rsidR="002151F6" w:rsidRPr="002151F6" w:rsidP="00501AD0">
            <w:pPr>
              <w:bidi w:val="0"/>
              <w:spacing w:after="0" w:line="240" w:lineRule="auto"/>
              <w:jc w:val="center"/>
              <w:rPr>
                <w:rFonts w:ascii="Times New Roman" w:hAnsi="Times New Roman"/>
                <w:b/>
                <w:bCs/>
                <w:sz w:val="24"/>
                <w:szCs w:val="24"/>
                <w:lang w:val="sk-SK" w:eastAsia="sk-SK"/>
              </w:rPr>
            </w:pPr>
          </w:p>
        </w:tc>
        <w:tc>
          <w:tcPr>
            <w:tcW w:w="1788" w:type="dxa"/>
            <w:tcBorders>
              <w:top w:val="nil"/>
              <w:left w:val="nil"/>
              <w:bottom w:val="single" w:sz="4" w:space="0" w:color="auto"/>
              <w:right w:val="single" w:sz="4" w:space="0" w:color="auto"/>
            </w:tcBorders>
            <w:textDirection w:val="lrTb"/>
            <w:vAlign w:val="top"/>
          </w:tcPr>
          <w:p w:rsidR="002151F6" w:rsidRPr="002151F6" w:rsidP="00501AD0">
            <w:pPr>
              <w:bidi w:val="0"/>
              <w:spacing w:after="0" w:line="240" w:lineRule="auto"/>
              <w:jc w:val="center"/>
              <w:rPr>
                <w:rFonts w:ascii="Times New Roman" w:hAnsi="Times New Roman"/>
                <w:b/>
                <w:bCs/>
                <w:sz w:val="24"/>
                <w:szCs w:val="24"/>
                <w:lang w:val="sk-SK" w:eastAsia="sk-SK"/>
              </w:rPr>
            </w:pPr>
          </w:p>
        </w:tc>
        <w:tc>
          <w:tcPr>
            <w:tcW w:w="2418" w:type="dxa"/>
            <w:gridSpan w:val="2"/>
            <w:tcBorders>
              <w:top w:val="nil"/>
              <w:left w:val="nil"/>
              <w:bottom w:val="single" w:sz="4" w:space="0" w:color="auto"/>
              <w:right w:val="single" w:sz="4" w:space="0" w:color="auto"/>
            </w:tcBorders>
            <w:textDirection w:val="lrTb"/>
            <w:vAlign w:val="top"/>
          </w:tcPr>
          <w:p w:rsidR="002151F6" w:rsidRPr="002151F6" w:rsidP="00501AD0">
            <w:pPr>
              <w:bidi w:val="0"/>
              <w:spacing w:after="0" w:line="240" w:lineRule="auto"/>
              <w:jc w:val="center"/>
              <w:rPr>
                <w:rFonts w:ascii="Times New Roman" w:hAnsi="Times New Roman"/>
                <w:b/>
                <w:bCs/>
                <w:sz w:val="24"/>
                <w:szCs w:val="24"/>
                <w:lang w:val="sk-SK" w:eastAsia="sk-SK"/>
              </w:rPr>
            </w:pPr>
          </w:p>
        </w:tc>
        <w:tc>
          <w:tcPr>
            <w:tcW w:w="1722" w:type="dxa"/>
            <w:tcBorders>
              <w:top w:val="nil"/>
              <w:left w:val="nil"/>
              <w:bottom w:val="single" w:sz="4" w:space="0" w:color="auto"/>
              <w:right w:val="single" w:sz="4" w:space="0" w:color="auto"/>
            </w:tcBorders>
            <w:textDirection w:val="lrTb"/>
            <w:vAlign w:val="top"/>
          </w:tcPr>
          <w:p w:rsidR="002151F6" w:rsidRPr="002151F6" w:rsidP="00501AD0">
            <w:pPr>
              <w:bidi w:val="0"/>
              <w:spacing w:after="0" w:line="240" w:lineRule="auto"/>
              <w:jc w:val="center"/>
              <w:rPr>
                <w:rFonts w:ascii="Times New Roman" w:hAnsi="Times New Roman"/>
                <w:b/>
                <w:bCs/>
                <w:sz w:val="24"/>
                <w:szCs w:val="24"/>
                <w:lang w:val="sk-SK"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2151F6" w:rsidRPr="002151F6" w:rsidP="00501AD0">
            <w:pPr>
              <w:bidi w:val="0"/>
              <w:spacing w:after="0" w:line="240" w:lineRule="auto"/>
              <w:rPr>
                <w:rFonts w:ascii="Times New Roman" w:hAnsi="Times New Roman"/>
                <w:b/>
                <w:bCs/>
                <w:sz w:val="24"/>
                <w:szCs w:val="24"/>
                <w:lang w:val="sk-SK" w:eastAsia="sk-SK"/>
              </w:rPr>
            </w:pPr>
            <w:r w:rsidRPr="002151F6">
              <w:rPr>
                <w:rFonts w:ascii="Times New Roman" w:hAnsi="Times New Roman"/>
                <w:b/>
                <w:bCs/>
                <w:sz w:val="24"/>
                <w:szCs w:val="24"/>
                <w:lang w:val="sk-SK" w:eastAsia="sk-SK"/>
              </w:rPr>
              <w:t> </w:t>
            </w:r>
          </w:p>
        </w:tc>
      </w:tr>
      <w:tr>
        <w:tblPrEx>
          <w:tblW w:w="15434" w:type="dxa"/>
          <w:tblInd w:w="-450"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151F6" w:rsidRPr="002151F6" w:rsidP="00501AD0">
            <w:pPr>
              <w:bidi w:val="0"/>
              <w:spacing w:after="0" w:line="240" w:lineRule="auto"/>
              <w:rPr>
                <w:rFonts w:ascii="Times New Roman" w:hAnsi="Times New Roman"/>
                <w:sz w:val="24"/>
                <w:szCs w:val="24"/>
                <w:lang w:val="sk-SK" w:eastAsia="sk-SK"/>
              </w:rPr>
            </w:pPr>
            <w:r w:rsidRPr="002151F6">
              <w:rPr>
                <w:rFonts w:ascii="Times New Roman" w:hAnsi="Times New Roman"/>
                <w:b/>
                <w:bCs/>
                <w:sz w:val="24"/>
                <w:szCs w:val="24"/>
                <w:lang w:val="sk-SK"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2151F6" w:rsidRPr="002151F6" w:rsidP="00501AD0">
            <w:pPr>
              <w:bidi w:val="0"/>
              <w:spacing w:after="0" w:line="240" w:lineRule="auto"/>
              <w:jc w:val="center"/>
              <w:rPr>
                <w:rFonts w:ascii="Times New Roman" w:hAnsi="Times New Roman"/>
                <w:sz w:val="24"/>
                <w:szCs w:val="24"/>
                <w:lang w:val="sk-SK" w:eastAsia="sk-SK"/>
              </w:rPr>
            </w:pPr>
          </w:p>
        </w:tc>
        <w:tc>
          <w:tcPr>
            <w:tcW w:w="1788" w:type="dxa"/>
            <w:tcBorders>
              <w:top w:val="nil"/>
              <w:left w:val="nil"/>
              <w:bottom w:val="single" w:sz="4" w:space="0" w:color="auto"/>
              <w:right w:val="single" w:sz="4" w:space="0" w:color="auto"/>
            </w:tcBorders>
            <w:textDirection w:val="lrTb"/>
            <w:vAlign w:val="top"/>
          </w:tcPr>
          <w:p w:rsidR="002151F6" w:rsidRPr="002151F6" w:rsidP="00501AD0">
            <w:pPr>
              <w:bidi w:val="0"/>
              <w:spacing w:after="0" w:line="240" w:lineRule="auto"/>
              <w:jc w:val="center"/>
              <w:rPr>
                <w:rFonts w:ascii="Times New Roman" w:hAnsi="Times New Roman"/>
                <w:sz w:val="24"/>
                <w:szCs w:val="24"/>
                <w:lang w:val="sk-SK" w:eastAsia="sk-SK"/>
              </w:rPr>
            </w:pPr>
          </w:p>
        </w:tc>
        <w:tc>
          <w:tcPr>
            <w:tcW w:w="2418" w:type="dxa"/>
            <w:gridSpan w:val="2"/>
            <w:tcBorders>
              <w:top w:val="nil"/>
              <w:left w:val="nil"/>
              <w:bottom w:val="single" w:sz="4" w:space="0" w:color="auto"/>
              <w:right w:val="single" w:sz="4" w:space="0" w:color="auto"/>
            </w:tcBorders>
            <w:textDirection w:val="lrTb"/>
            <w:vAlign w:val="top"/>
          </w:tcPr>
          <w:p w:rsidR="002151F6" w:rsidRPr="002151F6" w:rsidP="00501AD0">
            <w:pPr>
              <w:bidi w:val="0"/>
              <w:spacing w:after="0" w:line="240" w:lineRule="auto"/>
              <w:jc w:val="center"/>
              <w:rPr>
                <w:rFonts w:ascii="Times New Roman" w:hAnsi="Times New Roman"/>
                <w:sz w:val="24"/>
                <w:szCs w:val="24"/>
                <w:lang w:val="sk-SK" w:eastAsia="sk-SK"/>
              </w:rPr>
            </w:pPr>
          </w:p>
        </w:tc>
        <w:tc>
          <w:tcPr>
            <w:tcW w:w="1722" w:type="dxa"/>
            <w:tcBorders>
              <w:top w:val="nil"/>
              <w:left w:val="nil"/>
              <w:bottom w:val="single" w:sz="4" w:space="0" w:color="auto"/>
              <w:right w:val="single" w:sz="4" w:space="0" w:color="auto"/>
            </w:tcBorders>
            <w:textDirection w:val="lrTb"/>
            <w:vAlign w:val="top"/>
          </w:tcPr>
          <w:p w:rsidR="002151F6" w:rsidRPr="002151F6" w:rsidP="00501AD0">
            <w:pPr>
              <w:bidi w:val="0"/>
              <w:spacing w:after="0" w:line="240" w:lineRule="auto"/>
              <w:jc w:val="center"/>
              <w:rPr>
                <w:rFonts w:ascii="Times New Roman" w:hAnsi="Times New Roman"/>
                <w:sz w:val="24"/>
                <w:szCs w:val="24"/>
                <w:lang w:val="sk-SK"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2151F6" w:rsidRPr="002151F6" w:rsidP="00501AD0">
            <w:pPr>
              <w:bidi w:val="0"/>
              <w:spacing w:after="0" w:line="240" w:lineRule="auto"/>
              <w:rPr>
                <w:rFonts w:ascii="Times New Roman" w:hAnsi="Times New Roman"/>
                <w:sz w:val="24"/>
                <w:szCs w:val="24"/>
                <w:lang w:val="sk-SK" w:eastAsia="sk-SK"/>
              </w:rPr>
            </w:pPr>
            <w:r w:rsidRPr="002151F6">
              <w:rPr>
                <w:rFonts w:ascii="Times New Roman" w:hAnsi="Times New Roman"/>
                <w:sz w:val="24"/>
                <w:szCs w:val="24"/>
                <w:lang w:val="sk-SK" w:eastAsia="sk-SK"/>
              </w:rPr>
              <w:t> </w:t>
            </w:r>
          </w:p>
        </w:tc>
      </w:tr>
      <w:tr>
        <w:tblPrEx>
          <w:tblW w:w="15434" w:type="dxa"/>
          <w:tblInd w:w="-450"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151F6" w:rsidRPr="002151F6" w:rsidP="00501AD0">
            <w:pPr>
              <w:bidi w:val="0"/>
              <w:spacing w:after="0" w:line="240" w:lineRule="auto"/>
              <w:rPr>
                <w:rFonts w:ascii="Times New Roman" w:hAnsi="Times New Roman"/>
                <w:b/>
                <w:bCs/>
                <w:sz w:val="24"/>
                <w:szCs w:val="24"/>
                <w:lang w:val="sk-SK" w:eastAsia="sk-SK"/>
              </w:rPr>
            </w:pPr>
            <w:r w:rsidRPr="002151F6">
              <w:rPr>
                <w:rFonts w:ascii="Times New Roman" w:hAnsi="Times New Roman"/>
                <w:b/>
                <w:bCs/>
                <w:sz w:val="24"/>
                <w:szCs w:val="24"/>
                <w:lang w:val="sk-SK" w:eastAsia="sk-SK"/>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2151F6" w:rsidRPr="002151F6" w:rsidP="00501AD0">
            <w:pPr>
              <w:bidi w:val="0"/>
              <w:spacing w:after="0" w:line="240" w:lineRule="auto"/>
              <w:jc w:val="center"/>
              <w:rPr>
                <w:rFonts w:ascii="Times New Roman" w:hAnsi="Times New Roman"/>
                <w:b/>
                <w:bCs/>
                <w:sz w:val="24"/>
                <w:szCs w:val="24"/>
                <w:lang w:val="sk-SK" w:eastAsia="sk-SK"/>
              </w:rPr>
            </w:pPr>
          </w:p>
        </w:tc>
        <w:tc>
          <w:tcPr>
            <w:tcW w:w="1788" w:type="dxa"/>
            <w:tcBorders>
              <w:top w:val="nil"/>
              <w:left w:val="nil"/>
              <w:bottom w:val="single" w:sz="4" w:space="0" w:color="auto"/>
              <w:right w:val="single" w:sz="4" w:space="0" w:color="auto"/>
            </w:tcBorders>
            <w:textDirection w:val="lrTb"/>
            <w:vAlign w:val="top"/>
          </w:tcPr>
          <w:p w:rsidR="002151F6" w:rsidRPr="002151F6" w:rsidP="00501AD0">
            <w:pPr>
              <w:bidi w:val="0"/>
              <w:spacing w:after="0" w:line="240" w:lineRule="auto"/>
              <w:jc w:val="center"/>
              <w:rPr>
                <w:rFonts w:ascii="Times New Roman" w:hAnsi="Times New Roman"/>
                <w:b/>
                <w:bCs/>
                <w:sz w:val="24"/>
                <w:szCs w:val="24"/>
                <w:lang w:val="sk-SK" w:eastAsia="sk-SK"/>
              </w:rPr>
            </w:pPr>
          </w:p>
        </w:tc>
        <w:tc>
          <w:tcPr>
            <w:tcW w:w="2418" w:type="dxa"/>
            <w:gridSpan w:val="2"/>
            <w:tcBorders>
              <w:top w:val="nil"/>
              <w:left w:val="nil"/>
              <w:bottom w:val="single" w:sz="4" w:space="0" w:color="auto"/>
              <w:right w:val="single" w:sz="4" w:space="0" w:color="auto"/>
            </w:tcBorders>
            <w:textDirection w:val="lrTb"/>
            <w:vAlign w:val="top"/>
          </w:tcPr>
          <w:p w:rsidR="002151F6" w:rsidRPr="002151F6" w:rsidP="00501AD0">
            <w:pPr>
              <w:bidi w:val="0"/>
              <w:spacing w:after="0" w:line="240" w:lineRule="auto"/>
              <w:jc w:val="center"/>
              <w:rPr>
                <w:rFonts w:ascii="Times New Roman" w:hAnsi="Times New Roman"/>
                <w:b/>
                <w:bCs/>
                <w:sz w:val="24"/>
                <w:szCs w:val="24"/>
                <w:lang w:val="sk-SK" w:eastAsia="sk-SK"/>
              </w:rPr>
            </w:pPr>
          </w:p>
        </w:tc>
        <w:tc>
          <w:tcPr>
            <w:tcW w:w="1722" w:type="dxa"/>
            <w:tcBorders>
              <w:top w:val="nil"/>
              <w:left w:val="nil"/>
              <w:bottom w:val="single" w:sz="4" w:space="0" w:color="auto"/>
              <w:right w:val="single" w:sz="4" w:space="0" w:color="auto"/>
            </w:tcBorders>
            <w:textDirection w:val="lrTb"/>
            <w:vAlign w:val="top"/>
          </w:tcPr>
          <w:p w:rsidR="002151F6" w:rsidRPr="002151F6" w:rsidP="00501AD0">
            <w:pPr>
              <w:bidi w:val="0"/>
              <w:spacing w:after="0" w:line="240" w:lineRule="auto"/>
              <w:jc w:val="center"/>
              <w:rPr>
                <w:rFonts w:ascii="Times New Roman" w:hAnsi="Times New Roman"/>
                <w:b/>
                <w:bCs/>
                <w:sz w:val="24"/>
                <w:szCs w:val="24"/>
                <w:lang w:val="sk-SK"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2151F6" w:rsidRPr="002151F6" w:rsidP="00501AD0">
            <w:pPr>
              <w:bidi w:val="0"/>
              <w:spacing w:after="0" w:line="240" w:lineRule="auto"/>
              <w:rPr>
                <w:rFonts w:ascii="Times New Roman" w:hAnsi="Times New Roman"/>
                <w:b/>
                <w:bCs/>
                <w:sz w:val="24"/>
                <w:szCs w:val="24"/>
                <w:lang w:val="sk-SK" w:eastAsia="sk-SK"/>
              </w:rPr>
            </w:pPr>
            <w:r w:rsidRPr="002151F6">
              <w:rPr>
                <w:rFonts w:ascii="Times New Roman" w:hAnsi="Times New Roman"/>
                <w:b/>
                <w:bCs/>
                <w:sz w:val="24"/>
                <w:szCs w:val="24"/>
                <w:lang w:val="sk-SK" w:eastAsia="sk-SK"/>
              </w:rPr>
              <w:t> </w:t>
            </w:r>
          </w:p>
        </w:tc>
      </w:tr>
      <w:tr>
        <w:tblPrEx>
          <w:tblW w:w="15434" w:type="dxa"/>
          <w:tblInd w:w="-450"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151F6" w:rsidRPr="002151F6" w:rsidP="00501AD0">
            <w:pPr>
              <w:bidi w:val="0"/>
              <w:spacing w:after="0" w:line="240" w:lineRule="auto"/>
              <w:rPr>
                <w:rFonts w:ascii="Times New Roman" w:hAnsi="Times New Roman"/>
                <w:sz w:val="24"/>
                <w:szCs w:val="24"/>
                <w:lang w:val="sk-SK" w:eastAsia="sk-SK"/>
              </w:rPr>
            </w:pPr>
            <w:r w:rsidRPr="002151F6">
              <w:rPr>
                <w:rFonts w:ascii="Times New Roman" w:hAnsi="Times New Roman"/>
                <w:b/>
                <w:bCs/>
                <w:sz w:val="24"/>
                <w:szCs w:val="24"/>
                <w:lang w:val="sk-SK"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2151F6" w:rsidRPr="002151F6" w:rsidP="00501AD0">
            <w:pPr>
              <w:bidi w:val="0"/>
              <w:spacing w:after="0" w:line="240" w:lineRule="auto"/>
              <w:jc w:val="center"/>
              <w:rPr>
                <w:rFonts w:ascii="Times New Roman" w:hAnsi="Times New Roman"/>
                <w:sz w:val="24"/>
                <w:szCs w:val="24"/>
                <w:lang w:val="sk-SK" w:eastAsia="sk-SK"/>
              </w:rPr>
            </w:pPr>
          </w:p>
        </w:tc>
        <w:tc>
          <w:tcPr>
            <w:tcW w:w="1788" w:type="dxa"/>
            <w:tcBorders>
              <w:top w:val="nil"/>
              <w:left w:val="nil"/>
              <w:bottom w:val="single" w:sz="4" w:space="0" w:color="auto"/>
              <w:right w:val="single" w:sz="4" w:space="0" w:color="auto"/>
            </w:tcBorders>
            <w:textDirection w:val="lrTb"/>
            <w:vAlign w:val="top"/>
          </w:tcPr>
          <w:p w:rsidR="002151F6" w:rsidRPr="002151F6" w:rsidP="00501AD0">
            <w:pPr>
              <w:bidi w:val="0"/>
              <w:spacing w:after="0" w:line="240" w:lineRule="auto"/>
              <w:jc w:val="center"/>
              <w:rPr>
                <w:rFonts w:ascii="Times New Roman" w:hAnsi="Times New Roman"/>
                <w:sz w:val="24"/>
                <w:szCs w:val="24"/>
                <w:lang w:val="sk-SK" w:eastAsia="sk-SK"/>
              </w:rPr>
            </w:pPr>
          </w:p>
        </w:tc>
        <w:tc>
          <w:tcPr>
            <w:tcW w:w="2418" w:type="dxa"/>
            <w:gridSpan w:val="2"/>
            <w:tcBorders>
              <w:top w:val="nil"/>
              <w:left w:val="nil"/>
              <w:bottom w:val="single" w:sz="4" w:space="0" w:color="auto"/>
              <w:right w:val="single" w:sz="4" w:space="0" w:color="auto"/>
            </w:tcBorders>
            <w:textDirection w:val="lrTb"/>
            <w:vAlign w:val="top"/>
          </w:tcPr>
          <w:p w:rsidR="002151F6" w:rsidRPr="002151F6" w:rsidP="00501AD0">
            <w:pPr>
              <w:bidi w:val="0"/>
              <w:spacing w:after="0" w:line="240" w:lineRule="auto"/>
              <w:jc w:val="center"/>
              <w:rPr>
                <w:rFonts w:ascii="Times New Roman" w:hAnsi="Times New Roman"/>
                <w:sz w:val="24"/>
                <w:szCs w:val="24"/>
                <w:lang w:val="sk-SK" w:eastAsia="sk-SK"/>
              </w:rPr>
            </w:pPr>
          </w:p>
        </w:tc>
        <w:tc>
          <w:tcPr>
            <w:tcW w:w="1722" w:type="dxa"/>
            <w:tcBorders>
              <w:top w:val="nil"/>
              <w:left w:val="nil"/>
              <w:bottom w:val="single" w:sz="4" w:space="0" w:color="auto"/>
              <w:right w:val="single" w:sz="4" w:space="0" w:color="auto"/>
            </w:tcBorders>
            <w:textDirection w:val="lrTb"/>
            <w:vAlign w:val="top"/>
          </w:tcPr>
          <w:p w:rsidR="002151F6" w:rsidRPr="002151F6" w:rsidP="00501AD0">
            <w:pPr>
              <w:bidi w:val="0"/>
              <w:spacing w:after="0" w:line="240" w:lineRule="auto"/>
              <w:jc w:val="center"/>
              <w:rPr>
                <w:rFonts w:ascii="Times New Roman" w:hAnsi="Times New Roman"/>
                <w:sz w:val="24"/>
                <w:szCs w:val="24"/>
                <w:lang w:val="sk-SK"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2151F6" w:rsidRPr="002151F6" w:rsidP="00501AD0">
            <w:pPr>
              <w:bidi w:val="0"/>
              <w:spacing w:after="0" w:line="240" w:lineRule="auto"/>
              <w:rPr>
                <w:rFonts w:ascii="Times New Roman" w:hAnsi="Times New Roman"/>
                <w:sz w:val="24"/>
                <w:szCs w:val="24"/>
                <w:lang w:val="sk-SK" w:eastAsia="sk-SK"/>
              </w:rPr>
            </w:pPr>
            <w:r w:rsidRPr="002151F6">
              <w:rPr>
                <w:rFonts w:ascii="Times New Roman" w:hAnsi="Times New Roman"/>
                <w:sz w:val="24"/>
                <w:szCs w:val="24"/>
                <w:lang w:val="sk-SK" w:eastAsia="sk-SK"/>
              </w:rPr>
              <w:t> </w:t>
            </w:r>
          </w:p>
        </w:tc>
      </w:tr>
      <w:tr>
        <w:tblPrEx>
          <w:tblW w:w="15434" w:type="dxa"/>
          <w:tblInd w:w="-450" w:type="dxa"/>
          <w:tblCellMar>
            <w:left w:w="70" w:type="dxa"/>
            <w:right w:w="70" w:type="dxa"/>
          </w:tblCellMar>
        </w:tblPrEx>
        <w:trPr>
          <w:trHeight w:val="255"/>
        </w:trPr>
        <w:tc>
          <w:tcPr>
            <w:tcW w:w="6188" w:type="dxa"/>
            <w:tcBorders>
              <w:top w:val="nil"/>
              <w:left w:val="nil"/>
              <w:bottom w:val="nil"/>
              <w:right w:val="nil"/>
            </w:tcBorders>
            <w:noWrap/>
            <w:textDirection w:val="lrTb"/>
            <w:vAlign w:val="bottom"/>
          </w:tcPr>
          <w:p w:rsidR="002151F6" w:rsidRPr="002151F6" w:rsidP="00501AD0">
            <w:pPr>
              <w:bidi w:val="0"/>
              <w:spacing w:after="0" w:line="240" w:lineRule="auto"/>
              <w:rPr>
                <w:rFonts w:ascii="Times New Roman" w:hAnsi="Times New Roman"/>
                <w:sz w:val="24"/>
                <w:szCs w:val="24"/>
                <w:lang w:val="sk-SK" w:eastAsia="sk-SK"/>
              </w:rPr>
            </w:pPr>
          </w:p>
        </w:tc>
        <w:tc>
          <w:tcPr>
            <w:tcW w:w="1698" w:type="dxa"/>
            <w:tcBorders>
              <w:top w:val="nil"/>
              <w:left w:val="nil"/>
              <w:bottom w:val="nil"/>
              <w:right w:val="nil"/>
            </w:tcBorders>
            <w:noWrap/>
            <w:textDirection w:val="lrTb"/>
            <w:vAlign w:val="bottom"/>
          </w:tcPr>
          <w:p w:rsidR="002151F6" w:rsidRPr="002151F6" w:rsidP="00501AD0">
            <w:pPr>
              <w:bidi w:val="0"/>
              <w:spacing w:after="0" w:line="240" w:lineRule="auto"/>
              <w:rPr>
                <w:rFonts w:ascii="Times New Roman" w:hAnsi="Times New Roman"/>
                <w:sz w:val="24"/>
                <w:szCs w:val="24"/>
                <w:lang w:val="sk-SK" w:eastAsia="sk-SK"/>
              </w:rPr>
            </w:pPr>
          </w:p>
        </w:tc>
        <w:tc>
          <w:tcPr>
            <w:tcW w:w="1788" w:type="dxa"/>
            <w:tcBorders>
              <w:top w:val="nil"/>
              <w:left w:val="nil"/>
              <w:bottom w:val="nil"/>
              <w:right w:val="nil"/>
            </w:tcBorders>
            <w:noWrap/>
            <w:textDirection w:val="lrTb"/>
            <w:vAlign w:val="bottom"/>
          </w:tcPr>
          <w:p w:rsidR="002151F6" w:rsidRPr="002151F6" w:rsidP="00501AD0">
            <w:pPr>
              <w:bidi w:val="0"/>
              <w:spacing w:after="0" w:line="240" w:lineRule="auto"/>
              <w:rPr>
                <w:rFonts w:ascii="Times New Roman" w:hAnsi="Times New Roman"/>
                <w:sz w:val="24"/>
                <w:szCs w:val="24"/>
                <w:lang w:val="sk-SK" w:eastAsia="sk-SK"/>
              </w:rPr>
            </w:pPr>
          </w:p>
        </w:tc>
        <w:tc>
          <w:tcPr>
            <w:tcW w:w="2418" w:type="dxa"/>
            <w:gridSpan w:val="2"/>
            <w:tcBorders>
              <w:top w:val="nil"/>
              <w:left w:val="nil"/>
              <w:bottom w:val="nil"/>
              <w:right w:val="nil"/>
            </w:tcBorders>
            <w:noWrap/>
            <w:textDirection w:val="lrTb"/>
            <w:vAlign w:val="bottom"/>
          </w:tcPr>
          <w:p w:rsidR="002151F6" w:rsidRPr="002151F6" w:rsidP="00501AD0">
            <w:pPr>
              <w:bidi w:val="0"/>
              <w:spacing w:after="0" w:line="240" w:lineRule="auto"/>
              <w:rPr>
                <w:rFonts w:ascii="Times New Roman" w:hAnsi="Times New Roman"/>
                <w:sz w:val="24"/>
                <w:szCs w:val="24"/>
                <w:lang w:val="sk-SK" w:eastAsia="sk-SK"/>
              </w:rPr>
            </w:pPr>
          </w:p>
        </w:tc>
        <w:tc>
          <w:tcPr>
            <w:tcW w:w="1722" w:type="dxa"/>
            <w:tcBorders>
              <w:top w:val="nil"/>
              <w:left w:val="nil"/>
              <w:bottom w:val="nil"/>
              <w:right w:val="nil"/>
            </w:tcBorders>
            <w:noWrap/>
            <w:textDirection w:val="lrTb"/>
            <w:vAlign w:val="bottom"/>
          </w:tcPr>
          <w:p w:rsidR="002151F6" w:rsidRPr="002151F6" w:rsidP="00501AD0">
            <w:pPr>
              <w:bidi w:val="0"/>
              <w:spacing w:after="0" w:line="240" w:lineRule="auto"/>
              <w:rPr>
                <w:rFonts w:ascii="Times New Roman" w:hAnsi="Times New Roman"/>
                <w:sz w:val="24"/>
                <w:szCs w:val="24"/>
                <w:lang w:val="sk-SK" w:eastAsia="sk-SK"/>
              </w:rPr>
            </w:pPr>
          </w:p>
        </w:tc>
        <w:tc>
          <w:tcPr>
            <w:tcW w:w="1620" w:type="dxa"/>
            <w:gridSpan w:val="2"/>
            <w:tcBorders>
              <w:top w:val="nil"/>
              <w:left w:val="nil"/>
              <w:bottom w:val="nil"/>
              <w:right w:val="nil"/>
            </w:tcBorders>
            <w:noWrap/>
            <w:textDirection w:val="lrTb"/>
            <w:vAlign w:val="bottom"/>
          </w:tcPr>
          <w:p w:rsidR="002151F6" w:rsidRPr="002151F6" w:rsidP="00501AD0">
            <w:pPr>
              <w:bidi w:val="0"/>
              <w:spacing w:after="0" w:line="240" w:lineRule="auto"/>
              <w:rPr>
                <w:rFonts w:ascii="Times New Roman" w:hAnsi="Times New Roman"/>
                <w:sz w:val="24"/>
                <w:szCs w:val="24"/>
                <w:lang w:val="sk-SK" w:eastAsia="sk-SK"/>
              </w:rPr>
            </w:pPr>
          </w:p>
        </w:tc>
      </w:tr>
      <w:tr>
        <w:tblPrEx>
          <w:tblW w:w="15434" w:type="dxa"/>
          <w:tblInd w:w="-450" w:type="dxa"/>
          <w:tblCellMar>
            <w:left w:w="70" w:type="dxa"/>
            <w:right w:w="70" w:type="dxa"/>
          </w:tblCellMar>
        </w:tblPrEx>
        <w:trPr>
          <w:trHeight w:val="255"/>
        </w:trPr>
        <w:tc>
          <w:tcPr>
            <w:tcW w:w="6188" w:type="dxa"/>
            <w:tcBorders>
              <w:top w:val="nil"/>
              <w:left w:val="nil"/>
              <w:bottom w:val="nil"/>
              <w:right w:val="nil"/>
            </w:tcBorders>
            <w:textDirection w:val="lrTb"/>
            <w:vAlign w:val="top"/>
          </w:tcPr>
          <w:p w:rsidR="002151F6" w:rsidRPr="002151F6" w:rsidP="00501AD0">
            <w:pPr>
              <w:bidi w:val="0"/>
              <w:spacing w:after="0" w:line="240" w:lineRule="auto"/>
              <w:rPr>
                <w:rFonts w:ascii="Times New Roman" w:hAnsi="Times New Roman"/>
                <w:b/>
                <w:bCs/>
                <w:sz w:val="24"/>
                <w:szCs w:val="24"/>
                <w:lang w:val="sk-SK" w:eastAsia="sk-SK"/>
              </w:rPr>
            </w:pPr>
            <w:r w:rsidRPr="002151F6">
              <w:rPr>
                <w:rFonts w:ascii="Times New Roman" w:hAnsi="Times New Roman"/>
                <w:b/>
                <w:bCs/>
                <w:sz w:val="24"/>
                <w:szCs w:val="24"/>
                <w:lang w:val="sk-SK" w:eastAsia="sk-SK"/>
              </w:rPr>
              <w:t>Poznámky:</w:t>
            </w:r>
          </w:p>
        </w:tc>
        <w:tc>
          <w:tcPr>
            <w:tcW w:w="1698" w:type="dxa"/>
            <w:tcBorders>
              <w:top w:val="nil"/>
              <w:left w:val="nil"/>
              <w:bottom w:val="nil"/>
              <w:right w:val="nil"/>
            </w:tcBorders>
            <w:noWrap/>
            <w:textDirection w:val="lrTb"/>
            <w:vAlign w:val="bottom"/>
          </w:tcPr>
          <w:p w:rsidR="002151F6" w:rsidRPr="002151F6" w:rsidP="00501AD0">
            <w:pPr>
              <w:bidi w:val="0"/>
              <w:spacing w:after="0" w:line="240" w:lineRule="auto"/>
              <w:rPr>
                <w:rFonts w:ascii="Times New Roman" w:hAnsi="Times New Roman"/>
                <w:sz w:val="24"/>
                <w:szCs w:val="24"/>
                <w:lang w:val="sk-SK" w:eastAsia="sk-SK"/>
              </w:rPr>
            </w:pPr>
          </w:p>
        </w:tc>
        <w:tc>
          <w:tcPr>
            <w:tcW w:w="1788" w:type="dxa"/>
            <w:tcBorders>
              <w:top w:val="nil"/>
              <w:left w:val="nil"/>
              <w:bottom w:val="nil"/>
              <w:right w:val="nil"/>
            </w:tcBorders>
            <w:noWrap/>
            <w:textDirection w:val="lrTb"/>
            <w:vAlign w:val="bottom"/>
          </w:tcPr>
          <w:p w:rsidR="002151F6" w:rsidRPr="002151F6" w:rsidP="00501AD0">
            <w:pPr>
              <w:bidi w:val="0"/>
              <w:spacing w:after="0" w:line="240" w:lineRule="auto"/>
              <w:rPr>
                <w:rFonts w:ascii="Times New Roman" w:hAnsi="Times New Roman"/>
                <w:sz w:val="24"/>
                <w:szCs w:val="24"/>
                <w:lang w:val="sk-SK" w:eastAsia="sk-SK"/>
              </w:rPr>
            </w:pPr>
          </w:p>
        </w:tc>
        <w:tc>
          <w:tcPr>
            <w:tcW w:w="2418" w:type="dxa"/>
            <w:gridSpan w:val="2"/>
            <w:tcBorders>
              <w:top w:val="nil"/>
              <w:left w:val="nil"/>
              <w:bottom w:val="nil"/>
              <w:right w:val="nil"/>
            </w:tcBorders>
            <w:noWrap/>
            <w:textDirection w:val="lrTb"/>
            <w:vAlign w:val="bottom"/>
          </w:tcPr>
          <w:p w:rsidR="002151F6" w:rsidRPr="002151F6" w:rsidP="00501AD0">
            <w:pPr>
              <w:bidi w:val="0"/>
              <w:spacing w:after="0" w:line="240" w:lineRule="auto"/>
              <w:rPr>
                <w:rFonts w:ascii="Times New Roman" w:hAnsi="Times New Roman"/>
                <w:sz w:val="24"/>
                <w:szCs w:val="24"/>
                <w:lang w:val="sk-SK" w:eastAsia="sk-SK"/>
              </w:rPr>
            </w:pPr>
          </w:p>
        </w:tc>
        <w:tc>
          <w:tcPr>
            <w:tcW w:w="1722" w:type="dxa"/>
            <w:tcBorders>
              <w:top w:val="nil"/>
              <w:left w:val="nil"/>
              <w:bottom w:val="nil"/>
              <w:right w:val="nil"/>
            </w:tcBorders>
            <w:noWrap/>
            <w:textDirection w:val="lrTb"/>
            <w:vAlign w:val="bottom"/>
          </w:tcPr>
          <w:p w:rsidR="002151F6" w:rsidRPr="002151F6" w:rsidP="00501AD0">
            <w:pPr>
              <w:bidi w:val="0"/>
              <w:spacing w:after="0" w:line="240" w:lineRule="auto"/>
              <w:rPr>
                <w:rFonts w:ascii="Times New Roman" w:hAnsi="Times New Roman"/>
                <w:sz w:val="24"/>
                <w:szCs w:val="24"/>
                <w:lang w:val="sk-SK" w:eastAsia="sk-SK"/>
              </w:rPr>
            </w:pPr>
          </w:p>
        </w:tc>
        <w:tc>
          <w:tcPr>
            <w:tcW w:w="1620" w:type="dxa"/>
            <w:gridSpan w:val="2"/>
            <w:tcBorders>
              <w:top w:val="nil"/>
              <w:left w:val="nil"/>
              <w:bottom w:val="nil"/>
              <w:right w:val="nil"/>
            </w:tcBorders>
            <w:noWrap/>
            <w:textDirection w:val="lrTb"/>
            <w:vAlign w:val="bottom"/>
          </w:tcPr>
          <w:p w:rsidR="002151F6" w:rsidRPr="002151F6" w:rsidP="00501AD0">
            <w:pPr>
              <w:bidi w:val="0"/>
              <w:spacing w:after="0" w:line="240" w:lineRule="auto"/>
              <w:rPr>
                <w:rFonts w:ascii="Times New Roman" w:hAnsi="Times New Roman"/>
                <w:sz w:val="24"/>
                <w:szCs w:val="24"/>
                <w:lang w:val="sk-SK" w:eastAsia="sk-SK"/>
              </w:rPr>
            </w:pPr>
          </w:p>
        </w:tc>
      </w:tr>
      <w:tr>
        <w:tblPrEx>
          <w:tblW w:w="15434" w:type="dxa"/>
          <w:tblInd w:w="-450" w:type="dxa"/>
          <w:tblCellMar>
            <w:left w:w="70" w:type="dxa"/>
            <w:right w:w="70" w:type="dxa"/>
          </w:tblCellMar>
        </w:tblPrEx>
        <w:trPr>
          <w:trHeight w:val="255"/>
        </w:trPr>
        <w:tc>
          <w:tcPr>
            <w:tcW w:w="13814" w:type="dxa"/>
            <w:gridSpan w:val="6"/>
            <w:tcBorders>
              <w:top w:val="nil"/>
              <w:left w:val="nil"/>
              <w:bottom w:val="nil"/>
              <w:right w:val="nil"/>
            </w:tcBorders>
            <w:noWrap/>
            <w:textDirection w:val="lrTb"/>
            <w:vAlign w:val="top"/>
          </w:tcPr>
          <w:p w:rsidR="002151F6" w:rsidRPr="002151F6" w:rsidP="00BA34FD">
            <w:pPr>
              <w:tabs>
                <w:tab w:val="num" w:pos="1080"/>
              </w:tabs>
              <w:bidi w:val="0"/>
              <w:spacing w:after="0" w:line="240" w:lineRule="auto"/>
              <w:jc w:val="both"/>
              <w:rPr>
                <w:rFonts w:ascii="Times New Roman" w:hAnsi="Times New Roman"/>
                <w:bCs/>
                <w:sz w:val="24"/>
                <w:szCs w:val="20"/>
                <w:lang w:val="sk-SK" w:eastAsia="sk-SK"/>
              </w:rPr>
            </w:pPr>
            <w:r w:rsidRPr="002151F6">
              <w:rPr>
                <w:rFonts w:ascii="Times New Roman" w:hAnsi="Times New Roman"/>
                <w:bCs/>
                <w:sz w:val="24"/>
                <w:szCs w:val="20"/>
                <w:lang w:val="sk-SK"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2151F6" w:rsidRPr="002151F6" w:rsidP="00BA34FD">
            <w:pPr>
              <w:bidi w:val="0"/>
              <w:spacing w:after="0" w:line="240" w:lineRule="auto"/>
              <w:jc w:val="both"/>
              <w:rPr>
                <w:rFonts w:ascii="Times New Roman" w:hAnsi="Times New Roman"/>
                <w:sz w:val="24"/>
                <w:szCs w:val="24"/>
                <w:lang w:val="sk-SK" w:eastAsia="sk-SK"/>
              </w:rPr>
            </w:pPr>
            <w:r w:rsidRPr="002151F6">
              <w:rPr>
                <w:rFonts w:ascii="Times New Roman" w:hAnsi="Times New Roman"/>
                <w:sz w:val="24"/>
                <w:szCs w:val="24"/>
                <w:lang w:val="sk-SK"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textDirection w:val="lrTb"/>
            <w:vAlign w:val="bottom"/>
          </w:tcPr>
          <w:p w:rsidR="002151F6" w:rsidRPr="002151F6" w:rsidP="00BA34FD">
            <w:pPr>
              <w:bidi w:val="0"/>
              <w:spacing w:after="0" w:line="240" w:lineRule="auto"/>
              <w:jc w:val="both"/>
              <w:rPr>
                <w:rFonts w:ascii="Times New Roman" w:hAnsi="Times New Roman"/>
                <w:sz w:val="24"/>
                <w:szCs w:val="24"/>
                <w:lang w:val="sk-SK" w:eastAsia="sk-SK"/>
              </w:rPr>
            </w:pPr>
          </w:p>
        </w:tc>
      </w:tr>
      <w:tr>
        <w:tblPrEx>
          <w:tblW w:w="15434" w:type="dxa"/>
          <w:tblInd w:w="-450" w:type="dxa"/>
          <w:tblCellMar>
            <w:left w:w="70" w:type="dxa"/>
            <w:right w:w="70" w:type="dxa"/>
          </w:tblCellMar>
        </w:tblPrEx>
        <w:trPr>
          <w:trHeight w:val="255"/>
        </w:trPr>
        <w:tc>
          <w:tcPr>
            <w:tcW w:w="10394" w:type="dxa"/>
            <w:gridSpan w:val="4"/>
            <w:tcBorders>
              <w:top w:val="nil"/>
              <w:left w:val="nil"/>
              <w:bottom w:val="nil"/>
              <w:right w:val="nil"/>
            </w:tcBorders>
            <w:noWrap/>
            <w:textDirection w:val="lrTb"/>
            <w:vAlign w:val="bottom"/>
          </w:tcPr>
          <w:p w:rsidR="002151F6" w:rsidRPr="002151F6" w:rsidP="00BA34FD">
            <w:pPr>
              <w:bidi w:val="0"/>
              <w:spacing w:after="0" w:line="240" w:lineRule="auto"/>
              <w:jc w:val="both"/>
              <w:rPr>
                <w:rFonts w:ascii="Times New Roman" w:hAnsi="Times New Roman"/>
                <w:sz w:val="24"/>
                <w:szCs w:val="24"/>
                <w:lang w:val="sk-SK" w:eastAsia="sk-SK"/>
              </w:rPr>
            </w:pPr>
            <w:r w:rsidRPr="002151F6">
              <w:rPr>
                <w:rFonts w:ascii="Times New Roman" w:hAnsi="Times New Roman"/>
                <w:sz w:val="24"/>
                <w:szCs w:val="24"/>
                <w:lang w:val="sk-SK" w:eastAsia="sk-SK"/>
              </w:rPr>
              <w:t>Kategórie 610 a 620 sú z tejto prílohy prenášané do príslušných kategórií prílohy „výdavky“.</w:t>
            </w:r>
          </w:p>
        </w:tc>
        <w:tc>
          <w:tcPr>
            <w:tcW w:w="1698" w:type="dxa"/>
            <w:tcBorders>
              <w:top w:val="nil"/>
              <w:left w:val="nil"/>
              <w:bottom w:val="nil"/>
              <w:right w:val="nil"/>
            </w:tcBorders>
            <w:noWrap/>
            <w:textDirection w:val="lrTb"/>
            <w:vAlign w:val="bottom"/>
          </w:tcPr>
          <w:p w:rsidR="002151F6" w:rsidRPr="002151F6" w:rsidP="00BA34FD">
            <w:pPr>
              <w:bidi w:val="0"/>
              <w:spacing w:after="0" w:line="240" w:lineRule="auto"/>
              <w:jc w:val="both"/>
              <w:rPr>
                <w:rFonts w:ascii="Times New Roman" w:hAnsi="Times New Roman"/>
                <w:sz w:val="24"/>
                <w:szCs w:val="24"/>
                <w:lang w:val="sk-SK" w:eastAsia="sk-SK"/>
              </w:rPr>
            </w:pPr>
          </w:p>
        </w:tc>
        <w:tc>
          <w:tcPr>
            <w:tcW w:w="2352" w:type="dxa"/>
            <w:gridSpan w:val="2"/>
            <w:tcBorders>
              <w:top w:val="nil"/>
              <w:left w:val="nil"/>
              <w:bottom w:val="nil"/>
              <w:right w:val="nil"/>
            </w:tcBorders>
            <w:noWrap/>
            <w:textDirection w:val="lrTb"/>
            <w:vAlign w:val="bottom"/>
          </w:tcPr>
          <w:p w:rsidR="002151F6" w:rsidRPr="002151F6" w:rsidP="00BA34FD">
            <w:pPr>
              <w:bidi w:val="0"/>
              <w:spacing w:after="0" w:line="240" w:lineRule="auto"/>
              <w:jc w:val="both"/>
              <w:rPr>
                <w:rFonts w:ascii="Times New Roman" w:hAnsi="Times New Roman"/>
                <w:sz w:val="24"/>
                <w:szCs w:val="24"/>
                <w:lang w:val="sk-SK" w:eastAsia="sk-SK"/>
              </w:rPr>
            </w:pPr>
          </w:p>
        </w:tc>
        <w:tc>
          <w:tcPr>
            <w:tcW w:w="990" w:type="dxa"/>
            <w:tcBorders>
              <w:top w:val="nil"/>
              <w:left w:val="nil"/>
              <w:bottom w:val="nil"/>
              <w:right w:val="nil"/>
            </w:tcBorders>
            <w:noWrap/>
            <w:textDirection w:val="lrTb"/>
            <w:vAlign w:val="bottom"/>
          </w:tcPr>
          <w:p w:rsidR="002151F6" w:rsidRPr="002151F6" w:rsidP="00BA34FD">
            <w:pPr>
              <w:bidi w:val="0"/>
              <w:spacing w:after="0" w:line="240" w:lineRule="auto"/>
              <w:jc w:val="both"/>
              <w:rPr>
                <w:rFonts w:ascii="Times New Roman" w:hAnsi="Times New Roman"/>
                <w:sz w:val="24"/>
                <w:szCs w:val="24"/>
                <w:lang w:val="sk-SK" w:eastAsia="sk-SK"/>
              </w:rPr>
            </w:pPr>
          </w:p>
        </w:tc>
      </w:tr>
    </w:tbl>
    <w:p w:rsidR="002151F6" w:rsidP="00BA34FD">
      <w:pPr>
        <w:bidi w:val="0"/>
        <w:jc w:val="both"/>
      </w:pPr>
    </w:p>
    <w:p w:rsidR="00E65DF5" w:rsidRPr="00E65DF5" w:rsidP="00E13160">
      <w:pPr>
        <w:bidi w:val="0"/>
        <w:spacing w:after="0" w:line="240" w:lineRule="auto"/>
        <w:rPr>
          <w:rFonts w:ascii="Times New Roman" w:hAnsi="Times New Roman"/>
          <w:b/>
          <w:sz w:val="24"/>
          <w:szCs w:val="24"/>
          <w:lang w:val="sk-SK"/>
        </w:rPr>
      </w:pPr>
    </w:p>
    <w:p w:rsidR="0040784B" w:rsidP="00E13160">
      <w:pPr>
        <w:bidi w:val="0"/>
        <w:spacing w:after="0" w:line="240" w:lineRule="auto"/>
        <w:rPr>
          <w:rFonts w:ascii="Times New Roman" w:hAnsi="Times New Roman"/>
          <w:b/>
          <w:sz w:val="24"/>
          <w:szCs w:val="24"/>
          <w:lang w:val="sk-SK"/>
        </w:rPr>
        <w:sectPr w:rsidSect="0040784B">
          <w:footerReference w:type="default" r:id="rId13"/>
          <w:headerReference w:type="first" r:id="rId14"/>
          <w:pgSz w:w="16838" w:h="11906" w:orient="landscape"/>
          <w:pgMar w:top="720" w:right="720" w:bottom="720" w:left="720" w:header="709" w:footer="709" w:gutter="0"/>
          <w:lnNumType w:distance="0"/>
          <w:cols w:space="708"/>
          <w:noEndnote w:val="0"/>
          <w:titlePg/>
          <w:bidi w:val="0"/>
          <w:docGrid w:linePitch="360"/>
        </w:sectPr>
      </w:pPr>
    </w:p>
    <w:tbl>
      <w:tblPr>
        <w:tblStyle w:val="TableGrid"/>
        <w:tblpPr w:leftFromText="141" w:rightFromText="141" w:vertAnchor="text" w:tblpY="1"/>
        <w:tblOverlap w:val="never"/>
        <w:tblW w:w="0" w:type="auto"/>
        <w:tblLook w:val="04A0"/>
      </w:tblPr>
      <w:tblGrid>
        <w:gridCol w:w="921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DD22F7" w:rsidRPr="004A6AFD" w:rsidP="006752D4">
            <w:pPr>
              <w:bidi w:val="0"/>
              <w:spacing w:after="0" w:line="240" w:lineRule="auto"/>
              <w:suppressOverlap/>
              <w:jc w:val="center"/>
              <w:rPr>
                <w:rFonts w:ascii="Times New Roman" w:hAnsi="Times New Roman"/>
                <w:b/>
                <w:sz w:val="24"/>
                <w:szCs w:val="24"/>
                <w:lang w:val="sk-SK"/>
              </w:rPr>
            </w:pPr>
            <w:r w:rsidRPr="004A6AFD">
              <w:rPr>
                <w:rFonts w:ascii="Times New Roman" w:hAnsi="Times New Roman"/>
                <w:b/>
                <w:sz w:val="24"/>
                <w:szCs w:val="24"/>
                <w:lang w:val="sk-SK"/>
              </w:rPr>
              <w:t xml:space="preserve">Analýza vplyvov na podnikateľské prostredie </w:t>
            </w:r>
          </w:p>
          <w:p w:rsidR="00DD22F7" w:rsidRPr="004A6AFD" w:rsidP="006752D4">
            <w:pPr>
              <w:bidi w:val="0"/>
              <w:spacing w:after="0" w:line="240" w:lineRule="auto"/>
              <w:suppressOverlap/>
              <w:jc w:val="center"/>
              <w:rPr>
                <w:rFonts w:ascii="Times New Roman" w:hAnsi="Times New Roman"/>
                <w:b/>
                <w:sz w:val="24"/>
                <w:szCs w:val="24"/>
                <w:lang w:val="sk-SK"/>
              </w:rPr>
            </w:pPr>
            <w:r w:rsidRPr="004A6AFD">
              <w:rPr>
                <w:rFonts w:ascii="Times New Roman" w:hAnsi="Times New Roman"/>
                <w:b/>
                <w:sz w:val="24"/>
                <w:szCs w:val="24"/>
                <w:lang w:val="sk-SK"/>
              </w:rPr>
              <w:t>(vrátane testu 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DD22F7" w:rsidRPr="004A6AFD" w:rsidP="006752D4">
            <w:pPr>
              <w:bidi w:val="0"/>
              <w:spacing w:after="0" w:line="240" w:lineRule="auto"/>
              <w:suppressOverlap/>
              <w:rPr>
                <w:rFonts w:ascii="Times New Roman" w:hAnsi="Times New Roman"/>
                <w:b/>
                <w:sz w:val="24"/>
                <w:szCs w:val="24"/>
                <w:lang w:val="sk-SK"/>
              </w:rPr>
            </w:pPr>
            <w:r w:rsidRPr="004A6AFD">
              <w:rPr>
                <w:rFonts w:ascii="Times New Roman" w:hAnsi="Times New Roman"/>
                <w:b/>
                <w:sz w:val="24"/>
                <w:szCs w:val="24"/>
                <w:lang w:val="sk-SK"/>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85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DD22F7" w:rsidRPr="004A6AFD" w:rsidP="006752D4">
                  <w:pPr>
                    <w:bidi w:val="0"/>
                    <w:spacing w:after="0" w:line="240" w:lineRule="auto"/>
                    <w:suppressOverlap/>
                    <w:jc w:val="center"/>
                    <w:rPr>
                      <w:rFonts w:ascii="Times New Roman" w:hAnsi="Times New Roman"/>
                      <w:sz w:val="24"/>
                      <w:szCs w:val="24"/>
                      <w:lang w:val="sk-SK"/>
                    </w:rPr>
                  </w:pPr>
                  <w:r w:rsidRPr="004A6AFD">
                    <w:rPr>
                      <w:rFonts w:ascii="Segoe UI Symbol" w:eastAsia="MS Mincho" w:hAnsi="Segoe UI Symbol" w:cs="Segoe UI Symbol" w:hint="default"/>
                      <w:sz w:val="24"/>
                      <w:szCs w:val="24"/>
                      <w:lang w:val="sk-SK"/>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DD22F7" w:rsidRPr="004A6AFD" w:rsidP="006752D4">
                  <w:pPr>
                    <w:bidi w:val="0"/>
                    <w:spacing w:after="0" w:line="240" w:lineRule="auto"/>
                    <w:suppressOverlap/>
                    <w:rPr>
                      <w:rFonts w:ascii="Times New Roman" w:hAnsi="Times New Roman"/>
                      <w:b/>
                      <w:sz w:val="24"/>
                      <w:szCs w:val="24"/>
                      <w:lang w:val="sk-SK"/>
                    </w:rPr>
                  </w:pPr>
                  <w:r w:rsidRPr="004A6AFD">
                    <w:rPr>
                      <w:rFonts w:ascii="Times New Roman" w:hAnsi="Times New Roman"/>
                      <w:b/>
                      <w:sz w:val="24"/>
                      <w:szCs w:val="24"/>
                      <w:lang w:val="sk-SK"/>
                    </w:rPr>
                    <w:t xml:space="preserve">iba na MSP (0 - 249 zamestnancov) </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DD22F7" w:rsidRPr="004A6AFD" w:rsidP="006752D4">
                  <w:pPr>
                    <w:bidi w:val="0"/>
                    <w:spacing w:after="0" w:line="240" w:lineRule="auto"/>
                    <w:suppressOverlap/>
                    <w:jc w:val="center"/>
                    <w:rPr>
                      <w:rFonts w:ascii="Times New Roman" w:hAnsi="Times New Roman"/>
                      <w:sz w:val="24"/>
                      <w:szCs w:val="24"/>
                      <w:lang w:val="sk-SK"/>
                    </w:rPr>
                  </w:pPr>
                  <w:r w:rsidRPr="004A6AFD">
                    <w:rPr>
                      <w:rFonts w:ascii="Segoe UI Symbol" w:eastAsia="MS Mincho" w:hAnsi="Segoe UI Symbol" w:cs="Segoe UI Symbol" w:hint="default"/>
                      <w:sz w:val="24"/>
                      <w:szCs w:val="24"/>
                      <w:lang w:val="sk-SK"/>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DD22F7" w:rsidRPr="004A6AFD" w:rsidP="006752D4">
                  <w:pPr>
                    <w:bidi w:val="0"/>
                    <w:spacing w:after="0" w:line="240" w:lineRule="auto"/>
                    <w:suppressOverlap/>
                    <w:rPr>
                      <w:rFonts w:ascii="Times New Roman" w:hAnsi="Times New Roman"/>
                      <w:b/>
                      <w:sz w:val="24"/>
                      <w:szCs w:val="24"/>
                      <w:lang w:val="sk-SK"/>
                    </w:rPr>
                  </w:pPr>
                  <w:r w:rsidRPr="004A6AFD">
                    <w:rPr>
                      <w:rFonts w:ascii="Times New Roman" w:hAnsi="Times New Roman"/>
                      <w:b/>
                      <w:sz w:val="24"/>
                      <w:szCs w:val="24"/>
                      <w:lang w:val="sk-SK"/>
                    </w:rPr>
                    <w:t>iba na veľké podniky (250 a viac zamestnancov)</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DD22F7" w:rsidRPr="004A6AFD" w:rsidP="006752D4">
                  <w:pPr>
                    <w:bidi w:val="0"/>
                    <w:spacing w:after="0" w:line="240" w:lineRule="auto"/>
                    <w:suppressOverlap/>
                    <w:jc w:val="center"/>
                    <w:rPr>
                      <w:rFonts w:ascii="Times New Roman" w:hAnsi="Times New Roman"/>
                      <w:sz w:val="24"/>
                      <w:szCs w:val="24"/>
                      <w:lang w:val="sk-SK"/>
                    </w:rPr>
                  </w:pPr>
                  <w:r w:rsidRPr="004A6AFD">
                    <w:rPr>
                      <w:rFonts w:ascii="Segoe UI Symbol" w:eastAsia="MS Gothic" w:hAnsi="Segoe UI Symbol" w:cs="Segoe UI Symbol" w:hint="default"/>
                      <w:sz w:val="24"/>
                      <w:szCs w:val="24"/>
                      <w:lang w:val="sk-SK"/>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DD22F7" w:rsidRPr="004A6AFD" w:rsidP="006752D4">
                  <w:pPr>
                    <w:bidi w:val="0"/>
                    <w:spacing w:after="0" w:line="240" w:lineRule="auto"/>
                    <w:suppressOverlap/>
                    <w:rPr>
                      <w:rFonts w:ascii="Times New Roman" w:hAnsi="Times New Roman"/>
                      <w:sz w:val="24"/>
                      <w:szCs w:val="24"/>
                      <w:lang w:val="sk-SK"/>
                    </w:rPr>
                  </w:pPr>
                  <w:r w:rsidRPr="004A6AFD">
                    <w:rPr>
                      <w:rFonts w:ascii="Times New Roman" w:hAnsi="Times New Roman"/>
                      <w:b/>
                      <w:sz w:val="24"/>
                      <w:szCs w:val="24"/>
                      <w:lang w:val="sk-SK"/>
                    </w:rPr>
                    <w:t>na všetky kategórie podnikov</w:t>
                  </w:r>
                </w:p>
              </w:tc>
            </w:tr>
          </w:tbl>
          <w:p w:rsidR="00DD22F7" w:rsidRPr="004A6AFD" w:rsidP="006752D4">
            <w:pPr>
              <w:bidi w:val="0"/>
              <w:spacing w:after="0" w:line="240" w:lineRule="auto"/>
              <w:suppressOverlap/>
              <w:rPr>
                <w:rFonts w:ascii="Times New Roman" w:hAnsi="Times New Roman"/>
                <w:b/>
                <w:sz w:val="24"/>
                <w:szCs w:val="24"/>
                <w:lang w:val="sk-SK"/>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DD22F7" w:rsidRPr="004A6AFD" w:rsidP="006752D4">
            <w:pPr>
              <w:bidi w:val="0"/>
              <w:spacing w:after="0" w:line="240" w:lineRule="auto"/>
              <w:suppressOverlap/>
              <w:rPr>
                <w:rFonts w:ascii="Times New Roman" w:hAnsi="Times New Roman"/>
                <w:b/>
                <w:sz w:val="24"/>
                <w:szCs w:val="24"/>
                <w:lang w:val="sk-SK"/>
              </w:rPr>
            </w:pPr>
            <w:r w:rsidRPr="004A6AFD">
              <w:rPr>
                <w:rFonts w:ascii="Times New Roman" w:hAnsi="Times New Roman"/>
                <w:b/>
                <w:sz w:val="24"/>
                <w:szCs w:val="24"/>
                <w:lang w:val="sk-SK"/>
              </w:rPr>
              <w:t>3.1 Dotknuté podnikateľské subjekty</w:t>
            </w:r>
          </w:p>
          <w:p w:rsidR="00DD22F7" w:rsidRPr="004A6AFD" w:rsidP="006752D4">
            <w:pPr>
              <w:bidi w:val="0"/>
              <w:spacing w:after="0" w:line="240" w:lineRule="auto"/>
              <w:ind w:left="284"/>
              <w:suppressOverlap/>
              <w:rPr>
                <w:rFonts w:ascii="Times New Roman" w:hAnsi="Times New Roman"/>
                <w:b/>
                <w:sz w:val="24"/>
                <w:szCs w:val="24"/>
                <w:lang w:val="sk-SK"/>
              </w:rPr>
            </w:pPr>
            <w:r w:rsidRPr="004A6AFD">
              <w:rPr>
                <w:rFonts w:ascii="Times New Roman" w:hAnsi="Times New Roman"/>
                <w:sz w:val="24"/>
                <w:szCs w:val="24"/>
                <w:lang w:val="sk-SK"/>
              </w:rPr>
              <w:t xml:space="preserve"> - </w:t>
            </w:r>
            <w:r w:rsidRPr="004A6AFD">
              <w:rPr>
                <w:rFonts w:ascii="Times New Roman" w:hAnsi="Times New Roman"/>
                <w:b/>
                <w:sz w:val="24"/>
                <w:szCs w:val="24"/>
                <w:lang w:val="sk-SK"/>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DD22F7" w:rsidRPr="004A6AFD" w:rsidP="006752D4">
            <w:pPr>
              <w:bidi w:val="0"/>
              <w:spacing w:after="0" w:line="240" w:lineRule="auto"/>
              <w:suppressOverlap/>
              <w:rPr>
                <w:rFonts w:ascii="Times New Roman" w:hAnsi="Times New Roman"/>
                <w:i/>
                <w:sz w:val="24"/>
                <w:szCs w:val="24"/>
                <w:lang w:val="sk-SK"/>
              </w:rPr>
            </w:pPr>
            <w:r w:rsidRPr="004A6AFD">
              <w:rPr>
                <w:rFonts w:ascii="Times New Roman" w:hAnsi="Times New Roman"/>
                <w:i/>
                <w:sz w:val="24"/>
                <w:szCs w:val="24"/>
                <w:lang w:val="sk-SK"/>
              </w:rPr>
              <w:t>Uveďte, aké podnikateľské subjekty budú predkladaným návrhom ovplyvnené.</w:t>
            </w:r>
          </w:p>
          <w:p w:rsidR="00DD22F7" w:rsidRPr="004A6AFD" w:rsidP="006752D4">
            <w:pPr>
              <w:bidi w:val="0"/>
              <w:spacing w:after="0" w:line="240" w:lineRule="auto"/>
              <w:suppressOverlap/>
              <w:rPr>
                <w:rFonts w:ascii="Times New Roman" w:hAnsi="Times New Roman"/>
                <w:i/>
                <w:sz w:val="24"/>
                <w:szCs w:val="24"/>
                <w:lang w:val="sk-SK"/>
              </w:rPr>
            </w:pPr>
            <w:r w:rsidRPr="004A6AFD">
              <w:rPr>
                <w:rFonts w:ascii="Times New Roman" w:hAnsi="Times New Roman"/>
                <w:i/>
                <w:sz w:val="24"/>
                <w:szCs w:val="24"/>
                <w:lang w:val="sk-SK"/>
              </w:rPr>
              <w:t>Aký je ich počet?</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DD22F7" w:rsidRPr="004A6AFD" w:rsidP="006752D4">
            <w:pPr>
              <w:bidi w:val="0"/>
              <w:spacing w:after="0" w:line="240" w:lineRule="auto"/>
              <w:suppressOverlap/>
              <w:jc w:val="both"/>
              <w:rPr>
                <w:rFonts w:ascii="Times New Roman" w:hAnsi="Times New Roman"/>
                <w:sz w:val="24"/>
                <w:szCs w:val="24"/>
                <w:lang w:val="sk-SK"/>
              </w:rPr>
            </w:pPr>
            <w:r w:rsidRPr="004A6AFD">
              <w:rPr>
                <w:rFonts w:ascii="Times New Roman" w:hAnsi="Times New Roman"/>
                <w:sz w:val="24"/>
                <w:szCs w:val="24"/>
                <w:lang w:val="sk-SK"/>
              </w:rPr>
              <w:t>Poplatok pri podaní žiadosti o zápis držiteľa vozidla do evidencie vozidiel v Slovenskej republike sa aplikuje len na žiadateľov o zápis držiteľa vozidla do evidencie vozidiel, čo závisí od toho, ako často si držiteľ registruje ďalšie vozidlo. Preto vplyv nie je možné anualizovať a ani vyrátať jeho priemer. Návrh sa teda netýka plošne všetkých podnikateľov. Ročne sa na Slovensku vykoná takmer 117 000 zápisov do evidencie vozidiel v SR, kde je držiteľom vozidla podnikateľ. Z dostupnej štatistiky nie je možné rozčleniť právnické osoby na MSP a ostatné. Návrh teda má veľmi nerovnomerný vplyv na podnikateľov, keďže registrácia vozidla je jednorazový úkon a intenzita vplyvu závisí aj od počtu registrovaných vozidiel. Na ilustráciu, vplyv na podnikateľský subjekt môže byť v jednom roku pri registrácii jedného vozidla negatívny, v inom roku bez vplyvu (žiadna registrácia vozidla, alebo registrácia vozidla s nezmenenou výškou poplatku), v ďalšom roku pozitívny vplyv.</w:t>
            </w:r>
          </w:p>
          <w:p w:rsidR="00DD22F7" w:rsidRPr="004A6AFD" w:rsidP="006752D4">
            <w:pPr>
              <w:bidi w:val="0"/>
              <w:spacing w:after="0" w:line="240" w:lineRule="auto"/>
              <w:suppressOverlap/>
              <w:jc w:val="both"/>
              <w:rPr>
                <w:rFonts w:ascii="Times New Roman" w:hAnsi="Times New Roman"/>
                <w:sz w:val="24"/>
                <w:szCs w:val="24"/>
                <w:lang w:val="sk-SK"/>
              </w:rPr>
            </w:pPr>
          </w:p>
          <w:p w:rsidR="00DD22F7" w:rsidRPr="004A6AFD" w:rsidP="006752D4">
            <w:pPr>
              <w:bidi w:val="0"/>
              <w:spacing w:after="0" w:line="240" w:lineRule="auto"/>
              <w:suppressOverlap/>
              <w:jc w:val="both"/>
              <w:rPr>
                <w:rFonts w:ascii="Times New Roman" w:hAnsi="Times New Roman"/>
                <w:i/>
                <w:sz w:val="24"/>
                <w:szCs w:val="24"/>
                <w:lang w:val="sk-SK"/>
              </w:rPr>
            </w:pPr>
            <w:r w:rsidRPr="004A6AFD">
              <w:rPr>
                <w:rFonts w:ascii="Times New Roman" w:hAnsi="Times New Roman"/>
                <w:sz w:val="24"/>
                <w:szCs w:val="24"/>
                <w:lang w:val="sk-SK"/>
              </w:rPr>
              <w:t>Poplatok za udelenie individuálnej licencie a zmenu licencie pri prevádzkovaní hazardných hier sa týka 180 prevádzkovateľov jednotlivých hazardných hier.</w:t>
            </w: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DD22F7" w:rsidRPr="004A6AFD" w:rsidP="006752D4">
            <w:pPr>
              <w:bidi w:val="0"/>
              <w:spacing w:after="0" w:line="240" w:lineRule="auto"/>
              <w:suppressOverlap/>
              <w:rPr>
                <w:rFonts w:ascii="Times New Roman" w:hAnsi="Times New Roman"/>
                <w:b/>
                <w:sz w:val="24"/>
                <w:szCs w:val="24"/>
                <w:lang w:val="sk-SK"/>
              </w:rPr>
            </w:pPr>
            <w:r w:rsidRPr="004A6AFD">
              <w:rPr>
                <w:rFonts w:ascii="Times New Roman" w:hAnsi="Times New Roman"/>
                <w:b/>
                <w:sz w:val="24"/>
                <w:szCs w:val="24"/>
                <w:lang w:val="sk-SK"/>
              </w:rPr>
              <w:t>3.2 Vyhodnotenie konzultácií</w:t>
            </w:r>
          </w:p>
          <w:p w:rsidR="00DD22F7" w:rsidRPr="004A6AFD" w:rsidP="006752D4">
            <w:pPr>
              <w:bidi w:val="0"/>
              <w:spacing w:after="0" w:line="240" w:lineRule="auto"/>
              <w:suppressOverlap/>
              <w:rPr>
                <w:rFonts w:ascii="Times New Roman" w:hAnsi="Times New Roman"/>
                <w:b/>
                <w:sz w:val="24"/>
                <w:szCs w:val="24"/>
                <w:lang w:val="sk-SK"/>
              </w:rPr>
            </w:pPr>
            <w:r w:rsidRPr="004A6AFD">
              <w:rPr>
                <w:rFonts w:ascii="Times New Roman" w:hAnsi="Times New Roman"/>
                <w:sz w:val="24"/>
                <w:szCs w:val="24"/>
                <w:lang w:val="sk-SK"/>
              </w:rPr>
              <w:t xml:space="preserve">       - </w:t>
            </w:r>
            <w:r w:rsidRPr="004A6AFD">
              <w:rPr>
                <w:rFonts w:ascii="Times New Roman" w:hAnsi="Times New Roman"/>
                <w:b/>
                <w:sz w:val="24"/>
                <w:szCs w:val="24"/>
                <w:lang w:val="sk-SK"/>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DD22F7" w:rsidRPr="004A6AFD" w:rsidP="006752D4">
            <w:pPr>
              <w:bidi w:val="0"/>
              <w:spacing w:after="0" w:line="240" w:lineRule="auto"/>
              <w:suppressOverlap/>
              <w:rPr>
                <w:rFonts w:ascii="Times New Roman" w:hAnsi="Times New Roman"/>
                <w:i/>
                <w:sz w:val="24"/>
                <w:szCs w:val="24"/>
                <w:lang w:val="sk-SK"/>
              </w:rPr>
            </w:pPr>
            <w:r w:rsidRPr="004A6AFD">
              <w:rPr>
                <w:rFonts w:ascii="Times New Roman" w:hAnsi="Times New Roman"/>
                <w:i/>
                <w:sz w:val="24"/>
                <w:szCs w:val="24"/>
                <w:lang w:val="sk-SK"/>
              </w:rPr>
              <w:t>Uveďte, akou formou (verejné alebo cielené konzultácie a prečo) a s kým bol návrh konzultovaný.</w:t>
            </w:r>
          </w:p>
          <w:p w:rsidR="00DD22F7" w:rsidRPr="004A6AFD" w:rsidP="006752D4">
            <w:pPr>
              <w:bidi w:val="0"/>
              <w:spacing w:after="0" w:line="240" w:lineRule="auto"/>
              <w:suppressOverlap/>
              <w:rPr>
                <w:rFonts w:ascii="Times New Roman" w:hAnsi="Times New Roman"/>
                <w:i/>
                <w:sz w:val="24"/>
                <w:szCs w:val="24"/>
                <w:lang w:val="sk-SK"/>
              </w:rPr>
            </w:pPr>
            <w:r w:rsidRPr="004A6AFD">
              <w:rPr>
                <w:rFonts w:ascii="Times New Roman" w:hAnsi="Times New Roman"/>
                <w:i/>
                <w:sz w:val="24"/>
                <w:szCs w:val="24"/>
                <w:lang w:val="sk-SK"/>
              </w:rPr>
              <w:t>Ako dlho trvali konzultácie?</w:t>
            </w:r>
          </w:p>
          <w:p w:rsidR="00DD22F7" w:rsidRPr="004A6AFD" w:rsidP="006752D4">
            <w:pPr>
              <w:bidi w:val="0"/>
              <w:spacing w:after="0" w:line="240" w:lineRule="auto"/>
              <w:suppressOverlap/>
              <w:rPr>
                <w:rFonts w:ascii="Times New Roman" w:hAnsi="Times New Roman"/>
                <w:i/>
                <w:sz w:val="24"/>
                <w:szCs w:val="24"/>
                <w:lang w:val="sk-SK"/>
              </w:rPr>
            </w:pPr>
            <w:r w:rsidRPr="004A6AFD">
              <w:rPr>
                <w:rFonts w:ascii="Times New Roman" w:hAnsi="Times New Roman"/>
                <w:i/>
                <w:sz w:val="24"/>
                <w:szCs w:val="24"/>
                <w:lang w:val="sk-SK"/>
              </w:rPr>
              <w:t xml:space="preserve">Uveďte hlavné body konzultácií a výsledky konzultácií. </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DD22F7" w:rsidRPr="004A6AFD" w:rsidP="006752D4">
            <w:pPr>
              <w:bidi w:val="0"/>
              <w:spacing w:after="0" w:line="240" w:lineRule="auto"/>
              <w:suppressOverlap/>
              <w:jc w:val="both"/>
              <w:rPr>
                <w:rFonts w:ascii="Times New Roman" w:hAnsi="Times New Roman"/>
                <w:b/>
                <w:color w:val="000000"/>
                <w:sz w:val="24"/>
                <w:szCs w:val="24"/>
                <w:lang w:val="sk-SK"/>
              </w:rPr>
            </w:pPr>
            <w:r w:rsidRPr="004A6AFD">
              <w:rPr>
                <w:rFonts w:ascii="Times New Roman" w:hAnsi="Times New Roman"/>
                <w:b/>
                <w:color w:val="000000"/>
                <w:sz w:val="24"/>
                <w:szCs w:val="24"/>
                <w:lang w:val="sk-SK"/>
              </w:rPr>
              <w:t>Na konzultácie boli prizvaní:</w:t>
            </w:r>
          </w:p>
          <w:p w:rsidR="00DD22F7" w:rsidRPr="004A6AFD" w:rsidP="006752D4">
            <w:pPr>
              <w:bidi w:val="0"/>
              <w:spacing w:after="0" w:line="240" w:lineRule="auto"/>
              <w:suppressOverlap/>
              <w:jc w:val="both"/>
              <w:rPr>
                <w:rFonts w:ascii="Times New Roman" w:hAnsi="Times New Roman"/>
                <w:sz w:val="24"/>
                <w:szCs w:val="24"/>
                <w:lang w:val="sk-SK"/>
              </w:rPr>
            </w:pPr>
            <w:r w:rsidRPr="004A6AFD">
              <w:rPr>
                <w:rFonts w:ascii="Times New Roman" w:hAnsi="Times New Roman"/>
                <w:sz w:val="24"/>
                <w:szCs w:val="24"/>
                <w:lang w:val="sk-SK"/>
              </w:rPr>
              <w:t xml:space="preserve">Konzultácie sa uskutočnili formou osobných stretnutí. Prizvaní boli: </w:t>
            </w:r>
          </w:p>
          <w:p w:rsidR="00DD22F7" w:rsidRPr="004A6AFD" w:rsidP="006752D4">
            <w:pPr>
              <w:bidi w:val="0"/>
              <w:spacing w:after="0" w:line="240" w:lineRule="auto"/>
              <w:suppressOverlap/>
              <w:jc w:val="both"/>
              <w:rPr>
                <w:rFonts w:ascii="Times New Roman" w:hAnsi="Times New Roman"/>
                <w:b/>
                <w:sz w:val="24"/>
                <w:szCs w:val="24"/>
                <w:lang w:val="sk-SK"/>
              </w:rPr>
            </w:pPr>
            <w:r w:rsidRPr="004A6AFD">
              <w:rPr>
                <w:rFonts w:ascii="Times New Roman" w:hAnsi="Times New Roman"/>
                <w:sz w:val="24"/>
                <w:szCs w:val="24"/>
                <w:lang w:val="sk-SK"/>
              </w:rPr>
              <w:t>1</w:t>
            </w:r>
            <w:r w:rsidRPr="004A6AFD">
              <w:rPr>
                <w:rFonts w:ascii="Times New Roman" w:hAnsi="Times New Roman"/>
                <w:b/>
                <w:sz w:val="24"/>
                <w:szCs w:val="24"/>
                <w:lang w:val="sk-SK"/>
              </w:rPr>
              <w:t>. Slovenská banková asociácia – bez pripomienok</w:t>
            </w:r>
          </w:p>
          <w:p w:rsidR="00DD22F7" w:rsidRPr="004A6AFD" w:rsidP="006752D4">
            <w:pPr>
              <w:bidi w:val="0"/>
              <w:spacing w:after="0" w:line="240" w:lineRule="auto"/>
              <w:suppressOverlap/>
              <w:jc w:val="both"/>
              <w:rPr>
                <w:rFonts w:ascii="Times New Roman" w:hAnsi="Times New Roman"/>
                <w:b/>
                <w:sz w:val="24"/>
                <w:szCs w:val="24"/>
                <w:lang w:val="sk-SK"/>
              </w:rPr>
            </w:pPr>
            <w:r w:rsidRPr="004A6AFD">
              <w:rPr>
                <w:rFonts w:ascii="Times New Roman" w:hAnsi="Times New Roman"/>
                <w:b/>
                <w:sz w:val="24"/>
                <w:szCs w:val="24"/>
                <w:lang w:val="sk-SK"/>
              </w:rPr>
              <w:t>2. Slovenská asociácia správcovských spoločností - bez pripomienok</w:t>
            </w:r>
          </w:p>
          <w:p w:rsidR="00DD22F7" w:rsidRPr="004A6AFD" w:rsidP="006752D4">
            <w:pPr>
              <w:bidi w:val="0"/>
              <w:spacing w:after="0" w:line="240" w:lineRule="auto"/>
              <w:suppressOverlap/>
              <w:jc w:val="both"/>
              <w:rPr>
                <w:rFonts w:ascii="Times New Roman" w:hAnsi="Times New Roman"/>
                <w:b/>
                <w:sz w:val="24"/>
                <w:szCs w:val="24"/>
                <w:lang w:val="sk-SK"/>
              </w:rPr>
            </w:pPr>
            <w:r w:rsidRPr="004A6AFD">
              <w:rPr>
                <w:rFonts w:ascii="Times New Roman" w:hAnsi="Times New Roman"/>
                <w:b/>
                <w:sz w:val="24"/>
                <w:szCs w:val="24"/>
                <w:lang w:val="sk-SK"/>
              </w:rPr>
              <w:t>3. Republiková únia zamestnávateľov – bez pripomienok</w:t>
            </w:r>
          </w:p>
          <w:p w:rsidR="00DD22F7" w:rsidRPr="004A6AFD" w:rsidP="006752D4">
            <w:pPr>
              <w:bidi w:val="0"/>
              <w:spacing w:after="0" w:line="240" w:lineRule="auto"/>
              <w:suppressOverlap/>
              <w:jc w:val="both"/>
              <w:rPr>
                <w:rFonts w:ascii="Times New Roman" w:hAnsi="Times New Roman"/>
                <w:b/>
                <w:sz w:val="24"/>
                <w:szCs w:val="24"/>
                <w:lang w:val="sk-SK"/>
              </w:rPr>
            </w:pPr>
            <w:r w:rsidRPr="004A6AFD">
              <w:rPr>
                <w:rFonts w:ascii="Times New Roman" w:hAnsi="Times New Roman"/>
                <w:b/>
                <w:sz w:val="24"/>
                <w:szCs w:val="24"/>
                <w:lang w:val="sk-SK"/>
              </w:rPr>
              <w:t>4. Asociácia zamestnávateľských zväzov a združení SR a Americká obchodná komora –bez prip</w:t>
            </w:r>
            <w:r w:rsidR="00CE5F29">
              <w:rPr>
                <w:rFonts w:ascii="Times New Roman" w:hAnsi="Times New Roman"/>
                <w:b/>
                <w:sz w:val="24"/>
                <w:szCs w:val="24"/>
                <w:lang w:val="sk-SK"/>
              </w:rPr>
              <w:t>o</w:t>
            </w:r>
            <w:r w:rsidRPr="004A6AFD">
              <w:rPr>
                <w:rFonts w:ascii="Times New Roman" w:hAnsi="Times New Roman"/>
                <w:b/>
                <w:sz w:val="24"/>
                <w:szCs w:val="24"/>
                <w:lang w:val="sk-SK"/>
              </w:rPr>
              <w:t xml:space="preserve">mienok </w:t>
            </w:r>
          </w:p>
          <w:p w:rsidR="00DD22F7" w:rsidRPr="004A6AFD" w:rsidP="006752D4">
            <w:pPr>
              <w:bidi w:val="0"/>
              <w:spacing w:after="0" w:line="240" w:lineRule="auto"/>
              <w:suppressOverlap/>
              <w:jc w:val="both"/>
              <w:rPr>
                <w:rFonts w:ascii="Times New Roman" w:hAnsi="Times New Roman"/>
                <w:b/>
                <w:sz w:val="24"/>
                <w:szCs w:val="24"/>
                <w:lang w:val="sk-SK"/>
              </w:rPr>
            </w:pPr>
            <w:r w:rsidRPr="004A6AFD">
              <w:rPr>
                <w:rFonts w:ascii="Times New Roman" w:hAnsi="Times New Roman"/>
                <w:b/>
                <w:sz w:val="24"/>
                <w:szCs w:val="24"/>
                <w:lang w:val="sk-SK"/>
              </w:rPr>
              <w:t>5. Slovenská komora daňových poradcov - bez pripomienok</w:t>
            </w:r>
          </w:p>
          <w:p w:rsidR="00DD22F7" w:rsidRPr="004A6AFD" w:rsidP="006752D4">
            <w:pPr>
              <w:bidi w:val="0"/>
              <w:spacing w:after="0" w:line="240" w:lineRule="auto"/>
              <w:suppressOverlap/>
              <w:jc w:val="both"/>
              <w:rPr>
                <w:rFonts w:ascii="Times New Roman" w:hAnsi="Times New Roman"/>
                <w:b/>
                <w:sz w:val="24"/>
                <w:szCs w:val="24"/>
                <w:lang w:val="sk-SK"/>
              </w:rPr>
            </w:pPr>
            <w:r w:rsidRPr="004A6AFD">
              <w:rPr>
                <w:rFonts w:ascii="Times New Roman" w:hAnsi="Times New Roman"/>
                <w:b/>
                <w:sz w:val="24"/>
                <w:szCs w:val="24"/>
                <w:lang w:val="sk-SK"/>
              </w:rPr>
              <w:t>6. Zväz automobilového priemyslu Slovenskej republiky (ZAPSR) s pripomienkami</w:t>
            </w:r>
          </w:p>
          <w:p w:rsidR="00DD22F7" w:rsidRPr="004A6AFD" w:rsidP="006752D4">
            <w:pPr>
              <w:bidi w:val="0"/>
              <w:spacing w:after="0" w:line="240" w:lineRule="auto"/>
              <w:suppressOverlap/>
              <w:jc w:val="both"/>
              <w:rPr>
                <w:rFonts w:ascii="Times New Roman" w:hAnsi="Times New Roman"/>
                <w:b/>
                <w:sz w:val="24"/>
                <w:szCs w:val="24"/>
                <w:lang w:val="sk-SK"/>
              </w:rPr>
            </w:pPr>
            <w:r w:rsidRPr="004A6AFD">
              <w:rPr>
                <w:rFonts w:ascii="Times New Roman" w:hAnsi="Times New Roman"/>
                <w:b/>
                <w:sz w:val="24"/>
                <w:szCs w:val="24"/>
                <w:lang w:val="sk-SK"/>
              </w:rPr>
              <w:t>Zástupcovia ZAPSR sa na prvé stretnutie nedostavili a na druhé stretnutie uplatnili nasledovné pripomienky, ktoré možno obsiahnuť v dvoch základných okruhoch:</w:t>
            </w:r>
          </w:p>
          <w:p w:rsidR="00DD22F7" w:rsidRPr="004A6AFD" w:rsidP="006752D4">
            <w:pPr>
              <w:widowControl/>
              <w:numPr>
                <w:numId w:val="16"/>
              </w:numPr>
              <w:bidi w:val="0"/>
              <w:adjustRightInd/>
              <w:spacing w:after="0" w:line="240" w:lineRule="auto"/>
              <w:suppressOverlap/>
              <w:rPr>
                <w:rFonts w:ascii="Times New Roman" w:hAnsi="Times New Roman"/>
                <w:sz w:val="24"/>
                <w:szCs w:val="24"/>
                <w:lang w:val="sk-SK"/>
              </w:rPr>
            </w:pPr>
            <w:r w:rsidRPr="004A6AFD">
              <w:rPr>
                <w:rFonts w:ascii="Times New Roman" w:hAnsi="Times New Roman"/>
                <w:sz w:val="24"/>
                <w:szCs w:val="24"/>
                <w:lang w:val="sk-SK"/>
              </w:rPr>
              <w:t>nastaviť registračný poplatok na princípe zohľadnenia príslušnej EURO normy (zaviesť environmentálny aspekt poplatku)</w:t>
            </w:r>
          </w:p>
          <w:p w:rsidR="00DD22F7" w:rsidRPr="004A6AFD" w:rsidP="006752D4">
            <w:pPr>
              <w:widowControl/>
              <w:numPr>
                <w:numId w:val="16"/>
              </w:numPr>
              <w:bidi w:val="0"/>
              <w:adjustRightInd/>
              <w:spacing w:after="0" w:line="240" w:lineRule="auto"/>
              <w:suppressOverlap/>
              <w:rPr>
                <w:rFonts w:ascii="Times New Roman" w:hAnsi="Times New Roman"/>
                <w:sz w:val="24"/>
                <w:szCs w:val="24"/>
                <w:lang w:val="sk-SK"/>
              </w:rPr>
            </w:pPr>
            <w:r w:rsidRPr="004A6AFD">
              <w:rPr>
                <w:rFonts w:ascii="Times New Roman" w:hAnsi="Times New Roman"/>
                <w:sz w:val="24"/>
                <w:szCs w:val="24"/>
                <w:lang w:val="sk-SK"/>
              </w:rPr>
              <w:t>vypustiť znalecké posudky na účel individuálneho posúdenia výšky registračného poplatku vozidla z dôvodu možného zneužitia  </w:t>
            </w:r>
          </w:p>
          <w:p w:rsidR="00DD22F7" w:rsidRPr="004A6AFD" w:rsidP="006752D4">
            <w:pPr>
              <w:bidi w:val="0"/>
              <w:spacing w:after="0" w:line="240" w:lineRule="auto"/>
              <w:suppressOverlap/>
              <w:jc w:val="both"/>
              <w:rPr>
                <w:rFonts w:ascii="Times New Roman" w:hAnsi="Times New Roman"/>
                <w:i/>
                <w:sz w:val="24"/>
                <w:szCs w:val="24"/>
                <w:lang w:val="sk-SK"/>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DD22F7" w:rsidRPr="00EA2837" w:rsidP="006752D4">
            <w:pPr>
              <w:bidi w:val="0"/>
              <w:spacing w:after="0" w:line="240" w:lineRule="auto"/>
              <w:suppressOverlap/>
              <w:rPr>
                <w:rFonts w:ascii="Times New Roman" w:hAnsi="Times New Roman"/>
                <w:b/>
                <w:sz w:val="24"/>
                <w:lang w:val="sk-SK"/>
              </w:rPr>
            </w:pPr>
            <w:r w:rsidRPr="00EA2837">
              <w:rPr>
                <w:rFonts w:ascii="Times New Roman" w:hAnsi="Times New Roman"/>
                <w:b/>
                <w:sz w:val="24"/>
                <w:lang w:val="sk-SK"/>
              </w:rPr>
              <w:t>3.3 Náklady regulácie</w:t>
            </w:r>
          </w:p>
          <w:p w:rsidR="00DD22F7" w:rsidRPr="00EA2837" w:rsidP="006752D4">
            <w:pPr>
              <w:bidi w:val="0"/>
              <w:spacing w:after="0" w:line="240" w:lineRule="auto"/>
              <w:suppressOverlap/>
              <w:rPr>
                <w:rFonts w:ascii="Times New Roman" w:hAnsi="Times New Roman"/>
                <w:b/>
                <w:lang w:val="sk-SK"/>
              </w:rPr>
            </w:pPr>
            <w:r w:rsidRPr="00EA2837">
              <w:rPr>
                <w:rFonts w:ascii="Times New Roman" w:hAnsi="Times New Roman"/>
                <w:sz w:val="24"/>
                <w:lang w:val="sk-SK"/>
              </w:rPr>
              <w:t xml:space="preserve">      - </w:t>
            </w:r>
            <w:r w:rsidRPr="00EA2837">
              <w:rPr>
                <w:rFonts w:ascii="Times New Roman" w:hAnsi="Times New Roman"/>
                <w:b/>
                <w:sz w:val="24"/>
                <w:lang w:val="sk-SK"/>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DD22F7" w:rsidRPr="004A6AFD" w:rsidP="006752D4">
            <w:pPr>
              <w:bidi w:val="0"/>
              <w:spacing w:after="0" w:line="240" w:lineRule="auto"/>
              <w:suppressOverlap/>
              <w:rPr>
                <w:rFonts w:ascii="Times New Roman" w:hAnsi="Times New Roman"/>
                <w:b/>
                <w:i/>
                <w:sz w:val="24"/>
                <w:szCs w:val="24"/>
                <w:lang w:val="sk-SK"/>
              </w:rPr>
            </w:pPr>
            <w:r w:rsidRPr="004A6AFD">
              <w:rPr>
                <w:rFonts w:ascii="Times New Roman" w:hAnsi="Times New Roman"/>
                <w:b/>
                <w:i/>
                <w:sz w:val="24"/>
                <w:szCs w:val="24"/>
                <w:lang w:val="sk-SK"/>
              </w:rPr>
              <w:t>3.3.1 Priame finančné náklady</w:t>
            </w:r>
          </w:p>
          <w:p w:rsidR="00DD22F7" w:rsidRPr="004A6AFD" w:rsidP="006752D4">
            <w:pPr>
              <w:bidi w:val="0"/>
              <w:spacing w:after="0" w:line="240" w:lineRule="auto"/>
              <w:suppressOverlap/>
              <w:rPr>
                <w:rFonts w:ascii="Times New Roman" w:hAnsi="Times New Roman"/>
                <w:i/>
                <w:sz w:val="24"/>
                <w:szCs w:val="24"/>
                <w:lang w:val="sk-SK"/>
              </w:rPr>
            </w:pPr>
            <w:r w:rsidRPr="004A6AFD">
              <w:rPr>
                <w:rFonts w:ascii="Times New Roman" w:hAnsi="Times New Roman"/>
                <w:i/>
                <w:sz w:val="24"/>
                <w:szCs w:val="24"/>
                <w:lang w:val="sk-SK"/>
              </w:rPr>
              <w:t xml:space="preserve">Dochádza k zvýšeniu/zníženiu priamych finančných nákladov (poplatky, odvody, dane clá...)? Ak áno, popíšte a vyčíslite ich. Uveďte tiež spôsob ich výpočtu.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FB2ECB" w:rsidRPr="00FB2ECB" w:rsidP="00FB2ECB">
            <w:pPr>
              <w:bidi w:val="0"/>
              <w:spacing w:after="0" w:line="240" w:lineRule="auto"/>
              <w:suppressOverlap/>
              <w:jc w:val="both"/>
              <w:rPr>
                <w:rFonts w:ascii="Times New Roman" w:hAnsi="Times New Roman"/>
                <w:sz w:val="24"/>
                <w:szCs w:val="24"/>
                <w:lang w:val="sk-SK"/>
              </w:rPr>
            </w:pPr>
            <w:r w:rsidRPr="00FB2ECB">
              <w:rPr>
                <w:rFonts w:ascii="Times New Roman" w:hAnsi="Times New Roman"/>
                <w:sz w:val="24"/>
                <w:szCs w:val="24"/>
                <w:lang w:val="sk-SK"/>
              </w:rPr>
              <w:t>Návrh zavádza nový systém určovania sadzieb poplatkov pri zápise držiteľa vozidla do evidencie vozidiel v SR, ktorý sa ročne týka 117 000 úkonov v podmienkach podnikateľov. Pre približne 40 495 podnikateľov sa poplatok zníži s priemernou úsporou 151 eur za jeden zápis, pre približne 22 273 podnikateľov sa poplatok zvýši v priemere o 306 EUR, pre približne 54 094 podnikateľov sa poplatok v porovnaní so súčasnosťou nezmení. Početnosť podnikateľov v prípade pozitívneho vplyvu je 2x vyššia ako v prípade podnikateľov s negatívnym vplyvom. V dôsledku zmien sadzieb je finančný efekt v mierny neprospech podnikateľov vo výške +600 000 eur z pohľadu výdavkov podnikateľov (avšak mierny pozitívny vplyv u obyvateľstva vo výške -600 000 z pohľadu výdavkov obyvateľstva, takže návrh zmeny systému určovania sadzieb registračného poplatku je rozpočtovo neutrálny). Je potrebné však dodať, že zvýšenie poplatkov sa týka najmä luxusných vozidiel pri výkonnostných kategóriách nad 176 kW, ale najmä nad 254 kW, čo nepatrí do štandardnej kategórie vozidiel  za účelom dosahovania a udržania zisku podnikateľa, takže progresivita v sadzbách  je v tejto kategórii vozidiel opodstatnená. Znevýhodnená je registrácia staršieho ojazdeného tuzemského vozidla (čím vyšší výkon, tým väčšie znevýhodnenie), čo však v podmienkach PO nie je dominantný jav. Dopĺňa sa možnosť zníženia poplatku za evidenciu pre vozidlá s alternatívnym pohonom (hybridy, CNG, LNG a vodík) o 50%, čím sa cieli zvýhodnenie pre environmentálne menej škodlivé vozidlá.</w:t>
            </w:r>
          </w:p>
          <w:p w:rsidR="00FB2ECB" w:rsidRPr="00FB2ECB" w:rsidP="00FB2ECB">
            <w:pPr>
              <w:bidi w:val="0"/>
              <w:spacing w:after="0" w:line="240" w:lineRule="auto"/>
              <w:suppressOverlap/>
              <w:jc w:val="both"/>
              <w:rPr>
                <w:rFonts w:ascii="Times New Roman" w:hAnsi="Times New Roman"/>
                <w:sz w:val="24"/>
                <w:szCs w:val="24"/>
                <w:lang w:val="sk-SK"/>
              </w:rPr>
            </w:pPr>
            <w:r w:rsidRPr="00FB2ECB">
              <w:rPr>
                <w:rFonts w:ascii="Times New Roman" w:hAnsi="Times New Roman"/>
                <w:sz w:val="24"/>
                <w:szCs w:val="24"/>
                <w:lang w:val="sk-SK"/>
              </w:rPr>
              <w:t xml:space="preserve">Po započítaní pozitívneho finančného vplyvu zníženia poplatku pre vozidlá s alternatívnym pohonom na podnikateľov vo výške 669 800 eur a oslobodenia trvalého vyradenia vozidla podľa zákona o odpadoch vo výške 19 800 eur sú </w:t>
            </w:r>
            <w:r w:rsidRPr="00FB2ECB">
              <w:rPr>
                <w:rFonts w:ascii="Times New Roman" w:hAnsi="Times New Roman"/>
                <w:b/>
                <w:sz w:val="24"/>
                <w:szCs w:val="24"/>
                <w:lang w:val="sk-SK"/>
              </w:rPr>
              <w:t>kumulatívne priame finančné náklady na podnikateľov znížené o 89 600 eur (v prospech podnikateľov)</w:t>
            </w:r>
            <w:r w:rsidRPr="00FB2ECB">
              <w:rPr>
                <w:rFonts w:ascii="Times New Roman" w:hAnsi="Times New Roman"/>
                <w:sz w:val="24"/>
                <w:szCs w:val="24"/>
                <w:lang w:val="sk-SK"/>
              </w:rPr>
              <w:t>.</w:t>
            </w:r>
          </w:p>
          <w:p w:rsidR="00FB2ECB" w:rsidRPr="00FB2ECB" w:rsidP="00FB2ECB">
            <w:pPr>
              <w:bidi w:val="0"/>
              <w:spacing w:after="0" w:line="240" w:lineRule="auto"/>
              <w:suppressOverlap/>
              <w:rPr>
                <w:rFonts w:ascii="Times New Roman" w:hAnsi="Times New Roman"/>
                <w:b/>
                <w:sz w:val="24"/>
                <w:szCs w:val="24"/>
                <w:lang w:val="sk-SK"/>
              </w:rPr>
            </w:pPr>
          </w:p>
          <w:p w:rsidR="00FB2ECB" w:rsidRPr="00FB2ECB" w:rsidP="00FB2ECB">
            <w:pPr>
              <w:bidi w:val="0"/>
              <w:spacing w:after="0" w:line="240" w:lineRule="auto"/>
              <w:suppressOverlap/>
              <w:jc w:val="both"/>
              <w:rPr>
                <w:rFonts w:ascii="Times New Roman" w:hAnsi="Times New Roman"/>
                <w:sz w:val="24"/>
                <w:szCs w:val="24"/>
                <w:lang w:val="sk-SK"/>
              </w:rPr>
            </w:pPr>
            <w:r w:rsidRPr="00FB2ECB">
              <w:rPr>
                <w:rFonts w:ascii="Times New Roman" w:hAnsi="Times New Roman"/>
                <w:sz w:val="24"/>
                <w:szCs w:val="24"/>
                <w:lang w:val="sk-SK"/>
              </w:rPr>
              <w:t>Návrh zvyšuje poplatky za udelenie individuálnej licencie a zmenu licencie na prevádzkovanie hazardných hier o 5 – 60% v závislosti od druhu hazardnej hry a v závislosti od toho, či ide o udelenie licencie alebo zmenu licencie. V niektorých prípadoch dochádza len zaokrúhleniu sumy poplatku.</w:t>
            </w:r>
          </w:p>
          <w:p w:rsidR="00FB2ECB" w:rsidRPr="00FB2ECB" w:rsidP="00FB2ECB">
            <w:pPr>
              <w:bidi w:val="0"/>
              <w:spacing w:after="0" w:line="240" w:lineRule="auto"/>
              <w:suppressOverlap/>
              <w:rPr>
                <w:rFonts w:ascii="Times New Roman" w:hAnsi="Times New Roman"/>
                <w:b/>
                <w:i/>
                <w:lang w:val="sk-SK"/>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FB2ECB" w:rsidRPr="004A6AFD" w:rsidP="00FB2ECB">
            <w:pPr>
              <w:bidi w:val="0"/>
              <w:spacing w:after="0" w:line="240" w:lineRule="auto"/>
              <w:suppressOverlap/>
              <w:rPr>
                <w:rFonts w:ascii="Times New Roman" w:hAnsi="Times New Roman"/>
                <w:b/>
                <w:i/>
                <w:sz w:val="24"/>
                <w:szCs w:val="24"/>
                <w:lang w:val="sk-SK"/>
              </w:rPr>
            </w:pPr>
            <w:r w:rsidRPr="004A6AFD">
              <w:rPr>
                <w:rFonts w:ascii="Times New Roman" w:hAnsi="Times New Roman"/>
                <w:b/>
                <w:i/>
                <w:sz w:val="24"/>
                <w:szCs w:val="24"/>
                <w:lang w:val="sk-SK"/>
              </w:rPr>
              <w:t>3.3.2 Nepriame finančné náklady</w:t>
            </w:r>
          </w:p>
          <w:p w:rsidR="00FB2ECB" w:rsidRPr="004A6AFD" w:rsidP="00FB2ECB">
            <w:pPr>
              <w:bidi w:val="0"/>
              <w:spacing w:after="0" w:line="240" w:lineRule="auto"/>
              <w:suppressOverlap/>
              <w:rPr>
                <w:rFonts w:ascii="Times New Roman" w:hAnsi="Times New Roman"/>
                <w:i/>
                <w:sz w:val="24"/>
                <w:szCs w:val="24"/>
                <w:lang w:val="sk-SK"/>
              </w:rPr>
            </w:pPr>
            <w:r w:rsidRPr="004A6AFD">
              <w:rPr>
                <w:rFonts w:ascii="Times New Roman" w:hAnsi="Times New Roman"/>
                <w:i/>
                <w:sz w:val="24"/>
                <w:szCs w:val="24"/>
                <w:lang w:val="sk-SK"/>
              </w:rPr>
              <w:t>Vyžaduje si predkladaný návrh dodatočné náklady na nákup tovarov alebo služieb? Zvyšuje predkladaný návrh náklady súvisiace so zamestnávaním? 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FB2ECB" w:rsidRPr="004A6AFD" w:rsidP="00FB2ECB">
            <w:pPr>
              <w:bidi w:val="0"/>
              <w:spacing w:after="0" w:line="240" w:lineRule="auto"/>
              <w:suppressOverlap/>
              <w:rPr>
                <w:rFonts w:ascii="Times New Roman" w:hAnsi="Times New Roman"/>
                <w:i/>
                <w:sz w:val="24"/>
                <w:szCs w:val="24"/>
                <w:lang w:val="sk-SK"/>
              </w:rPr>
            </w:pPr>
            <w:r w:rsidRPr="004A6AFD">
              <w:rPr>
                <w:rFonts w:ascii="Times New Roman" w:hAnsi="Times New Roman"/>
                <w:i/>
                <w:sz w:val="24"/>
                <w:szCs w:val="24"/>
                <w:lang w:val="sk-SK"/>
              </w:rPr>
              <w:t>Bez vplyvu.</w:t>
            </w:r>
          </w:p>
          <w:p w:rsidR="00FB2ECB" w:rsidRPr="004A6AFD" w:rsidP="00FB2ECB">
            <w:pPr>
              <w:bidi w:val="0"/>
              <w:spacing w:after="0" w:line="240" w:lineRule="auto"/>
              <w:suppressOverlap/>
              <w:rPr>
                <w:rFonts w:ascii="Times New Roman" w:hAnsi="Times New Roman"/>
                <w:b/>
                <w:i/>
                <w:sz w:val="24"/>
                <w:szCs w:val="24"/>
                <w:lang w:val="sk-SK"/>
              </w:rPr>
            </w:pPr>
          </w:p>
          <w:p w:rsidR="00FB2ECB" w:rsidRPr="004A6AFD" w:rsidP="00FB2ECB">
            <w:pPr>
              <w:bidi w:val="0"/>
              <w:spacing w:after="0" w:line="240" w:lineRule="auto"/>
              <w:suppressOverlap/>
              <w:rPr>
                <w:rFonts w:ascii="Times New Roman" w:hAnsi="Times New Roman"/>
                <w:b/>
                <w:i/>
                <w:sz w:val="24"/>
                <w:szCs w:val="24"/>
                <w:lang w:val="sk-SK"/>
              </w:rPr>
            </w:pPr>
          </w:p>
          <w:p w:rsidR="00FB2ECB" w:rsidRPr="004A6AFD" w:rsidP="00FB2ECB">
            <w:pPr>
              <w:bidi w:val="0"/>
              <w:spacing w:after="0" w:line="240" w:lineRule="auto"/>
              <w:suppressOverlap/>
              <w:rPr>
                <w:rFonts w:ascii="Times New Roman" w:hAnsi="Times New Roman"/>
                <w:b/>
                <w:i/>
                <w:sz w:val="24"/>
                <w:szCs w:val="24"/>
                <w:lang w:val="sk-SK"/>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FB2ECB" w:rsidRPr="004A6AFD" w:rsidP="00FB2ECB">
            <w:pPr>
              <w:bidi w:val="0"/>
              <w:spacing w:after="0" w:line="240" w:lineRule="auto"/>
              <w:suppressOverlap/>
              <w:rPr>
                <w:rFonts w:ascii="Times New Roman" w:hAnsi="Times New Roman"/>
                <w:b/>
                <w:i/>
                <w:sz w:val="24"/>
                <w:szCs w:val="24"/>
                <w:lang w:val="sk-SK"/>
              </w:rPr>
            </w:pPr>
            <w:r w:rsidRPr="004A6AFD">
              <w:rPr>
                <w:rFonts w:ascii="Times New Roman" w:hAnsi="Times New Roman"/>
                <w:b/>
                <w:i/>
                <w:sz w:val="24"/>
                <w:szCs w:val="24"/>
                <w:lang w:val="sk-SK"/>
              </w:rPr>
              <w:t>3.3.3 Administratívne náklady</w:t>
            </w:r>
          </w:p>
          <w:p w:rsidR="00FB2ECB" w:rsidRPr="004A6AFD" w:rsidP="00FB2ECB">
            <w:pPr>
              <w:bidi w:val="0"/>
              <w:spacing w:after="0" w:line="240" w:lineRule="auto"/>
              <w:suppressOverlap/>
              <w:rPr>
                <w:rFonts w:ascii="Times New Roman" w:hAnsi="Times New Roman"/>
                <w:i/>
                <w:sz w:val="24"/>
                <w:szCs w:val="24"/>
                <w:lang w:val="sk-SK"/>
              </w:rPr>
            </w:pPr>
            <w:r w:rsidRPr="004A6AFD">
              <w:rPr>
                <w:rFonts w:ascii="Times New Roman" w:hAnsi="Times New Roman"/>
                <w:i/>
                <w:sz w:val="24"/>
                <w:szCs w:val="24"/>
                <w:lang w:val="sk-SK"/>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FB2ECB" w:rsidRPr="004A6AFD" w:rsidP="00FB2ECB">
            <w:pPr>
              <w:bidi w:val="0"/>
              <w:spacing w:after="0" w:line="240" w:lineRule="auto"/>
              <w:suppressOverlap/>
              <w:rPr>
                <w:rFonts w:ascii="Times New Roman" w:hAnsi="Times New Roman"/>
                <w:i/>
                <w:sz w:val="24"/>
                <w:szCs w:val="24"/>
                <w:lang w:val="sk-SK"/>
              </w:rPr>
            </w:pPr>
            <w:r w:rsidRPr="004A6AFD">
              <w:rPr>
                <w:rFonts w:ascii="Times New Roman" w:hAnsi="Times New Roman"/>
                <w:i/>
                <w:sz w:val="24"/>
                <w:szCs w:val="24"/>
                <w:lang w:val="sk-SK"/>
              </w:rPr>
              <w:t>Bez zmeny.</w:t>
            </w:r>
          </w:p>
          <w:p w:rsidR="00FB2ECB" w:rsidRPr="004A6AFD" w:rsidP="00FB2ECB">
            <w:pPr>
              <w:bidi w:val="0"/>
              <w:spacing w:after="0" w:line="240" w:lineRule="auto"/>
              <w:suppressOverlap/>
              <w:rPr>
                <w:rFonts w:ascii="Times New Roman" w:hAnsi="Times New Roman"/>
                <w:b/>
                <w:i/>
                <w:sz w:val="24"/>
                <w:szCs w:val="24"/>
                <w:lang w:val="sk-SK"/>
              </w:rPr>
            </w:pPr>
          </w:p>
          <w:p w:rsidR="00FB2ECB" w:rsidRPr="004A6AFD" w:rsidP="00FB2ECB">
            <w:pPr>
              <w:bidi w:val="0"/>
              <w:spacing w:after="0" w:line="240" w:lineRule="auto"/>
              <w:suppressOverlap/>
              <w:rPr>
                <w:rFonts w:ascii="Times New Roman" w:hAnsi="Times New Roman"/>
                <w:b/>
                <w:i/>
                <w:sz w:val="24"/>
                <w:szCs w:val="24"/>
                <w:lang w:val="sk-SK"/>
              </w:rPr>
            </w:pPr>
          </w:p>
          <w:p w:rsidR="00FB2ECB" w:rsidRPr="004A6AFD" w:rsidP="00FB2ECB">
            <w:pPr>
              <w:bidi w:val="0"/>
              <w:spacing w:after="0" w:line="240" w:lineRule="auto"/>
              <w:suppressOverlap/>
              <w:rPr>
                <w:rFonts w:ascii="Times New Roman" w:hAnsi="Times New Roman"/>
                <w:b/>
                <w:i/>
                <w:sz w:val="24"/>
                <w:szCs w:val="24"/>
                <w:lang w:val="sk-SK"/>
              </w:rPr>
            </w:pP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FB2ECB" w:rsidRPr="004A6AFD" w:rsidP="00FB2ECB">
            <w:pPr>
              <w:bidi w:val="0"/>
              <w:spacing w:after="0" w:line="240" w:lineRule="auto"/>
              <w:suppressOverlap/>
              <w:rPr>
                <w:rFonts w:ascii="Times New Roman" w:hAnsi="Times New Roman"/>
                <w:sz w:val="24"/>
                <w:szCs w:val="24"/>
                <w:lang w:val="sk-SK"/>
              </w:rPr>
            </w:pPr>
            <w:r w:rsidRPr="004A6AFD">
              <w:rPr>
                <w:rFonts w:ascii="Times New Roman" w:hAnsi="Times New Roman"/>
                <w:b/>
                <w:sz w:val="24"/>
                <w:szCs w:val="24"/>
                <w:lang w:val="sk-SK"/>
              </w:rPr>
              <w:t>3.3.4 Súhrnná tabuľka nákladov regulácie</w:t>
            </w:r>
          </w:p>
          <w:p w:rsidR="00FB2ECB" w:rsidRPr="004A6AFD" w:rsidP="00FB2ECB">
            <w:pPr>
              <w:bidi w:val="0"/>
              <w:spacing w:after="0" w:line="240" w:lineRule="auto"/>
              <w:suppressOverlap/>
              <w:rPr>
                <w:rFonts w:ascii="Times New Roman" w:hAnsi="Times New Roman"/>
                <w:sz w:val="24"/>
                <w:szCs w:val="24"/>
                <w:lang w:val="sk-SK"/>
              </w:rPr>
            </w:pPr>
          </w:p>
          <w:tbl>
            <w:tblPr>
              <w:tblStyle w:val="TableGrid"/>
              <w:tblW w:w="0" w:type="auto"/>
              <w:tblLook w:val="04A0"/>
            </w:tblPr>
            <w:tblGrid>
              <w:gridCol w:w="2993"/>
              <w:gridCol w:w="2994"/>
              <w:gridCol w:w="299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FB2ECB" w:rsidRPr="004A6AFD" w:rsidP="00FB2ECB">
                  <w:pPr>
                    <w:bidi w:val="0"/>
                    <w:spacing w:after="0" w:line="240" w:lineRule="auto"/>
                    <w:suppressOverlap/>
                    <w:rPr>
                      <w:rFonts w:ascii="Times New Roman" w:hAnsi="Times New Roman"/>
                      <w:sz w:val="24"/>
                      <w:szCs w:val="24"/>
                      <w:lang w:val="sk-SK"/>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FB2ECB" w:rsidRPr="004A6AFD" w:rsidP="00FB2ECB">
                  <w:pPr>
                    <w:bidi w:val="0"/>
                    <w:spacing w:after="0" w:line="240" w:lineRule="auto"/>
                    <w:suppressOverlap/>
                    <w:jc w:val="center"/>
                    <w:rPr>
                      <w:rFonts w:ascii="Times New Roman" w:hAnsi="Times New Roman"/>
                      <w:sz w:val="24"/>
                      <w:szCs w:val="24"/>
                      <w:lang w:val="sk-SK"/>
                    </w:rPr>
                  </w:pPr>
                  <w:r w:rsidRPr="004A6AFD">
                    <w:rPr>
                      <w:rFonts w:ascii="Times New Roman" w:hAnsi="Times New Roman"/>
                      <w:sz w:val="24"/>
                      <w:szCs w:val="24"/>
                      <w:lang w:val="sk-SK"/>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FB2ECB" w:rsidRPr="004A6AFD" w:rsidP="00FB2ECB">
                  <w:pPr>
                    <w:bidi w:val="0"/>
                    <w:spacing w:after="0" w:line="240" w:lineRule="auto"/>
                    <w:suppressOverlap/>
                    <w:jc w:val="center"/>
                    <w:rPr>
                      <w:rFonts w:ascii="Times New Roman" w:hAnsi="Times New Roman"/>
                      <w:sz w:val="24"/>
                      <w:szCs w:val="24"/>
                      <w:lang w:val="sk-SK"/>
                    </w:rPr>
                  </w:pPr>
                  <w:r w:rsidRPr="004A6AFD">
                    <w:rPr>
                      <w:rFonts w:ascii="Times New Roman" w:hAnsi="Times New Roman"/>
                      <w:sz w:val="24"/>
                      <w:szCs w:val="24"/>
                      <w:lang w:val="sk-SK"/>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FB2ECB" w:rsidRPr="004A6AFD" w:rsidP="00FB2ECB">
                  <w:pPr>
                    <w:bidi w:val="0"/>
                    <w:spacing w:after="0" w:line="240" w:lineRule="auto"/>
                    <w:suppressOverlap/>
                    <w:rPr>
                      <w:rFonts w:ascii="Times New Roman" w:hAnsi="Times New Roman"/>
                      <w:sz w:val="24"/>
                      <w:szCs w:val="24"/>
                      <w:lang w:val="sk-SK"/>
                    </w:rPr>
                  </w:pPr>
                  <w:r w:rsidRPr="004A6AFD">
                    <w:rPr>
                      <w:rFonts w:ascii="Times New Roman" w:hAnsi="Times New Roman"/>
                      <w:sz w:val="24"/>
                      <w:szCs w:val="24"/>
                      <w:lang w:val="sk-SK"/>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FB2ECB" w:rsidRPr="00FB2ECB" w:rsidP="00FB2ECB">
                  <w:pPr>
                    <w:bidi w:val="0"/>
                    <w:spacing w:after="0" w:line="240" w:lineRule="auto"/>
                    <w:suppressOverlap/>
                    <w:jc w:val="center"/>
                    <w:rPr>
                      <w:rFonts w:ascii="Times New Roman" w:hAnsi="Times New Roman"/>
                      <w:sz w:val="24"/>
                      <w:szCs w:val="24"/>
                      <w:lang w:val="sk-SK"/>
                    </w:rPr>
                  </w:pPr>
                  <w:r w:rsidRPr="00FB2ECB">
                    <w:rPr>
                      <w:rFonts w:ascii="Times New Roman" w:hAnsi="Times New Roman"/>
                      <w:sz w:val="24"/>
                      <w:szCs w:val="24"/>
                    </w:rPr>
                    <w:t>-1,4</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FB2ECB" w:rsidRPr="00FB2ECB" w:rsidP="00FB2ECB">
                  <w:pPr>
                    <w:bidi w:val="0"/>
                    <w:spacing w:after="0" w:line="240" w:lineRule="auto"/>
                    <w:suppressOverlap/>
                    <w:jc w:val="center"/>
                    <w:rPr>
                      <w:rFonts w:ascii="Times New Roman" w:hAnsi="Times New Roman"/>
                      <w:sz w:val="24"/>
                      <w:szCs w:val="24"/>
                      <w:lang w:val="sk-SK"/>
                    </w:rPr>
                  </w:pPr>
                  <w:r w:rsidRPr="00FB2ECB">
                    <w:rPr>
                      <w:rFonts w:ascii="Times New Roman" w:hAnsi="Times New Roman"/>
                      <w:sz w:val="24"/>
                      <w:szCs w:val="24"/>
                    </w:rPr>
                    <w:t>-89 600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FB2ECB" w:rsidRPr="004A6AFD" w:rsidP="00FB2ECB">
                  <w:pPr>
                    <w:bidi w:val="0"/>
                    <w:spacing w:after="0" w:line="240" w:lineRule="auto"/>
                    <w:suppressOverlap/>
                    <w:rPr>
                      <w:rFonts w:ascii="Times New Roman" w:hAnsi="Times New Roman"/>
                      <w:sz w:val="24"/>
                      <w:szCs w:val="24"/>
                      <w:lang w:val="sk-SK"/>
                    </w:rPr>
                  </w:pPr>
                  <w:r w:rsidRPr="004A6AFD">
                    <w:rPr>
                      <w:rFonts w:ascii="Times New Roman" w:hAnsi="Times New Roman"/>
                      <w:sz w:val="24"/>
                      <w:szCs w:val="24"/>
                      <w:lang w:val="sk-SK"/>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FB2ECB" w:rsidRPr="004A6AFD" w:rsidP="00FB2ECB">
                  <w:pPr>
                    <w:bidi w:val="0"/>
                    <w:spacing w:after="0" w:line="240" w:lineRule="auto"/>
                    <w:suppressOverlap/>
                    <w:jc w:val="center"/>
                    <w:rPr>
                      <w:rFonts w:ascii="Times New Roman" w:hAnsi="Times New Roman"/>
                      <w:sz w:val="24"/>
                      <w:szCs w:val="24"/>
                      <w:lang w:val="sk-SK"/>
                    </w:rPr>
                  </w:pPr>
                  <w:r w:rsidRPr="004A6AFD">
                    <w:rPr>
                      <w:rFonts w:ascii="Times New Roman" w:hAnsi="Times New Roman"/>
                      <w:sz w:val="24"/>
                      <w:szCs w:val="24"/>
                      <w:lang w:val="sk-SK"/>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FB2ECB" w:rsidRPr="00FB2ECB" w:rsidP="00FB2ECB">
                  <w:pPr>
                    <w:bidi w:val="0"/>
                    <w:spacing w:after="0" w:line="240" w:lineRule="auto"/>
                    <w:suppressOverlap/>
                    <w:jc w:val="center"/>
                    <w:rPr>
                      <w:rFonts w:ascii="Times New Roman" w:hAnsi="Times New Roman"/>
                      <w:sz w:val="24"/>
                      <w:szCs w:val="24"/>
                      <w:lang w:val="sk-SK"/>
                    </w:rPr>
                  </w:pPr>
                  <w:r w:rsidRPr="00FB2ECB">
                    <w:rPr>
                      <w:rFonts w:ascii="Times New Roman" w:hAnsi="Times New Roman"/>
                      <w:sz w:val="24"/>
                      <w:szCs w:val="24"/>
                      <w:lang w:val="sk-SK"/>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FB2ECB" w:rsidRPr="004A6AFD" w:rsidP="00FB2ECB">
                  <w:pPr>
                    <w:bidi w:val="0"/>
                    <w:spacing w:after="0" w:line="240" w:lineRule="auto"/>
                    <w:suppressOverlap/>
                    <w:rPr>
                      <w:rFonts w:ascii="Times New Roman" w:hAnsi="Times New Roman"/>
                      <w:sz w:val="24"/>
                      <w:szCs w:val="24"/>
                      <w:lang w:val="sk-SK"/>
                    </w:rPr>
                  </w:pPr>
                  <w:r w:rsidRPr="004A6AFD">
                    <w:rPr>
                      <w:rFonts w:ascii="Times New Roman" w:hAnsi="Times New Roman"/>
                      <w:sz w:val="24"/>
                      <w:szCs w:val="24"/>
                      <w:lang w:val="sk-SK"/>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FB2ECB" w:rsidRPr="004A6AFD" w:rsidP="00FB2ECB">
                  <w:pPr>
                    <w:bidi w:val="0"/>
                    <w:spacing w:after="0" w:line="240" w:lineRule="auto"/>
                    <w:suppressOverlap/>
                    <w:jc w:val="center"/>
                    <w:rPr>
                      <w:rFonts w:ascii="Times New Roman" w:hAnsi="Times New Roman"/>
                      <w:sz w:val="24"/>
                      <w:szCs w:val="24"/>
                      <w:lang w:val="sk-SK"/>
                    </w:rPr>
                  </w:pPr>
                  <w:r w:rsidRPr="004A6AFD">
                    <w:rPr>
                      <w:rFonts w:ascii="Times New Roman" w:hAnsi="Times New Roman"/>
                      <w:sz w:val="24"/>
                      <w:szCs w:val="24"/>
                      <w:lang w:val="sk-SK"/>
                    </w:rPr>
                    <w:t>NA***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FB2ECB" w:rsidRPr="00FB2ECB" w:rsidP="00FB2ECB">
                  <w:pPr>
                    <w:bidi w:val="0"/>
                    <w:spacing w:after="0" w:line="240" w:lineRule="auto"/>
                    <w:suppressOverlap/>
                    <w:jc w:val="center"/>
                    <w:rPr>
                      <w:rFonts w:ascii="Times New Roman" w:hAnsi="Times New Roman"/>
                      <w:sz w:val="24"/>
                      <w:szCs w:val="24"/>
                      <w:lang w:val="sk-SK"/>
                    </w:rPr>
                  </w:pPr>
                  <w:r w:rsidRPr="00FB2ECB">
                    <w:rPr>
                      <w:rFonts w:ascii="Times New Roman" w:hAnsi="Times New Roman"/>
                      <w:sz w:val="24"/>
                      <w:szCs w:val="24"/>
                      <w:lang w:val="sk-SK"/>
                    </w:rPr>
                    <w:t>+55 500***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FB2ECB" w:rsidRPr="004A6AFD" w:rsidP="00FB2ECB">
                  <w:pPr>
                    <w:bidi w:val="0"/>
                    <w:spacing w:after="0" w:line="240" w:lineRule="auto"/>
                    <w:suppressOverlap/>
                    <w:rPr>
                      <w:rFonts w:ascii="Times New Roman" w:hAnsi="Times New Roman"/>
                      <w:b/>
                      <w:sz w:val="24"/>
                      <w:szCs w:val="24"/>
                      <w:lang w:val="sk-SK"/>
                    </w:rPr>
                  </w:pPr>
                  <w:r w:rsidRPr="004A6AFD">
                    <w:rPr>
                      <w:rFonts w:ascii="Times New Roman" w:hAnsi="Times New Roman"/>
                      <w:b/>
                      <w:sz w:val="24"/>
                      <w:szCs w:val="24"/>
                      <w:lang w:val="sk-SK"/>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FB2ECB" w:rsidRPr="004A6AFD" w:rsidP="00FB2ECB">
                  <w:pPr>
                    <w:bidi w:val="0"/>
                    <w:spacing w:after="0" w:line="240" w:lineRule="auto"/>
                    <w:suppressOverlap/>
                    <w:jc w:val="center"/>
                    <w:rPr>
                      <w:rFonts w:ascii="Times New Roman" w:hAnsi="Times New Roman"/>
                      <w:b/>
                      <w:sz w:val="24"/>
                      <w:szCs w:val="24"/>
                      <w:lang w:val="sk-SK"/>
                    </w:rPr>
                  </w:pPr>
                  <w:r w:rsidRPr="004A6AFD">
                    <w:rPr>
                      <w:rFonts w:ascii="Times New Roman" w:hAnsi="Times New Roman"/>
                      <w:b/>
                      <w:sz w:val="24"/>
                      <w:szCs w:val="24"/>
                      <w:lang w:val="sk-SK"/>
                    </w:rPr>
                    <w:t>NA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FB2ECB" w:rsidRPr="00FB2ECB" w:rsidP="00FB2ECB">
                  <w:pPr>
                    <w:bidi w:val="0"/>
                    <w:spacing w:after="0" w:line="240" w:lineRule="auto"/>
                    <w:suppressOverlap/>
                    <w:jc w:val="center"/>
                    <w:rPr>
                      <w:rFonts w:ascii="Times New Roman" w:hAnsi="Times New Roman"/>
                      <w:b/>
                      <w:sz w:val="24"/>
                      <w:szCs w:val="24"/>
                      <w:lang w:val="sk-SK"/>
                    </w:rPr>
                  </w:pPr>
                  <w:r w:rsidRPr="00FB2ECB">
                    <w:rPr>
                      <w:rFonts w:ascii="Times New Roman" w:hAnsi="Times New Roman"/>
                      <w:b/>
                      <w:sz w:val="24"/>
                      <w:szCs w:val="24"/>
                    </w:rPr>
                    <w:t>- 34 100</w:t>
                  </w:r>
                </w:p>
              </w:tc>
            </w:tr>
          </w:tbl>
          <w:p w:rsidR="00FB2ECB" w:rsidRPr="004A6AFD" w:rsidP="00FB2ECB">
            <w:pPr>
              <w:bidi w:val="0"/>
              <w:spacing w:after="0" w:line="240" w:lineRule="auto"/>
              <w:suppressOverlap/>
              <w:jc w:val="both"/>
              <w:rPr>
                <w:rFonts w:ascii="Times New Roman" w:hAnsi="Times New Roman"/>
                <w:sz w:val="24"/>
                <w:szCs w:val="24"/>
                <w:lang w:val="sk-SK"/>
              </w:rPr>
            </w:pPr>
            <w:r w:rsidRPr="004A6AFD">
              <w:rPr>
                <w:rFonts w:ascii="Times New Roman" w:hAnsi="Times New Roman"/>
                <w:sz w:val="24"/>
                <w:szCs w:val="24"/>
                <w:lang w:val="sk-SK"/>
              </w:rPr>
              <w:t>* tabuľka vplyvu na jedného podnikateľa je skreslená, pretože prevláda pozitívny vplyv (na 40 495 podnikateľov) nad negatívnym vplyvom (na 22 273 podnikateľov),</w:t>
            </w:r>
          </w:p>
          <w:p w:rsidR="00FB2ECB" w:rsidRPr="004A6AFD" w:rsidP="00FB2ECB">
            <w:pPr>
              <w:bidi w:val="0"/>
              <w:spacing w:after="0" w:line="240" w:lineRule="auto"/>
              <w:suppressOverlap/>
              <w:jc w:val="both"/>
              <w:rPr>
                <w:rFonts w:ascii="Times New Roman" w:hAnsi="Times New Roman"/>
                <w:sz w:val="24"/>
                <w:szCs w:val="24"/>
                <w:lang w:val="sk-SK"/>
              </w:rPr>
            </w:pPr>
            <w:r w:rsidRPr="004A6AFD">
              <w:rPr>
                <w:rFonts w:ascii="Times New Roman" w:hAnsi="Times New Roman"/>
                <w:sz w:val="24"/>
                <w:szCs w:val="24"/>
                <w:lang w:val="sk-SK"/>
              </w:rPr>
              <w:t>** pozitívny vplyv sa dosiahol najmä zdanením vozidiel s výkonom do 176 kW (+5,5 mil. EUR ročne),</w:t>
            </w:r>
          </w:p>
          <w:p w:rsidR="00FB2ECB" w:rsidRPr="004A6AFD" w:rsidP="00FB2ECB">
            <w:pPr>
              <w:bidi w:val="0"/>
              <w:spacing w:after="0" w:line="240" w:lineRule="auto"/>
              <w:suppressOverlap/>
              <w:jc w:val="both"/>
              <w:rPr>
                <w:rFonts w:ascii="Times New Roman" w:hAnsi="Times New Roman"/>
                <w:i/>
                <w:sz w:val="24"/>
                <w:szCs w:val="24"/>
                <w:lang w:val="sk-SK"/>
              </w:rPr>
            </w:pPr>
            <w:r w:rsidRPr="004A6AFD">
              <w:rPr>
                <w:rFonts w:ascii="Times New Roman" w:hAnsi="Times New Roman"/>
                <w:sz w:val="24"/>
                <w:szCs w:val="24"/>
                <w:lang w:val="sk-SK"/>
              </w:rPr>
              <w:t>*** nárast nákladov na jedného podnikateľa pri udelení a zmene licencie na prevádzkovanie hazardných hier nie je možné vypočítať ako priemerný náklad, keďže poplatok sa týka iba tých subjektov, ktorí si podajú žiadosť o udelenie alebo zmenu licencie. Týchto úkonov je ročne 220 – 250 a zvýšenie výberu poplatkov sa kalkuluje na 55 500 EUR ročne. Samotné poplatky sa v nominálnom vyjadrení zvyšujú o 18,5 Eur – 681 EUR v závislosti od druhu hazardnej hry.</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FB2ECB" w:rsidRPr="004A6AFD" w:rsidP="00FB2ECB">
            <w:pPr>
              <w:bidi w:val="0"/>
              <w:spacing w:after="0" w:line="240" w:lineRule="auto"/>
              <w:suppressOverlap/>
              <w:rPr>
                <w:rFonts w:ascii="Times New Roman" w:hAnsi="Times New Roman"/>
                <w:b/>
                <w:sz w:val="24"/>
                <w:szCs w:val="24"/>
                <w:lang w:val="sk-SK"/>
              </w:rPr>
            </w:pPr>
            <w:r w:rsidRPr="004A6AFD">
              <w:rPr>
                <w:rFonts w:ascii="Times New Roman" w:hAnsi="Times New Roman"/>
                <w:b/>
                <w:sz w:val="24"/>
                <w:szCs w:val="24"/>
                <w:lang w:val="sk-SK"/>
              </w:rPr>
              <w:t>3.4 Konkurencieschopnosť a správanie sa podnikov na trhu</w:t>
            </w:r>
          </w:p>
          <w:p w:rsidR="00FB2ECB" w:rsidRPr="004A6AFD" w:rsidP="00FB2ECB">
            <w:pPr>
              <w:bidi w:val="0"/>
              <w:spacing w:after="0" w:line="240" w:lineRule="auto"/>
              <w:suppressOverlap/>
              <w:rPr>
                <w:rFonts w:ascii="Times New Roman" w:hAnsi="Times New Roman"/>
                <w:sz w:val="24"/>
                <w:szCs w:val="24"/>
                <w:lang w:val="sk-SK"/>
              </w:rPr>
            </w:pPr>
            <w:r w:rsidRPr="004A6AFD">
              <w:rPr>
                <w:rFonts w:ascii="Times New Roman" w:hAnsi="Times New Roman"/>
                <w:b/>
                <w:sz w:val="24"/>
                <w:szCs w:val="24"/>
                <w:lang w:val="sk-SK"/>
              </w:rPr>
              <w:t xml:space="preserve">       </w:t>
            </w:r>
            <w:r w:rsidRPr="004A6AFD">
              <w:rPr>
                <w:rFonts w:ascii="Times New Roman" w:hAnsi="Times New Roman"/>
                <w:sz w:val="24"/>
                <w:szCs w:val="24"/>
                <w:lang w:val="sk-SK"/>
              </w:rPr>
              <w:t xml:space="preserve">- </w:t>
            </w:r>
            <w:r w:rsidRPr="004A6AFD">
              <w:rPr>
                <w:rFonts w:ascii="Times New Roman" w:hAnsi="Times New Roman"/>
                <w:b/>
                <w:sz w:val="24"/>
                <w:szCs w:val="24"/>
                <w:lang w:val="sk-SK"/>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FB2ECB" w:rsidRPr="004A6AFD" w:rsidP="00FB2ECB">
            <w:pPr>
              <w:bidi w:val="0"/>
              <w:spacing w:after="0" w:line="240" w:lineRule="auto"/>
              <w:suppressOverlap/>
              <w:rPr>
                <w:rFonts w:ascii="Times New Roman" w:hAnsi="Times New Roman"/>
                <w:i/>
                <w:sz w:val="24"/>
                <w:szCs w:val="24"/>
                <w:lang w:val="sk-SK"/>
              </w:rPr>
            </w:pPr>
            <w:r w:rsidRPr="004A6AFD">
              <w:rPr>
                <w:rFonts w:ascii="Times New Roman" w:hAnsi="Times New Roman"/>
                <w:i/>
                <w:sz w:val="24"/>
                <w:szCs w:val="24"/>
                <w:lang w:val="sk-SK"/>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FB2ECB" w:rsidRPr="004A6AFD" w:rsidP="00FB2ECB">
            <w:pPr>
              <w:bidi w:val="0"/>
              <w:spacing w:after="0" w:line="240" w:lineRule="auto"/>
              <w:suppressOverlap/>
              <w:rPr>
                <w:rFonts w:ascii="Times New Roman" w:hAnsi="Times New Roman"/>
                <w:i/>
                <w:sz w:val="24"/>
                <w:szCs w:val="24"/>
                <w:lang w:val="sk-SK"/>
              </w:rPr>
            </w:pPr>
            <w:r w:rsidRPr="004A6AFD">
              <w:rPr>
                <w:rFonts w:ascii="Times New Roman" w:hAnsi="Times New Roman"/>
                <w:i/>
                <w:sz w:val="24"/>
                <w:szCs w:val="24"/>
                <w:lang w:val="sk-SK"/>
              </w:rPr>
              <w:t>Aký vplyv bude mať navrhovaná zmena na obchodné bariéry? Bude mať vplyv na vyvolanie cezhraničných investícií (príliv /odliv zahraničných investícií resp. uplatnenie slovenských podnikov na zahraničných trhoch)? Ak áno, popíšte.</w:t>
            </w:r>
          </w:p>
          <w:p w:rsidR="00FB2ECB" w:rsidRPr="004A6AFD" w:rsidP="00FB2ECB">
            <w:pPr>
              <w:bidi w:val="0"/>
              <w:spacing w:after="0" w:line="240" w:lineRule="auto"/>
              <w:suppressOverlap/>
              <w:rPr>
                <w:rFonts w:ascii="Times New Roman" w:hAnsi="Times New Roman"/>
                <w:i/>
                <w:sz w:val="24"/>
                <w:szCs w:val="24"/>
                <w:lang w:val="sk-SK"/>
              </w:rPr>
            </w:pPr>
            <w:r w:rsidRPr="004A6AFD">
              <w:rPr>
                <w:rFonts w:ascii="Times New Roman" w:hAnsi="Times New Roman"/>
                <w:i/>
                <w:sz w:val="24"/>
                <w:szCs w:val="24"/>
                <w:lang w:val="sk-SK"/>
              </w:rPr>
              <w:t>Ako ovplyvní cenu alebo dostupnosť základných zdrojov (suroviny, mechanizmy, pracovná sila, energie atď.)?</w:t>
            </w:r>
          </w:p>
          <w:p w:rsidR="00FB2ECB" w:rsidRPr="004A6AFD" w:rsidP="00FB2ECB">
            <w:pPr>
              <w:bidi w:val="0"/>
              <w:spacing w:after="0" w:line="240" w:lineRule="auto"/>
              <w:suppressOverlap/>
              <w:rPr>
                <w:rFonts w:ascii="Times New Roman" w:hAnsi="Times New Roman"/>
                <w:i/>
                <w:sz w:val="24"/>
                <w:szCs w:val="24"/>
                <w:lang w:val="sk-SK"/>
              </w:rPr>
            </w:pPr>
            <w:r w:rsidRPr="004A6AFD">
              <w:rPr>
                <w:rFonts w:ascii="Times New Roman" w:hAnsi="Times New Roman"/>
                <w:i/>
                <w:sz w:val="24"/>
                <w:szCs w:val="24"/>
                <w:lang w:val="sk-SK"/>
              </w:rPr>
              <w:t>Ovplyvňuje prístup k financiám? Ak áno, ako?</w:t>
            </w:r>
          </w:p>
        </w:tc>
      </w:tr>
      <w:tr>
        <w:tblPrEx>
          <w:tblW w:w="0" w:type="auto"/>
          <w:tblLook w:val="04A0"/>
        </w:tblPrEx>
        <w:trPr>
          <w:trHeight w:val="128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FB2ECB" w:rsidRPr="004A6AFD" w:rsidP="00FB2ECB">
            <w:pPr>
              <w:bidi w:val="0"/>
              <w:spacing w:after="0" w:line="240" w:lineRule="auto"/>
              <w:suppressOverlap/>
              <w:jc w:val="both"/>
              <w:rPr>
                <w:rFonts w:ascii="Times New Roman" w:hAnsi="Times New Roman"/>
                <w:sz w:val="24"/>
                <w:szCs w:val="24"/>
                <w:lang w:val="sk-SK"/>
              </w:rPr>
            </w:pPr>
            <w:r w:rsidRPr="004A6AFD">
              <w:rPr>
                <w:rFonts w:ascii="Times New Roman" w:hAnsi="Times New Roman"/>
                <w:sz w:val="24"/>
                <w:szCs w:val="24"/>
                <w:lang w:val="sk-SK"/>
              </w:rPr>
              <w:t>Návrh pre vybrané skupiny (výrobca, dovozca, predajca) nemá žiaden vplyv, nakoľko registračný poplatok platí kupujúci. Predajca má možnosť požiadať o vydanie zvláštneho evidenčného čísla čo nepodlieha registračnému poplatku.</w:t>
            </w:r>
          </w:p>
          <w:p w:rsidR="00FB2ECB" w:rsidRPr="004A6AFD" w:rsidP="00FB2ECB">
            <w:pPr>
              <w:bidi w:val="0"/>
              <w:spacing w:after="0" w:line="240" w:lineRule="auto"/>
              <w:suppressOverlap/>
              <w:jc w:val="both"/>
              <w:rPr>
                <w:rFonts w:ascii="Times New Roman" w:hAnsi="Times New Roman"/>
                <w:sz w:val="24"/>
                <w:szCs w:val="24"/>
                <w:lang w:val="sk-SK"/>
              </w:rPr>
            </w:pPr>
            <w:r w:rsidRPr="004A6AFD">
              <w:rPr>
                <w:rFonts w:ascii="Times New Roman" w:hAnsi="Times New Roman"/>
                <w:sz w:val="24"/>
                <w:szCs w:val="24"/>
                <w:lang w:val="sk-SK"/>
              </w:rPr>
              <w:t>Návrh môže mať pozitívny vplyv na konkurencieschopnosť podnikov, ktoré investujú do kúpy nových vozidiel, pretože poplatok pri takýchto vozidlách sa výrazne znižuje o 5% - 97% (pri výkonových kategóriách od 80kW do 165 kW) a celková úspora v tejto skupine podnikov predstavuje viac ako 3,6 mil. EUR ročne. Zvýšenie výdavkov pri registrácii nových vozidiel je pri výkonnostných kategóriách nad 176 kW, ale najmä nad 254 kW, čo nepatrí do štandardnej kategórie vozidiel za účelom dosahovania a udržania zisku podnikateľa, takže progresivita v sadzbách je v tejto kategórii vozidiel opodstatnená.</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FB2ECB" w:rsidRPr="004A6AFD" w:rsidP="00FB2ECB">
            <w:pPr>
              <w:bidi w:val="0"/>
              <w:spacing w:after="0" w:line="240" w:lineRule="auto"/>
              <w:suppressOverlap/>
              <w:rPr>
                <w:rFonts w:ascii="Times New Roman" w:hAnsi="Times New Roman"/>
                <w:b/>
                <w:sz w:val="24"/>
                <w:szCs w:val="24"/>
                <w:lang w:val="sk-SK"/>
              </w:rPr>
            </w:pPr>
            <w:r w:rsidRPr="004A6AFD">
              <w:rPr>
                <w:rFonts w:ascii="Times New Roman" w:hAnsi="Times New Roman"/>
                <w:b/>
                <w:sz w:val="24"/>
                <w:szCs w:val="24"/>
                <w:lang w:val="sk-SK"/>
              </w:rPr>
              <w:t xml:space="preserve">3.5 Inovácie </w:t>
            </w:r>
          </w:p>
          <w:p w:rsidR="00FB2ECB" w:rsidRPr="004A6AFD" w:rsidP="00FB2ECB">
            <w:pPr>
              <w:bidi w:val="0"/>
              <w:spacing w:after="0" w:line="240" w:lineRule="auto"/>
              <w:suppressOverlap/>
              <w:rPr>
                <w:rFonts w:ascii="Times New Roman" w:hAnsi="Times New Roman"/>
                <w:b/>
                <w:sz w:val="24"/>
                <w:szCs w:val="24"/>
                <w:lang w:val="sk-SK"/>
              </w:rPr>
            </w:pPr>
            <w:r w:rsidRPr="004A6AFD">
              <w:rPr>
                <w:rFonts w:ascii="Times New Roman" w:hAnsi="Times New Roman"/>
                <w:sz w:val="24"/>
                <w:szCs w:val="24"/>
                <w:lang w:val="sk-SK"/>
              </w:rPr>
              <w:t xml:space="preserve">       - </w:t>
            </w:r>
            <w:r w:rsidRPr="004A6AFD">
              <w:rPr>
                <w:rFonts w:ascii="Times New Roman" w:hAnsi="Times New Roman"/>
                <w:b/>
                <w:sz w:val="24"/>
                <w:szCs w:val="24"/>
                <w:lang w:val="sk-SK"/>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FB2ECB" w:rsidRPr="004A6AFD" w:rsidP="00FB2ECB">
            <w:pPr>
              <w:bidi w:val="0"/>
              <w:spacing w:after="0" w:line="240" w:lineRule="auto"/>
              <w:suppressOverlap/>
              <w:rPr>
                <w:rFonts w:ascii="Times New Roman" w:hAnsi="Times New Roman"/>
                <w:i/>
                <w:sz w:val="24"/>
                <w:szCs w:val="24"/>
                <w:lang w:val="sk-SK"/>
              </w:rPr>
            </w:pPr>
            <w:r w:rsidRPr="004A6AFD">
              <w:rPr>
                <w:rFonts w:ascii="Times New Roman" w:hAnsi="Times New Roman"/>
                <w:i/>
                <w:sz w:val="24"/>
                <w:szCs w:val="24"/>
                <w:lang w:val="sk-SK"/>
              </w:rPr>
              <w:t>Uveďte, ako podporuje navrhovaná zmena inovácie.</w:t>
            </w:r>
          </w:p>
          <w:p w:rsidR="00FB2ECB" w:rsidRPr="004A6AFD" w:rsidP="00FB2ECB">
            <w:pPr>
              <w:bidi w:val="0"/>
              <w:spacing w:after="0" w:line="240" w:lineRule="auto"/>
              <w:suppressOverlap/>
              <w:rPr>
                <w:rFonts w:ascii="Times New Roman" w:hAnsi="Times New Roman"/>
                <w:i/>
                <w:sz w:val="24"/>
                <w:szCs w:val="24"/>
                <w:lang w:val="sk-SK"/>
              </w:rPr>
            </w:pPr>
            <w:r w:rsidRPr="004A6AFD">
              <w:rPr>
                <w:rFonts w:ascii="Times New Roman" w:hAnsi="Times New Roman"/>
                <w:i/>
                <w:sz w:val="24"/>
                <w:szCs w:val="24"/>
                <w:lang w:val="sk-SK"/>
              </w:rPr>
              <w:t>Zjednodušuje uvedenie alebo rozšírenie nových výrobných metód, technológií a výrobkov na trh?</w:t>
            </w:r>
          </w:p>
          <w:p w:rsidR="00FB2ECB" w:rsidRPr="004A6AFD" w:rsidP="00FB2ECB">
            <w:pPr>
              <w:bidi w:val="0"/>
              <w:spacing w:after="0" w:line="240" w:lineRule="auto"/>
              <w:suppressOverlap/>
              <w:rPr>
                <w:rFonts w:ascii="Times New Roman" w:hAnsi="Times New Roman"/>
                <w:i/>
                <w:sz w:val="24"/>
                <w:szCs w:val="24"/>
                <w:lang w:val="sk-SK"/>
              </w:rPr>
            </w:pPr>
            <w:r w:rsidRPr="004A6AFD">
              <w:rPr>
                <w:rFonts w:ascii="Times New Roman" w:hAnsi="Times New Roman"/>
                <w:i/>
                <w:sz w:val="24"/>
                <w:szCs w:val="24"/>
                <w:lang w:val="sk-SK"/>
              </w:rPr>
              <w:t>Uveďte, ako vplýva navrhovaná zmena na jednotlivé práva duševného vlastníctva (napr. patenty, ochranné známky, autorské práva, vlastníctvo know-how).</w:t>
            </w:r>
          </w:p>
          <w:p w:rsidR="00FB2ECB" w:rsidRPr="004A6AFD" w:rsidP="00FB2ECB">
            <w:pPr>
              <w:bidi w:val="0"/>
              <w:spacing w:after="0" w:line="240" w:lineRule="auto"/>
              <w:suppressOverlap/>
              <w:rPr>
                <w:rFonts w:ascii="Times New Roman" w:hAnsi="Times New Roman"/>
                <w:i/>
                <w:sz w:val="24"/>
                <w:szCs w:val="24"/>
                <w:lang w:val="sk-SK"/>
              </w:rPr>
            </w:pPr>
            <w:r w:rsidRPr="004A6AFD">
              <w:rPr>
                <w:rFonts w:ascii="Times New Roman" w:hAnsi="Times New Roman"/>
                <w:i/>
                <w:sz w:val="24"/>
                <w:szCs w:val="24"/>
                <w:lang w:val="sk-SK"/>
              </w:rPr>
              <w:t>Podporuje vyššiu efektivitu výroby/využívania zdrojov? Ak áno, ako?</w:t>
            </w:r>
          </w:p>
          <w:p w:rsidR="00FB2ECB" w:rsidRPr="004A6AFD" w:rsidP="00FB2ECB">
            <w:pPr>
              <w:bidi w:val="0"/>
              <w:spacing w:after="0" w:line="240" w:lineRule="auto"/>
              <w:suppressOverlap/>
              <w:rPr>
                <w:rFonts w:ascii="Times New Roman" w:hAnsi="Times New Roman"/>
                <w:sz w:val="24"/>
                <w:szCs w:val="24"/>
                <w:lang w:val="sk-SK"/>
              </w:rPr>
            </w:pPr>
            <w:r w:rsidRPr="004A6AFD">
              <w:rPr>
                <w:rFonts w:ascii="Times New Roman" w:hAnsi="Times New Roman"/>
                <w:i/>
                <w:sz w:val="24"/>
                <w:szCs w:val="24"/>
                <w:lang w:val="sk-SK"/>
              </w:rPr>
              <w:t>Vytvorí zmena nové pracovné miesta pre zamestnancov výskumu a vývoja v SR?</w:t>
            </w:r>
          </w:p>
        </w:tc>
      </w:tr>
      <w:tr>
        <w:tblPrEx>
          <w:tblW w:w="0" w:type="auto"/>
          <w:tblLook w:val="04A0"/>
        </w:tblPrEx>
        <w:trPr>
          <w:trHeight w:val="174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FB2ECB" w:rsidRPr="004A6AFD" w:rsidP="00FB2ECB">
            <w:pPr>
              <w:bidi w:val="0"/>
              <w:spacing w:after="0" w:line="240" w:lineRule="auto"/>
              <w:suppressOverlap/>
              <w:jc w:val="both"/>
              <w:rPr>
                <w:rFonts w:ascii="Times New Roman" w:hAnsi="Times New Roman"/>
                <w:sz w:val="24"/>
                <w:szCs w:val="24"/>
                <w:lang w:val="sk-SK"/>
              </w:rPr>
            </w:pPr>
            <w:r w:rsidRPr="004A6AFD">
              <w:rPr>
                <w:rFonts w:ascii="Times New Roman" w:hAnsi="Times New Roman"/>
                <w:sz w:val="24"/>
                <w:szCs w:val="24"/>
                <w:lang w:val="sk-SK"/>
              </w:rPr>
              <w:t>Návrh môže pozitívne ovplyvniť  výrobcu vozidiel z dôvodu nastavenia zníženia registračného poplatku vo vzťahu k jeho uplatnenia pre kupujúceho.</w:t>
            </w:r>
          </w:p>
          <w:p w:rsidR="00FB2ECB" w:rsidRPr="004A6AFD" w:rsidP="00FB2ECB">
            <w:pPr>
              <w:bidi w:val="0"/>
              <w:spacing w:after="0" w:line="240" w:lineRule="auto"/>
              <w:suppressOverlap/>
              <w:jc w:val="both"/>
              <w:rPr>
                <w:rFonts w:ascii="Times New Roman" w:hAnsi="Times New Roman"/>
                <w:sz w:val="24"/>
                <w:szCs w:val="24"/>
                <w:lang w:val="sk-SK"/>
              </w:rPr>
            </w:pPr>
          </w:p>
          <w:p w:rsidR="00FB2ECB" w:rsidRPr="004A6AFD" w:rsidP="00FB2ECB">
            <w:pPr>
              <w:bidi w:val="0"/>
              <w:spacing w:after="0" w:line="240" w:lineRule="auto"/>
              <w:suppressOverlap/>
              <w:rPr>
                <w:rFonts w:ascii="Times New Roman" w:hAnsi="Times New Roman"/>
                <w:i/>
                <w:sz w:val="24"/>
                <w:szCs w:val="24"/>
                <w:lang w:val="sk-SK"/>
              </w:rPr>
            </w:pPr>
          </w:p>
        </w:tc>
      </w:tr>
    </w:tbl>
    <w:p w:rsidR="008F7DF1" w:rsidP="00DD22F7">
      <w:pPr>
        <w:bidi w:val="0"/>
        <w:sectPr w:rsidSect="00E53304">
          <w:headerReference w:type="default" r:id="rId15"/>
          <w:footerReference w:type="default" r:id="rId16"/>
          <w:headerReference w:type="first" r:id="rId17"/>
          <w:pgSz w:w="11906" w:h="16838"/>
          <w:pgMar w:top="720" w:right="720" w:bottom="720" w:left="720" w:header="709" w:footer="709" w:gutter="0"/>
          <w:lnNumType w:distance="0"/>
          <w:cols w:space="708"/>
          <w:noEndnote w:val="0"/>
          <w:titlePg/>
          <w:bidi w:val="0"/>
          <w:docGrid w:linePitch="360"/>
        </w:sectPr>
      </w:pPr>
      <w:r w:rsidR="006752D4">
        <w:br w:type="textWrapping" w:clear="all"/>
      </w:r>
    </w:p>
    <w:tbl>
      <w:tblPr>
        <w:tblStyle w:val="TableNormal"/>
        <w:tblW w:w="4504" w:type="pct"/>
        <w:jc w:val="center"/>
        <w:tblInd w:w="1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22"/>
      </w:tblGrid>
      <w:tr>
        <w:tblPrEx>
          <w:tblW w:w="4504" w:type="pct"/>
          <w:jc w:val="center"/>
          <w:tblInd w:w="1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534"/>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6752D4" w:rsidRPr="00C95E6F" w:rsidP="00E1659F">
            <w:pPr>
              <w:bidi w:val="0"/>
              <w:spacing w:after="0" w:line="240" w:lineRule="auto"/>
              <w:ind w:left="-284" w:firstLine="284"/>
              <w:jc w:val="center"/>
              <w:rPr>
                <w:rFonts w:ascii="Times New Roman" w:hAnsi="Times New Roman"/>
                <w:b/>
                <w:lang w:val="sk-SK" w:eastAsia="sk-SK"/>
              </w:rPr>
            </w:pPr>
            <w:r w:rsidRPr="00C95E6F">
              <w:rPr>
                <w:rFonts w:ascii="Times New Roman" w:hAnsi="Times New Roman"/>
                <w:b/>
                <w:sz w:val="28"/>
                <w:lang w:val="sk-SK" w:eastAsia="sk-SK"/>
              </w:rPr>
              <w:t>Analýza sociálnych vplyvov</w:t>
            </w:r>
          </w:p>
          <w:p w:rsidR="006752D4" w:rsidRPr="00C95E6F" w:rsidP="00E1659F">
            <w:pPr>
              <w:bidi w:val="0"/>
              <w:spacing w:after="0" w:line="240" w:lineRule="auto"/>
              <w:jc w:val="center"/>
              <w:rPr>
                <w:rFonts w:ascii="Times New Roman" w:hAnsi="Times New Roman"/>
                <w:b/>
                <w:lang w:val="sk-SK" w:eastAsia="sk-SK"/>
              </w:rPr>
            </w:pPr>
            <w:r w:rsidRPr="00C95E6F">
              <w:rPr>
                <w:rFonts w:ascii="Times New Roman" w:hAnsi="Times New Roman"/>
                <w:b/>
                <w:sz w:val="24"/>
                <w:lang w:val="sk-SK" w:eastAsia="sk-SK"/>
              </w:rPr>
              <w:t>Vplyvy na hospodárenie domácností, prístup k zdrojom, právam, tovarom a službám, sociálnu inklúziu, rovnosť príležitostí a rodovú rovnosť a vplyvy na zamestnanosť</w:t>
            </w:r>
          </w:p>
        </w:tc>
      </w:tr>
      <w:tr>
        <w:tblPrEx>
          <w:tblW w:w="4504" w:type="pct"/>
          <w:jc w:val="center"/>
          <w:tblInd w:w="1426" w:type="dxa"/>
          <w:tblCellMar>
            <w:top w:w="28" w:type="dxa"/>
            <w:bottom w:w="28" w:type="dxa"/>
          </w:tblCellMar>
          <w:tblLook w:val="04A0"/>
        </w:tblPrEx>
        <w:trPr>
          <w:jc w:val="center"/>
        </w:trPr>
        <w:tc>
          <w:tcPr>
            <w:tcW w:w="5000" w:type="pct"/>
            <w:tcBorders>
              <w:top w:val="single" w:sz="4" w:space="0" w:color="auto"/>
              <w:left w:val="single" w:sz="4" w:space="0" w:color="auto"/>
              <w:bottom w:val="nil"/>
              <w:right w:val="single" w:sz="4" w:space="0" w:color="auto"/>
            </w:tcBorders>
            <w:shd w:val="clear" w:color="auto" w:fill="D9D9D9"/>
            <w:textDirection w:val="lrTb"/>
            <w:vAlign w:val="top"/>
          </w:tcPr>
          <w:p w:rsidR="006752D4" w:rsidRPr="00C95E6F" w:rsidP="00E1659F">
            <w:pPr>
              <w:bidi w:val="0"/>
              <w:spacing w:after="0" w:line="240" w:lineRule="auto"/>
              <w:rPr>
                <w:rFonts w:ascii="Times New Roman" w:hAnsi="Times New Roman"/>
                <w:b/>
                <w:sz w:val="24"/>
                <w:lang w:val="sk-SK" w:eastAsia="sk-SK"/>
              </w:rPr>
            </w:pPr>
            <w:r w:rsidRPr="00C95E6F">
              <w:rPr>
                <w:rFonts w:ascii="Times New Roman" w:hAnsi="Times New Roman"/>
                <w:b/>
                <w:lang w:val="sk-SK" w:eastAsia="sk-SK"/>
              </w:rPr>
              <w:t xml:space="preserve">4.1 </w:t>
            </w:r>
            <w:r w:rsidRPr="00C95E6F">
              <w:rPr>
                <w:rFonts w:ascii="Times New Roman" w:hAnsi="Times New Roman"/>
                <w:b/>
                <w:sz w:val="24"/>
                <w:lang w:val="sk-SK" w:eastAsia="sk-SK"/>
              </w:rPr>
              <w:t>Identifikujte, popíšte a kvantifikujte vplyv na hospodárenie domácností a špecifikujte ovplyvnené skupiny domácností, ktoré budú pozitívne/negatívne ovplyvnené.</w:t>
            </w:r>
          </w:p>
        </w:tc>
      </w:tr>
    </w:tbl>
    <w:p w:rsidR="006752D4" w:rsidRPr="00C95E6F" w:rsidP="00224847">
      <w:pPr>
        <w:shd w:val="clear" w:color="auto" w:fill="F2F2F2"/>
        <w:bidi w:val="0"/>
        <w:spacing w:after="0" w:line="240" w:lineRule="auto"/>
        <w:rPr>
          <w:rFonts w:ascii="Times New Roman" w:hAnsi="Times New Roman"/>
          <w:i/>
          <w:sz w:val="20"/>
          <w:szCs w:val="20"/>
          <w:lang w:val="sk-SK" w:eastAsia="sk-SK"/>
        </w:rPr>
        <w:sectPr w:rsidSect="00E53304">
          <w:headerReference w:type="first" r:id="rId18"/>
          <w:pgSz w:w="11906" w:h="16838"/>
          <w:pgMar w:top="720" w:right="720" w:bottom="720" w:left="720" w:header="709" w:footer="709" w:gutter="0"/>
          <w:lnNumType w:distance="0"/>
          <w:cols w:space="708"/>
          <w:noEndnote w:val="0"/>
          <w:titlePg/>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736"/>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6752D4" w:rsidRPr="00C95E6F" w:rsidP="00E1659F">
            <w:pPr>
              <w:shd w:val="clear" w:color="auto" w:fill="F2F2F2"/>
              <w:bidi w:val="0"/>
              <w:spacing w:after="0" w:line="240" w:lineRule="auto"/>
              <w:rPr>
                <w:rFonts w:ascii="Times New Roman" w:hAnsi="Times New Roman"/>
                <w:i/>
                <w:sz w:val="20"/>
                <w:szCs w:val="20"/>
                <w:lang w:val="sk-SK" w:eastAsia="sk-SK"/>
              </w:rPr>
            </w:pPr>
            <w:r w:rsidRPr="00C95E6F">
              <w:rPr>
                <w:rFonts w:ascii="Times New Roman" w:hAnsi="Times New Roman"/>
                <w:i/>
                <w:sz w:val="20"/>
                <w:szCs w:val="20"/>
                <w:lang w:val="sk-SK" w:eastAsia="sk-SK"/>
              </w:rPr>
              <w:t xml:space="preserve">Vedie návrh k zvýšeniu alebo zníženiu príjmov alebo výdavkov domácností? </w:t>
            </w:r>
          </w:p>
          <w:p w:rsidR="006752D4" w:rsidRPr="00C95E6F" w:rsidP="00E1659F">
            <w:pPr>
              <w:shd w:val="clear" w:color="auto" w:fill="F2F2F2"/>
              <w:bidi w:val="0"/>
              <w:spacing w:after="0" w:line="240" w:lineRule="auto"/>
              <w:rPr>
                <w:rFonts w:ascii="Times New Roman" w:hAnsi="Times New Roman"/>
                <w:i/>
                <w:sz w:val="20"/>
                <w:szCs w:val="20"/>
                <w:lang w:val="sk-SK" w:eastAsia="sk-SK"/>
              </w:rPr>
            </w:pPr>
            <w:r w:rsidRPr="00C95E6F">
              <w:rPr>
                <w:rFonts w:ascii="Times New Roman" w:hAnsi="Times New Roman"/>
                <w:i/>
                <w:sz w:val="20"/>
                <w:szCs w:val="20"/>
                <w:lang w:val="sk-SK" w:eastAsia="sk-SK"/>
              </w:rPr>
              <w:t xml:space="preserve">Ktoré skupiny domácností/obyvateľstva sú takto ovplyvnené a akým spôsobom? </w:t>
            </w:r>
          </w:p>
          <w:p w:rsidR="006752D4" w:rsidRPr="00C95E6F" w:rsidP="00E1659F">
            <w:pPr>
              <w:shd w:val="clear" w:color="auto" w:fill="F2F2F2"/>
              <w:bidi w:val="0"/>
              <w:spacing w:after="0" w:line="240" w:lineRule="auto"/>
              <w:rPr>
                <w:i/>
                <w:sz w:val="20"/>
                <w:szCs w:val="20"/>
                <w:lang w:val="sk-SK" w:eastAsia="sk-SK"/>
              </w:rPr>
            </w:pPr>
            <w:r w:rsidRPr="00C95E6F">
              <w:rPr>
                <w:rFonts w:ascii="Times New Roman" w:hAnsi="Times New Roman"/>
                <w:i/>
                <w:sz w:val="20"/>
                <w:szCs w:val="20"/>
                <w:lang w:val="sk-SK" w:eastAsia="sk-SK"/>
              </w:rPr>
              <w:t>Sú medzi potenciálne ovplyvnenými skupinami skupiny v riziku chudoby alebo sociálneho vylúčenia?</w:t>
            </w:r>
          </w:p>
        </w:tc>
      </w:tr>
    </w:tbl>
    <w:p w:rsidR="006752D4" w:rsidRPr="00C95E6F" w:rsidP="00224847">
      <w:pPr>
        <w:bidi w:val="0"/>
        <w:spacing w:after="0" w:line="240" w:lineRule="auto"/>
        <w:rPr>
          <w:rFonts w:ascii="Times New Roman" w:hAnsi="Times New Roman"/>
          <w:i/>
          <w:sz w:val="20"/>
          <w:szCs w:val="20"/>
          <w:lang w:val="sk-SK" w:eastAsia="sk-SK"/>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4802"/>
        <w:gridCol w:w="4803"/>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759"/>
          <w:jc w:val="center"/>
        </w:trPr>
        <w:tc>
          <w:tcPr>
            <w:tcW w:w="2500" w:type="pct"/>
            <w:tcBorders>
              <w:top w:val="nil"/>
              <w:left w:val="single" w:sz="4" w:space="0" w:color="auto"/>
              <w:bottom w:val="dotted" w:sz="4" w:space="0" w:color="auto"/>
              <w:right w:val="single" w:sz="4" w:space="0" w:color="auto"/>
            </w:tcBorders>
            <w:textDirection w:val="lrTb"/>
            <w:vAlign w:val="top"/>
          </w:tcPr>
          <w:p w:rsidR="006752D4" w:rsidRPr="00C95E6F" w:rsidP="00E1659F">
            <w:pPr>
              <w:bidi w:val="0"/>
              <w:spacing w:after="0" w:line="240" w:lineRule="auto"/>
              <w:rPr>
                <w:rFonts w:ascii="Times New Roman" w:hAnsi="Times New Roman"/>
                <w:i/>
                <w:sz w:val="20"/>
                <w:szCs w:val="20"/>
                <w:lang w:val="sk-SK" w:eastAsia="sk-SK"/>
              </w:rPr>
            </w:pPr>
            <w:r w:rsidRPr="00C95E6F">
              <w:rPr>
                <w:rFonts w:ascii="Times New Roman" w:hAnsi="Times New Roman"/>
                <w:i/>
                <w:sz w:val="20"/>
                <w:szCs w:val="20"/>
                <w:lang w:val="sk-SK" w:eastAsia="sk-SK"/>
              </w:rPr>
              <w:t xml:space="preserve">Popíšte </w:t>
            </w:r>
            <w:r w:rsidRPr="00C95E6F">
              <w:rPr>
                <w:rFonts w:ascii="Times New Roman" w:hAnsi="Times New Roman"/>
                <w:b/>
                <w:i/>
                <w:sz w:val="20"/>
                <w:szCs w:val="20"/>
                <w:lang w:val="sk-SK" w:eastAsia="sk-SK"/>
              </w:rPr>
              <w:t>pozitívny</w:t>
            </w:r>
            <w:r w:rsidRPr="00C95E6F">
              <w:rPr>
                <w:rFonts w:ascii="Times New Roman" w:hAnsi="Times New Roman"/>
                <w:i/>
                <w:sz w:val="20"/>
                <w:szCs w:val="20"/>
                <w:lang w:val="sk-SK" w:eastAsia="sk-SK"/>
              </w:rPr>
              <w:t xml:space="preserve"> vplyv na hospodárenie domácností s uvedením, či ide o zvýšenie príjmov alebo zníženie výdavkov:</w:t>
            </w:r>
          </w:p>
        </w:tc>
        <w:tc>
          <w:tcPr>
            <w:tcW w:w="2500" w:type="pct"/>
            <w:tcBorders>
              <w:top w:val="nil"/>
              <w:left w:val="single" w:sz="4" w:space="0" w:color="auto"/>
              <w:bottom w:val="dotted" w:sz="4" w:space="0" w:color="auto"/>
              <w:right w:val="single" w:sz="4" w:space="0" w:color="auto"/>
            </w:tcBorders>
            <w:textDirection w:val="lrTb"/>
            <w:vAlign w:val="top"/>
          </w:tcPr>
          <w:p w:rsidR="006752D4" w:rsidRPr="00C95E6F" w:rsidP="00B80DDA">
            <w:pPr>
              <w:bidi w:val="0"/>
              <w:spacing w:after="0" w:line="240" w:lineRule="auto"/>
              <w:jc w:val="both"/>
              <w:rPr>
                <w:rFonts w:ascii="Times New Roman" w:hAnsi="Times New Roman"/>
                <w:sz w:val="24"/>
                <w:szCs w:val="24"/>
                <w:lang w:val="sk-SK" w:eastAsia="sk-SK"/>
              </w:rPr>
            </w:pPr>
            <w:r w:rsidRPr="00C95E6F">
              <w:rPr>
                <w:rFonts w:ascii="Times New Roman" w:hAnsi="Times New Roman"/>
                <w:sz w:val="24"/>
                <w:szCs w:val="24"/>
                <w:lang w:val="sk-SK" w:eastAsia="sk-SK"/>
              </w:rPr>
              <w:t>Zníženie poplatkov pre 9% všetkých žiadateľov o zápis držiteľa do evidencie vozidiel v SR (t.</w:t>
            </w:r>
            <w:r w:rsidR="007F6B74">
              <w:rPr>
                <w:rFonts w:ascii="Times New Roman" w:hAnsi="Times New Roman"/>
                <w:sz w:val="24"/>
                <w:szCs w:val="24"/>
                <w:lang w:val="sk-SK" w:eastAsia="sk-SK"/>
              </w:rPr>
              <w:t xml:space="preserve"> </w:t>
            </w:r>
            <w:r w:rsidRPr="00C95E6F">
              <w:rPr>
                <w:rFonts w:ascii="Times New Roman" w:hAnsi="Times New Roman"/>
                <w:sz w:val="24"/>
                <w:szCs w:val="24"/>
                <w:lang w:val="sk-SK" w:eastAsia="sk-SK"/>
              </w:rPr>
              <w:t>j. cca 27 800 žiadateľov ročne</w:t>
            </w:r>
            <w:r w:rsidRPr="007F6B74">
              <w:rPr>
                <w:rFonts w:ascii="Times New Roman" w:hAnsi="Times New Roman"/>
                <w:sz w:val="24"/>
                <w:szCs w:val="24"/>
                <w:lang w:val="sk-SK" w:eastAsia="sk-SK"/>
              </w:rPr>
              <w:t>).</w:t>
            </w:r>
            <w:r w:rsidRPr="007F6B74" w:rsidR="007F6B74">
              <w:rPr>
                <w:rFonts w:ascii="Times New Roman" w:hAnsi="Times New Roman"/>
                <w:sz w:val="24"/>
                <w:szCs w:val="24"/>
                <w:lang w:val="sk-SK" w:eastAsia="sk-SK"/>
              </w:rPr>
              <w:t xml:space="preserve"> Zníženie registračného poplatku pre vozidlá s alternatívnym pohonom (hybridy, CNG, LNG a vodík) o 50%. Oslobodenie od správneho poplatku pri vyradení vozidiel z evidencie ak budú spracované podľa zákona o odpadoch (t.</w:t>
            </w:r>
            <w:r w:rsidR="007F6B74">
              <w:rPr>
                <w:rFonts w:ascii="Times New Roman" w:hAnsi="Times New Roman"/>
                <w:sz w:val="24"/>
                <w:szCs w:val="24"/>
                <w:lang w:val="sk-SK" w:eastAsia="sk-SK"/>
              </w:rPr>
              <w:t xml:space="preserve"> </w:t>
            </w:r>
            <w:r w:rsidRPr="007F6B74" w:rsidR="007F6B74">
              <w:rPr>
                <w:rFonts w:ascii="Times New Roman" w:hAnsi="Times New Roman"/>
                <w:sz w:val="24"/>
                <w:szCs w:val="24"/>
                <w:lang w:val="sk-SK" w:eastAsia="sk-SK"/>
              </w:rPr>
              <w:t>j. cca 22 440 žiadateľov ročne).</w:t>
            </w:r>
            <w:r w:rsidRPr="00184CAB" w:rsidR="007F6B74">
              <w:rPr>
                <w:rFonts w:ascii="Times New Roman" w:hAnsi="Times New Roman"/>
                <w:sz w:val="24"/>
                <w:szCs w:val="24"/>
                <w:lang w:eastAsia="sk-SK"/>
              </w:rPr>
              <w:t xml:space="preserve"> </w:t>
            </w:r>
            <w:r w:rsidRPr="00C95E6F">
              <w:rPr>
                <w:rFonts w:ascii="Times New Roman" w:hAnsi="Times New Roman"/>
                <w:sz w:val="24"/>
                <w:szCs w:val="24"/>
                <w:lang w:val="sk-SK" w:eastAsia="sk-SK"/>
              </w:rPr>
              <w:t xml:space="preserve"> Ostatné zmeny v návrhu nemajú pozitívny ani negatívny vplyv na hospodárenie domácností.</w:t>
            </w:r>
          </w:p>
        </w:tc>
      </w:tr>
      <w:tr>
        <w:tblPrEx>
          <w:tblW w:w="5172" w:type="pct"/>
          <w:jc w:val="center"/>
          <w:tblCellMar>
            <w:top w:w="28" w:type="dxa"/>
            <w:bottom w:w="28" w:type="dxa"/>
          </w:tblCellMar>
          <w:tblLook w:val="04A0"/>
        </w:tblPrEx>
        <w:trPr>
          <w:trHeight w:val="624"/>
          <w:jc w:val="center"/>
        </w:trPr>
        <w:tc>
          <w:tcPr>
            <w:tcW w:w="2500" w:type="pct"/>
            <w:tcBorders>
              <w:top w:val="dotted" w:sz="4" w:space="0" w:color="auto"/>
              <w:left w:val="single" w:sz="4" w:space="0" w:color="auto"/>
              <w:bottom w:val="single" w:sz="4" w:space="0" w:color="auto"/>
              <w:right w:val="single" w:sz="4" w:space="0" w:color="auto"/>
            </w:tcBorders>
            <w:textDirection w:val="lrTb"/>
            <w:vAlign w:val="top"/>
          </w:tcPr>
          <w:p w:rsidR="006752D4" w:rsidRPr="00C95E6F" w:rsidP="00E1659F">
            <w:pPr>
              <w:bidi w:val="0"/>
              <w:spacing w:after="0" w:line="240" w:lineRule="auto"/>
              <w:rPr>
                <w:rFonts w:ascii="Times New Roman" w:hAnsi="Times New Roman"/>
                <w:i/>
                <w:sz w:val="20"/>
                <w:szCs w:val="20"/>
                <w:lang w:val="sk-SK" w:eastAsia="sk-SK"/>
              </w:rPr>
            </w:pPr>
            <w:r w:rsidRPr="00C95E6F">
              <w:rPr>
                <w:rFonts w:ascii="Times New Roman" w:hAnsi="Times New Roman"/>
                <w:i/>
                <w:sz w:val="20"/>
                <w:szCs w:val="20"/>
                <w:lang w:val="sk-SK" w:eastAsia="sk-SK"/>
              </w:rPr>
              <w:t xml:space="preserve">Špecifikujte </w:t>
            </w:r>
            <w:r w:rsidRPr="00C95E6F">
              <w:rPr>
                <w:rFonts w:ascii="Times New Roman" w:hAnsi="Times New Roman"/>
                <w:b/>
                <w:i/>
                <w:sz w:val="20"/>
                <w:szCs w:val="20"/>
                <w:lang w:val="sk-SK" w:eastAsia="sk-SK"/>
              </w:rPr>
              <w:t>pozitívne</w:t>
            </w:r>
            <w:r w:rsidRPr="00C95E6F">
              <w:rPr>
                <w:rFonts w:ascii="Times New Roman" w:hAnsi="Times New Roman"/>
                <w:i/>
                <w:sz w:val="20"/>
                <w:szCs w:val="20"/>
                <w:lang w:val="sk-SK" w:eastAsia="sk-SK"/>
              </w:rPr>
              <w:t xml:space="preserve"> ovplyvnené skupiny:</w:t>
            </w:r>
          </w:p>
        </w:tc>
        <w:tc>
          <w:tcPr>
            <w:tcW w:w="2500" w:type="pct"/>
            <w:tcBorders>
              <w:top w:val="dotted" w:sz="4" w:space="0" w:color="auto"/>
              <w:left w:val="single" w:sz="4" w:space="0" w:color="auto"/>
              <w:bottom w:val="single" w:sz="4" w:space="0" w:color="auto"/>
              <w:right w:val="single" w:sz="4" w:space="0" w:color="auto"/>
            </w:tcBorders>
            <w:textDirection w:val="lrTb"/>
            <w:vAlign w:val="top"/>
          </w:tcPr>
          <w:p w:rsidR="006752D4" w:rsidRPr="00C95E6F" w:rsidP="007F6B74">
            <w:pPr>
              <w:bidi w:val="0"/>
              <w:spacing w:after="0" w:line="240" w:lineRule="auto"/>
              <w:jc w:val="both"/>
              <w:rPr>
                <w:rFonts w:ascii="Times New Roman" w:hAnsi="Times New Roman"/>
                <w:sz w:val="24"/>
                <w:szCs w:val="24"/>
                <w:lang w:val="sk-SK" w:eastAsia="sk-SK"/>
              </w:rPr>
            </w:pPr>
            <w:r w:rsidRPr="00C95E6F">
              <w:rPr>
                <w:rFonts w:ascii="Times New Roman" w:hAnsi="Times New Roman"/>
                <w:sz w:val="24"/>
                <w:szCs w:val="24"/>
                <w:lang w:val="sk-SK" w:eastAsia="sk-SK"/>
              </w:rPr>
              <w:t xml:space="preserve">Žiadatelia o zápis držiteľa do evidencie vozidiel, ktorí registrujú predovšetkým nové vozidlá nad 80 </w:t>
            </w:r>
            <w:r w:rsidR="007F6B74">
              <w:rPr>
                <w:rFonts w:ascii="Times New Roman" w:hAnsi="Times New Roman"/>
                <w:sz w:val="24"/>
                <w:szCs w:val="24"/>
                <w:lang w:eastAsia="sk-SK"/>
              </w:rPr>
              <w:t xml:space="preserve">kW </w:t>
            </w:r>
            <w:r w:rsidRPr="007F6B74" w:rsidR="007F6B74">
              <w:rPr>
                <w:rFonts w:ascii="Times New Roman" w:hAnsi="Times New Roman"/>
                <w:sz w:val="24"/>
                <w:szCs w:val="24"/>
                <w:lang w:val="sk-SK" w:eastAsia="sk-SK"/>
              </w:rPr>
              <w:t>a vozidlá s alternatívnym pohonom (hybridy, CNG, LNG a vodík). Žiadatelia o trvalého vyradenia vozidla podľa zákona o odpadoch.</w:t>
            </w:r>
          </w:p>
        </w:tc>
      </w:tr>
      <w:tr>
        <w:tblPrEx>
          <w:tblW w:w="5172" w:type="pct"/>
          <w:jc w:val="center"/>
          <w:tblCellMar>
            <w:top w:w="28" w:type="dxa"/>
            <w:bottom w:w="28" w:type="dxa"/>
          </w:tblCellMar>
          <w:tblLook w:val="04A0"/>
        </w:tblPrEx>
        <w:trPr>
          <w:trHeight w:val="759"/>
          <w:jc w:val="center"/>
        </w:trPr>
        <w:tc>
          <w:tcPr>
            <w:tcW w:w="2500" w:type="pct"/>
            <w:tcBorders>
              <w:top w:val="single" w:sz="4" w:space="0" w:color="auto"/>
              <w:left w:val="single" w:sz="4" w:space="0" w:color="auto"/>
              <w:bottom w:val="dotted" w:sz="4" w:space="0" w:color="auto"/>
              <w:right w:val="single" w:sz="4" w:space="0" w:color="auto"/>
            </w:tcBorders>
            <w:textDirection w:val="lrTb"/>
            <w:vAlign w:val="top"/>
          </w:tcPr>
          <w:p w:rsidR="006752D4" w:rsidRPr="00C95E6F" w:rsidP="00E1659F">
            <w:pPr>
              <w:bidi w:val="0"/>
              <w:spacing w:after="0" w:line="240" w:lineRule="auto"/>
              <w:rPr>
                <w:rFonts w:ascii="Times New Roman" w:hAnsi="Times New Roman"/>
                <w:i/>
                <w:sz w:val="20"/>
                <w:szCs w:val="20"/>
                <w:lang w:val="sk-SK" w:eastAsia="sk-SK"/>
              </w:rPr>
            </w:pPr>
            <w:r w:rsidRPr="00C95E6F">
              <w:rPr>
                <w:rFonts w:ascii="Times New Roman" w:hAnsi="Times New Roman"/>
                <w:i/>
                <w:sz w:val="20"/>
                <w:szCs w:val="20"/>
                <w:lang w:val="sk-SK" w:eastAsia="sk-SK"/>
              </w:rPr>
              <w:t xml:space="preserve">Popíšte </w:t>
            </w:r>
            <w:r w:rsidRPr="00C95E6F">
              <w:rPr>
                <w:rFonts w:ascii="Times New Roman" w:hAnsi="Times New Roman"/>
                <w:b/>
                <w:i/>
                <w:sz w:val="20"/>
                <w:szCs w:val="20"/>
                <w:lang w:val="sk-SK" w:eastAsia="sk-SK"/>
              </w:rPr>
              <w:t xml:space="preserve">negatívny </w:t>
            </w:r>
            <w:r w:rsidRPr="00C95E6F">
              <w:rPr>
                <w:rFonts w:ascii="Times New Roman" w:hAnsi="Times New Roman"/>
                <w:i/>
                <w:sz w:val="20"/>
                <w:szCs w:val="20"/>
                <w:lang w:val="sk-SK" w:eastAsia="sk-SK"/>
              </w:rPr>
              <w:t>vplyv na hospodárenie domácností s uvedením, či ide o zníženie príjmov alebo zvýšenie výdavkov:</w:t>
            </w:r>
          </w:p>
        </w:tc>
        <w:tc>
          <w:tcPr>
            <w:tcW w:w="2500" w:type="pct"/>
            <w:tcBorders>
              <w:top w:val="single" w:sz="4" w:space="0" w:color="auto"/>
              <w:left w:val="single" w:sz="4" w:space="0" w:color="auto"/>
              <w:bottom w:val="dotted" w:sz="4" w:space="0" w:color="auto"/>
              <w:right w:val="single" w:sz="4" w:space="0" w:color="auto"/>
            </w:tcBorders>
            <w:textDirection w:val="lrTb"/>
            <w:vAlign w:val="top"/>
          </w:tcPr>
          <w:p w:rsidR="006752D4" w:rsidRPr="00C95E6F" w:rsidP="00B80DDA">
            <w:pPr>
              <w:bidi w:val="0"/>
              <w:spacing w:after="0" w:line="240" w:lineRule="auto"/>
              <w:jc w:val="both"/>
              <w:rPr>
                <w:rFonts w:ascii="Times New Roman" w:hAnsi="Times New Roman"/>
                <w:sz w:val="24"/>
                <w:szCs w:val="24"/>
                <w:lang w:val="sk-SK" w:eastAsia="sk-SK"/>
              </w:rPr>
            </w:pPr>
            <w:r w:rsidRPr="00C95E6F">
              <w:rPr>
                <w:rFonts w:ascii="Times New Roman" w:hAnsi="Times New Roman"/>
                <w:sz w:val="24"/>
                <w:szCs w:val="24"/>
                <w:lang w:val="sk-SK" w:eastAsia="sk-SK"/>
              </w:rPr>
              <w:t>Zvýšenie poplatkov pre 15% všetkých žiadateľov o zápis držiteľa do evidencie vozidiel v SR (t.</w:t>
            </w:r>
            <w:r w:rsidR="007F6B74">
              <w:rPr>
                <w:rFonts w:ascii="Times New Roman" w:hAnsi="Times New Roman"/>
                <w:sz w:val="24"/>
                <w:szCs w:val="24"/>
                <w:lang w:val="sk-SK" w:eastAsia="sk-SK"/>
              </w:rPr>
              <w:t xml:space="preserve"> </w:t>
            </w:r>
            <w:r w:rsidRPr="00C95E6F">
              <w:rPr>
                <w:rFonts w:ascii="Times New Roman" w:hAnsi="Times New Roman"/>
                <w:sz w:val="24"/>
                <w:szCs w:val="24"/>
                <w:lang w:val="sk-SK" w:eastAsia="sk-SK"/>
              </w:rPr>
              <w:t>j. cca 45 000 žiadateľov ročne).</w:t>
            </w:r>
          </w:p>
        </w:tc>
      </w:tr>
      <w:tr>
        <w:tblPrEx>
          <w:tblW w:w="5172" w:type="pct"/>
          <w:jc w:val="center"/>
          <w:tblCellMar>
            <w:top w:w="28" w:type="dxa"/>
            <w:bottom w:w="28" w:type="dxa"/>
          </w:tblCellMar>
          <w:tblLook w:val="04A0"/>
        </w:tblPrEx>
        <w:trPr>
          <w:trHeight w:val="624"/>
          <w:jc w:val="center"/>
        </w:trPr>
        <w:tc>
          <w:tcPr>
            <w:tcW w:w="2500" w:type="pct"/>
            <w:tcBorders>
              <w:top w:val="dotted" w:sz="4" w:space="0" w:color="auto"/>
              <w:left w:val="single" w:sz="4" w:space="0" w:color="auto"/>
              <w:bottom w:val="single" w:sz="4" w:space="0" w:color="auto"/>
              <w:right w:val="single" w:sz="4" w:space="0" w:color="auto"/>
            </w:tcBorders>
            <w:textDirection w:val="lrTb"/>
            <w:vAlign w:val="top"/>
          </w:tcPr>
          <w:p w:rsidR="006752D4" w:rsidRPr="00C95E6F" w:rsidP="00E1659F">
            <w:pPr>
              <w:bidi w:val="0"/>
              <w:spacing w:after="0" w:line="240" w:lineRule="auto"/>
              <w:rPr>
                <w:rFonts w:ascii="Times New Roman" w:hAnsi="Times New Roman"/>
                <w:i/>
                <w:sz w:val="20"/>
                <w:szCs w:val="20"/>
                <w:lang w:val="sk-SK" w:eastAsia="sk-SK"/>
              </w:rPr>
            </w:pPr>
            <w:r w:rsidRPr="00C95E6F">
              <w:rPr>
                <w:rFonts w:ascii="Times New Roman" w:hAnsi="Times New Roman"/>
                <w:i/>
                <w:sz w:val="20"/>
                <w:szCs w:val="20"/>
                <w:lang w:val="sk-SK" w:eastAsia="sk-SK"/>
              </w:rPr>
              <w:t xml:space="preserve">Špecifikujte </w:t>
            </w:r>
            <w:r w:rsidRPr="00C95E6F">
              <w:rPr>
                <w:rFonts w:ascii="Times New Roman" w:hAnsi="Times New Roman"/>
                <w:b/>
                <w:i/>
                <w:sz w:val="20"/>
                <w:szCs w:val="20"/>
                <w:lang w:val="sk-SK" w:eastAsia="sk-SK"/>
              </w:rPr>
              <w:t>negatívne</w:t>
            </w:r>
            <w:r w:rsidRPr="00C95E6F">
              <w:rPr>
                <w:rFonts w:ascii="Times New Roman" w:hAnsi="Times New Roman"/>
                <w:i/>
                <w:sz w:val="20"/>
                <w:szCs w:val="20"/>
                <w:lang w:val="sk-SK" w:eastAsia="sk-SK"/>
              </w:rPr>
              <w:t xml:space="preserve"> ovplyvnené skupiny:</w:t>
            </w:r>
          </w:p>
        </w:tc>
        <w:tc>
          <w:tcPr>
            <w:tcW w:w="2500" w:type="pct"/>
            <w:tcBorders>
              <w:top w:val="dotted" w:sz="4" w:space="0" w:color="auto"/>
              <w:left w:val="single" w:sz="4" w:space="0" w:color="auto"/>
              <w:bottom w:val="single" w:sz="4" w:space="0" w:color="auto"/>
              <w:right w:val="single" w:sz="4" w:space="0" w:color="auto"/>
            </w:tcBorders>
            <w:textDirection w:val="lrTb"/>
            <w:vAlign w:val="top"/>
          </w:tcPr>
          <w:p w:rsidR="006752D4" w:rsidRPr="00C95E6F" w:rsidP="00B80DDA">
            <w:pPr>
              <w:bidi w:val="0"/>
              <w:spacing w:after="0" w:line="240" w:lineRule="auto"/>
              <w:jc w:val="both"/>
              <w:rPr>
                <w:rFonts w:ascii="Times New Roman" w:hAnsi="Times New Roman"/>
                <w:sz w:val="24"/>
                <w:szCs w:val="24"/>
                <w:lang w:val="sk-SK" w:eastAsia="sk-SK"/>
              </w:rPr>
            </w:pPr>
            <w:r w:rsidRPr="00C95E6F">
              <w:rPr>
                <w:rFonts w:ascii="Times New Roman" w:hAnsi="Times New Roman"/>
                <w:sz w:val="24"/>
                <w:szCs w:val="24"/>
                <w:lang w:val="sk-SK" w:eastAsia="sk-SK"/>
              </w:rPr>
              <w:t>Žiadatelia o zápis držiteľa do evidencie vozidiel, ktorí registrujú predovšetkým staršie vozidlá nad 80 kW, pričom platí, že čím staršie vozidlo, tým je negatívny vplyv menší až žiadny. Ostatné zmeny v návrhu nemajú pozitívny ani negatívny vplyv na hospodárenie domácností.</w:t>
            </w:r>
          </w:p>
        </w:tc>
      </w:tr>
      <w:tr>
        <w:tblPrEx>
          <w:tblW w:w="5172" w:type="pct"/>
          <w:jc w:val="center"/>
          <w:tblCellMar>
            <w:top w:w="28" w:type="dxa"/>
            <w:bottom w:w="28" w:type="dxa"/>
          </w:tblCellMar>
          <w:tblLook w:val="04A0"/>
        </w:tblPrEx>
        <w:trPr>
          <w:trHeight w:val="680"/>
          <w:jc w:val="center"/>
        </w:trPr>
        <w:tc>
          <w:tcPr>
            <w:tcW w:w="2500" w:type="pct"/>
            <w:tcBorders>
              <w:top w:val="single" w:sz="4" w:space="0" w:color="auto"/>
              <w:left w:val="single" w:sz="4" w:space="0" w:color="auto"/>
              <w:bottom w:val="nil"/>
              <w:right w:val="single" w:sz="4" w:space="0" w:color="auto"/>
            </w:tcBorders>
            <w:textDirection w:val="lrTb"/>
            <w:vAlign w:val="top"/>
          </w:tcPr>
          <w:p w:rsidR="006752D4" w:rsidRPr="00C95E6F" w:rsidP="00E1659F">
            <w:pPr>
              <w:bidi w:val="0"/>
              <w:spacing w:after="0" w:line="240" w:lineRule="auto"/>
              <w:rPr>
                <w:rFonts w:ascii="Times New Roman" w:hAnsi="Times New Roman"/>
                <w:i/>
                <w:sz w:val="20"/>
                <w:szCs w:val="20"/>
                <w:lang w:val="sk-SK" w:eastAsia="sk-SK"/>
              </w:rPr>
            </w:pPr>
            <w:r w:rsidRPr="00C95E6F">
              <w:rPr>
                <w:rFonts w:ascii="Times New Roman" w:hAnsi="Times New Roman"/>
                <w:i/>
                <w:sz w:val="20"/>
                <w:szCs w:val="20"/>
                <w:lang w:val="sk-SK" w:eastAsia="sk-SK"/>
              </w:rPr>
              <w:t xml:space="preserve">Špecifikujte ovplyvnené skupiny </w:t>
            </w:r>
            <w:r w:rsidRPr="00C95E6F">
              <w:rPr>
                <w:rFonts w:ascii="Times New Roman" w:hAnsi="Times New Roman"/>
                <w:b/>
                <w:i/>
                <w:sz w:val="20"/>
                <w:szCs w:val="20"/>
                <w:lang w:val="sk-SK" w:eastAsia="sk-SK"/>
              </w:rPr>
              <w:t>v riziku chudoby alebo sociálneho vylúčenia</w:t>
            </w:r>
            <w:r w:rsidRPr="00C95E6F">
              <w:rPr>
                <w:rFonts w:ascii="Times New Roman" w:hAnsi="Times New Roman"/>
                <w:i/>
                <w:sz w:val="20"/>
                <w:szCs w:val="20"/>
                <w:lang w:val="sk-SK" w:eastAsia="sk-SK"/>
              </w:rPr>
              <w:t xml:space="preserve"> a popíšte vplyv:</w:t>
            </w:r>
          </w:p>
        </w:tc>
        <w:tc>
          <w:tcPr>
            <w:tcW w:w="2500" w:type="pct"/>
            <w:tcBorders>
              <w:top w:val="single" w:sz="4" w:space="0" w:color="auto"/>
              <w:left w:val="single" w:sz="4" w:space="0" w:color="auto"/>
              <w:bottom w:val="nil"/>
              <w:right w:val="single" w:sz="4" w:space="0" w:color="auto"/>
            </w:tcBorders>
            <w:textDirection w:val="lrTb"/>
            <w:vAlign w:val="top"/>
          </w:tcPr>
          <w:p w:rsidR="006752D4" w:rsidRPr="00C95E6F" w:rsidP="00B80DDA">
            <w:pPr>
              <w:bidi w:val="0"/>
              <w:spacing w:after="0" w:line="240" w:lineRule="auto"/>
              <w:ind w:right="85"/>
              <w:jc w:val="both"/>
              <w:rPr>
                <w:rFonts w:ascii="Times New Roman" w:hAnsi="Times New Roman"/>
                <w:sz w:val="24"/>
                <w:szCs w:val="24"/>
                <w:lang w:val="sk-SK"/>
              </w:rPr>
            </w:pPr>
            <w:r w:rsidRPr="00C95E6F">
              <w:rPr>
                <w:rFonts w:ascii="Times New Roman" w:hAnsi="Times New Roman"/>
                <w:sz w:val="24"/>
                <w:szCs w:val="24"/>
                <w:lang w:val="sk-SK" w:eastAsia="sk-SK"/>
              </w:rPr>
              <w:t>Návrhom nie sú ovplyvnené skupiny obyvateľstva v riziku chudoby alebo sociálneho vylúčenia, pretože sa nepredpokladá, že tieto skupiny si kupujú a registrujú vozidlá s výkonom nad 80 kW (a ak áno, aj na mnohé staršie vozidlá s výkonom aj nad 80 kW sa aplikuje len základná sadzba v nezmenenej výške 33 EUR súvisiaca s pokrytím administratívnych nákladov na vydanie dokladov). Kumulatívny podiel registrovaných vozidiel s výkonom do 80 kW je približne 58%. Pre 236 000 zápisov držiteľa vozidla do evidencie ročne sa poplatok nezmení. Ostatné zníženia poplatkov, výnimky a splnomocnenia súvisiace s položkou 65 zostávajú zachované v nezmenenom rozsahu.</w:t>
            </w:r>
          </w:p>
        </w:tc>
      </w:tr>
    </w:tbl>
    <w:p w:rsidR="006752D4" w:rsidRPr="00C95E6F" w:rsidP="00224847">
      <w:pPr>
        <w:bidi w:val="0"/>
        <w:spacing w:after="0" w:line="240" w:lineRule="auto"/>
        <w:jc w:val="both"/>
        <w:rPr>
          <w:rFonts w:ascii="Times New Roman" w:hAnsi="Times New Roman"/>
          <w:i/>
          <w:sz w:val="20"/>
          <w:szCs w:val="20"/>
          <w:lang w:val="sk-SK" w:eastAsia="sk-SK"/>
        </w:rPr>
        <w:sectPr w:rsidSect="0040544D">
          <w:headerReference w:type="default" r:id="rId19"/>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4802"/>
        <w:gridCol w:w="4803"/>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68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6752D4" w:rsidRPr="00C95E6F" w:rsidP="00E1659F">
            <w:pPr>
              <w:bidi w:val="0"/>
              <w:spacing w:after="0" w:line="240" w:lineRule="auto"/>
              <w:jc w:val="both"/>
              <w:rPr>
                <w:rFonts w:ascii="Times New Roman" w:hAnsi="Times New Roman"/>
                <w:i/>
                <w:sz w:val="20"/>
                <w:szCs w:val="20"/>
                <w:lang w:val="sk-SK" w:eastAsia="sk-SK"/>
              </w:rPr>
            </w:pPr>
            <w:r w:rsidRPr="00C95E6F">
              <w:rPr>
                <w:rFonts w:ascii="Times New Roman" w:hAnsi="Times New Roman"/>
                <w:i/>
                <w:sz w:val="20"/>
                <w:szCs w:val="20"/>
                <w:lang w:val="sk-SK" w:eastAsia="sk-SK"/>
              </w:rPr>
              <w:t>Kvantifikujte rast alebo pokles príjmov/výdavkov za jednotlivé ovplyvnené skupiny domácností / skupiny jednotlivcov a počet obyvateľstva/domácností ovplyvnených predkladaným materiálom.</w:t>
            </w:r>
          </w:p>
          <w:p w:rsidR="006752D4" w:rsidRPr="00C95E6F" w:rsidP="00E1659F">
            <w:pPr>
              <w:bidi w:val="0"/>
              <w:spacing w:after="0" w:line="240" w:lineRule="auto"/>
              <w:jc w:val="both"/>
              <w:rPr>
                <w:rFonts w:ascii="Times New Roman" w:hAnsi="Times New Roman"/>
                <w:i/>
                <w:sz w:val="20"/>
                <w:szCs w:val="20"/>
                <w:lang w:val="sk-SK" w:eastAsia="sk-SK"/>
              </w:rPr>
            </w:pPr>
            <w:r w:rsidRPr="00C95E6F">
              <w:rPr>
                <w:rFonts w:ascii="Times New Roman" w:hAnsi="Times New Roman"/>
                <w:i/>
                <w:sz w:val="20"/>
                <w:szCs w:val="20"/>
                <w:lang w:val="sk-SK" w:eastAsia="sk-SK"/>
              </w:rPr>
              <w:t>V prípade vyššieho počtu ovplyvnených skupín doplňte do tabuľky ďalšie riadky.</w:t>
            </w:r>
          </w:p>
          <w:p w:rsidR="006752D4" w:rsidRPr="00C95E6F" w:rsidP="00E1659F">
            <w:pPr>
              <w:tabs>
                <w:tab w:val="left" w:pos="3505"/>
              </w:tabs>
              <w:bidi w:val="0"/>
              <w:spacing w:after="0" w:line="240" w:lineRule="auto"/>
              <w:rPr>
                <w:rFonts w:ascii="Times New Roman" w:hAnsi="Times New Roman"/>
                <w:sz w:val="20"/>
                <w:szCs w:val="20"/>
                <w:lang w:val="sk-SK" w:eastAsia="sk-SK"/>
              </w:rPr>
            </w:pPr>
            <w:r w:rsidRPr="00C95E6F">
              <w:rPr>
                <w:rFonts w:ascii="Times New Roman" w:hAnsi="Times New Roman"/>
                <w:i/>
                <w:sz w:val="20"/>
                <w:szCs w:val="20"/>
                <w:lang w:val="sk-SK" w:eastAsia="sk-SK"/>
              </w:rPr>
              <w:t>V prípade, ak neuvádzate kvantifikáciu, uveďte dôvod.</w:t>
            </w:r>
          </w:p>
        </w:tc>
      </w:tr>
      <w:tr>
        <w:tblPrEx>
          <w:tblW w:w="5172" w:type="pct"/>
          <w:jc w:val="center"/>
          <w:tblCellMar>
            <w:top w:w="28" w:type="dxa"/>
            <w:bottom w:w="28" w:type="dxa"/>
          </w:tblCellMar>
          <w:tblLook w:val="04A0"/>
        </w:tblPrEx>
        <w:trPr>
          <w:trHeight w:val="286"/>
          <w:jc w:val="center"/>
        </w:trPr>
        <w:tc>
          <w:tcPr>
            <w:tcW w:w="5000" w:type="pct"/>
            <w:gridSpan w:val="2"/>
            <w:tcBorders>
              <w:top w:val="nil"/>
              <w:left w:val="single" w:sz="4" w:space="0" w:color="auto"/>
              <w:bottom w:val="single" w:sz="4" w:space="0" w:color="auto"/>
              <w:right w:val="single" w:sz="4" w:space="0" w:color="auto"/>
            </w:tcBorders>
            <w:textDirection w:val="lrTb"/>
            <w:vAlign w:val="top"/>
          </w:tcPr>
          <w:p w:rsidR="006752D4" w:rsidRPr="00C95E6F" w:rsidP="00E1659F">
            <w:pPr>
              <w:bidi w:val="0"/>
              <w:spacing w:after="0" w:line="240" w:lineRule="auto"/>
              <w:jc w:val="both"/>
              <w:rPr>
                <w:rFonts w:ascii="Times New Roman" w:hAnsi="Times New Roman"/>
                <w:i/>
                <w:sz w:val="20"/>
                <w:szCs w:val="20"/>
                <w:lang w:val="sk-SK" w:eastAsia="sk-SK"/>
              </w:rPr>
            </w:pPr>
            <w:r w:rsidRPr="00C95E6F">
              <w:rPr>
                <w:rFonts w:ascii="Times New Roman" w:hAnsi="Times New Roman"/>
                <w:b/>
                <w:i/>
                <w:sz w:val="20"/>
                <w:szCs w:val="20"/>
                <w:lang w:val="sk-SK" w:eastAsia="sk-SK"/>
              </w:rPr>
              <w:t>Ovplyvnená skupina č. 1:</w:t>
            </w:r>
          </w:p>
        </w:tc>
      </w:tr>
      <w:tr>
        <w:tblPrEx>
          <w:tblW w:w="5172" w:type="pct"/>
          <w:jc w:val="center"/>
          <w:tblCellMar>
            <w:top w:w="28" w:type="dxa"/>
            <w:bottom w:w="28" w:type="dxa"/>
          </w:tblCellMar>
          <w:tblLook w:val="04A0"/>
        </w:tblPrEx>
        <w:trPr>
          <w:trHeight w:val="503"/>
          <w:jc w:val="center"/>
        </w:trPr>
        <w:tc>
          <w:tcPr>
            <w:tcW w:w="2500" w:type="pct"/>
            <w:tcBorders>
              <w:top w:val="single" w:sz="4" w:space="0" w:color="auto"/>
              <w:left w:val="single" w:sz="4" w:space="0" w:color="auto"/>
              <w:bottom w:val="single" w:sz="4" w:space="0" w:color="BFBFBF"/>
              <w:right w:val="single" w:sz="4" w:space="0" w:color="auto"/>
            </w:tcBorders>
            <w:textDirection w:val="lrTb"/>
            <w:vAlign w:val="top"/>
          </w:tcPr>
          <w:p w:rsidR="006752D4" w:rsidRPr="00C95E6F" w:rsidP="00E1659F">
            <w:pPr>
              <w:bidi w:val="0"/>
              <w:spacing w:after="0" w:line="240" w:lineRule="auto"/>
              <w:rPr>
                <w:rFonts w:ascii="Times New Roman" w:hAnsi="Times New Roman"/>
                <w:i/>
                <w:sz w:val="20"/>
                <w:szCs w:val="20"/>
                <w:lang w:val="sk-SK" w:eastAsia="sk-SK"/>
              </w:rPr>
            </w:pPr>
            <w:r w:rsidRPr="00C95E6F">
              <w:rPr>
                <w:rFonts w:ascii="Times New Roman" w:hAnsi="Times New Roman"/>
                <w:i/>
                <w:sz w:val="20"/>
                <w:szCs w:val="20"/>
                <w:lang w:val="sk-SK" w:eastAsia="sk-SK"/>
              </w:rPr>
              <w:t>Pozitívny vplyv - priemerný rast príjmov/ pokles výdavkov v skupine v eurách a/alebo v % / obdobie:</w:t>
            </w:r>
          </w:p>
        </w:tc>
        <w:tc>
          <w:tcPr>
            <w:tcW w:w="2500" w:type="pct"/>
            <w:tcBorders>
              <w:top w:val="single" w:sz="4" w:space="0" w:color="auto"/>
              <w:left w:val="single" w:sz="4" w:space="0" w:color="auto"/>
              <w:bottom w:val="single" w:sz="4" w:space="0" w:color="BFBFBF"/>
              <w:right w:val="single" w:sz="4" w:space="0" w:color="auto"/>
            </w:tcBorders>
            <w:textDirection w:val="lrTb"/>
            <w:vAlign w:val="top"/>
          </w:tcPr>
          <w:p w:rsidR="006752D4" w:rsidRPr="00C95E6F" w:rsidP="00805396">
            <w:pPr>
              <w:bidi w:val="0"/>
              <w:spacing w:after="0" w:line="240" w:lineRule="auto"/>
              <w:jc w:val="both"/>
              <w:rPr>
                <w:rFonts w:ascii="Times New Roman" w:hAnsi="Times New Roman"/>
                <w:sz w:val="24"/>
                <w:szCs w:val="24"/>
                <w:lang w:val="sk-SK" w:eastAsia="sk-SK"/>
              </w:rPr>
            </w:pPr>
            <w:r w:rsidRPr="00C95E6F">
              <w:rPr>
                <w:rFonts w:ascii="Times New Roman" w:hAnsi="Times New Roman"/>
                <w:sz w:val="24"/>
                <w:szCs w:val="24"/>
                <w:lang w:val="sk-SK" w:eastAsia="sk-SK"/>
              </w:rPr>
              <w:t>Poplatok sa aplikuje len na žiadateľov o zápis držiteľa vozidla do evidencie vozidiel, čo závisí od toho, ako často si držiteľ registruje ďalšie vozidlo. Preto vplyv nie je možné anualizovať a ani vyrátať jeho priemer. Pozitívny vplyv - v závislosti od výkonu a veku vozidla sa oproti súčasnému stavu poplatok zníži od 77 do 2763 EUR za každú registráciu (v priemere zníži o 222 EUR).</w:t>
            </w:r>
          </w:p>
        </w:tc>
      </w:tr>
      <w:tr>
        <w:tblPrEx>
          <w:tblW w:w="5172" w:type="pct"/>
          <w:jc w:val="center"/>
          <w:tblCellMar>
            <w:top w:w="28" w:type="dxa"/>
            <w:bottom w:w="28" w:type="dxa"/>
          </w:tblCellMar>
          <w:tblLook w:val="04A0"/>
        </w:tblPrEx>
        <w:trPr>
          <w:trHeight w:val="497"/>
          <w:jc w:val="center"/>
        </w:trPr>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6752D4" w:rsidRPr="00C95E6F" w:rsidP="00E1659F">
            <w:pPr>
              <w:bidi w:val="0"/>
              <w:spacing w:after="0" w:line="240" w:lineRule="auto"/>
              <w:rPr>
                <w:i/>
                <w:sz w:val="20"/>
                <w:szCs w:val="20"/>
                <w:lang w:val="sk-SK" w:eastAsia="sk-SK"/>
              </w:rPr>
            </w:pPr>
            <w:r w:rsidRPr="00C95E6F">
              <w:rPr>
                <w:rFonts w:ascii="Times New Roman" w:hAnsi="Times New Roman"/>
                <w:i/>
                <w:sz w:val="20"/>
                <w:szCs w:val="20"/>
                <w:lang w:val="sk-SK" w:eastAsia="sk-SK"/>
              </w:rPr>
              <w:t xml:space="preserve">Negatívny vplyv - priemerný pokles príjmov/ rast výdavkov v skupine v eurách a/alebo v % / obdobie: </w:t>
            </w:r>
          </w:p>
        </w:tc>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6752D4" w:rsidRPr="00C95E6F" w:rsidP="00242BEF">
            <w:pPr>
              <w:bidi w:val="0"/>
              <w:spacing w:after="0" w:line="240" w:lineRule="auto"/>
              <w:jc w:val="both"/>
              <w:rPr>
                <w:rFonts w:ascii="Times New Roman" w:hAnsi="Times New Roman"/>
                <w:sz w:val="24"/>
                <w:szCs w:val="24"/>
                <w:lang w:val="sk-SK" w:eastAsia="sk-SK"/>
              </w:rPr>
            </w:pPr>
            <w:r w:rsidRPr="00C95E6F">
              <w:rPr>
                <w:rFonts w:ascii="Times New Roman" w:hAnsi="Times New Roman"/>
                <w:sz w:val="24"/>
                <w:szCs w:val="24"/>
                <w:lang w:val="sk-SK" w:eastAsia="sk-SK"/>
              </w:rPr>
              <w:t>Vplyv nie je možné anualizovať a ani vyrátať jeho priemer. Negatívny vplyv - v závislosti od výkonu a veku vozidla sa oproti súčasnému stavu zvýši od 1 do 3165 EUR za každú registráciu, pričom najväčšie zvýšenie poplatku sa týka preregistrácie tuzemského vozidla s výkonom nad 254 kW a s vekom do 1 roka. Priemerné zvýšenie poplatku predstavuje 127 EUR.</w:t>
            </w:r>
          </w:p>
        </w:tc>
      </w:tr>
      <w:tr>
        <w:tblPrEx>
          <w:tblW w:w="5172" w:type="pct"/>
          <w:jc w:val="center"/>
          <w:tblCellMar>
            <w:top w:w="28" w:type="dxa"/>
            <w:bottom w:w="28" w:type="dxa"/>
          </w:tblCellMar>
          <w:tblLook w:val="04A0"/>
        </w:tblPrEx>
        <w:trPr>
          <w:trHeight w:val="363"/>
          <w:jc w:val="center"/>
        </w:trPr>
        <w:tc>
          <w:tcPr>
            <w:tcW w:w="2500" w:type="pct"/>
            <w:tcBorders>
              <w:top w:val="single" w:sz="4" w:space="0" w:color="BFBFBF"/>
              <w:left w:val="single" w:sz="4" w:space="0" w:color="auto"/>
              <w:bottom w:val="single" w:sz="4" w:space="0" w:color="auto"/>
              <w:right w:val="single" w:sz="4" w:space="0" w:color="auto"/>
            </w:tcBorders>
            <w:textDirection w:val="lrTb"/>
            <w:vAlign w:val="top"/>
          </w:tcPr>
          <w:p w:rsidR="006752D4" w:rsidRPr="00C95E6F" w:rsidP="00E1659F">
            <w:pPr>
              <w:bidi w:val="0"/>
              <w:spacing w:after="0" w:line="240" w:lineRule="auto"/>
              <w:rPr>
                <w:i/>
                <w:sz w:val="20"/>
                <w:szCs w:val="20"/>
                <w:lang w:val="sk-SK" w:eastAsia="sk-SK"/>
              </w:rPr>
            </w:pPr>
            <w:r w:rsidRPr="00C95E6F">
              <w:rPr>
                <w:rFonts w:ascii="Times New Roman" w:hAnsi="Times New Roman"/>
                <w:i/>
                <w:sz w:val="20"/>
                <w:szCs w:val="20"/>
                <w:lang w:val="sk-SK" w:eastAsia="sk-SK"/>
              </w:rPr>
              <w:t>Veľkosť skupiny (počet obyvateľov):</w:t>
            </w:r>
          </w:p>
        </w:tc>
        <w:tc>
          <w:tcPr>
            <w:tcW w:w="2500" w:type="pct"/>
            <w:tcBorders>
              <w:top w:val="single" w:sz="4" w:space="0" w:color="BFBFBF"/>
              <w:left w:val="single" w:sz="4" w:space="0" w:color="auto"/>
              <w:bottom w:val="single" w:sz="4" w:space="0" w:color="auto"/>
              <w:right w:val="single" w:sz="4" w:space="0" w:color="auto"/>
            </w:tcBorders>
            <w:textDirection w:val="lrTb"/>
            <w:vAlign w:val="top"/>
          </w:tcPr>
          <w:p w:rsidR="006752D4" w:rsidRPr="00C95E6F" w:rsidP="00242BEF">
            <w:pPr>
              <w:bidi w:val="0"/>
              <w:spacing w:after="0" w:line="240" w:lineRule="auto"/>
              <w:jc w:val="both"/>
              <w:rPr>
                <w:rFonts w:ascii="Times New Roman" w:hAnsi="Times New Roman"/>
                <w:sz w:val="24"/>
                <w:szCs w:val="24"/>
                <w:lang w:val="sk-SK" w:eastAsia="sk-SK"/>
              </w:rPr>
            </w:pPr>
            <w:r w:rsidRPr="00C95E6F">
              <w:rPr>
                <w:rFonts w:ascii="Times New Roman" w:hAnsi="Times New Roman"/>
                <w:sz w:val="24"/>
                <w:szCs w:val="24"/>
                <w:lang w:val="sk-SK" w:eastAsia="sk-SK"/>
              </w:rPr>
              <w:t>72 800 je súčet skupiny s pozitívnym aj negatívnym vplyvom, pri cca 226 000 zápisoch držiteľa do evidencie vozidiel sa výška poplatku nezmení. Celkový vplyv na hospodárenie obyvateľstva sa zlepší o 600 000 EUR ročne (zvýšenie príjmov od podnikateľov o 600 000 EUR ročne).</w:t>
            </w:r>
          </w:p>
        </w:tc>
      </w:tr>
      <w:tr>
        <w:tblPrEx>
          <w:tblW w:w="5172" w:type="pct"/>
          <w:jc w:val="center"/>
          <w:tblCellMar>
            <w:top w:w="28" w:type="dxa"/>
            <w:bottom w:w="28" w:type="dxa"/>
          </w:tblCellMar>
          <w:tblLook w:val="04A0"/>
        </w:tblPrEx>
        <w:trPr>
          <w:trHeight w:val="265"/>
          <w:jc w:val="center"/>
        </w:trPr>
        <w:tc>
          <w:tcPr>
            <w:tcW w:w="5000" w:type="pct"/>
            <w:gridSpan w:val="2"/>
            <w:tcBorders>
              <w:top w:val="single" w:sz="4" w:space="0" w:color="auto"/>
              <w:left w:val="single" w:sz="4" w:space="0" w:color="auto"/>
              <w:bottom w:val="single" w:sz="4" w:space="0" w:color="auto"/>
              <w:right w:val="single" w:sz="4" w:space="0" w:color="auto"/>
            </w:tcBorders>
            <w:textDirection w:val="lrTb"/>
            <w:vAlign w:val="top"/>
          </w:tcPr>
          <w:p w:rsidR="006752D4" w:rsidRPr="00C95E6F" w:rsidP="00E1659F">
            <w:pPr>
              <w:bidi w:val="0"/>
              <w:spacing w:after="0" w:line="240" w:lineRule="auto"/>
              <w:jc w:val="both"/>
              <w:rPr>
                <w:rFonts w:ascii="Times New Roman" w:hAnsi="Times New Roman"/>
                <w:i/>
                <w:sz w:val="20"/>
                <w:szCs w:val="20"/>
                <w:lang w:val="sk-SK" w:eastAsia="sk-SK"/>
              </w:rPr>
            </w:pPr>
            <w:r w:rsidRPr="00C95E6F">
              <w:rPr>
                <w:rFonts w:ascii="Times New Roman" w:hAnsi="Times New Roman"/>
                <w:b/>
                <w:i/>
                <w:sz w:val="20"/>
                <w:szCs w:val="20"/>
                <w:lang w:val="sk-SK" w:eastAsia="sk-SK"/>
              </w:rPr>
              <w:t>Ovplyvnená skupina č. 2:</w:t>
            </w:r>
          </w:p>
        </w:tc>
      </w:tr>
      <w:tr>
        <w:tblPrEx>
          <w:tblW w:w="5172" w:type="pct"/>
          <w:jc w:val="center"/>
          <w:tblCellMar>
            <w:top w:w="28" w:type="dxa"/>
            <w:bottom w:w="28" w:type="dxa"/>
          </w:tblCellMar>
          <w:tblLook w:val="04A0"/>
        </w:tblPrEx>
        <w:trPr>
          <w:trHeight w:val="587"/>
          <w:jc w:val="center"/>
        </w:trPr>
        <w:tc>
          <w:tcPr>
            <w:tcW w:w="2500" w:type="pct"/>
            <w:tcBorders>
              <w:top w:val="single" w:sz="4" w:space="0" w:color="auto"/>
              <w:left w:val="single" w:sz="4" w:space="0" w:color="auto"/>
              <w:bottom w:val="single" w:sz="4" w:space="0" w:color="BFBFBF"/>
              <w:right w:val="single" w:sz="4" w:space="0" w:color="auto"/>
            </w:tcBorders>
            <w:textDirection w:val="lrTb"/>
            <w:vAlign w:val="top"/>
          </w:tcPr>
          <w:p w:rsidR="006752D4" w:rsidRPr="00C95E6F" w:rsidP="00E1659F">
            <w:pPr>
              <w:bidi w:val="0"/>
              <w:spacing w:after="0" w:line="240" w:lineRule="auto"/>
              <w:rPr>
                <w:rFonts w:ascii="Times New Roman" w:hAnsi="Times New Roman"/>
                <w:i/>
                <w:sz w:val="20"/>
                <w:szCs w:val="20"/>
                <w:lang w:val="sk-SK" w:eastAsia="sk-SK"/>
              </w:rPr>
            </w:pPr>
            <w:r w:rsidRPr="00C95E6F">
              <w:rPr>
                <w:rFonts w:ascii="Times New Roman" w:hAnsi="Times New Roman"/>
                <w:i/>
                <w:sz w:val="20"/>
                <w:szCs w:val="20"/>
                <w:lang w:val="sk-SK" w:eastAsia="sk-SK"/>
              </w:rPr>
              <w:t>Pozitívny vplyv - priemerný rast príjmov/pokles výdavkov v skupine v eurách a/alebo v % / obdobie:</w:t>
            </w:r>
          </w:p>
        </w:tc>
        <w:tc>
          <w:tcPr>
            <w:tcW w:w="2500" w:type="pct"/>
            <w:tcBorders>
              <w:top w:val="single" w:sz="4" w:space="0" w:color="auto"/>
              <w:left w:val="single" w:sz="4" w:space="0" w:color="auto"/>
              <w:bottom w:val="single" w:sz="4" w:space="0" w:color="BFBFBF"/>
              <w:right w:val="single" w:sz="4" w:space="0" w:color="auto"/>
            </w:tcBorders>
            <w:textDirection w:val="lrTb"/>
            <w:vAlign w:val="top"/>
          </w:tcPr>
          <w:p w:rsidR="006752D4" w:rsidRPr="007F6B74" w:rsidP="00E1659F">
            <w:pPr>
              <w:bidi w:val="0"/>
              <w:spacing w:after="0" w:line="240" w:lineRule="auto"/>
              <w:jc w:val="both"/>
              <w:rPr>
                <w:rFonts w:ascii="Times New Roman" w:hAnsi="Times New Roman"/>
                <w:sz w:val="20"/>
                <w:szCs w:val="20"/>
                <w:lang w:val="sk-SK" w:eastAsia="sk-SK"/>
              </w:rPr>
            </w:pPr>
            <w:r w:rsidRPr="007F6B74" w:rsidR="007F6B74">
              <w:rPr>
                <w:rFonts w:ascii="Times New Roman" w:hAnsi="Times New Roman"/>
                <w:sz w:val="24"/>
                <w:szCs w:val="24"/>
                <w:lang w:val="sk-SK" w:eastAsia="sk-SK"/>
              </w:rPr>
              <w:t>Pozitívny vplyv v dôsledku zníženia poplatku pre vozidlá s alternatívnym pohonom o 50%.</w:t>
            </w:r>
          </w:p>
        </w:tc>
      </w:tr>
      <w:tr>
        <w:tblPrEx>
          <w:tblW w:w="5172" w:type="pct"/>
          <w:jc w:val="center"/>
          <w:tblCellMar>
            <w:top w:w="28" w:type="dxa"/>
            <w:bottom w:w="28" w:type="dxa"/>
          </w:tblCellMar>
          <w:tblLook w:val="04A0"/>
        </w:tblPrEx>
        <w:trPr>
          <w:trHeight w:val="497"/>
          <w:jc w:val="center"/>
        </w:trPr>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6752D4" w:rsidRPr="00C95E6F" w:rsidP="00E1659F">
            <w:pPr>
              <w:bidi w:val="0"/>
              <w:spacing w:after="0" w:line="240" w:lineRule="auto"/>
              <w:rPr>
                <w:i/>
                <w:sz w:val="20"/>
                <w:szCs w:val="20"/>
                <w:lang w:val="sk-SK" w:eastAsia="sk-SK"/>
              </w:rPr>
            </w:pPr>
            <w:r w:rsidRPr="00C95E6F">
              <w:rPr>
                <w:rFonts w:ascii="Times New Roman" w:hAnsi="Times New Roman"/>
                <w:i/>
                <w:sz w:val="20"/>
                <w:szCs w:val="20"/>
                <w:lang w:val="sk-SK" w:eastAsia="sk-SK"/>
              </w:rPr>
              <w:t xml:space="preserve">Negatívny vplyv - priemerný pokles príjmov/ rast výdavkov v skupine v eurách a/alebo v % / obdobie: </w:t>
            </w:r>
          </w:p>
        </w:tc>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6752D4" w:rsidRPr="007F6B74" w:rsidP="00E1659F">
            <w:pPr>
              <w:bidi w:val="0"/>
              <w:spacing w:after="0" w:line="240" w:lineRule="auto"/>
              <w:jc w:val="both"/>
              <w:rPr>
                <w:rFonts w:ascii="Times New Roman" w:hAnsi="Times New Roman"/>
                <w:sz w:val="24"/>
                <w:szCs w:val="24"/>
                <w:lang w:val="sk-SK" w:eastAsia="sk-SK"/>
              </w:rPr>
            </w:pPr>
            <w:r w:rsidRPr="007F6B74" w:rsidR="007F6B74">
              <w:rPr>
                <w:rFonts w:ascii="Times New Roman" w:hAnsi="Times New Roman"/>
                <w:sz w:val="24"/>
                <w:szCs w:val="24"/>
                <w:lang w:val="sk-SK" w:eastAsia="sk-SK"/>
              </w:rPr>
              <w:t>Nie je.</w:t>
            </w:r>
          </w:p>
        </w:tc>
      </w:tr>
      <w:tr>
        <w:tblPrEx>
          <w:tblW w:w="5172" w:type="pct"/>
          <w:jc w:val="center"/>
          <w:tblCellMar>
            <w:top w:w="28" w:type="dxa"/>
            <w:bottom w:w="28" w:type="dxa"/>
          </w:tblCellMar>
          <w:tblLook w:val="04A0"/>
        </w:tblPrEx>
        <w:trPr>
          <w:trHeight w:val="363"/>
          <w:jc w:val="center"/>
        </w:trPr>
        <w:tc>
          <w:tcPr>
            <w:tcW w:w="2500" w:type="pct"/>
            <w:tcBorders>
              <w:top w:val="single" w:sz="4" w:space="0" w:color="BFBFBF"/>
              <w:left w:val="single" w:sz="4" w:space="0" w:color="auto"/>
              <w:bottom w:val="single" w:sz="4" w:space="0" w:color="auto"/>
              <w:right w:val="single" w:sz="4" w:space="0" w:color="auto"/>
            </w:tcBorders>
            <w:textDirection w:val="lrTb"/>
            <w:vAlign w:val="top"/>
          </w:tcPr>
          <w:p w:rsidR="006752D4" w:rsidRPr="00C95E6F" w:rsidP="00E1659F">
            <w:pPr>
              <w:bidi w:val="0"/>
              <w:spacing w:after="0" w:line="240" w:lineRule="auto"/>
              <w:rPr>
                <w:i/>
                <w:sz w:val="20"/>
                <w:szCs w:val="20"/>
                <w:lang w:val="sk-SK" w:eastAsia="sk-SK"/>
              </w:rPr>
            </w:pPr>
            <w:r w:rsidRPr="00C95E6F">
              <w:rPr>
                <w:rFonts w:ascii="Times New Roman" w:hAnsi="Times New Roman"/>
                <w:i/>
                <w:sz w:val="20"/>
                <w:szCs w:val="20"/>
                <w:lang w:val="sk-SK" w:eastAsia="sk-SK"/>
              </w:rPr>
              <w:t>Veľkosť skupiny (počet obyvateľov):</w:t>
            </w:r>
          </w:p>
        </w:tc>
        <w:tc>
          <w:tcPr>
            <w:tcW w:w="2500" w:type="pct"/>
            <w:tcBorders>
              <w:top w:val="single" w:sz="4" w:space="0" w:color="BFBFBF"/>
              <w:left w:val="single" w:sz="4" w:space="0" w:color="auto"/>
              <w:bottom w:val="single" w:sz="4" w:space="0" w:color="auto"/>
              <w:right w:val="single" w:sz="4" w:space="0" w:color="auto"/>
            </w:tcBorders>
            <w:textDirection w:val="lrTb"/>
            <w:vAlign w:val="top"/>
          </w:tcPr>
          <w:p w:rsidR="006752D4" w:rsidRPr="007F6B74" w:rsidP="00E1659F">
            <w:pPr>
              <w:bidi w:val="0"/>
              <w:spacing w:after="0" w:line="240" w:lineRule="auto"/>
              <w:jc w:val="both"/>
              <w:rPr>
                <w:rFonts w:ascii="Times New Roman" w:hAnsi="Times New Roman"/>
                <w:sz w:val="20"/>
                <w:szCs w:val="20"/>
                <w:lang w:val="sk-SK" w:eastAsia="sk-SK"/>
              </w:rPr>
            </w:pPr>
            <w:r w:rsidRPr="007F6B74" w:rsidR="007F6B74">
              <w:rPr>
                <w:rFonts w:ascii="Times New Roman" w:hAnsi="Times New Roman"/>
                <w:sz w:val="24"/>
                <w:szCs w:val="24"/>
                <w:lang w:val="sk-SK" w:eastAsia="sk-SK"/>
              </w:rPr>
              <w:t>Vplyv zníženia poplatku pre vozidlá s alternatívnym pohonom predstavuje 118 200 EUR ročne.</w:t>
            </w:r>
          </w:p>
        </w:tc>
      </w:tr>
      <w:tr>
        <w:tblPrEx>
          <w:tblW w:w="5172" w:type="pct"/>
          <w:jc w:val="center"/>
          <w:tblCellMar>
            <w:top w:w="28" w:type="dxa"/>
            <w:bottom w:w="28" w:type="dxa"/>
          </w:tblCellMar>
          <w:tblLook w:val="04A0"/>
        </w:tblPrEx>
        <w:trPr>
          <w:trHeight w:val="363"/>
          <w:jc w:val="center"/>
        </w:trPr>
        <w:tc>
          <w:tcPr>
            <w:tcW w:w="2500" w:type="pct"/>
            <w:tcBorders>
              <w:top w:val="single" w:sz="4" w:space="0" w:color="BFBFBF"/>
              <w:left w:val="single" w:sz="4" w:space="0" w:color="auto"/>
              <w:bottom w:val="single" w:sz="4" w:space="0" w:color="auto"/>
              <w:right w:val="single" w:sz="4" w:space="0" w:color="auto"/>
            </w:tcBorders>
            <w:textDirection w:val="lrTb"/>
            <w:vAlign w:val="top"/>
          </w:tcPr>
          <w:p w:rsidR="007F6B74" w:rsidRPr="00C95E6F" w:rsidP="007F6B74">
            <w:pPr>
              <w:bidi w:val="0"/>
              <w:spacing w:after="0" w:line="240" w:lineRule="auto"/>
              <w:rPr>
                <w:rFonts w:ascii="Times New Roman" w:hAnsi="Times New Roman"/>
                <w:i/>
                <w:sz w:val="20"/>
                <w:szCs w:val="20"/>
                <w:lang w:val="sk-SK" w:eastAsia="sk-SK"/>
              </w:rPr>
            </w:pPr>
            <w:r w:rsidRPr="00C95E6F">
              <w:rPr>
                <w:rFonts w:ascii="Times New Roman" w:hAnsi="Times New Roman"/>
                <w:b/>
                <w:i/>
                <w:sz w:val="20"/>
                <w:szCs w:val="20"/>
                <w:lang w:val="sk-SK" w:eastAsia="sk-SK"/>
              </w:rPr>
              <w:t xml:space="preserve">Ovplyvnená skupina č. </w:t>
            </w:r>
            <w:r>
              <w:rPr>
                <w:rFonts w:ascii="Times New Roman" w:hAnsi="Times New Roman"/>
                <w:b/>
                <w:i/>
                <w:sz w:val="20"/>
                <w:szCs w:val="20"/>
                <w:lang w:val="sk-SK" w:eastAsia="sk-SK"/>
              </w:rPr>
              <w:t>3</w:t>
            </w:r>
            <w:r w:rsidRPr="00C95E6F">
              <w:rPr>
                <w:rFonts w:ascii="Times New Roman" w:hAnsi="Times New Roman"/>
                <w:b/>
                <w:i/>
                <w:sz w:val="20"/>
                <w:szCs w:val="20"/>
                <w:lang w:val="sk-SK" w:eastAsia="sk-SK"/>
              </w:rPr>
              <w:t>:</w:t>
            </w:r>
          </w:p>
        </w:tc>
        <w:tc>
          <w:tcPr>
            <w:tcW w:w="2500" w:type="pct"/>
            <w:tcBorders>
              <w:top w:val="single" w:sz="4" w:space="0" w:color="BFBFBF"/>
              <w:left w:val="single" w:sz="4" w:space="0" w:color="auto"/>
              <w:bottom w:val="single" w:sz="4" w:space="0" w:color="auto"/>
              <w:right w:val="single" w:sz="4" w:space="0" w:color="auto"/>
            </w:tcBorders>
            <w:textDirection w:val="lrTb"/>
            <w:vAlign w:val="top"/>
          </w:tcPr>
          <w:p w:rsidR="007F6B74" w:rsidRPr="007F6B74" w:rsidP="00E1659F">
            <w:pPr>
              <w:bidi w:val="0"/>
              <w:spacing w:after="0" w:line="240" w:lineRule="auto"/>
              <w:jc w:val="both"/>
              <w:rPr>
                <w:rFonts w:ascii="Times New Roman" w:hAnsi="Times New Roman"/>
                <w:sz w:val="24"/>
                <w:szCs w:val="24"/>
                <w:lang w:val="sk-SK" w:eastAsia="sk-SK"/>
              </w:rPr>
            </w:pPr>
          </w:p>
        </w:tc>
      </w:tr>
      <w:tr>
        <w:tblPrEx>
          <w:tblW w:w="5172" w:type="pct"/>
          <w:jc w:val="center"/>
          <w:tblCellMar>
            <w:top w:w="28" w:type="dxa"/>
            <w:bottom w:w="28" w:type="dxa"/>
          </w:tblCellMar>
          <w:tblLook w:val="04A0"/>
        </w:tblPrEx>
        <w:trPr>
          <w:trHeight w:val="363"/>
          <w:jc w:val="center"/>
        </w:trPr>
        <w:tc>
          <w:tcPr>
            <w:tcW w:w="2500" w:type="pct"/>
            <w:tcBorders>
              <w:top w:val="single" w:sz="4" w:space="0" w:color="BFBFBF"/>
              <w:left w:val="single" w:sz="4" w:space="0" w:color="auto"/>
              <w:bottom w:val="single" w:sz="4" w:space="0" w:color="auto"/>
              <w:right w:val="single" w:sz="4" w:space="0" w:color="auto"/>
            </w:tcBorders>
            <w:textDirection w:val="lrTb"/>
            <w:vAlign w:val="top"/>
          </w:tcPr>
          <w:p w:rsidR="007F6B74" w:rsidRPr="007F6B74" w:rsidP="007F6B74">
            <w:pPr>
              <w:bidi w:val="0"/>
              <w:spacing w:after="0" w:line="240" w:lineRule="auto"/>
              <w:rPr>
                <w:rFonts w:ascii="Times New Roman" w:hAnsi="Times New Roman"/>
                <w:i/>
                <w:sz w:val="20"/>
                <w:szCs w:val="20"/>
                <w:lang w:val="sk-SK" w:eastAsia="sk-SK"/>
              </w:rPr>
            </w:pPr>
            <w:r w:rsidRPr="007F6B74">
              <w:rPr>
                <w:rFonts w:ascii="Times New Roman" w:hAnsi="Times New Roman"/>
                <w:i/>
                <w:sz w:val="20"/>
                <w:szCs w:val="20"/>
                <w:lang w:val="sk-SK" w:eastAsia="sk-SK"/>
              </w:rPr>
              <w:t>Pozitívny vplyv - priemerný rast príjmov/pokles výdavkov v skupine v eurách a/alebo v % / obdobie:</w:t>
            </w:r>
          </w:p>
        </w:tc>
        <w:tc>
          <w:tcPr>
            <w:tcW w:w="2500" w:type="pct"/>
            <w:tcBorders>
              <w:top w:val="single" w:sz="4" w:space="0" w:color="BFBFBF"/>
              <w:left w:val="single" w:sz="4" w:space="0" w:color="auto"/>
              <w:bottom w:val="single" w:sz="4" w:space="0" w:color="auto"/>
              <w:right w:val="single" w:sz="4" w:space="0" w:color="auto"/>
            </w:tcBorders>
            <w:textDirection w:val="lrTb"/>
            <w:vAlign w:val="top"/>
          </w:tcPr>
          <w:p w:rsidR="007F6B74" w:rsidRPr="007F6B74" w:rsidP="007F6B74">
            <w:pPr>
              <w:bidi w:val="0"/>
              <w:spacing w:after="0" w:line="240" w:lineRule="auto"/>
              <w:jc w:val="both"/>
              <w:rPr>
                <w:rFonts w:ascii="Times New Roman" w:hAnsi="Times New Roman"/>
                <w:sz w:val="20"/>
                <w:szCs w:val="20"/>
                <w:lang w:val="sk-SK" w:eastAsia="sk-SK"/>
              </w:rPr>
            </w:pPr>
            <w:r w:rsidRPr="007F6B74">
              <w:rPr>
                <w:rFonts w:ascii="Times New Roman" w:hAnsi="Times New Roman"/>
                <w:sz w:val="24"/>
                <w:szCs w:val="24"/>
                <w:lang w:val="sk-SK" w:eastAsia="sk-SK"/>
              </w:rPr>
              <w:t>Oslobodenie od správneho poplatku pri vyradení vozidiel z evidencie podľa zákona o odpadoch (v súčasnosti poplatok 5 EUR).</w:t>
            </w:r>
          </w:p>
        </w:tc>
      </w:tr>
      <w:tr>
        <w:tblPrEx>
          <w:tblW w:w="5172" w:type="pct"/>
          <w:jc w:val="center"/>
          <w:tblCellMar>
            <w:top w:w="28" w:type="dxa"/>
            <w:bottom w:w="28" w:type="dxa"/>
          </w:tblCellMar>
          <w:tblLook w:val="04A0"/>
        </w:tblPrEx>
        <w:trPr>
          <w:trHeight w:val="670"/>
          <w:jc w:val="center"/>
        </w:trPr>
        <w:tc>
          <w:tcPr>
            <w:tcW w:w="2500" w:type="pct"/>
            <w:tcBorders>
              <w:top w:val="single" w:sz="4" w:space="0" w:color="auto"/>
              <w:left w:val="single" w:sz="4" w:space="0" w:color="auto"/>
              <w:bottom w:val="single" w:sz="4" w:space="0" w:color="auto"/>
              <w:right w:val="single" w:sz="4" w:space="0" w:color="auto"/>
            </w:tcBorders>
            <w:textDirection w:val="lrTb"/>
            <w:vAlign w:val="top"/>
          </w:tcPr>
          <w:p w:rsidR="007F6B74" w:rsidRPr="007F6B74" w:rsidP="007F6B74">
            <w:pPr>
              <w:bidi w:val="0"/>
              <w:spacing w:after="0" w:line="240" w:lineRule="auto"/>
              <w:rPr>
                <w:i/>
                <w:sz w:val="20"/>
                <w:szCs w:val="20"/>
                <w:lang w:val="sk-SK" w:eastAsia="sk-SK"/>
              </w:rPr>
            </w:pPr>
            <w:r w:rsidRPr="007F6B74">
              <w:rPr>
                <w:rFonts w:ascii="Times New Roman" w:hAnsi="Times New Roman"/>
                <w:i/>
                <w:sz w:val="20"/>
                <w:szCs w:val="20"/>
                <w:lang w:val="sk-SK" w:eastAsia="sk-SK"/>
              </w:rPr>
              <w:t xml:space="preserve">Negatívny vplyv - priemerný pokles príjmov/ rast výdavkov v skupine v eurách a/alebo v % / obdobie: </w:t>
            </w:r>
          </w:p>
        </w:tc>
        <w:tc>
          <w:tcPr>
            <w:tcW w:w="2500" w:type="pct"/>
            <w:tcBorders>
              <w:top w:val="single" w:sz="4" w:space="0" w:color="auto"/>
              <w:left w:val="single" w:sz="4" w:space="0" w:color="auto"/>
              <w:bottom w:val="single" w:sz="4" w:space="0" w:color="auto"/>
              <w:right w:val="single" w:sz="4" w:space="0" w:color="auto"/>
            </w:tcBorders>
            <w:textDirection w:val="lrTb"/>
            <w:vAlign w:val="top"/>
          </w:tcPr>
          <w:p w:rsidR="007F6B74" w:rsidRPr="007F6B74" w:rsidP="007F6B74">
            <w:pPr>
              <w:bidi w:val="0"/>
              <w:spacing w:after="0" w:line="240" w:lineRule="auto"/>
              <w:jc w:val="both"/>
              <w:rPr>
                <w:rFonts w:ascii="Times New Roman" w:hAnsi="Times New Roman"/>
                <w:sz w:val="20"/>
                <w:szCs w:val="20"/>
                <w:lang w:val="sk-SK" w:eastAsia="sk-SK"/>
              </w:rPr>
            </w:pPr>
            <w:r w:rsidRPr="007F6B74">
              <w:rPr>
                <w:rFonts w:ascii="Times New Roman" w:hAnsi="Times New Roman"/>
                <w:sz w:val="24"/>
                <w:szCs w:val="24"/>
                <w:lang w:val="sk-SK" w:eastAsia="sk-SK"/>
              </w:rPr>
              <w:t>Nie je.</w:t>
            </w:r>
          </w:p>
        </w:tc>
      </w:tr>
      <w:tr>
        <w:tblPrEx>
          <w:tblW w:w="5172" w:type="pct"/>
          <w:jc w:val="center"/>
          <w:tblCellMar>
            <w:top w:w="28" w:type="dxa"/>
            <w:bottom w:w="28" w:type="dxa"/>
          </w:tblCellMar>
          <w:tblLook w:val="04A0"/>
        </w:tblPrEx>
        <w:trPr>
          <w:trHeight w:val="670"/>
          <w:jc w:val="center"/>
        </w:trPr>
        <w:tc>
          <w:tcPr>
            <w:tcW w:w="2500" w:type="pct"/>
            <w:tcBorders>
              <w:top w:val="single" w:sz="4" w:space="0" w:color="auto"/>
              <w:left w:val="single" w:sz="4" w:space="0" w:color="auto"/>
              <w:bottom w:val="single" w:sz="4" w:space="0" w:color="auto"/>
              <w:right w:val="single" w:sz="4" w:space="0" w:color="auto"/>
            </w:tcBorders>
            <w:textDirection w:val="lrTb"/>
            <w:vAlign w:val="top"/>
          </w:tcPr>
          <w:p w:rsidR="007F6B74" w:rsidRPr="007F6B74" w:rsidP="007F6B74">
            <w:pPr>
              <w:bidi w:val="0"/>
              <w:spacing w:after="0" w:line="240" w:lineRule="auto"/>
              <w:rPr>
                <w:i/>
                <w:sz w:val="20"/>
                <w:szCs w:val="20"/>
                <w:lang w:val="sk-SK" w:eastAsia="sk-SK"/>
              </w:rPr>
            </w:pPr>
            <w:r w:rsidRPr="007F6B74">
              <w:rPr>
                <w:rFonts w:ascii="Times New Roman" w:hAnsi="Times New Roman"/>
                <w:i/>
                <w:sz w:val="20"/>
                <w:szCs w:val="20"/>
                <w:lang w:val="sk-SK" w:eastAsia="sk-SK"/>
              </w:rPr>
              <w:t>Veľkosť skupiny (počet obyvateľov):</w:t>
            </w:r>
          </w:p>
        </w:tc>
        <w:tc>
          <w:tcPr>
            <w:tcW w:w="2500" w:type="pct"/>
            <w:tcBorders>
              <w:top w:val="single" w:sz="4" w:space="0" w:color="auto"/>
              <w:left w:val="single" w:sz="4" w:space="0" w:color="auto"/>
              <w:bottom w:val="single" w:sz="4" w:space="0" w:color="auto"/>
              <w:right w:val="single" w:sz="4" w:space="0" w:color="auto"/>
            </w:tcBorders>
            <w:textDirection w:val="lrTb"/>
            <w:vAlign w:val="top"/>
          </w:tcPr>
          <w:p w:rsidR="007F6B74" w:rsidRPr="007F6B74" w:rsidP="007F6B74">
            <w:pPr>
              <w:bidi w:val="0"/>
              <w:spacing w:after="0" w:line="240" w:lineRule="auto"/>
              <w:jc w:val="both"/>
              <w:rPr>
                <w:rFonts w:ascii="Times New Roman" w:hAnsi="Times New Roman"/>
                <w:sz w:val="20"/>
                <w:szCs w:val="20"/>
                <w:lang w:val="sk-SK" w:eastAsia="sk-SK"/>
              </w:rPr>
            </w:pPr>
            <w:r w:rsidRPr="007F6B74">
              <w:rPr>
                <w:rFonts w:ascii="Times New Roman" w:hAnsi="Times New Roman"/>
                <w:sz w:val="24"/>
                <w:szCs w:val="24"/>
                <w:lang w:val="sk-SK" w:eastAsia="sk-SK"/>
              </w:rPr>
              <w:t>Vplyv oslobodenia od správneho poplatku pri vyradení vozidiel z evidencie podľa zákona o odpadoch dodatočných 112 200 EUR ročne (počet 22 440 žiadateľov).</w:t>
            </w:r>
          </w:p>
        </w:tc>
      </w:tr>
    </w:tbl>
    <w:p w:rsidR="006752D4" w:rsidRPr="00C95E6F" w:rsidP="00224847">
      <w:pPr>
        <w:bidi w:val="0"/>
        <w:rPr>
          <w:rFonts w:ascii="Times New Roman" w:hAnsi="Times New Roman"/>
          <w:sz w:val="20"/>
          <w:szCs w:val="20"/>
          <w:lang w:val="sk-SK"/>
        </w:rPr>
      </w:pPr>
    </w:p>
    <w:p w:rsidR="006752D4" w:rsidRPr="00C95E6F" w:rsidP="00224847">
      <w:pPr>
        <w:bidi w:val="0"/>
        <w:spacing w:after="0" w:line="240" w:lineRule="auto"/>
        <w:rPr>
          <w:rFonts w:ascii="Times New Roman" w:hAnsi="Times New Roman"/>
          <w:b/>
          <w:sz w:val="24"/>
          <w:szCs w:val="24"/>
          <w:lang w:val="sk-SK" w:eastAsia="sk-SK"/>
        </w:rPr>
        <w:sectPr w:rsidSect="0040544D">
          <w:headerReference w:type="default" r:id="rId20"/>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339"/>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6752D4" w:rsidRPr="00C95E6F" w:rsidP="00E1659F">
            <w:pPr>
              <w:bidi w:val="0"/>
              <w:spacing w:after="0" w:line="240" w:lineRule="auto"/>
              <w:rPr>
                <w:rFonts w:ascii="Times New Roman" w:hAnsi="Times New Roman"/>
                <w:b/>
                <w:sz w:val="24"/>
                <w:szCs w:val="24"/>
                <w:lang w:val="sk-SK" w:eastAsia="sk-SK"/>
              </w:rPr>
            </w:pPr>
            <w:r w:rsidRPr="00C95E6F">
              <w:rPr>
                <w:rFonts w:ascii="Times New Roman" w:hAnsi="Times New Roman"/>
                <w:b/>
                <w:sz w:val="24"/>
                <w:szCs w:val="24"/>
                <w:lang w:val="sk-SK" w:eastAsia="sk-SK"/>
              </w:rPr>
              <w:t>4.2 Identifikujte, popíšte a kvantifikujte vplyvy na prístup k zdrojom, právam, tovarom a službám u jednotlivých ovplyvnených skupín obyvateľstva a vplyv na sociálnu inklúziu.</w:t>
            </w:r>
          </w:p>
        </w:tc>
      </w:tr>
      <w:tr>
        <w:tblPrEx>
          <w:tblW w:w="5172" w:type="pct"/>
          <w:jc w:val="center"/>
          <w:tblCellMar>
            <w:top w:w="28" w:type="dxa"/>
            <w:bottom w:w="28" w:type="dxa"/>
          </w:tblCellMar>
          <w:tblLook w:val="04A0"/>
        </w:tblPrEx>
        <w:trPr>
          <w:trHeight w:val="290"/>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6752D4" w:rsidRPr="00C95E6F" w:rsidP="00E1659F">
            <w:pPr>
              <w:bidi w:val="0"/>
              <w:spacing w:after="0" w:line="240" w:lineRule="auto"/>
              <w:jc w:val="both"/>
              <w:rPr>
                <w:rFonts w:ascii="Times New Roman" w:hAnsi="Times New Roman"/>
                <w:i/>
                <w:sz w:val="20"/>
                <w:szCs w:val="24"/>
                <w:lang w:val="sk-SK" w:eastAsia="sk-SK"/>
              </w:rPr>
            </w:pPr>
            <w:r w:rsidRPr="00C95E6F">
              <w:rPr>
                <w:rFonts w:ascii="Times New Roman" w:hAnsi="Times New Roman"/>
                <w:i/>
                <w:sz w:val="20"/>
                <w:szCs w:val="24"/>
                <w:lang w:val="sk-SK" w:eastAsia="sk-SK"/>
              </w:rPr>
              <w:t xml:space="preserve">Má návrh vplyv na prístup k zdrojom, právam, tovarom a službám? </w:t>
            </w:r>
          </w:p>
          <w:p w:rsidR="006752D4" w:rsidRPr="00C95E6F" w:rsidP="00E1659F">
            <w:pPr>
              <w:bidi w:val="0"/>
              <w:spacing w:after="0" w:line="240" w:lineRule="auto"/>
              <w:jc w:val="both"/>
              <w:rPr>
                <w:i/>
                <w:sz w:val="24"/>
                <w:szCs w:val="24"/>
                <w:lang w:val="sk-SK" w:eastAsia="sk-SK"/>
              </w:rPr>
            </w:pPr>
            <w:r w:rsidRPr="00C95E6F">
              <w:rPr>
                <w:rFonts w:ascii="Times New Roman" w:hAnsi="Times New Roman"/>
                <w:i/>
                <w:sz w:val="20"/>
                <w:szCs w:val="24"/>
                <w:lang w:val="sk-SK" w:eastAsia="sk-SK"/>
              </w:rPr>
              <w:t>Špecifikujete ovplyvnené skupiny obyvateľstva a charakter zmeny v prístupnosti s ohľadom na dostupnosť finančnú, geografickú, kvalitu, organizovanie a pod. Uveďte veľkosť jednotlivých ovplyvnených skupín.</w:t>
            </w:r>
          </w:p>
        </w:tc>
      </w:tr>
    </w:tbl>
    <w:p w:rsidR="006752D4" w:rsidRPr="00C95E6F" w:rsidP="00A30F1C">
      <w:pPr>
        <w:bidi w:val="0"/>
        <w:spacing w:after="0" w:line="240" w:lineRule="auto"/>
        <w:jc w:val="both"/>
        <w:rPr>
          <w:rFonts w:ascii="Times New Roman" w:hAnsi="Times New Roman"/>
          <w:i/>
          <w:sz w:val="18"/>
          <w:szCs w:val="18"/>
          <w:lang w:val="sk-SK" w:eastAsia="sk-SK"/>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tblPrEx>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557"/>
          <w:jc w:val="center"/>
        </w:trPr>
        <w:tc>
          <w:tcPr>
            <w:tcW w:w="1993" w:type="pct"/>
            <w:tcBorders>
              <w:top w:val="none" w:sz="0" w:space="0" w:color="auto"/>
              <w:left w:val="single" w:sz="4" w:space="0" w:color="auto"/>
              <w:bottom w:val="none" w:sz="0" w:space="0" w:color="auto"/>
              <w:right w:val="single" w:sz="4" w:space="0" w:color="auto"/>
            </w:tcBorders>
            <w:textDirection w:val="lrTb"/>
            <w:vAlign w:val="top"/>
          </w:tcPr>
          <w:p w:rsidR="006752D4" w:rsidRPr="00C95E6F" w:rsidP="00E1659F">
            <w:pPr>
              <w:bidi w:val="0"/>
              <w:spacing w:after="0" w:line="240" w:lineRule="auto"/>
              <w:jc w:val="both"/>
              <w:rPr>
                <w:rFonts w:ascii="Times New Roman" w:hAnsi="Times New Roman"/>
                <w:i/>
                <w:sz w:val="18"/>
                <w:szCs w:val="18"/>
                <w:lang w:val="sk-SK" w:eastAsia="sk-SK"/>
              </w:rPr>
            </w:pPr>
            <w:r w:rsidRPr="00C95E6F">
              <w:rPr>
                <w:rFonts w:ascii="Times New Roman" w:hAnsi="Times New Roman"/>
                <w:i/>
                <w:sz w:val="18"/>
                <w:szCs w:val="18"/>
                <w:lang w:val="sk-SK" w:eastAsia="sk-SK"/>
              </w:rPr>
              <w:t>Rozumie sa najmä na prístup k:</w:t>
            </w:r>
          </w:p>
          <w:p w:rsidR="006752D4" w:rsidRPr="00C95E6F" w:rsidP="006752D4">
            <w:pPr>
              <w:widowControl/>
              <w:numPr>
                <w:numId w:val="18"/>
              </w:numPr>
              <w:bidi w:val="0"/>
              <w:adjustRightInd/>
              <w:spacing w:after="0" w:line="240" w:lineRule="auto"/>
              <w:jc w:val="both"/>
              <w:rPr>
                <w:rFonts w:ascii="Times New Roman" w:hAnsi="Times New Roman"/>
                <w:i/>
                <w:sz w:val="18"/>
                <w:szCs w:val="18"/>
                <w:lang w:val="sk-SK" w:eastAsia="sk-SK"/>
              </w:rPr>
            </w:pPr>
            <w:r w:rsidRPr="00C95E6F">
              <w:rPr>
                <w:rFonts w:ascii="Times New Roman" w:hAnsi="Times New Roman"/>
                <w:i/>
                <w:sz w:val="18"/>
                <w:szCs w:val="18"/>
                <w:lang w:val="sk-SK" w:eastAsia="sk-SK"/>
              </w:rPr>
              <w:t xml:space="preserve">sociálnej ochrane, sociálno-právnej ochrane, sociálnym službám (vrátane služieb starostlivosti o deti, starších ľudí a ľudí so zdravotným postihnutím), </w:t>
            </w:r>
          </w:p>
          <w:p w:rsidR="006752D4" w:rsidRPr="00C95E6F" w:rsidP="006752D4">
            <w:pPr>
              <w:widowControl/>
              <w:numPr>
                <w:numId w:val="18"/>
              </w:numPr>
              <w:bidi w:val="0"/>
              <w:adjustRightInd/>
              <w:spacing w:after="0" w:line="240" w:lineRule="auto"/>
              <w:jc w:val="both"/>
              <w:rPr>
                <w:rFonts w:ascii="Times New Roman" w:hAnsi="Times New Roman"/>
                <w:i/>
                <w:sz w:val="18"/>
                <w:szCs w:val="18"/>
                <w:lang w:val="sk-SK" w:eastAsia="sk-SK"/>
              </w:rPr>
            </w:pPr>
            <w:r w:rsidRPr="00C95E6F">
              <w:rPr>
                <w:rFonts w:ascii="Times New Roman" w:hAnsi="Times New Roman"/>
                <w:i/>
                <w:sz w:val="18"/>
                <w:szCs w:val="18"/>
                <w:lang w:val="sk-SK" w:eastAsia="sk-SK"/>
              </w:rPr>
              <w:t>kvalitnej práci, ochrane zdravia, dôstojnosti a bezpečnosti pri práci pre zamestnancov a existujúcim zamestnaneckým právam,</w:t>
            </w:r>
          </w:p>
          <w:p w:rsidR="006752D4" w:rsidRPr="00C95E6F" w:rsidP="006752D4">
            <w:pPr>
              <w:widowControl/>
              <w:numPr>
                <w:numId w:val="18"/>
              </w:numPr>
              <w:bidi w:val="0"/>
              <w:adjustRightInd/>
              <w:spacing w:after="0" w:line="240" w:lineRule="auto"/>
              <w:jc w:val="both"/>
              <w:rPr>
                <w:rFonts w:ascii="Times New Roman" w:hAnsi="Times New Roman"/>
                <w:i/>
                <w:sz w:val="18"/>
                <w:szCs w:val="18"/>
                <w:lang w:val="sk-SK" w:eastAsia="sk-SK"/>
              </w:rPr>
            </w:pPr>
            <w:r w:rsidRPr="00C95E6F">
              <w:rPr>
                <w:rFonts w:ascii="Times New Roman" w:hAnsi="Times New Roman"/>
                <w:i/>
                <w:sz w:val="18"/>
                <w:szCs w:val="18"/>
                <w:lang w:val="sk-SK" w:eastAsia="sk-SK"/>
              </w:rPr>
              <w:t xml:space="preserve">pomoci pri úhrade výdavkov súvisiacich so zdravotným postihnutím, </w:t>
            </w:r>
          </w:p>
          <w:p w:rsidR="006752D4" w:rsidRPr="00C95E6F" w:rsidP="006752D4">
            <w:pPr>
              <w:widowControl/>
              <w:numPr>
                <w:numId w:val="18"/>
              </w:numPr>
              <w:bidi w:val="0"/>
              <w:adjustRightInd/>
              <w:spacing w:after="0" w:line="240" w:lineRule="auto"/>
              <w:jc w:val="both"/>
              <w:rPr>
                <w:rFonts w:ascii="Times New Roman" w:hAnsi="Times New Roman"/>
                <w:i/>
                <w:sz w:val="18"/>
                <w:szCs w:val="18"/>
                <w:lang w:val="sk-SK" w:eastAsia="sk-SK"/>
              </w:rPr>
            </w:pPr>
            <w:r w:rsidRPr="00C95E6F">
              <w:rPr>
                <w:rFonts w:ascii="Times New Roman" w:hAnsi="Times New Roman"/>
                <w:i/>
                <w:sz w:val="18"/>
                <w:szCs w:val="18"/>
                <w:lang w:val="sk-SK" w:eastAsia="sk-SK"/>
              </w:rPr>
              <w:t>zamestnaniu, na trh práce (napr. uľahčenie zosúladenia rodinných a pracovných povinností, služby zamestnanosti), k školeniam, odbornému vzdelávaniu a príprave na trh práce,</w:t>
            </w:r>
          </w:p>
          <w:p w:rsidR="006752D4" w:rsidRPr="00C95E6F" w:rsidP="006752D4">
            <w:pPr>
              <w:widowControl/>
              <w:numPr>
                <w:numId w:val="18"/>
              </w:numPr>
              <w:bidi w:val="0"/>
              <w:adjustRightInd/>
              <w:spacing w:after="0" w:line="240" w:lineRule="auto"/>
              <w:jc w:val="both"/>
              <w:rPr>
                <w:rFonts w:ascii="Times New Roman" w:hAnsi="Times New Roman"/>
                <w:i/>
                <w:sz w:val="18"/>
                <w:szCs w:val="18"/>
                <w:lang w:val="sk-SK" w:eastAsia="sk-SK"/>
              </w:rPr>
            </w:pPr>
            <w:r w:rsidRPr="00C95E6F">
              <w:rPr>
                <w:rFonts w:ascii="Times New Roman" w:hAnsi="Times New Roman"/>
                <w:i/>
                <w:sz w:val="18"/>
                <w:szCs w:val="18"/>
                <w:lang w:val="sk-SK" w:eastAsia="sk-SK"/>
              </w:rPr>
              <w:t xml:space="preserve">zdravotnej starostlivosti vrátane cenovo dostupných pomôcok pre občanov so zdravotným postihnutím, </w:t>
            </w:r>
          </w:p>
          <w:p w:rsidR="006752D4" w:rsidRPr="00C95E6F" w:rsidP="006752D4">
            <w:pPr>
              <w:widowControl/>
              <w:numPr>
                <w:numId w:val="18"/>
              </w:numPr>
              <w:bidi w:val="0"/>
              <w:adjustRightInd/>
              <w:spacing w:after="0" w:line="240" w:lineRule="auto"/>
              <w:jc w:val="both"/>
              <w:rPr>
                <w:rFonts w:ascii="Times New Roman" w:hAnsi="Times New Roman"/>
                <w:i/>
                <w:sz w:val="18"/>
                <w:szCs w:val="18"/>
                <w:lang w:val="sk-SK" w:eastAsia="sk-SK"/>
              </w:rPr>
            </w:pPr>
            <w:r w:rsidRPr="00C95E6F">
              <w:rPr>
                <w:rFonts w:ascii="Times New Roman" w:hAnsi="Times New Roman"/>
                <w:i/>
                <w:sz w:val="18"/>
                <w:szCs w:val="18"/>
                <w:lang w:val="sk-SK" w:eastAsia="sk-SK"/>
              </w:rPr>
              <w:t>k formálnemu i neformálnemu vzdelávaniu a celo</w:t>
            </w:r>
            <w:r w:rsidRPr="00C95E6F">
              <w:rPr>
                <w:rFonts w:ascii="Times New Roman" w:hAnsi="Times New Roman"/>
                <w:i/>
                <w:sz w:val="18"/>
                <w:szCs w:val="18"/>
                <w:lang w:val="sk-SK" w:eastAsia="sk-SK"/>
              </w:rPr>
              <w:softHyphen/>
              <w:t xml:space="preserve">životnému vzdelávaniu, </w:t>
            </w:r>
          </w:p>
          <w:p w:rsidR="006752D4" w:rsidRPr="00C95E6F" w:rsidP="006752D4">
            <w:pPr>
              <w:widowControl/>
              <w:numPr>
                <w:numId w:val="18"/>
              </w:numPr>
              <w:bidi w:val="0"/>
              <w:adjustRightInd/>
              <w:spacing w:after="0" w:line="240" w:lineRule="auto"/>
              <w:jc w:val="both"/>
              <w:rPr>
                <w:rFonts w:ascii="Times New Roman" w:hAnsi="Times New Roman"/>
                <w:i/>
                <w:sz w:val="18"/>
                <w:szCs w:val="18"/>
                <w:lang w:val="sk-SK" w:eastAsia="sk-SK"/>
              </w:rPr>
            </w:pPr>
            <w:r w:rsidRPr="00C95E6F">
              <w:rPr>
                <w:rFonts w:ascii="Times New Roman" w:hAnsi="Times New Roman"/>
                <w:i/>
                <w:sz w:val="18"/>
                <w:szCs w:val="18"/>
                <w:lang w:val="sk-SK" w:eastAsia="sk-SK"/>
              </w:rPr>
              <w:t>bývaniu a súvisiacim základným komunálnym službám,</w:t>
            </w:r>
          </w:p>
          <w:p w:rsidR="006752D4" w:rsidRPr="00C95E6F" w:rsidP="006752D4">
            <w:pPr>
              <w:widowControl/>
              <w:numPr>
                <w:numId w:val="18"/>
              </w:numPr>
              <w:bidi w:val="0"/>
              <w:adjustRightInd/>
              <w:spacing w:after="0" w:line="240" w:lineRule="auto"/>
              <w:jc w:val="both"/>
              <w:rPr>
                <w:rFonts w:ascii="Times New Roman" w:hAnsi="Times New Roman"/>
                <w:i/>
                <w:sz w:val="18"/>
                <w:szCs w:val="18"/>
                <w:lang w:val="sk-SK" w:eastAsia="sk-SK"/>
              </w:rPr>
            </w:pPr>
            <w:r w:rsidRPr="00C95E6F">
              <w:rPr>
                <w:rFonts w:ascii="Times New Roman" w:hAnsi="Times New Roman"/>
                <w:i/>
                <w:sz w:val="18"/>
                <w:szCs w:val="18"/>
                <w:lang w:val="sk-SK" w:eastAsia="sk-SK"/>
              </w:rPr>
              <w:t>doprave,</w:t>
            </w:r>
          </w:p>
          <w:p w:rsidR="006752D4" w:rsidRPr="00C95E6F" w:rsidP="006752D4">
            <w:pPr>
              <w:widowControl/>
              <w:numPr>
                <w:numId w:val="18"/>
              </w:numPr>
              <w:bidi w:val="0"/>
              <w:adjustRightInd/>
              <w:spacing w:after="0" w:line="240" w:lineRule="auto"/>
              <w:jc w:val="both"/>
              <w:rPr>
                <w:rFonts w:ascii="Times New Roman" w:hAnsi="Times New Roman"/>
                <w:i/>
                <w:sz w:val="18"/>
                <w:szCs w:val="18"/>
                <w:lang w:val="sk-SK" w:eastAsia="sk-SK"/>
              </w:rPr>
            </w:pPr>
            <w:r w:rsidRPr="00C95E6F">
              <w:rPr>
                <w:rFonts w:ascii="Times New Roman" w:hAnsi="Times New Roman"/>
                <w:i/>
                <w:sz w:val="18"/>
                <w:szCs w:val="18"/>
                <w:lang w:val="sk-SK" w:eastAsia="sk-SK"/>
              </w:rPr>
              <w:t>ďalším službám najmä službám všeobecného záujmu a tovarom,</w:t>
            </w:r>
          </w:p>
          <w:p w:rsidR="006752D4" w:rsidRPr="00C95E6F" w:rsidP="006752D4">
            <w:pPr>
              <w:widowControl/>
              <w:numPr>
                <w:numId w:val="18"/>
              </w:numPr>
              <w:bidi w:val="0"/>
              <w:adjustRightInd/>
              <w:spacing w:after="0" w:line="240" w:lineRule="auto"/>
              <w:jc w:val="both"/>
              <w:rPr>
                <w:rFonts w:ascii="Times New Roman" w:hAnsi="Times New Roman"/>
                <w:i/>
                <w:sz w:val="18"/>
                <w:szCs w:val="18"/>
                <w:lang w:val="sk-SK" w:eastAsia="sk-SK"/>
              </w:rPr>
            </w:pPr>
            <w:r w:rsidRPr="00C95E6F">
              <w:rPr>
                <w:rFonts w:ascii="Times New Roman" w:hAnsi="Times New Roman"/>
                <w:i/>
                <w:sz w:val="18"/>
                <w:szCs w:val="18"/>
                <w:lang w:val="sk-SK" w:eastAsia="sk-SK"/>
              </w:rPr>
              <w:t>spravodlivosti, právnej ochrane, právnym službám,</w:t>
            </w:r>
          </w:p>
          <w:p w:rsidR="006752D4" w:rsidRPr="00C95E6F" w:rsidP="006752D4">
            <w:pPr>
              <w:widowControl/>
              <w:numPr>
                <w:numId w:val="18"/>
              </w:numPr>
              <w:bidi w:val="0"/>
              <w:adjustRightInd/>
              <w:spacing w:after="0" w:line="240" w:lineRule="auto"/>
              <w:jc w:val="both"/>
              <w:rPr>
                <w:rFonts w:ascii="Times New Roman" w:hAnsi="Times New Roman"/>
                <w:i/>
                <w:sz w:val="18"/>
                <w:szCs w:val="18"/>
                <w:lang w:val="sk-SK" w:eastAsia="sk-SK"/>
              </w:rPr>
            </w:pPr>
            <w:r w:rsidRPr="00C95E6F">
              <w:rPr>
                <w:rFonts w:ascii="Times New Roman" w:hAnsi="Times New Roman"/>
                <w:i/>
                <w:sz w:val="18"/>
                <w:szCs w:val="18"/>
                <w:lang w:val="sk-SK" w:eastAsia="sk-SK"/>
              </w:rPr>
              <w:t>informáciám</w:t>
            </w:r>
          </w:p>
          <w:p w:rsidR="006752D4" w:rsidRPr="00C95E6F" w:rsidP="006752D4">
            <w:pPr>
              <w:widowControl/>
              <w:numPr>
                <w:numId w:val="18"/>
              </w:numPr>
              <w:bidi w:val="0"/>
              <w:adjustRightInd/>
              <w:spacing w:after="0" w:line="240" w:lineRule="auto"/>
              <w:jc w:val="both"/>
              <w:rPr>
                <w:i/>
                <w:sz w:val="20"/>
                <w:szCs w:val="20"/>
                <w:lang w:val="sk-SK" w:eastAsia="sk-SK"/>
              </w:rPr>
            </w:pPr>
            <w:r w:rsidRPr="00C95E6F">
              <w:rPr>
                <w:rFonts w:ascii="Times New Roman" w:hAnsi="Times New Roman"/>
                <w:i/>
                <w:sz w:val="18"/>
                <w:szCs w:val="18"/>
                <w:lang w:val="sk-SK" w:eastAsia="sk-SK"/>
              </w:rPr>
              <w:t>k iným právam (napr. politickým).</w:t>
            </w:r>
          </w:p>
        </w:tc>
        <w:tc>
          <w:tcPr>
            <w:tcW w:w="3007" w:type="pct"/>
            <w:tcBorders>
              <w:top w:val="none" w:sz="0" w:space="0" w:color="auto"/>
              <w:left w:val="single" w:sz="4" w:space="0" w:color="auto"/>
              <w:bottom w:val="none" w:sz="0" w:space="0" w:color="auto"/>
              <w:right w:val="single" w:sz="4" w:space="0" w:color="auto"/>
            </w:tcBorders>
            <w:textDirection w:val="lrTb"/>
            <w:vAlign w:val="top"/>
          </w:tcPr>
          <w:p w:rsidR="006752D4" w:rsidRPr="00C95E6F" w:rsidP="00E1659F">
            <w:pPr>
              <w:bidi w:val="0"/>
              <w:spacing w:after="0" w:line="240" w:lineRule="auto"/>
              <w:rPr>
                <w:rFonts w:ascii="Times New Roman" w:hAnsi="Times New Roman"/>
                <w:sz w:val="24"/>
                <w:szCs w:val="24"/>
                <w:lang w:val="sk-SK" w:eastAsia="sk-SK"/>
              </w:rPr>
            </w:pPr>
            <w:r w:rsidRPr="00C95E6F">
              <w:rPr>
                <w:rFonts w:ascii="Times New Roman" w:hAnsi="Times New Roman"/>
                <w:sz w:val="24"/>
                <w:szCs w:val="24"/>
                <w:lang w:val="sk-SK" w:eastAsia="sk-SK"/>
              </w:rPr>
              <w:t>Bez vplyvu.</w:t>
            </w:r>
          </w:p>
        </w:tc>
      </w:tr>
    </w:tbl>
    <w:p w:rsidR="006752D4" w:rsidRPr="00C95E6F" w:rsidP="00A30F1C">
      <w:pPr>
        <w:bidi w:val="0"/>
        <w:spacing w:after="0" w:line="240" w:lineRule="auto"/>
        <w:jc w:val="both"/>
        <w:rPr>
          <w:rFonts w:ascii="Times New Roman" w:hAnsi="Times New Roman"/>
          <w:i/>
          <w:sz w:val="20"/>
          <w:szCs w:val="20"/>
          <w:lang w:val="sk-SK" w:eastAsia="sk-SK"/>
        </w:rPr>
        <w:sectPr w:rsidSect="0040544D">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6752D4" w:rsidRPr="00C95E6F" w:rsidP="00E1659F">
            <w:pPr>
              <w:bidi w:val="0"/>
              <w:spacing w:after="0" w:line="240" w:lineRule="auto"/>
              <w:jc w:val="both"/>
              <w:rPr>
                <w:rFonts w:ascii="Times New Roman" w:hAnsi="Times New Roman"/>
                <w:i/>
                <w:sz w:val="20"/>
                <w:szCs w:val="20"/>
                <w:lang w:val="sk-SK" w:eastAsia="sk-SK"/>
              </w:rPr>
            </w:pPr>
            <w:r w:rsidRPr="00C95E6F">
              <w:rPr>
                <w:rFonts w:ascii="Times New Roman" w:hAnsi="Times New Roman"/>
                <w:i/>
                <w:sz w:val="20"/>
                <w:szCs w:val="20"/>
                <w:lang w:val="sk-SK" w:eastAsia="sk-SK"/>
              </w:rPr>
              <w:t xml:space="preserve">Má návrh významný vplyv na niektorú zo zraniteľných skupín obyvateľstva alebo skupín v riziku chudoby alebo sociálneho vylúčenia? </w:t>
            </w:r>
          </w:p>
          <w:p w:rsidR="006752D4" w:rsidRPr="00C95E6F" w:rsidP="00E1659F">
            <w:pPr>
              <w:bidi w:val="0"/>
              <w:spacing w:after="0" w:line="240" w:lineRule="auto"/>
              <w:jc w:val="both"/>
              <w:rPr>
                <w:i/>
                <w:lang w:val="sk-SK" w:eastAsia="sk-SK"/>
              </w:rPr>
            </w:pPr>
            <w:r w:rsidRPr="00C95E6F">
              <w:rPr>
                <w:rFonts w:ascii="Times New Roman" w:hAnsi="Times New Roman"/>
                <w:i/>
                <w:sz w:val="20"/>
                <w:szCs w:val="20"/>
                <w:lang w:val="sk-SK" w:eastAsia="sk-SK"/>
              </w:rPr>
              <w:t>Špecifikujte ovplyvnené skupiny v riziku chudoby a sociálneho vylúčenia a popíšte vplyv na ne. Je tento vplyv väčší ako vplyv na iné skupiny či subjekty? Uveďte veľkosť jednotlivých ovplyvnených skupín.</w:t>
            </w:r>
          </w:p>
        </w:tc>
      </w:tr>
    </w:tbl>
    <w:p w:rsidR="006752D4" w:rsidRPr="00C95E6F" w:rsidP="00A30F1C">
      <w:pPr>
        <w:bidi w:val="0"/>
        <w:spacing w:after="0" w:line="240" w:lineRule="auto"/>
        <w:jc w:val="both"/>
        <w:rPr>
          <w:rFonts w:ascii="Times New Roman" w:hAnsi="Times New Roman"/>
          <w:i/>
          <w:sz w:val="18"/>
          <w:szCs w:val="18"/>
          <w:lang w:val="sk-SK" w:eastAsia="sk-SK"/>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tblPrEx>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677"/>
          <w:jc w:val="center"/>
        </w:trPr>
        <w:tc>
          <w:tcPr>
            <w:tcW w:w="1993" w:type="pct"/>
            <w:tcBorders>
              <w:top w:val="none" w:sz="0" w:space="0" w:color="auto"/>
              <w:left w:val="single" w:sz="4" w:space="0" w:color="auto"/>
              <w:bottom w:val="single" w:sz="4" w:space="0" w:color="auto"/>
              <w:right w:val="single" w:sz="4" w:space="0" w:color="auto"/>
            </w:tcBorders>
            <w:textDirection w:val="lrTb"/>
            <w:vAlign w:val="top"/>
          </w:tcPr>
          <w:p w:rsidR="006752D4" w:rsidRPr="00C95E6F" w:rsidP="00E1659F">
            <w:pPr>
              <w:bidi w:val="0"/>
              <w:spacing w:after="0" w:line="240" w:lineRule="auto"/>
              <w:jc w:val="both"/>
              <w:rPr>
                <w:rFonts w:ascii="Times New Roman" w:hAnsi="Times New Roman"/>
                <w:i/>
                <w:sz w:val="18"/>
                <w:szCs w:val="18"/>
                <w:lang w:val="sk-SK" w:eastAsia="sk-SK"/>
              </w:rPr>
            </w:pPr>
            <w:r w:rsidRPr="00C95E6F">
              <w:rPr>
                <w:rFonts w:ascii="Times New Roman" w:hAnsi="Times New Roman"/>
                <w:i/>
                <w:sz w:val="18"/>
                <w:szCs w:val="18"/>
                <w:lang w:val="sk-SK" w:eastAsia="sk-SK"/>
              </w:rPr>
              <w:t>Zraniteľné skupiny alebo skupiny v riziku chudoby alebo sociálneho vylúčenia sú napr.:</w:t>
            </w:r>
          </w:p>
          <w:p w:rsidR="006752D4" w:rsidRPr="00C95E6F" w:rsidP="006752D4">
            <w:pPr>
              <w:widowControl/>
              <w:numPr>
                <w:numId w:val="19"/>
              </w:numPr>
              <w:bidi w:val="0"/>
              <w:adjustRightInd/>
              <w:spacing w:after="0" w:line="240" w:lineRule="auto"/>
              <w:jc w:val="both"/>
              <w:rPr>
                <w:rFonts w:ascii="Times New Roman" w:hAnsi="Times New Roman"/>
                <w:i/>
                <w:sz w:val="18"/>
                <w:szCs w:val="18"/>
                <w:lang w:val="sk-SK" w:eastAsia="sk-SK"/>
              </w:rPr>
            </w:pPr>
            <w:r w:rsidRPr="00C95E6F">
              <w:rPr>
                <w:rFonts w:ascii="Times New Roman" w:hAnsi="Times New Roman"/>
                <w:i/>
                <w:sz w:val="18"/>
                <w:szCs w:val="18"/>
                <w:lang w:val="sk-SK" w:eastAsia="sk-SK"/>
              </w:rPr>
              <w:t>domácnosti s nízkym príjmom (napr. žijúce iba zo sociálnych príjmov, alebo z príjmov pod hranicou rizika chudoby, alebo s príjmom pod životným minimom, alebo patriace medzi 25% domácností s najnižším príjmom),</w:t>
            </w:r>
          </w:p>
          <w:p w:rsidR="006752D4" w:rsidRPr="00C95E6F" w:rsidP="006752D4">
            <w:pPr>
              <w:widowControl/>
              <w:numPr>
                <w:numId w:val="19"/>
              </w:numPr>
              <w:bidi w:val="0"/>
              <w:adjustRightInd/>
              <w:spacing w:after="0" w:line="240" w:lineRule="auto"/>
              <w:jc w:val="both"/>
              <w:rPr>
                <w:rFonts w:ascii="Times New Roman" w:hAnsi="Times New Roman"/>
                <w:i/>
                <w:sz w:val="18"/>
                <w:szCs w:val="18"/>
                <w:lang w:val="sk-SK" w:eastAsia="sk-SK"/>
              </w:rPr>
            </w:pPr>
            <w:r w:rsidRPr="00C95E6F">
              <w:rPr>
                <w:rFonts w:ascii="Times New Roman" w:hAnsi="Times New Roman"/>
                <w:i/>
                <w:sz w:val="18"/>
                <w:szCs w:val="18"/>
                <w:lang w:val="sk-SK" w:eastAsia="sk-SK"/>
              </w:rPr>
              <w:t>nezamestnaní, najmä dlhodobo nezamestnaní, mladí nezamestnaní a nezamestnaní nad 50 rokov,</w:t>
            </w:r>
          </w:p>
          <w:p w:rsidR="006752D4" w:rsidRPr="00C95E6F" w:rsidP="006752D4">
            <w:pPr>
              <w:widowControl/>
              <w:numPr>
                <w:numId w:val="19"/>
              </w:numPr>
              <w:bidi w:val="0"/>
              <w:adjustRightInd/>
              <w:spacing w:after="0" w:line="240" w:lineRule="auto"/>
              <w:jc w:val="both"/>
              <w:rPr>
                <w:rFonts w:ascii="Times New Roman" w:hAnsi="Times New Roman"/>
                <w:i/>
                <w:sz w:val="18"/>
                <w:szCs w:val="18"/>
                <w:lang w:val="sk-SK" w:eastAsia="sk-SK"/>
              </w:rPr>
            </w:pPr>
            <w:r w:rsidRPr="00C95E6F">
              <w:rPr>
                <w:rFonts w:ascii="Times New Roman" w:hAnsi="Times New Roman"/>
                <w:i/>
                <w:sz w:val="18"/>
                <w:szCs w:val="18"/>
                <w:lang w:val="sk-SK" w:eastAsia="sk-SK"/>
              </w:rPr>
              <w:t>deti (0 – 17),</w:t>
            </w:r>
          </w:p>
          <w:p w:rsidR="006752D4" w:rsidRPr="00C95E6F" w:rsidP="006752D4">
            <w:pPr>
              <w:widowControl/>
              <w:numPr>
                <w:numId w:val="19"/>
              </w:numPr>
              <w:bidi w:val="0"/>
              <w:adjustRightInd/>
              <w:spacing w:after="0" w:line="240" w:lineRule="auto"/>
              <w:jc w:val="both"/>
              <w:rPr>
                <w:rFonts w:ascii="Times New Roman" w:hAnsi="Times New Roman"/>
                <w:i/>
                <w:sz w:val="18"/>
                <w:szCs w:val="18"/>
                <w:lang w:val="sk-SK" w:eastAsia="sk-SK"/>
              </w:rPr>
            </w:pPr>
            <w:r w:rsidRPr="00C95E6F">
              <w:rPr>
                <w:rFonts w:ascii="Times New Roman" w:hAnsi="Times New Roman"/>
                <w:i/>
                <w:sz w:val="18"/>
                <w:szCs w:val="18"/>
                <w:lang w:val="sk-SK" w:eastAsia="sk-SK"/>
              </w:rPr>
              <w:t>mladí ľudia (18 – 25 rokov),</w:t>
            </w:r>
          </w:p>
          <w:p w:rsidR="006752D4" w:rsidRPr="00C95E6F" w:rsidP="006752D4">
            <w:pPr>
              <w:widowControl/>
              <w:numPr>
                <w:numId w:val="19"/>
              </w:numPr>
              <w:bidi w:val="0"/>
              <w:adjustRightInd/>
              <w:spacing w:after="0" w:line="240" w:lineRule="auto"/>
              <w:jc w:val="both"/>
              <w:rPr>
                <w:rFonts w:ascii="Times New Roman" w:hAnsi="Times New Roman"/>
                <w:i/>
                <w:sz w:val="18"/>
                <w:szCs w:val="18"/>
                <w:lang w:val="sk-SK" w:eastAsia="sk-SK"/>
              </w:rPr>
            </w:pPr>
            <w:r w:rsidRPr="00C95E6F">
              <w:rPr>
                <w:rFonts w:ascii="Times New Roman" w:hAnsi="Times New Roman"/>
                <w:i/>
                <w:sz w:val="18"/>
                <w:szCs w:val="18"/>
                <w:lang w:val="sk-SK" w:eastAsia="sk-SK"/>
              </w:rPr>
              <w:t>starší ľudia, napr. ľudia vo veku nad 65 rokov alebo dôchodcovia,</w:t>
            </w:r>
          </w:p>
          <w:p w:rsidR="006752D4" w:rsidRPr="00C95E6F" w:rsidP="006752D4">
            <w:pPr>
              <w:widowControl/>
              <w:numPr>
                <w:numId w:val="19"/>
              </w:numPr>
              <w:bidi w:val="0"/>
              <w:adjustRightInd/>
              <w:spacing w:after="0" w:line="240" w:lineRule="auto"/>
              <w:jc w:val="both"/>
              <w:rPr>
                <w:rFonts w:ascii="Times New Roman" w:hAnsi="Times New Roman"/>
                <w:i/>
                <w:sz w:val="18"/>
                <w:szCs w:val="18"/>
                <w:lang w:val="sk-SK" w:eastAsia="sk-SK"/>
              </w:rPr>
            </w:pPr>
            <w:r w:rsidRPr="00C95E6F">
              <w:rPr>
                <w:rFonts w:ascii="Times New Roman" w:hAnsi="Times New Roman"/>
                <w:i/>
                <w:sz w:val="18"/>
                <w:szCs w:val="18"/>
                <w:lang w:val="sk-SK" w:eastAsia="sk-SK"/>
              </w:rPr>
              <w:t>ľudia so zdravotným postihnutím,</w:t>
            </w:r>
          </w:p>
          <w:p w:rsidR="006752D4" w:rsidRPr="00C95E6F" w:rsidP="006752D4">
            <w:pPr>
              <w:widowControl/>
              <w:numPr>
                <w:numId w:val="19"/>
              </w:numPr>
              <w:bidi w:val="0"/>
              <w:adjustRightInd/>
              <w:spacing w:after="0" w:line="240" w:lineRule="auto"/>
              <w:jc w:val="both"/>
              <w:rPr>
                <w:rFonts w:ascii="Times New Roman" w:hAnsi="Times New Roman"/>
                <w:i/>
                <w:sz w:val="18"/>
                <w:szCs w:val="18"/>
                <w:lang w:val="sk-SK" w:eastAsia="sk-SK"/>
              </w:rPr>
            </w:pPr>
            <w:r w:rsidRPr="00C95E6F">
              <w:rPr>
                <w:rFonts w:ascii="Times New Roman" w:hAnsi="Times New Roman"/>
                <w:i/>
                <w:sz w:val="18"/>
                <w:szCs w:val="18"/>
                <w:lang w:val="sk-SK" w:eastAsia="sk-SK"/>
              </w:rPr>
              <w:t xml:space="preserve">marginalizované rómske komunity </w:t>
            </w:r>
          </w:p>
          <w:p w:rsidR="006752D4" w:rsidRPr="00C95E6F" w:rsidP="006752D4">
            <w:pPr>
              <w:widowControl/>
              <w:numPr>
                <w:numId w:val="19"/>
              </w:numPr>
              <w:bidi w:val="0"/>
              <w:adjustRightInd/>
              <w:spacing w:after="0" w:line="240" w:lineRule="auto"/>
              <w:jc w:val="both"/>
              <w:rPr>
                <w:rFonts w:ascii="Times New Roman" w:hAnsi="Times New Roman"/>
                <w:i/>
                <w:sz w:val="18"/>
                <w:szCs w:val="18"/>
                <w:lang w:val="sk-SK" w:eastAsia="sk-SK"/>
              </w:rPr>
            </w:pPr>
            <w:r w:rsidRPr="00C95E6F">
              <w:rPr>
                <w:rFonts w:ascii="Times New Roman" w:hAnsi="Times New Roman"/>
                <w:i/>
                <w:sz w:val="18"/>
                <w:szCs w:val="18"/>
                <w:lang w:val="sk-SK" w:eastAsia="sk-SK"/>
              </w:rPr>
              <w:t>domácnosti s 3 a viac deťmi,</w:t>
            </w:r>
          </w:p>
          <w:p w:rsidR="006752D4" w:rsidRPr="00C95E6F" w:rsidP="006752D4">
            <w:pPr>
              <w:widowControl/>
              <w:numPr>
                <w:numId w:val="19"/>
              </w:numPr>
              <w:bidi w:val="0"/>
              <w:adjustRightInd/>
              <w:spacing w:after="0" w:line="240" w:lineRule="auto"/>
              <w:jc w:val="both"/>
              <w:rPr>
                <w:rFonts w:ascii="Times New Roman" w:hAnsi="Times New Roman"/>
                <w:i/>
                <w:sz w:val="18"/>
                <w:szCs w:val="18"/>
                <w:lang w:val="sk-SK" w:eastAsia="sk-SK"/>
              </w:rPr>
            </w:pPr>
            <w:r w:rsidRPr="00C95E6F">
              <w:rPr>
                <w:rFonts w:ascii="Times New Roman" w:hAnsi="Times New Roman"/>
                <w:i/>
                <w:sz w:val="18"/>
                <w:szCs w:val="18"/>
                <w:lang w:val="sk-SK" w:eastAsia="sk-SK"/>
              </w:rPr>
              <w:t>jednorodičovské domácnosti s deťmi (neúplné rodiny, ktoré tvoria najmä osamelé matky s deťmi),</w:t>
            </w:r>
          </w:p>
          <w:p w:rsidR="006752D4" w:rsidRPr="00C95E6F" w:rsidP="006752D4">
            <w:pPr>
              <w:widowControl/>
              <w:numPr>
                <w:numId w:val="19"/>
              </w:numPr>
              <w:bidi w:val="0"/>
              <w:adjustRightInd/>
              <w:spacing w:after="0" w:line="240" w:lineRule="auto"/>
              <w:jc w:val="both"/>
              <w:rPr>
                <w:rFonts w:ascii="Times New Roman" w:hAnsi="Times New Roman"/>
                <w:i/>
                <w:sz w:val="18"/>
                <w:szCs w:val="18"/>
                <w:lang w:val="sk-SK" w:eastAsia="sk-SK"/>
              </w:rPr>
            </w:pPr>
            <w:r w:rsidRPr="00C95E6F">
              <w:rPr>
                <w:rFonts w:ascii="Times New Roman" w:hAnsi="Times New Roman"/>
                <w:i/>
                <w:sz w:val="18"/>
                <w:szCs w:val="18"/>
                <w:lang w:val="sk-SK" w:eastAsia="sk-SK"/>
              </w:rPr>
              <w:t>príslušníci tretích krajín, azylanti, žiadatelia o azyl,</w:t>
            </w:r>
          </w:p>
          <w:p w:rsidR="006752D4" w:rsidRPr="00C95E6F" w:rsidP="006752D4">
            <w:pPr>
              <w:widowControl/>
              <w:numPr>
                <w:numId w:val="19"/>
              </w:numPr>
              <w:bidi w:val="0"/>
              <w:adjustRightInd/>
              <w:spacing w:after="0" w:line="240" w:lineRule="auto"/>
              <w:jc w:val="both"/>
              <w:rPr>
                <w:i/>
                <w:sz w:val="18"/>
                <w:szCs w:val="18"/>
                <w:lang w:val="sk-SK" w:eastAsia="sk-SK"/>
              </w:rPr>
            </w:pPr>
            <w:r w:rsidRPr="00C95E6F">
              <w:rPr>
                <w:rFonts w:ascii="Times New Roman" w:hAnsi="Times New Roman"/>
                <w:i/>
                <w:sz w:val="18"/>
                <w:szCs w:val="18"/>
                <w:lang w:val="sk-SK" w:eastAsia="sk-SK"/>
              </w:rPr>
              <w:t>iné zraniteľné skupiny, ako sú napr. bezdomovci, ľudia opúšťajúci detské domovy alebo iné inštitucionálne zariadenia</w:t>
            </w:r>
          </w:p>
        </w:tc>
        <w:tc>
          <w:tcPr>
            <w:tcW w:w="3007" w:type="pct"/>
            <w:tcBorders>
              <w:top w:val="none" w:sz="0" w:space="0" w:color="auto"/>
              <w:left w:val="single" w:sz="4" w:space="0" w:color="auto"/>
              <w:bottom w:val="single" w:sz="4" w:space="0" w:color="auto"/>
              <w:right w:val="single" w:sz="4" w:space="0" w:color="auto"/>
            </w:tcBorders>
            <w:textDirection w:val="lrTb"/>
            <w:vAlign w:val="top"/>
          </w:tcPr>
          <w:p w:rsidR="006752D4" w:rsidRPr="00C95E6F" w:rsidP="00E1659F">
            <w:pPr>
              <w:bidi w:val="0"/>
              <w:spacing w:after="0" w:line="240" w:lineRule="auto"/>
              <w:rPr>
                <w:rFonts w:ascii="Times New Roman" w:hAnsi="Times New Roman"/>
                <w:sz w:val="24"/>
                <w:szCs w:val="24"/>
                <w:lang w:val="sk-SK" w:eastAsia="sk-SK"/>
              </w:rPr>
            </w:pPr>
            <w:r w:rsidRPr="00C95E6F">
              <w:rPr>
                <w:rFonts w:ascii="Times New Roman" w:hAnsi="Times New Roman"/>
                <w:sz w:val="24"/>
                <w:szCs w:val="24"/>
                <w:lang w:val="sk-SK" w:eastAsia="sk-SK"/>
              </w:rPr>
              <w:t>Bez vplyvu.</w:t>
            </w:r>
          </w:p>
        </w:tc>
      </w:tr>
    </w:tbl>
    <w:p w:rsidR="006752D4" w:rsidRPr="00C95E6F">
      <w:pPr>
        <w:bidi w:val="0"/>
        <w:rPr>
          <w:lang w:val="sk-SK"/>
        </w:rPr>
      </w:pPr>
    </w:p>
    <w:p w:rsidR="006752D4" w:rsidRPr="00C95E6F" w:rsidP="00DA4453">
      <w:pPr>
        <w:bidi w:val="0"/>
        <w:spacing w:after="0" w:line="240" w:lineRule="auto"/>
        <w:rPr>
          <w:rFonts w:ascii="Times New Roman" w:hAnsi="Times New Roman"/>
          <w:b/>
          <w:sz w:val="24"/>
          <w:szCs w:val="24"/>
          <w:lang w:val="sk-SK" w:eastAsia="sk-SK"/>
        </w:rPr>
        <w:sectPr w:rsidSect="0040544D">
          <w:headerReference w:type="default" r:id="rId21"/>
          <w:footerReference w:type="default" r:id="rId22"/>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6752D4" w:rsidRPr="00C95E6F" w:rsidP="00DA4453">
            <w:pPr>
              <w:bidi w:val="0"/>
              <w:spacing w:after="0" w:line="240" w:lineRule="auto"/>
              <w:rPr>
                <w:rFonts w:ascii="Times New Roman" w:hAnsi="Times New Roman"/>
                <w:b/>
                <w:sz w:val="24"/>
                <w:szCs w:val="24"/>
                <w:lang w:val="sk-SK" w:eastAsia="sk-SK"/>
              </w:rPr>
            </w:pPr>
            <w:r w:rsidRPr="00C95E6F">
              <w:rPr>
                <w:rFonts w:ascii="Times New Roman" w:hAnsi="Times New Roman"/>
                <w:b/>
                <w:sz w:val="24"/>
                <w:szCs w:val="24"/>
                <w:lang w:val="sk-SK" w:eastAsia="sk-SK"/>
              </w:rPr>
              <w:t>4.3 Identifikujte a popíšte vplyv na rovnosť príležitostí.</w:t>
            </w:r>
          </w:p>
          <w:p w:rsidR="006752D4" w:rsidRPr="00C95E6F" w:rsidP="00DA4453">
            <w:pPr>
              <w:bidi w:val="0"/>
              <w:spacing w:after="0" w:line="240" w:lineRule="auto"/>
              <w:ind w:left="340"/>
              <w:jc w:val="both"/>
              <w:rPr>
                <w:sz w:val="24"/>
                <w:szCs w:val="24"/>
                <w:lang w:val="sk-SK" w:eastAsia="sk-SK"/>
              </w:rPr>
            </w:pPr>
            <w:r w:rsidRPr="00C95E6F">
              <w:rPr>
                <w:rFonts w:ascii="Times New Roman" w:hAnsi="Times New Roman"/>
                <w:b/>
                <w:sz w:val="24"/>
                <w:szCs w:val="24"/>
                <w:lang w:val="sk-SK" w:eastAsia="sk-SK"/>
              </w:rPr>
              <w:t>Identifikujte, popíšte a kvantifikujte vplyv na rodovú rovnosť.</w:t>
            </w:r>
          </w:p>
        </w:tc>
      </w:tr>
      <w:tr>
        <w:tblPrEx>
          <w:tblW w:w="5172" w:type="pct"/>
          <w:jc w:val="center"/>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6752D4" w:rsidRPr="00C95E6F" w:rsidP="00DA4453">
            <w:pPr>
              <w:bidi w:val="0"/>
              <w:spacing w:after="0" w:line="240" w:lineRule="auto"/>
              <w:jc w:val="both"/>
              <w:rPr>
                <w:rFonts w:ascii="Times New Roman" w:hAnsi="Times New Roman"/>
                <w:i/>
                <w:sz w:val="24"/>
                <w:szCs w:val="24"/>
                <w:lang w:val="sk-SK" w:eastAsia="sk-SK"/>
              </w:rPr>
            </w:pPr>
            <w:r w:rsidRPr="00C95E6F">
              <w:rPr>
                <w:rFonts w:ascii="Times New Roman" w:hAnsi="Times New Roman"/>
                <w:i/>
                <w:sz w:val="20"/>
                <w:szCs w:val="24"/>
                <w:lang w:val="sk-SK" w:eastAsia="sk-SK"/>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bl>
    <w:p w:rsidR="006752D4" w:rsidRPr="00C95E6F" w:rsidP="00DA4453">
      <w:pPr>
        <w:bidi w:val="0"/>
        <w:spacing w:after="0" w:line="240" w:lineRule="auto"/>
        <w:rPr>
          <w:rFonts w:ascii="Times New Roman" w:hAnsi="Times New Roman"/>
          <w:sz w:val="20"/>
          <w:lang w:val="sk-SK" w:eastAsia="sk-SK"/>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928"/>
          <w:jc w:val="center"/>
        </w:trPr>
        <w:tc>
          <w:tcPr>
            <w:tcW w:w="5000" w:type="pct"/>
            <w:tcBorders>
              <w:top w:val="nil"/>
              <w:left w:val="single" w:sz="4" w:space="0" w:color="auto"/>
              <w:bottom w:val="nil"/>
              <w:right w:val="single" w:sz="4" w:space="0" w:color="auto"/>
            </w:tcBorders>
            <w:textDirection w:val="lrTb"/>
            <w:vAlign w:val="top"/>
          </w:tcPr>
          <w:p w:rsidR="006752D4" w:rsidRPr="00C95E6F" w:rsidP="00DA4453">
            <w:pPr>
              <w:bidi w:val="0"/>
              <w:spacing w:after="0" w:line="240" w:lineRule="auto"/>
              <w:rPr>
                <w:rFonts w:ascii="Times New Roman" w:hAnsi="Times New Roman"/>
                <w:sz w:val="20"/>
                <w:lang w:val="sk-SK" w:eastAsia="sk-SK"/>
              </w:rPr>
            </w:pPr>
          </w:p>
          <w:p w:rsidR="006752D4" w:rsidRPr="00C95E6F" w:rsidP="00DA4453">
            <w:pPr>
              <w:bidi w:val="0"/>
              <w:spacing w:after="0" w:line="240" w:lineRule="auto"/>
              <w:rPr>
                <w:rFonts w:ascii="Times New Roman" w:hAnsi="Times New Roman"/>
                <w:sz w:val="24"/>
                <w:szCs w:val="24"/>
                <w:lang w:val="sk-SK" w:eastAsia="sk-SK"/>
              </w:rPr>
            </w:pPr>
            <w:r w:rsidRPr="00C95E6F">
              <w:rPr>
                <w:rFonts w:ascii="Times New Roman" w:hAnsi="Times New Roman"/>
                <w:sz w:val="24"/>
                <w:szCs w:val="24"/>
                <w:lang w:val="sk-SK" w:eastAsia="sk-SK"/>
              </w:rPr>
              <w:t>Bez vplyvu.</w:t>
            </w:r>
          </w:p>
          <w:p w:rsidR="006752D4" w:rsidRPr="00C95E6F" w:rsidP="00DA4453">
            <w:pPr>
              <w:bidi w:val="0"/>
              <w:spacing w:after="0" w:line="240" w:lineRule="auto"/>
              <w:rPr>
                <w:rFonts w:ascii="Times New Roman" w:hAnsi="Times New Roman"/>
                <w:sz w:val="20"/>
                <w:lang w:val="sk-SK" w:eastAsia="sk-SK"/>
              </w:rPr>
            </w:pPr>
          </w:p>
          <w:p w:rsidR="006752D4" w:rsidRPr="00C95E6F" w:rsidP="00DA4453">
            <w:pPr>
              <w:bidi w:val="0"/>
              <w:spacing w:after="0" w:line="240" w:lineRule="auto"/>
              <w:rPr>
                <w:rFonts w:ascii="Times New Roman" w:hAnsi="Times New Roman"/>
                <w:i/>
                <w:sz w:val="20"/>
                <w:lang w:val="sk-SK" w:eastAsia="sk-SK"/>
              </w:rPr>
            </w:pPr>
          </w:p>
        </w:tc>
      </w:tr>
    </w:tbl>
    <w:p w:rsidR="006752D4" w:rsidRPr="00C95E6F" w:rsidP="00DA4453">
      <w:pPr>
        <w:bidi w:val="0"/>
        <w:spacing w:after="0" w:line="240" w:lineRule="auto"/>
        <w:rPr>
          <w:rFonts w:ascii="Times New Roman" w:hAnsi="Times New Roman"/>
          <w:i/>
          <w:sz w:val="20"/>
          <w:szCs w:val="20"/>
          <w:lang w:val="sk-SK" w:eastAsia="sk-SK"/>
        </w:rPr>
        <w:sectPr w:rsidSect="0040544D">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345"/>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center"/>
          </w:tcPr>
          <w:p w:rsidR="006752D4" w:rsidRPr="00C95E6F" w:rsidP="00DA4453">
            <w:pPr>
              <w:bidi w:val="0"/>
              <w:spacing w:after="0" w:line="240" w:lineRule="auto"/>
              <w:rPr>
                <w:rFonts w:ascii="Times New Roman" w:hAnsi="Times New Roman"/>
                <w:i/>
                <w:sz w:val="20"/>
                <w:szCs w:val="20"/>
                <w:lang w:val="sk-SK" w:eastAsia="sk-SK"/>
              </w:rPr>
            </w:pPr>
            <w:r w:rsidRPr="00C95E6F">
              <w:rPr>
                <w:rFonts w:ascii="Times New Roman" w:hAnsi="Times New Roman"/>
                <w:i/>
                <w:sz w:val="20"/>
                <w:szCs w:val="20"/>
                <w:lang w:val="sk-SK" w:eastAsia="sk-SK"/>
              </w:rPr>
              <w:t>Môže mať návrh odlišný vplyv na ženy a mužov? Podporuje návrh rovnosť medzi ženami a mužmi alebo naopak bude viesť k zväčšovaniu rodových nerovností? Popíšte vplyvy.</w:t>
            </w:r>
          </w:p>
        </w:tc>
      </w:tr>
    </w:tbl>
    <w:p w:rsidR="006752D4" w:rsidRPr="00C95E6F" w:rsidP="00DA4453">
      <w:pPr>
        <w:bidi w:val="0"/>
        <w:spacing w:after="0" w:line="240" w:lineRule="auto"/>
        <w:jc w:val="both"/>
        <w:rPr>
          <w:rFonts w:ascii="Times New Roman" w:hAnsi="Times New Roman"/>
          <w:i/>
          <w:sz w:val="18"/>
          <w:szCs w:val="18"/>
          <w:lang w:val="sk-SK" w:eastAsia="sk-SK"/>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tblPrEx>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1235"/>
          <w:jc w:val="center"/>
        </w:trPr>
        <w:tc>
          <w:tcPr>
            <w:tcW w:w="1993" w:type="pct"/>
            <w:tcBorders>
              <w:top w:val="none" w:sz="0" w:space="0" w:color="auto"/>
              <w:left w:val="single" w:sz="4" w:space="0" w:color="auto"/>
              <w:bottom w:val="none" w:sz="0" w:space="0" w:color="auto"/>
              <w:right w:val="single" w:sz="4" w:space="0" w:color="auto"/>
            </w:tcBorders>
            <w:textDirection w:val="lrTb"/>
            <w:vAlign w:val="top"/>
          </w:tcPr>
          <w:p w:rsidR="006752D4" w:rsidRPr="00C95E6F" w:rsidP="00DA4453">
            <w:pPr>
              <w:bidi w:val="0"/>
              <w:spacing w:after="0" w:line="240" w:lineRule="auto"/>
              <w:jc w:val="both"/>
              <w:rPr>
                <w:rFonts w:ascii="Times New Roman" w:hAnsi="Times New Roman"/>
                <w:i/>
                <w:sz w:val="18"/>
                <w:szCs w:val="18"/>
                <w:lang w:val="sk-SK" w:eastAsia="sk-SK"/>
              </w:rPr>
            </w:pPr>
            <w:r w:rsidRPr="00C95E6F">
              <w:rPr>
                <w:rFonts w:ascii="Times New Roman" w:hAnsi="Times New Roman"/>
                <w:i/>
                <w:sz w:val="18"/>
                <w:szCs w:val="18"/>
                <w:lang w:val="sk-SK" w:eastAsia="sk-SK"/>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6752D4" w:rsidRPr="00C95E6F" w:rsidP="006752D4">
            <w:pPr>
              <w:widowControl/>
              <w:numPr>
                <w:numId w:val="19"/>
              </w:numPr>
              <w:bidi w:val="0"/>
              <w:adjustRightInd/>
              <w:spacing w:after="0" w:line="240" w:lineRule="auto"/>
              <w:jc w:val="both"/>
              <w:rPr>
                <w:rFonts w:ascii="Times New Roman" w:hAnsi="Times New Roman"/>
                <w:i/>
                <w:sz w:val="18"/>
                <w:szCs w:val="18"/>
                <w:lang w:val="sk-SK" w:eastAsia="sk-SK"/>
              </w:rPr>
            </w:pPr>
            <w:r w:rsidRPr="00C95E6F">
              <w:rPr>
                <w:rFonts w:ascii="Times New Roman" w:hAnsi="Times New Roman"/>
                <w:i/>
                <w:sz w:val="18"/>
                <w:szCs w:val="18"/>
                <w:lang w:val="sk-SK" w:eastAsia="sk-SK"/>
              </w:rPr>
              <w:t xml:space="preserve">podpora vyrovnávania ekonomickej nezávislosti, </w:t>
            </w:r>
          </w:p>
          <w:p w:rsidR="006752D4" w:rsidRPr="00C95E6F" w:rsidP="006752D4">
            <w:pPr>
              <w:widowControl/>
              <w:numPr>
                <w:numId w:val="19"/>
              </w:numPr>
              <w:bidi w:val="0"/>
              <w:adjustRightInd/>
              <w:spacing w:after="0" w:line="240" w:lineRule="auto"/>
              <w:jc w:val="both"/>
              <w:rPr>
                <w:rFonts w:ascii="Times New Roman" w:hAnsi="Times New Roman"/>
                <w:i/>
                <w:sz w:val="18"/>
                <w:szCs w:val="18"/>
                <w:lang w:val="sk-SK" w:eastAsia="sk-SK"/>
              </w:rPr>
            </w:pPr>
            <w:r w:rsidRPr="00C95E6F">
              <w:rPr>
                <w:rFonts w:ascii="Times New Roman" w:hAnsi="Times New Roman"/>
                <w:i/>
                <w:sz w:val="18"/>
                <w:szCs w:val="18"/>
                <w:lang w:val="sk-SK" w:eastAsia="sk-SK"/>
              </w:rPr>
              <w:t xml:space="preserve">zosúladenie pracovného, súkromného a rodinného života, </w:t>
            </w:r>
          </w:p>
          <w:p w:rsidR="006752D4" w:rsidRPr="00C95E6F" w:rsidP="006752D4">
            <w:pPr>
              <w:widowControl/>
              <w:numPr>
                <w:numId w:val="19"/>
              </w:numPr>
              <w:bidi w:val="0"/>
              <w:adjustRightInd/>
              <w:spacing w:after="0" w:line="240" w:lineRule="auto"/>
              <w:jc w:val="both"/>
              <w:rPr>
                <w:rFonts w:ascii="Times New Roman" w:hAnsi="Times New Roman"/>
                <w:i/>
                <w:sz w:val="18"/>
                <w:szCs w:val="18"/>
                <w:lang w:val="sk-SK" w:eastAsia="sk-SK"/>
              </w:rPr>
            </w:pPr>
            <w:r w:rsidRPr="00C95E6F">
              <w:rPr>
                <w:rFonts w:ascii="Times New Roman" w:hAnsi="Times New Roman"/>
                <w:i/>
                <w:sz w:val="18"/>
                <w:szCs w:val="18"/>
                <w:lang w:val="sk-SK" w:eastAsia="sk-SK"/>
              </w:rPr>
              <w:t xml:space="preserve">podpora rovnej participácie na rozhodovaní, </w:t>
            </w:r>
          </w:p>
          <w:p w:rsidR="006752D4" w:rsidRPr="00C95E6F" w:rsidP="006752D4">
            <w:pPr>
              <w:widowControl/>
              <w:numPr>
                <w:numId w:val="19"/>
              </w:numPr>
              <w:bidi w:val="0"/>
              <w:adjustRightInd/>
              <w:spacing w:after="0" w:line="240" w:lineRule="auto"/>
              <w:jc w:val="both"/>
              <w:rPr>
                <w:rFonts w:ascii="Times New Roman" w:hAnsi="Times New Roman"/>
                <w:i/>
                <w:sz w:val="18"/>
                <w:szCs w:val="18"/>
                <w:lang w:val="sk-SK" w:eastAsia="sk-SK"/>
              </w:rPr>
            </w:pPr>
            <w:r w:rsidRPr="00C95E6F">
              <w:rPr>
                <w:rFonts w:ascii="Times New Roman" w:hAnsi="Times New Roman"/>
                <w:i/>
                <w:sz w:val="18"/>
                <w:szCs w:val="18"/>
                <w:lang w:val="sk-SK" w:eastAsia="sk-SK"/>
              </w:rPr>
              <w:t xml:space="preserve">boj proti rodovo podmienenému násiliu a obchodovaniu s ľuďmi, </w:t>
            </w:r>
          </w:p>
          <w:p w:rsidR="006752D4" w:rsidRPr="00C95E6F" w:rsidP="006752D4">
            <w:pPr>
              <w:widowControl/>
              <w:numPr>
                <w:numId w:val="19"/>
              </w:numPr>
              <w:bidi w:val="0"/>
              <w:adjustRightInd/>
              <w:spacing w:after="0" w:line="240" w:lineRule="auto"/>
              <w:jc w:val="both"/>
              <w:rPr>
                <w:rFonts w:ascii="Times New Roman" w:hAnsi="Times New Roman"/>
                <w:i/>
                <w:sz w:val="18"/>
                <w:szCs w:val="18"/>
                <w:lang w:val="sk-SK" w:eastAsia="sk-SK"/>
              </w:rPr>
            </w:pPr>
            <w:r w:rsidRPr="00C95E6F">
              <w:rPr>
                <w:rFonts w:ascii="Times New Roman" w:hAnsi="Times New Roman"/>
                <w:i/>
                <w:sz w:val="18"/>
                <w:szCs w:val="18"/>
                <w:lang w:val="sk-SK" w:eastAsia="sk-SK"/>
              </w:rPr>
              <w:t>eliminácia rodových stereotypov.</w:t>
            </w:r>
          </w:p>
        </w:tc>
        <w:tc>
          <w:tcPr>
            <w:tcW w:w="3007" w:type="pct"/>
            <w:tcBorders>
              <w:top w:val="none" w:sz="0" w:space="0" w:color="auto"/>
              <w:left w:val="single" w:sz="4" w:space="0" w:color="auto"/>
              <w:bottom w:val="none" w:sz="0" w:space="0" w:color="auto"/>
              <w:right w:val="single" w:sz="4" w:space="0" w:color="auto"/>
            </w:tcBorders>
            <w:textDirection w:val="lrTb"/>
            <w:vAlign w:val="top"/>
          </w:tcPr>
          <w:p w:rsidR="006752D4" w:rsidRPr="00C95E6F" w:rsidP="00DA4453">
            <w:pPr>
              <w:bidi w:val="0"/>
              <w:spacing w:after="0" w:line="240" w:lineRule="auto"/>
              <w:rPr>
                <w:rFonts w:ascii="Times New Roman" w:hAnsi="Times New Roman"/>
                <w:sz w:val="24"/>
                <w:szCs w:val="24"/>
                <w:lang w:val="sk-SK" w:eastAsia="sk-SK"/>
              </w:rPr>
            </w:pPr>
            <w:r w:rsidRPr="00C95E6F">
              <w:rPr>
                <w:rFonts w:ascii="Times New Roman" w:hAnsi="Times New Roman"/>
                <w:sz w:val="24"/>
                <w:szCs w:val="24"/>
                <w:lang w:val="sk-SK" w:eastAsia="sk-SK"/>
              </w:rPr>
              <w:t>Bez vplyvu.</w:t>
            </w:r>
          </w:p>
          <w:p w:rsidR="006752D4" w:rsidRPr="00C95E6F" w:rsidP="00DA4453">
            <w:pPr>
              <w:bidi w:val="0"/>
              <w:spacing w:after="0" w:line="240" w:lineRule="auto"/>
              <w:rPr>
                <w:rFonts w:ascii="Times New Roman" w:hAnsi="Times New Roman"/>
                <w:sz w:val="24"/>
                <w:szCs w:val="24"/>
                <w:lang w:val="sk-SK" w:eastAsia="sk-SK"/>
              </w:rPr>
            </w:pPr>
          </w:p>
          <w:p w:rsidR="006752D4" w:rsidRPr="00C95E6F" w:rsidP="00DA4453">
            <w:pPr>
              <w:bidi w:val="0"/>
              <w:spacing w:after="0" w:line="240" w:lineRule="auto"/>
              <w:rPr>
                <w:rFonts w:ascii="Times New Roman" w:hAnsi="Times New Roman"/>
                <w:sz w:val="24"/>
                <w:szCs w:val="24"/>
                <w:lang w:val="sk-SK" w:eastAsia="sk-SK"/>
              </w:rPr>
            </w:pPr>
          </w:p>
          <w:p w:rsidR="006752D4" w:rsidRPr="00C95E6F" w:rsidP="00DA4453">
            <w:pPr>
              <w:bidi w:val="0"/>
              <w:spacing w:after="0" w:line="240" w:lineRule="auto"/>
              <w:rPr>
                <w:rFonts w:ascii="Times New Roman" w:hAnsi="Times New Roman"/>
                <w:sz w:val="24"/>
                <w:szCs w:val="24"/>
                <w:lang w:val="sk-SK" w:eastAsia="sk-SK"/>
              </w:rPr>
            </w:pPr>
          </w:p>
        </w:tc>
      </w:tr>
    </w:tbl>
    <w:p w:rsidR="006752D4" w:rsidRPr="00C95E6F" w:rsidP="00DA4453">
      <w:pPr>
        <w:bidi w:val="0"/>
        <w:spacing w:after="0" w:line="240" w:lineRule="auto"/>
        <w:rPr>
          <w:rFonts w:ascii="Times New Roman" w:hAnsi="Times New Roman"/>
          <w:b/>
          <w:sz w:val="24"/>
          <w:lang w:val="sk-SK" w:eastAsia="sk-SK"/>
        </w:rPr>
        <w:sectPr w:rsidSect="0040544D">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4404"/>
        <w:gridCol w:w="6645"/>
        <w:gridCol w:w="15"/>
      </w:tblGrid>
      <w:tr>
        <w:tblPrEx>
          <w:tblW w:w="51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6752D4" w:rsidRPr="00C95E6F" w:rsidP="00994C53">
            <w:pPr>
              <w:bidi w:val="0"/>
              <w:spacing w:after="0" w:line="240" w:lineRule="auto"/>
              <w:rPr>
                <w:rFonts w:ascii="Times New Roman" w:hAnsi="Times New Roman"/>
                <w:b/>
                <w:sz w:val="24"/>
                <w:lang w:val="sk-SK" w:eastAsia="sk-SK"/>
              </w:rPr>
            </w:pPr>
            <w:r w:rsidRPr="00C95E6F">
              <w:rPr>
                <w:rFonts w:ascii="Times New Roman" w:hAnsi="Times New Roman"/>
                <w:b/>
                <w:sz w:val="24"/>
                <w:lang w:val="sk-SK" w:eastAsia="sk-SK"/>
              </w:rPr>
              <w:t>4.4 Identifikujte, popíšte a kvantifikujte vplyvy na zamestnanosť a na trh práce.</w:t>
            </w:r>
          </w:p>
          <w:p w:rsidR="006752D4" w:rsidRPr="00C95E6F" w:rsidP="00994C53">
            <w:pPr>
              <w:bidi w:val="0"/>
              <w:spacing w:after="0" w:line="240" w:lineRule="auto"/>
              <w:jc w:val="both"/>
              <w:rPr>
                <w:rFonts w:ascii="Times New Roman" w:hAnsi="Times New Roman"/>
                <w:i/>
                <w:lang w:val="sk-SK" w:eastAsia="sk-SK"/>
              </w:rPr>
            </w:pPr>
            <w:r w:rsidRPr="00C95E6F">
              <w:rPr>
                <w:rFonts w:ascii="Times New Roman" w:hAnsi="Times New Roman"/>
                <w:i/>
                <w:lang w:val="sk-SK" w:eastAsia="sk-SK"/>
              </w:rPr>
              <w:t xml:space="preserve">V prípade kladnej odpovede pripojte </w:t>
            </w:r>
            <w:r w:rsidRPr="00C95E6F">
              <w:rPr>
                <w:rFonts w:ascii="Times New Roman" w:hAnsi="Times New Roman"/>
                <w:b/>
                <w:i/>
                <w:lang w:val="sk-SK" w:eastAsia="sk-SK"/>
              </w:rPr>
              <w:t>odôvodnenie</w:t>
            </w:r>
            <w:r w:rsidRPr="00C95E6F">
              <w:rPr>
                <w:rFonts w:ascii="Times New Roman" w:hAnsi="Times New Roman"/>
                <w:i/>
                <w:lang w:val="sk-SK" w:eastAsia="sk-SK"/>
              </w:rPr>
              <w:t xml:space="preserve"> v súlade s Metodickým postupom pre analýzu sociálnych vplyvov.</w:t>
            </w:r>
          </w:p>
        </w:tc>
      </w:tr>
      <w:tr>
        <w:tblPrEx>
          <w:tblW w:w="5179" w:type="pct"/>
          <w:jc w:val="center"/>
          <w:tblCellMar>
            <w:top w:w="28" w:type="dxa"/>
            <w:bottom w:w="28" w:type="dxa"/>
          </w:tblCellMar>
          <w:tblLook w:val="04A0"/>
        </w:tblPrEx>
        <w:trPr>
          <w:gridAfter w:val="1"/>
          <w:wAfter w:w="7" w:type="dxa"/>
          <w:trHeight w:val="287"/>
          <w:jc w:val="center"/>
        </w:trPr>
        <w:tc>
          <w:tcPr>
            <w:tcW w:w="4993" w:type="pct"/>
            <w:gridSpan w:val="2"/>
            <w:tcBorders>
              <w:top w:val="nil"/>
              <w:left w:val="single" w:sz="4" w:space="0" w:color="auto"/>
              <w:bottom w:val="single" w:sz="4" w:space="0" w:color="auto"/>
              <w:right w:val="single" w:sz="4" w:space="0" w:color="auto"/>
            </w:tcBorders>
            <w:shd w:val="clear" w:color="auto" w:fill="F2F2F2"/>
            <w:textDirection w:val="lrTb"/>
            <w:vAlign w:val="top"/>
          </w:tcPr>
          <w:p w:rsidR="006752D4" w:rsidRPr="00C95E6F" w:rsidP="00994C53">
            <w:pPr>
              <w:bidi w:val="0"/>
              <w:spacing w:after="0" w:line="240" w:lineRule="auto"/>
              <w:rPr>
                <w:rFonts w:ascii="Times New Roman" w:hAnsi="Times New Roman"/>
                <w:i/>
                <w:sz w:val="20"/>
                <w:szCs w:val="20"/>
                <w:lang w:val="sk-SK"/>
              </w:rPr>
            </w:pPr>
            <w:r w:rsidRPr="00C95E6F">
              <w:rPr>
                <w:rFonts w:ascii="Times New Roman" w:hAnsi="Times New Roman"/>
                <w:i/>
                <w:sz w:val="20"/>
                <w:szCs w:val="20"/>
                <w:lang w:val="sk-SK"/>
              </w:rPr>
              <w:t>Uľahčuje návrh vznik nových pracovných miest? Ak áno, ako? Ak je to možné, doplňte kvantifikáciu.</w:t>
            </w:r>
          </w:p>
        </w:tc>
      </w:tr>
      <w:tr>
        <w:tblPrEx>
          <w:tblW w:w="5179" w:type="pct"/>
          <w:jc w:val="center"/>
          <w:tblCellMar>
            <w:top w:w="28" w:type="dxa"/>
            <w:bottom w:w="28" w:type="dxa"/>
          </w:tblCellMar>
          <w:tblLook w:val="04A0"/>
        </w:tblPrEx>
        <w:trPr>
          <w:gridAfter w:val="1"/>
          <w:wAfter w:w="7" w:type="dxa"/>
          <w:trHeight w:val="567"/>
          <w:jc w:val="center"/>
        </w:trPr>
        <w:tc>
          <w:tcPr>
            <w:tcW w:w="1990" w:type="pct"/>
            <w:tcBorders>
              <w:top w:val="nil"/>
              <w:left w:val="single" w:sz="4" w:space="0" w:color="auto"/>
              <w:bottom w:val="single" w:sz="4" w:space="0" w:color="auto"/>
              <w:right w:val="single" w:sz="4" w:space="0" w:color="auto"/>
            </w:tcBorders>
            <w:shd w:val="clear" w:color="auto" w:fill="FFFFFF"/>
            <w:textDirection w:val="lrTb"/>
            <w:vAlign w:val="top"/>
          </w:tcPr>
          <w:p w:rsidR="006752D4" w:rsidRPr="00C95E6F" w:rsidP="00994C53">
            <w:pPr>
              <w:bidi w:val="0"/>
              <w:spacing w:after="0" w:line="240" w:lineRule="auto"/>
              <w:rPr>
                <w:rFonts w:ascii="Times New Roman" w:hAnsi="Times New Roman"/>
                <w:i/>
                <w:sz w:val="18"/>
                <w:szCs w:val="18"/>
                <w:lang w:val="sk-SK"/>
              </w:rPr>
            </w:pPr>
            <w:r w:rsidRPr="00C95E6F">
              <w:rPr>
                <w:rFonts w:ascii="Times New Roman" w:hAnsi="Times New Roman"/>
                <w:i/>
                <w:sz w:val="18"/>
                <w:szCs w:val="18"/>
                <w:lang w:val="sk-SK"/>
              </w:rPr>
              <w:t xml:space="preserve">Identifikujte, v ktorých sektoroch a odvetviach ekonomiky, v ktorých regiónoch, pre aké skupiny zamestnancov, o aké typy zamestnania /pracovných úväzkov pôjde a pod. </w:t>
            </w:r>
          </w:p>
        </w:tc>
        <w:tc>
          <w:tcPr>
            <w:tcW w:w="3003" w:type="pct"/>
            <w:tcBorders>
              <w:top w:val="nil"/>
              <w:left w:val="single" w:sz="4" w:space="0" w:color="auto"/>
              <w:bottom w:val="single" w:sz="4" w:space="0" w:color="auto"/>
              <w:right w:val="single" w:sz="4" w:space="0" w:color="auto"/>
            </w:tcBorders>
            <w:shd w:val="clear" w:color="auto" w:fill="FFFFFF"/>
            <w:textDirection w:val="lrTb"/>
            <w:vAlign w:val="top"/>
          </w:tcPr>
          <w:p w:rsidR="006752D4" w:rsidRPr="00C95E6F" w:rsidP="00994C53">
            <w:pPr>
              <w:bidi w:val="0"/>
              <w:spacing w:after="0" w:line="240" w:lineRule="auto"/>
              <w:rPr>
                <w:rFonts w:ascii="Times New Roman" w:hAnsi="Times New Roman"/>
                <w:sz w:val="24"/>
                <w:szCs w:val="24"/>
                <w:lang w:val="sk-SK"/>
              </w:rPr>
            </w:pPr>
            <w:r w:rsidRPr="00C95E6F">
              <w:rPr>
                <w:rFonts w:ascii="Times New Roman" w:hAnsi="Times New Roman"/>
                <w:sz w:val="24"/>
                <w:szCs w:val="24"/>
                <w:lang w:val="sk-SK"/>
              </w:rPr>
              <w:t>Bez vplyvu.</w:t>
            </w:r>
          </w:p>
        </w:tc>
      </w:tr>
      <w:tr>
        <w:tblPrEx>
          <w:tblW w:w="5179" w:type="pct"/>
          <w:jc w:val="center"/>
          <w:tblCellMar>
            <w:top w:w="28" w:type="dxa"/>
            <w:bottom w:w="28" w:type="dxa"/>
          </w:tblCellMar>
          <w:tblLook w:val="04A0"/>
        </w:tblPrEx>
        <w:trPr>
          <w:gridAfter w:val="1"/>
          <w:wAfter w:w="7" w:type="dxa"/>
          <w:trHeight w:val="270"/>
          <w:jc w:val="center"/>
        </w:trPr>
        <w:tc>
          <w:tcPr>
            <w:tcW w:w="4993"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6752D4" w:rsidRPr="00C95E6F" w:rsidP="00994C53">
            <w:pPr>
              <w:bidi w:val="0"/>
              <w:spacing w:after="0" w:line="240" w:lineRule="auto"/>
              <w:rPr>
                <w:rFonts w:ascii="Times New Roman" w:hAnsi="Times New Roman"/>
                <w:i/>
                <w:sz w:val="20"/>
                <w:szCs w:val="20"/>
                <w:lang w:val="sk-SK"/>
              </w:rPr>
            </w:pPr>
            <w:r w:rsidRPr="00C95E6F">
              <w:rPr>
                <w:rFonts w:ascii="Times New Roman" w:hAnsi="Times New Roman"/>
                <w:i/>
                <w:sz w:val="20"/>
                <w:szCs w:val="20"/>
                <w:lang w:val="sk-SK"/>
              </w:rPr>
              <w:t>Vedie návrh k zániku pracovných miest?</w:t>
            </w:r>
            <w:r w:rsidRPr="00C95E6F">
              <w:rPr>
                <w:rFonts w:ascii="Times New Roman" w:hAnsi="Times New Roman"/>
                <w:sz w:val="20"/>
                <w:szCs w:val="20"/>
                <w:lang w:val="sk-SK"/>
              </w:rPr>
              <w:t xml:space="preserve"> </w:t>
            </w:r>
            <w:r w:rsidRPr="00C95E6F">
              <w:rPr>
                <w:rFonts w:ascii="Times New Roman" w:hAnsi="Times New Roman"/>
                <w:i/>
                <w:sz w:val="20"/>
                <w:szCs w:val="20"/>
                <w:lang w:val="sk-SK"/>
              </w:rPr>
              <w:t>Ak áno, ako a akých? Ak je to možné, doplňte kvantifikáciu.</w:t>
            </w:r>
          </w:p>
        </w:tc>
      </w:tr>
      <w:tr>
        <w:tblPrEx>
          <w:tblW w:w="5179" w:type="pct"/>
          <w:jc w:val="center"/>
          <w:tblCellMar>
            <w:top w:w="28" w:type="dxa"/>
            <w:bottom w:w="28" w:type="dxa"/>
          </w:tblCellMar>
          <w:tblLook w:val="04A0"/>
        </w:tblPrEx>
        <w:trPr>
          <w:gridAfter w:val="1"/>
          <w:wAfter w:w="7" w:type="dxa"/>
          <w:trHeight w:val="454"/>
          <w:jc w:val="center"/>
        </w:trPr>
        <w:tc>
          <w:tcPr>
            <w:tcW w:w="1990"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6752D4" w:rsidRPr="00C95E6F" w:rsidP="00994C53">
            <w:pPr>
              <w:bidi w:val="0"/>
              <w:spacing w:after="0" w:line="240" w:lineRule="auto"/>
              <w:rPr>
                <w:rFonts w:ascii="Times New Roman" w:hAnsi="Times New Roman"/>
                <w:i/>
                <w:sz w:val="18"/>
                <w:szCs w:val="18"/>
                <w:lang w:val="sk-SK"/>
              </w:rPr>
            </w:pPr>
            <w:r w:rsidRPr="00C95E6F">
              <w:rPr>
                <w:rFonts w:ascii="Times New Roman" w:hAnsi="Times New Roman"/>
                <w:i/>
                <w:sz w:val="18"/>
                <w:szCs w:val="18"/>
                <w:lang w:val="sk-SK"/>
              </w:rPr>
              <w:t>Identifikujte, v ktorých sektoroch a odvetviach ekonomiky, v ktorých regiónoch, o aké typy zamestnania /pracovných úväzkov pôjde a pod. Identifikujte možné dôsledky, skupiny zamestnancov, ktoré budú viac ovplyvnené a rozsah vplyvu.</w:t>
            </w:r>
          </w:p>
        </w:tc>
        <w:tc>
          <w:tcPr>
            <w:tcW w:w="300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6752D4" w:rsidRPr="00C95E6F" w:rsidP="00994C53">
            <w:pPr>
              <w:bidi w:val="0"/>
              <w:spacing w:after="0" w:line="240" w:lineRule="auto"/>
              <w:rPr>
                <w:rFonts w:ascii="Times New Roman" w:hAnsi="Times New Roman"/>
                <w:sz w:val="24"/>
                <w:szCs w:val="24"/>
                <w:lang w:val="sk-SK"/>
              </w:rPr>
            </w:pPr>
            <w:r w:rsidRPr="00C95E6F">
              <w:rPr>
                <w:rFonts w:ascii="Times New Roman" w:hAnsi="Times New Roman"/>
                <w:sz w:val="24"/>
                <w:szCs w:val="24"/>
                <w:lang w:val="sk-SK"/>
              </w:rPr>
              <w:t>Bez vplyvu.</w:t>
            </w:r>
          </w:p>
        </w:tc>
      </w:tr>
      <w:tr>
        <w:tblPrEx>
          <w:tblW w:w="5179" w:type="pct"/>
          <w:jc w:val="center"/>
          <w:tblCellMar>
            <w:top w:w="28" w:type="dxa"/>
            <w:bottom w:w="28" w:type="dxa"/>
          </w:tblCellMar>
          <w:tblLook w:val="04A0"/>
        </w:tblPrEx>
        <w:trPr>
          <w:gridAfter w:val="1"/>
          <w:wAfter w:w="7" w:type="dxa"/>
          <w:trHeight w:val="248"/>
          <w:jc w:val="center"/>
        </w:trPr>
        <w:tc>
          <w:tcPr>
            <w:tcW w:w="4993"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6752D4" w:rsidRPr="00C95E6F" w:rsidP="00994C53">
            <w:pPr>
              <w:bidi w:val="0"/>
              <w:spacing w:after="0" w:line="240" w:lineRule="auto"/>
              <w:rPr>
                <w:rFonts w:ascii="Times New Roman" w:hAnsi="Times New Roman"/>
                <w:sz w:val="20"/>
                <w:szCs w:val="20"/>
                <w:lang w:val="sk-SK"/>
              </w:rPr>
            </w:pPr>
            <w:r w:rsidRPr="00C95E6F">
              <w:rPr>
                <w:rFonts w:ascii="Times New Roman" w:hAnsi="Times New Roman"/>
                <w:i/>
                <w:sz w:val="20"/>
                <w:szCs w:val="20"/>
                <w:lang w:val="sk-SK"/>
              </w:rPr>
              <w:t>Ovplyvňuje návrh dopyt po práci?</w:t>
            </w:r>
            <w:r w:rsidRPr="00C95E6F">
              <w:rPr>
                <w:rFonts w:ascii="Times New Roman" w:hAnsi="Times New Roman"/>
                <w:sz w:val="20"/>
                <w:szCs w:val="20"/>
                <w:lang w:val="sk-SK"/>
              </w:rPr>
              <w:t xml:space="preserve"> </w:t>
            </w:r>
            <w:r w:rsidRPr="00C95E6F">
              <w:rPr>
                <w:rFonts w:ascii="Times New Roman" w:hAnsi="Times New Roman"/>
                <w:i/>
                <w:sz w:val="20"/>
                <w:szCs w:val="20"/>
                <w:lang w:val="sk-SK"/>
              </w:rPr>
              <w:t>Ak áno, ako?</w:t>
            </w:r>
          </w:p>
        </w:tc>
      </w:tr>
      <w:tr>
        <w:tblPrEx>
          <w:tblW w:w="5179" w:type="pct"/>
          <w:jc w:val="center"/>
          <w:tblCellMar>
            <w:top w:w="28" w:type="dxa"/>
            <w:bottom w:w="28" w:type="dxa"/>
          </w:tblCellMar>
          <w:tblLook w:val="04A0"/>
        </w:tblPrEx>
        <w:trPr>
          <w:gridAfter w:val="1"/>
          <w:wAfter w:w="7" w:type="dxa"/>
          <w:trHeight w:val="209"/>
          <w:jc w:val="center"/>
        </w:trPr>
        <w:tc>
          <w:tcPr>
            <w:tcW w:w="1990"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6752D4" w:rsidRPr="00C95E6F" w:rsidP="00994C53">
            <w:pPr>
              <w:bidi w:val="0"/>
              <w:spacing w:after="0" w:line="240" w:lineRule="auto"/>
              <w:rPr>
                <w:rFonts w:ascii="Times New Roman" w:hAnsi="Times New Roman"/>
                <w:i/>
                <w:sz w:val="18"/>
                <w:szCs w:val="18"/>
                <w:lang w:val="sk-SK"/>
              </w:rPr>
            </w:pPr>
            <w:r w:rsidRPr="00C95E6F">
              <w:rPr>
                <w:rFonts w:ascii="Times New Roman" w:hAnsi="Times New Roman"/>
                <w:i/>
                <w:sz w:val="18"/>
                <w:szCs w:val="18"/>
                <w:lang w:val="sk-SK"/>
              </w:rPr>
              <w:t>Dopyt po práci závisí na jednej strane na produkcii tovarov a služieb v ekonomike a na druhej strane na cene práce.</w:t>
            </w:r>
          </w:p>
        </w:tc>
        <w:tc>
          <w:tcPr>
            <w:tcW w:w="300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6752D4" w:rsidRPr="00C95E6F" w:rsidP="00994C53">
            <w:pPr>
              <w:bidi w:val="0"/>
              <w:spacing w:after="0" w:line="240" w:lineRule="auto"/>
              <w:rPr>
                <w:rFonts w:ascii="Times New Roman" w:hAnsi="Times New Roman"/>
                <w:sz w:val="24"/>
                <w:szCs w:val="24"/>
                <w:lang w:val="sk-SK"/>
              </w:rPr>
            </w:pPr>
            <w:r w:rsidRPr="00C95E6F">
              <w:rPr>
                <w:rFonts w:ascii="Times New Roman" w:hAnsi="Times New Roman"/>
                <w:sz w:val="24"/>
                <w:szCs w:val="24"/>
                <w:lang w:val="sk-SK"/>
              </w:rPr>
              <w:t>Bez vplyvu.</w:t>
            </w:r>
          </w:p>
        </w:tc>
      </w:tr>
      <w:tr>
        <w:tblPrEx>
          <w:tblW w:w="5179" w:type="pct"/>
          <w:jc w:val="center"/>
          <w:tblCellMar>
            <w:top w:w="28" w:type="dxa"/>
            <w:bottom w:w="28" w:type="dxa"/>
          </w:tblCellMar>
          <w:tblLook w:val="04A0"/>
        </w:tblPrEx>
        <w:trPr>
          <w:gridAfter w:val="1"/>
          <w:wAfter w:w="7" w:type="dxa"/>
          <w:trHeight w:val="208"/>
          <w:jc w:val="center"/>
        </w:trPr>
        <w:tc>
          <w:tcPr>
            <w:tcW w:w="4993"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6752D4" w:rsidRPr="00C95E6F" w:rsidP="00994C53">
            <w:pPr>
              <w:bidi w:val="0"/>
              <w:spacing w:after="0" w:line="240" w:lineRule="auto"/>
              <w:rPr>
                <w:rFonts w:ascii="Times New Roman" w:hAnsi="Times New Roman"/>
                <w:sz w:val="20"/>
                <w:szCs w:val="20"/>
                <w:lang w:val="sk-SK"/>
              </w:rPr>
            </w:pPr>
            <w:r w:rsidRPr="00C95E6F">
              <w:rPr>
                <w:rFonts w:ascii="Times New Roman" w:hAnsi="Times New Roman"/>
                <w:i/>
                <w:sz w:val="20"/>
                <w:szCs w:val="20"/>
                <w:lang w:val="sk-SK"/>
              </w:rPr>
              <w:t>Má návrh dosah na fungovanie trhu práce?</w:t>
            </w:r>
            <w:r w:rsidRPr="00C95E6F">
              <w:rPr>
                <w:rFonts w:ascii="Times New Roman" w:hAnsi="Times New Roman"/>
                <w:sz w:val="20"/>
                <w:szCs w:val="20"/>
                <w:lang w:val="sk-SK"/>
              </w:rPr>
              <w:t xml:space="preserve"> </w:t>
            </w:r>
            <w:r w:rsidRPr="00C95E6F">
              <w:rPr>
                <w:rFonts w:ascii="Times New Roman" w:hAnsi="Times New Roman"/>
                <w:i/>
                <w:sz w:val="20"/>
                <w:szCs w:val="20"/>
                <w:lang w:val="sk-SK"/>
              </w:rPr>
              <w:t>Ak áno, aký?</w:t>
            </w:r>
          </w:p>
        </w:tc>
      </w:tr>
      <w:tr>
        <w:tblPrEx>
          <w:tblW w:w="5179" w:type="pct"/>
          <w:jc w:val="center"/>
          <w:tblCellMar>
            <w:top w:w="28" w:type="dxa"/>
            <w:bottom w:w="28" w:type="dxa"/>
          </w:tblCellMar>
          <w:tblLook w:val="04A0"/>
        </w:tblPrEx>
        <w:trPr>
          <w:gridAfter w:val="1"/>
          <w:wAfter w:w="7" w:type="dxa"/>
          <w:trHeight w:val="794"/>
          <w:jc w:val="center"/>
        </w:trPr>
        <w:tc>
          <w:tcPr>
            <w:tcW w:w="1990"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6752D4" w:rsidRPr="00C95E6F" w:rsidP="00994C53">
            <w:pPr>
              <w:bidi w:val="0"/>
              <w:spacing w:after="0" w:line="240" w:lineRule="auto"/>
              <w:rPr>
                <w:rFonts w:ascii="Times New Roman" w:hAnsi="Times New Roman"/>
                <w:i/>
                <w:sz w:val="18"/>
                <w:szCs w:val="18"/>
                <w:lang w:val="sk-SK"/>
              </w:rPr>
            </w:pPr>
            <w:r w:rsidRPr="00C95E6F">
              <w:rPr>
                <w:rFonts w:ascii="Times New Roman" w:hAnsi="Times New Roman"/>
                <w:i/>
                <w:sz w:val="18"/>
                <w:szCs w:val="18"/>
                <w:lang w:val="sk-SK"/>
              </w:rPr>
              <w:t>Týka sa makroekonomických dosahov ako je napr. participácia na trhu práce, dlhodobá nezamestnanosť, regionálne rozdiely v mierach zamestnanosti.</w:t>
            </w:r>
            <w:r w:rsidRPr="00C95E6F">
              <w:rPr>
                <w:rFonts w:ascii="Times New Roman" w:hAnsi="Times New Roman"/>
                <w:sz w:val="18"/>
                <w:szCs w:val="18"/>
                <w:lang w:val="sk-SK"/>
              </w:rPr>
              <w:t xml:space="preserve"> </w:t>
            </w:r>
            <w:r w:rsidRPr="00C95E6F">
              <w:rPr>
                <w:rFonts w:ascii="Times New Roman" w:hAnsi="Times New Roman"/>
                <w:i/>
                <w:sz w:val="18"/>
                <w:szCs w:val="18"/>
                <w:lang w:val="sk-SK"/>
              </w:rPr>
              <w:t>Ponuka práce môže byť ovplyvnená rôznymi premennými napr. úrovňou miezd, inštitucionálnym nastavením (napr.  zosúladenie pracovného a súkromného života alebo uľahčovanie rôznych foriem mobility).</w:t>
            </w:r>
          </w:p>
        </w:tc>
        <w:tc>
          <w:tcPr>
            <w:tcW w:w="300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6752D4" w:rsidRPr="00C95E6F" w:rsidP="00994C53">
            <w:pPr>
              <w:bidi w:val="0"/>
              <w:spacing w:after="0" w:line="240" w:lineRule="auto"/>
              <w:rPr>
                <w:rFonts w:ascii="Times New Roman" w:hAnsi="Times New Roman"/>
                <w:sz w:val="24"/>
                <w:szCs w:val="24"/>
                <w:lang w:val="sk-SK"/>
              </w:rPr>
            </w:pPr>
            <w:r w:rsidRPr="00C95E6F">
              <w:rPr>
                <w:rFonts w:ascii="Times New Roman" w:hAnsi="Times New Roman"/>
                <w:sz w:val="24"/>
                <w:szCs w:val="24"/>
                <w:lang w:val="sk-SK"/>
              </w:rPr>
              <w:t>Bez vplyvu.</w:t>
            </w:r>
          </w:p>
        </w:tc>
      </w:tr>
      <w:tr>
        <w:tblPrEx>
          <w:tblW w:w="5179" w:type="pct"/>
          <w:jc w:val="center"/>
          <w:tblCellMar>
            <w:top w:w="28" w:type="dxa"/>
            <w:bottom w:w="28" w:type="dxa"/>
          </w:tblCellMar>
          <w:tblLook w:val="04A0"/>
        </w:tblPrEx>
        <w:trPr>
          <w:gridAfter w:val="1"/>
          <w:wAfter w:w="7" w:type="dxa"/>
          <w:trHeight w:val="324"/>
          <w:jc w:val="center"/>
        </w:trPr>
        <w:tc>
          <w:tcPr>
            <w:tcW w:w="4993"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6752D4" w:rsidRPr="00C95E6F" w:rsidP="00994C53">
            <w:pPr>
              <w:bidi w:val="0"/>
              <w:spacing w:after="0" w:line="240" w:lineRule="auto"/>
              <w:rPr>
                <w:rFonts w:ascii="Times New Roman" w:hAnsi="Times New Roman"/>
                <w:sz w:val="20"/>
                <w:szCs w:val="20"/>
                <w:lang w:val="sk-SK"/>
              </w:rPr>
            </w:pPr>
            <w:r w:rsidRPr="00C95E6F">
              <w:rPr>
                <w:rFonts w:ascii="Times New Roman" w:hAnsi="Times New Roman"/>
                <w:i/>
                <w:sz w:val="20"/>
                <w:szCs w:val="20"/>
                <w:lang w:val="sk-SK"/>
              </w:rPr>
              <w:t>Má návrh špecifické negatívne dôsledky pre isté skupiny profesií, skupín zamestnancov či živnostníkov?</w:t>
            </w:r>
            <w:r w:rsidRPr="00C95E6F">
              <w:rPr>
                <w:rFonts w:ascii="Times New Roman" w:hAnsi="Times New Roman"/>
                <w:sz w:val="20"/>
                <w:szCs w:val="20"/>
                <w:lang w:val="sk-SK"/>
              </w:rPr>
              <w:t xml:space="preserve"> </w:t>
            </w:r>
            <w:r w:rsidRPr="00C95E6F">
              <w:rPr>
                <w:rFonts w:ascii="Times New Roman" w:hAnsi="Times New Roman"/>
                <w:i/>
                <w:sz w:val="20"/>
                <w:szCs w:val="20"/>
                <w:lang w:val="sk-SK"/>
              </w:rPr>
              <w:t>Ak áno, aké a pre ktoré skupiny?</w:t>
            </w:r>
          </w:p>
        </w:tc>
      </w:tr>
      <w:tr>
        <w:tblPrEx>
          <w:tblW w:w="5179" w:type="pct"/>
          <w:jc w:val="center"/>
          <w:tblCellMar>
            <w:top w:w="28" w:type="dxa"/>
            <w:bottom w:w="28" w:type="dxa"/>
          </w:tblCellMar>
          <w:tblLook w:val="04A0"/>
        </w:tblPrEx>
        <w:trPr>
          <w:gridAfter w:val="1"/>
          <w:wAfter w:w="7" w:type="dxa"/>
          <w:trHeight w:val="216"/>
          <w:jc w:val="center"/>
        </w:trPr>
        <w:tc>
          <w:tcPr>
            <w:tcW w:w="1990"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6752D4" w:rsidRPr="00C95E6F" w:rsidP="00994C53">
            <w:pPr>
              <w:bidi w:val="0"/>
              <w:spacing w:after="0" w:line="240" w:lineRule="auto"/>
              <w:rPr>
                <w:rFonts w:ascii="Times New Roman" w:hAnsi="Times New Roman"/>
                <w:i/>
                <w:sz w:val="18"/>
                <w:szCs w:val="18"/>
                <w:lang w:val="sk-SK"/>
              </w:rPr>
            </w:pPr>
            <w:r w:rsidRPr="00C95E6F">
              <w:rPr>
                <w:rFonts w:ascii="Times New Roman" w:hAnsi="Times New Roman"/>
                <w:i/>
                <w:sz w:val="18"/>
                <w:szCs w:val="18"/>
                <w:lang w:val="sk-SK"/>
              </w:rPr>
              <w:t>Návrh môže ohrozovať napr. pracovníkov istých profesií favorizovaním špecifických aktivít či technológií.</w:t>
            </w:r>
          </w:p>
        </w:tc>
        <w:tc>
          <w:tcPr>
            <w:tcW w:w="300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6752D4" w:rsidRPr="00C95E6F" w:rsidP="00994C53">
            <w:pPr>
              <w:bidi w:val="0"/>
              <w:spacing w:after="0" w:line="240" w:lineRule="auto"/>
              <w:rPr>
                <w:rFonts w:ascii="Times New Roman" w:hAnsi="Times New Roman"/>
                <w:sz w:val="24"/>
                <w:szCs w:val="24"/>
                <w:lang w:val="sk-SK"/>
              </w:rPr>
            </w:pPr>
            <w:r w:rsidRPr="00C95E6F">
              <w:rPr>
                <w:rFonts w:ascii="Times New Roman" w:hAnsi="Times New Roman"/>
                <w:sz w:val="24"/>
                <w:szCs w:val="24"/>
                <w:lang w:val="sk-SK"/>
              </w:rPr>
              <w:t>Bez vplyvu.</w:t>
            </w:r>
          </w:p>
        </w:tc>
      </w:tr>
      <w:tr>
        <w:tblPrEx>
          <w:tblW w:w="5179" w:type="pct"/>
          <w:jc w:val="center"/>
          <w:tblCellMar>
            <w:top w:w="28" w:type="dxa"/>
            <w:bottom w:w="28" w:type="dxa"/>
          </w:tblCellMar>
          <w:tblLook w:val="04A0"/>
        </w:tblPrEx>
        <w:trPr>
          <w:gridAfter w:val="1"/>
          <w:wAfter w:w="7" w:type="dxa"/>
          <w:trHeight w:val="219"/>
          <w:jc w:val="center"/>
        </w:trPr>
        <w:tc>
          <w:tcPr>
            <w:tcW w:w="4993"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6752D4" w:rsidRPr="00C95E6F" w:rsidP="00994C53">
            <w:pPr>
              <w:bidi w:val="0"/>
              <w:spacing w:after="0" w:line="240" w:lineRule="auto"/>
              <w:rPr>
                <w:rFonts w:ascii="Times New Roman" w:hAnsi="Times New Roman"/>
                <w:sz w:val="20"/>
                <w:szCs w:val="20"/>
                <w:lang w:val="sk-SK"/>
              </w:rPr>
            </w:pPr>
            <w:r w:rsidRPr="00C95E6F">
              <w:rPr>
                <w:rFonts w:ascii="Times New Roman" w:hAnsi="Times New Roman"/>
                <w:i/>
                <w:sz w:val="20"/>
                <w:szCs w:val="20"/>
                <w:lang w:val="sk-SK"/>
              </w:rPr>
              <w:t>Ovplyvňuje návrh špecifické vekové skupiny zamestnancov? Ak áno, aké? Akým spôsobom?</w:t>
            </w:r>
          </w:p>
        </w:tc>
      </w:tr>
      <w:tr>
        <w:tblPrEx>
          <w:tblW w:w="5179" w:type="pct"/>
          <w:jc w:val="center"/>
          <w:tblCellMar>
            <w:top w:w="28" w:type="dxa"/>
            <w:bottom w:w="28" w:type="dxa"/>
          </w:tblCellMar>
          <w:tblLook w:val="04A0"/>
        </w:tblPrEx>
        <w:trPr>
          <w:gridAfter w:val="1"/>
          <w:wAfter w:w="7" w:type="dxa"/>
          <w:trHeight w:val="497"/>
          <w:jc w:val="center"/>
        </w:trPr>
        <w:tc>
          <w:tcPr>
            <w:tcW w:w="1990"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6752D4" w:rsidRPr="00C95E6F" w:rsidP="00994C53">
            <w:pPr>
              <w:bidi w:val="0"/>
              <w:spacing w:after="0" w:line="240" w:lineRule="auto"/>
              <w:rPr>
                <w:rFonts w:ascii="Times New Roman" w:hAnsi="Times New Roman"/>
                <w:i/>
                <w:sz w:val="18"/>
                <w:szCs w:val="18"/>
                <w:lang w:val="sk-SK"/>
              </w:rPr>
            </w:pPr>
            <w:r w:rsidRPr="00C95E6F">
              <w:rPr>
                <w:rFonts w:ascii="Times New Roman" w:hAnsi="Times New Roman"/>
                <w:i/>
                <w:sz w:val="18"/>
                <w:szCs w:val="18"/>
                <w:lang w:val="sk-SK"/>
              </w:rPr>
              <w:t>Identifikujte, či návrh môže ovplyvniť rozhodnutia zamestnancov alebo zamestnávateľov a môže byť zdrojom neskoršieho vstupu na trh práce alebo predčasného odchodu z trhu práce jednotlivcov.“</w:t>
            </w:r>
          </w:p>
        </w:tc>
        <w:tc>
          <w:tcPr>
            <w:tcW w:w="300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6752D4" w:rsidRPr="00C95E6F" w:rsidP="00994C53">
            <w:pPr>
              <w:bidi w:val="0"/>
              <w:spacing w:after="0" w:line="240" w:lineRule="auto"/>
              <w:rPr>
                <w:rFonts w:ascii="Times New Roman" w:hAnsi="Times New Roman"/>
                <w:sz w:val="24"/>
                <w:szCs w:val="24"/>
                <w:lang w:val="sk-SK"/>
              </w:rPr>
            </w:pPr>
            <w:r w:rsidRPr="00C95E6F">
              <w:rPr>
                <w:rFonts w:ascii="Times New Roman" w:hAnsi="Times New Roman"/>
                <w:sz w:val="24"/>
                <w:szCs w:val="24"/>
                <w:lang w:val="sk-SK"/>
              </w:rPr>
              <w:t>Bez vplyvu.</w:t>
            </w:r>
          </w:p>
        </w:tc>
      </w:tr>
    </w:tbl>
    <w:p w:rsidR="006752D4" w:rsidRPr="00C95E6F">
      <w:pPr>
        <w:bidi w:val="0"/>
        <w:rPr>
          <w:lang w:val="sk-SK"/>
        </w:rPr>
      </w:pPr>
    </w:p>
    <w:p w:rsidR="00DD22F7" w:rsidP="00E13160">
      <w:pPr>
        <w:bidi w:val="0"/>
        <w:spacing w:after="0" w:line="240" w:lineRule="auto"/>
        <w:rPr>
          <w:rFonts w:ascii="Times New Roman" w:hAnsi="Times New Roman"/>
          <w:b/>
          <w:sz w:val="24"/>
          <w:szCs w:val="24"/>
          <w:lang w:val="sk-SK"/>
        </w:rPr>
      </w:pPr>
    </w:p>
    <w:p w:rsidR="00DD22F7" w:rsidP="00E13160">
      <w:pPr>
        <w:bidi w:val="0"/>
        <w:spacing w:after="0" w:line="240" w:lineRule="auto"/>
        <w:rPr>
          <w:rFonts w:ascii="Times New Roman" w:hAnsi="Times New Roman"/>
          <w:b/>
          <w:sz w:val="24"/>
          <w:szCs w:val="24"/>
          <w:lang w:val="sk-SK"/>
        </w:rPr>
      </w:pPr>
    </w:p>
    <w:p w:rsidR="00DD22F7" w:rsidP="00E13160">
      <w:pPr>
        <w:bidi w:val="0"/>
        <w:spacing w:after="0" w:line="240" w:lineRule="auto"/>
        <w:rPr>
          <w:rFonts w:ascii="Times New Roman" w:hAnsi="Times New Roman"/>
          <w:b/>
          <w:sz w:val="24"/>
          <w:szCs w:val="24"/>
          <w:lang w:val="sk-SK"/>
        </w:rPr>
      </w:pPr>
    </w:p>
    <w:p w:rsidR="00DD22F7" w:rsidP="00E13160">
      <w:pPr>
        <w:bidi w:val="0"/>
        <w:spacing w:after="0" w:line="240" w:lineRule="auto"/>
        <w:rPr>
          <w:rFonts w:ascii="Times New Roman" w:hAnsi="Times New Roman"/>
          <w:b/>
          <w:sz w:val="24"/>
          <w:szCs w:val="24"/>
          <w:lang w:val="sk-SK"/>
        </w:rPr>
      </w:pPr>
    </w:p>
    <w:p w:rsidR="00DD22F7" w:rsidP="00E13160">
      <w:pPr>
        <w:bidi w:val="0"/>
        <w:spacing w:after="0" w:line="240" w:lineRule="auto"/>
        <w:rPr>
          <w:rFonts w:ascii="Times New Roman" w:hAnsi="Times New Roman"/>
          <w:b/>
          <w:sz w:val="24"/>
          <w:szCs w:val="24"/>
          <w:lang w:val="sk-SK"/>
        </w:rPr>
      </w:pPr>
    </w:p>
    <w:p w:rsidR="00DD22F7" w:rsidP="00E13160">
      <w:pPr>
        <w:bidi w:val="0"/>
        <w:spacing w:after="0" w:line="240" w:lineRule="auto"/>
        <w:rPr>
          <w:rFonts w:ascii="Times New Roman" w:hAnsi="Times New Roman"/>
          <w:b/>
          <w:sz w:val="24"/>
          <w:szCs w:val="24"/>
          <w:lang w:val="sk-SK"/>
        </w:rPr>
      </w:pPr>
    </w:p>
    <w:p w:rsidR="00DD22F7" w:rsidP="00E13160">
      <w:pPr>
        <w:bidi w:val="0"/>
        <w:spacing w:after="0" w:line="240" w:lineRule="auto"/>
        <w:rPr>
          <w:rFonts w:ascii="Times New Roman" w:hAnsi="Times New Roman"/>
          <w:b/>
          <w:sz w:val="24"/>
          <w:szCs w:val="24"/>
          <w:lang w:val="sk-SK"/>
        </w:rPr>
      </w:pPr>
    </w:p>
    <w:p w:rsidR="00DD22F7" w:rsidP="00E13160">
      <w:pPr>
        <w:bidi w:val="0"/>
        <w:spacing w:after="0" w:line="240" w:lineRule="auto"/>
        <w:rPr>
          <w:rFonts w:ascii="Times New Roman" w:hAnsi="Times New Roman"/>
          <w:b/>
          <w:sz w:val="24"/>
          <w:szCs w:val="24"/>
          <w:lang w:val="sk-SK"/>
        </w:rPr>
      </w:pPr>
    </w:p>
    <w:p w:rsidR="00DD22F7" w:rsidP="00E13160">
      <w:pPr>
        <w:bidi w:val="0"/>
        <w:spacing w:after="0" w:line="240" w:lineRule="auto"/>
        <w:rPr>
          <w:rFonts w:ascii="Times New Roman" w:hAnsi="Times New Roman"/>
          <w:b/>
          <w:sz w:val="24"/>
          <w:szCs w:val="24"/>
          <w:lang w:val="sk-SK"/>
        </w:rPr>
      </w:pPr>
    </w:p>
    <w:p w:rsidR="00DD22F7" w:rsidP="00E13160">
      <w:pPr>
        <w:bidi w:val="0"/>
        <w:spacing w:after="0" w:line="240" w:lineRule="auto"/>
        <w:rPr>
          <w:rFonts w:ascii="Times New Roman" w:hAnsi="Times New Roman"/>
          <w:b/>
          <w:sz w:val="24"/>
          <w:szCs w:val="24"/>
          <w:lang w:val="sk-SK"/>
        </w:rPr>
      </w:pPr>
    </w:p>
    <w:p w:rsidR="00DD22F7" w:rsidP="00E13160">
      <w:pPr>
        <w:bidi w:val="0"/>
        <w:spacing w:after="0" w:line="240" w:lineRule="auto"/>
        <w:rPr>
          <w:rFonts w:ascii="Times New Roman" w:hAnsi="Times New Roman"/>
          <w:b/>
          <w:sz w:val="24"/>
          <w:szCs w:val="24"/>
          <w:lang w:val="sk-SK"/>
        </w:rPr>
      </w:pPr>
    </w:p>
    <w:p w:rsidR="00DD22F7" w:rsidP="00E13160">
      <w:pPr>
        <w:bidi w:val="0"/>
        <w:spacing w:after="0" w:line="240" w:lineRule="auto"/>
        <w:rPr>
          <w:rFonts w:ascii="Times New Roman" w:hAnsi="Times New Roman"/>
          <w:b/>
          <w:sz w:val="24"/>
          <w:szCs w:val="24"/>
          <w:lang w:val="sk-SK"/>
        </w:rPr>
      </w:pPr>
    </w:p>
    <w:p w:rsidR="00DD22F7" w:rsidP="00E13160">
      <w:pPr>
        <w:bidi w:val="0"/>
        <w:spacing w:after="0" w:line="240" w:lineRule="auto"/>
        <w:rPr>
          <w:rFonts w:ascii="Times New Roman" w:hAnsi="Times New Roman"/>
          <w:b/>
          <w:sz w:val="24"/>
          <w:szCs w:val="24"/>
          <w:lang w:val="sk-SK"/>
        </w:rPr>
      </w:pPr>
    </w:p>
    <w:p w:rsidR="00DD22F7" w:rsidP="00E13160">
      <w:pPr>
        <w:bidi w:val="0"/>
        <w:spacing w:after="0" w:line="240" w:lineRule="auto"/>
        <w:rPr>
          <w:rFonts w:ascii="Times New Roman" w:hAnsi="Times New Roman"/>
          <w:b/>
          <w:sz w:val="24"/>
          <w:szCs w:val="24"/>
          <w:lang w:val="sk-SK"/>
        </w:rPr>
      </w:pPr>
    </w:p>
    <w:p w:rsidR="00DD22F7" w:rsidP="00E13160">
      <w:pPr>
        <w:bidi w:val="0"/>
        <w:spacing w:after="0" w:line="240" w:lineRule="auto"/>
        <w:rPr>
          <w:rFonts w:ascii="Times New Roman" w:hAnsi="Times New Roman"/>
          <w:b/>
          <w:sz w:val="24"/>
          <w:szCs w:val="24"/>
          <w:lang w:val="sk-SK"/>
        </w:rPr>
      </w:pPr>
    </w:p>
    <w:p w:rsidR="00DD22F7" w:rsidP="00E13160">
      <w:pPr>
        <w:bidi w:val="0"/>
        <w:spacing w:after="0" w:line="240" w:lineRule="auto"/>
        <w:rPr>
          <w:rFonts w:ascii="Times New Roman" w:hAnsi="Times New Roman"/>
          <w:b/>
          <w:sz w:val="24"/>
          <w:szCs w:val="24"/>
          <w:lang w:val="sk-SK"/>
        </w:rPr>
      </w:pPr>
    </w:p>
    <w:p w:rsidR="00DD22F7" w:rsidP="00E13160">
      <w:pPr>
        <w:bidi w:val="0"/>
        <w:spacing w:after="0" w:line="240" w:lineRule="auto"/>
        <w:rPr>
          <w:rFonts w:ascii="Times New Roman" w:hAnsi="Times New Roman"/>
          <w:b/>
          <w:sz w:val="24"/>
          <w:szCs w:val="24"/>
          <w:lang w:val="sk-SK"/>
        </w:rPr>
      </w:pPr>
    </w:p>
    <w:p w:rsidR="00DD22F7" w:rsidP="00E13160">
      <w:pPr>
        <w:bidi w:val="0"/>
        <w:spacing w:after="0" w:line="240" w:lineRule="auto"/>
        <w:rPr>
          <w:rFonts w:ascii="Times New Roman" w:hAnsi="Times New Roman"/>
          <w:b/>
          <w:sz w:val="24"/>
          <w:szCs w:val="24"/>
          <w:lang w:val="sk-SK"/>
        </w:rPr>
      </w:pPr>
    </w:p>
    <w:p w:rsidR="00DD22F7" w:rsidP="00E13160">
      <w:pPr>
        <w:bidi w:val="0"/>
        <w:spacing w:after="0" w:line="240" w:lineRule="auto"/>
        <w:rPr>
          <w:rFonts w:ascii="Times New Roman" w:hAnsi="Times New Roman"/>
          <w:b/>
          <w:sz w:val="24"/>
          <w:szCs w:val="24"/>
          <w:lang w:val="sk-SK"/>
        </w:rPr>
      </w:pPr>
    </w:p>
    <w:p w:rsidR="00DD22F7" w:rsidP="00E13160">
      <w:pPr>
        <w:bidi w:val="0"/>
        <w:spacing w:after="0" w:line="240" w:lineRule="auto"/>
        <w:rPr>
          <w:rFonts w:ascii="Times New Roman" w:hAnsi="Times New Roman"/>
          <w:b/>
          <w:sz w:val="24"/>
          <w:szCs w:val="24"/>
          <w:lang w:val="sk-SK"/>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66"/>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hideMark/>
          </w:tcPr>
          <w:p w:rsidR="008F7DF1" w:rsidRPr="00C95E6F" w:rsidP="00413E9A">
            <w:pPr>
              <w:bidi w:val="0"/>
              <w:jc w:val="center"/>
              <w:rPr>
                <w:rFonts w:ascii="Times New Roman" w:hAnsi="Times New Roman"/>
                <w:sz w:val="24"/>
                <w:szCs w:val="24"/>
                <w:lang w:val="sk-SK"/>
              </w:rPr>
            </w:pPr>
            <w:r w:rsidRPr="00C95E6F">
              <w:rPr>
                <w:rFonts w:ascii="Times New Roman" w:hAnsi="Times New Roman"/>
                <w:b/>
                <w:sz w:val="24"/>
                <w:szCs w:val="24"/>
                <w:lang w:val="sk-SK"/>
              </w:rPr>
              <w:t>Analýza vplyvov na životné prostredie</w:t>
            </w:r>
          </w:p>
        </w:tc>
      </w:tr>
      <w:tr>
        <w:tblPrEx>
          <w:tblW w:w="0" w:type="auto"/>
          <w:tblLook w:val="04A0"/>
        </w:tblPrEx>
        <w:trPr>
          <w:trHeight w:val="688"/>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hideMark/>
          </w:tcPr>
          <w:p w:rsidR="008F7DF1" w:rsidRPr="00C95E6F" w:rsidP="007B71A4">
            <w:pPr>
              <w:bidi w:val="0"/>
              <w:rPr>
                <w:rFonts w:ascii="Times New Roman" w:hAnsi="Times New Roman"/>
                <w:i/>
                <w:sz w:val="24"/>
                <w:szCs w:val="24"/>
                <w:lang w:val="sk-SK"/>
              </w:rPr>
            </w:pPr>
            <w:r w:rsidRPr="00C95E6F">
              <w:rPr>
                <w:rFonts w:ascii="Times New Roman" w:hAnsi="Times New Roman"/>
                <w:b/>
                <w:sz w:val="24"/>
                <w:szCs w:val="24"/>
                <w:lang w:val="sk-SK"/>
              </w:rPr>
              <w:t>5.1 Ktoré zložky životného prostredia (najmä ovzdušie, voda, horniny, pôda, organizmy) budú predkladaným materiálom ovplyvnené a aký bude ich vplyv ?</w:t>
            </w:r>
          </w:p>
        </w:tc>
      </w:tr>
      <w:tr>
        <w:tblPrEx>
          <w:tblW w:w="0" w:type="auto"/>
          <w:tblLook w:val="04A0"/>
        </w:tblPrEx>
        <w:trPr>
          <w:trHeight w:val="995"/>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7F6B74" w:rsidRPr="007F6B74" w:rsidP="00CE5F29">
            <w:pPr>
              <w:bidi w:val="0"/>
              <w:spacing w:line="240" w:lineRule="auto"/>
              <w:jc w:val="both"/>
              <w:rPr>
                <w:rFonts w:ascii="Times New Roman" w:hAnsi="Times New Roman"/>
                <w:sz w:val="24"/>
                <w:szCs w:val="24"/>
                <w:lang w:val="sk-SK"/>
              </w:rPr>
            </w:pPr>
            <w:r w:rsidRPr="007F6B74">
              <w:rPr>
                <w:rFonts w:ascii="Times New Roman" w:hAnsi="Times New Roman"/>
                <w:sz w:val="24"/>
                <w:szCs w:val="24"/>
                <w:lang w:val="sk-SK"/>
              </w:rPr>
              <w:t>Pozitívny vplyv na ovzdušie (redukcia škodlivých emisií) v  dôsledku zavedenia zníženia registračného poplatku pre vozidlá s alternatívnym pohonom (hybridy, CNG, LNG a vodík) o 50%. Pozitívny environmentálny vplyv nie je možné presne odhadnúť z dôvodu rôznych typov vozidiel spadajúcich do kategórie vozidiel s alternatívnym pohonom (odlišná miera redukcie emisií jednotlivých vozidiel). Návrhom sa cieli predovšetkým dlhodobý motivačný faktor pri kúpe environmentálne menej škodlivých vozidiel s menšou produkciou skleníkových plynov a iných škodlivých látok. Súčasne sa tým podporuje rozvoj trhu s vozidlami s alternatívnym pohonom v súlade so zámermi pripravovaného Národného politického rámca pre rozvoj trhu s alternatívnymi palivami, ktorým sa preberá smernica Európskeho parlamentu a Rady 2014/94/EÚ z 22. októbra 2014 o zavádzaní infraštruktúry pre alternatívne palivá. Návrh zachováva zvýhodnenie pre vozidlá, ktorých jediným zdrojom energie je elektrina v základnej výške poplatku 33 EUR.</w:t>
            </w:r>
          </w:p>
        </w:tc>
      </w:tr>
      <w:tr>
        <w:tblPrEx>
          <w:tblW w:w="0" w:type="auto"/>
          <w:tblLook w:val="04A0"/>
        </w:tblPrEx>
        <w:trPr>
          <w:trHeight w:val="404"/>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hideMark/>
          </w:tcPr>
          <w:p w:rsidR="007F6B74" w:rsidRPr="00C95E6F" w:rsidP="007F6B74">
            <w:pPr>
              <w:bidi w:val="0"/>
              <w:rPr>
                <w:rFonts w:ascii="Times New Roman" w:hAnsi="Times New Roman"/>
                <w:b/>
                <w:sz w:val="24"/>
                <w:szCs w:val="24"/>
                <w:lang w:val="sk-SK"/>
              </w:rPr>
            </w:pPr>
            <w:r w:rsidRPr="00C95E6F">
              <w:rPr>
                <w:rFonts w:ascii="Times New Roman" w:hAnsi="Times New Roman"/>
                <w:b/>
                <w:sz w:val="24"/>
                <w:szCs w:val="24"/>
                <w:lang w:val="sk-SK"/>
              </w:rPr>
              <w:t xml:space="preserve">5.2 Bude mať predkladaný materiál vplyv na chránené územia a ak áno, aký? </w:t>
            </w:r>
          </w:p>
        </w:tc>
      </w:tr>
      <w:tr>
        <w:tblPrEx>
          <w:tblW w:w="0" w:type="auto"/>
          <w:tblLook w:val="04A0"/>
        </w:tblPrEx>
        <w:trPr>
          <w:trHeight w:val="98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7F6B74" w:rsidRPr="00C95E6F" w:rsidP="007F6B74">
            <w:pPr>
              <w:bidi w:val="0"/>
              <w:jc w:val="both"/>
              <w:rPr>
                <w:rFonts w:ascii="Times New Roman" w:hAnsi="Times New Roman"/>
                <w:sz w:val="24"/>
                <w:szCs w:val="24"/>
                <w:lang w:val="sk-SK"/>
              </w:rPr>
            </w:pPr>
            <w:r w:rsidRPr="00C95E6F">
              <w:rPr>
                <w:rFonts w:ascii="Times New Roman" w:hAnsi="Times New Roman"/>
                <w:sz w:val="24"/>
                <w:szCs w:val="24"/>
                <w:lang w:val="sk-SK"/>
              </w:rPr>
              <w:t>Žiadne.</w:t>
            </w:r>
          </w:p>
        </w:tc>
      </w:tr>
      <w:tr>
        <w:tblPrEx>
          <w:tblW w:w="0" w:type="auto"/>
          <w:tblLook w:val="04A0"/>
        </w:tblPrEx>
        <w:trPr>
          <w:trHeight w:val="698"/>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7F6B74" w:rsidRPr="00C95E6F" w:rsidP="007F6B74">
            <w:pPr>
              <w:bidi w:val="0"/>
              <w:rPr>
                <w:rFonts w:ascii="Times New Roman" w:hAnsi="Times New Roman"/>
                <w:b/>
                <w:sz w:val="24"/>
                <w:szCs w:val="24"/>
                <w:lang w:val="sk-SK"/>
              </w:rPr>
            </w:pPr>
            <w:r w:rsidRPr="00C95E6F">
              <w:rPr>
                <w:rFonts w:ascii="Times New Roman" w:hAnsi="Times New Roman"/>
                <w:b/>
                <w:sz w:val="24"/>
                <w:szCs w:val="24"/>
                <w:lang w:val="sk-SK"/>
              </w:rPr>
              <w:t>5.3 Bude mať predkladaný materiál vplyvy na životné prostredie presahujúce štátne hranice? (ktoré zložky a ako budú najviac ovplyvnené)?</w:t>
            </w:r>
          </w:p>
        </w:tc>
      </w:tr>
      <w:tr>
        <w:tblPrEx>
          <w:tblW w:w="0" w:type="auto"/>
          <w:tblLook w:val="04A0"/>
        </w:tblPrEx>
        <w:trPr>
          <w:trHeight w:val="969"/>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7F6B74" w:rsidRPr="00C95E6F" w:rsidP="007F6B74">
            <w:pPr>
              <w:bidi w:val="0"/>
              <w:jc w:val="both"/>
              <w:rPr>
                <w:rFonts w:ascii="Times New Roman" w:hAnsi="Times New Roman"/>
                <w:b/>
                <w:sz w:val="24"/>
                <w:szCs w:val="24"/>
                <w:lang w:val="sk-SK"/>
              </w:rPr>
            </w:pPr>
            <w:r w:rsidRPr="00C95E6F">
              <w:rPr>
                <w:rFonts w:ascii="Times New Roman" w:hAnsi="Times New Roman"/>
                <w:sz w:val="24"/>
                <w:szCs w:val="24"/>
                <w:lang w:val="sk-SK"/>
              </w:rPr>
              <w:t>Žiadny.</w:t>
            </w:r>
          </w:p>
        </w:tc>
      </w:tr>
      <w:tr>
        <w:tblPrEx>
          <w:tblW w:w="0" w:type="auto"/>
          <w:tblLook w:val="04A0"/>
        </w:tblPrEx>
        <w:trPr>
          <w:trHeight w:val="713"/>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7F6B74" w:rsidRPr="00C95E6F" w:rsidP="007F6B74">
            <w:pPr>
              <w:bidi w:val="0"/>
              <w:rPr>
                <w:rFonts w:ascii="Times New Roman" w:hAnsi="Times New Roman"/>
                <w:b/>
                <w:sz w:val="24"/>
                <w:szCs w:val="24"/>
                <w:lang w:val="sk-SK"/>
              </w:rPr>
            </w:pPr>
            <w:r w:rsidRPr="00C95E6F">
              <w:rPr>
                <w:rFonts w:ascii="Times New Roman" w:hAnsi="Times New Roman"/>
                <w:b/>
                <w:sz w:val="24"/>
                <w:szCs w:val="24"/>
                <w:lang w:val="sk-SK"/>
              </w:rPr>
              <w:t>5.4 Aké opatrenia budú prijaté na zmiernenie negatívneho vplyvu na životné prostredie?</w:t>
            </w:r>
          </w:p>
        </w:tc>
      </w:tr>
      <w:tr>
        <w:tblPrEx>
          <w:tblW w:w="0" w:type="auto"/>
          <w:tblLook w:val="04A0"/>
        </w:tblPrEx>
        <w:trPr>
          <w:trHeight w:val="979"/>
        </w:trPr>
        <w:tc>
          <w:tcPr>
            <w:tcW w:w="9212"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7F6B74" w:rsidRPr="00C95E6F" w:rsidP="007F6B74">
            <w:pPr>
              <w:bidi w:val="0"/>
              <w:jc w:val="both"/>
              <w:rPr>
                <w:rFonts w:ascii="Times New Roman" w:hAnsi="Times New Roman"/>
                <w:b/>
                <w:sz w:val="24"/>
                <w:szCs w:val="24"/>
                <w:lang w:val="sk-SK"/>
              </w:rPr>
            </w:pPr>
            <w:r w:rsidRPr="00C95E6F">
              <w:rPr>
                <w:rFonts w:ascii="Times New Roman" w:hAnsi="Times New Roman"/>
                <w:sz w:val="24"/>
                <w:szCs w:val="24"/>
                <w:lang w:val="sk-SK"/>
              </w:rPr>
              <w:t>Žiadne.</w:t>
            </w:r>
          </w:p>
        </w:tc>
      </w:tr>
    </w:tbl>
    <w:p w:rsidR="008F7DF1" w:rsidRPr="002E32C0" w:rsidP="00374EDB">
      <w:pPr>
        <w:bidi w:val="0"/>
        <w:jc w:val="center"/>
        <w:rPr>
          <w:b/>
          <w:bCs/>
          <w:sz w:val="28"/>
          <w:szCs w:val="28"/>
        </w:rPr>
      </w:pPr>
    </w:p>
    <w:p w:rsidR="008F7DF1">
      <w:pPr>
        <w:bidi w:val="0"/>
        <w:sectPr w:rsidSect="0040784B">
          <w:headerReference w:type="default" r:id="rId23"/>
          <w:headerReference w:type="first" r:id="rId24"/>
          <w:pgSz w:w="11906" w:h="16838"/>
          <w:pgMar w:top="720" w:right="720" w:bottom="720" w:left="720" w:header="709" w:footer="709" w:gutter="0"/>
          <w:lnNumType w:distance="0"/>
          <w:cols w:space="708"/>
          <w:noEndnote w:val="0"/>
          <w:titlePg/>
          <w:bidi w:val="0"/>
          <w:docGrid w:linePitch="360"/>
        </w:sectPr>
      </w:pPr>
    </w:p>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
      <w:tblGrid>
        <w:gridCol w:w="3956"/>
        <w:gridCol w:w="1162"/>
        <w:gridCol w:w="1560"/>
        <w:gridCol w:w="708"/>
        <w:gridCol w:w="993"/>
        <w:gridCol w:w="992"/>
      </w:tblGrid>
      <w:tr>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Ex>
        <w:trPr>
          <w:trHeight w:val="20"/>
        </w:trPr>
        <w:tc>
          <w:tcPr>
            <w:tcW w:w="9371" w:type="dxa"/>
            <w:gridSpan w:val="6"/>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8F7DF1" w:rsidRPr="00C95E6F" w:rsidP="007B71A4">
            <w:pPr>
              <w:bidi w:val="0"/>
              <w:jc w:val="center"/>
              <w:rPr>
                <w:rFonts w:ascii="Times New Roman" w:hAnsi="Times New Roman"/>
                <w:b/>
                <w:bCs/>
                <w:sz w:val="24"/>
                <w:szCs w:val="24"/>
                <w:lang w:val="sk-SK"/>
              </w:rPr>
            </w:pPr>
            <w:r w:rsidRPr="00C95E6F">
              <w:rPr>
                <w:rFonts w:ascii="Times New Roman" w:hAnsi="Times New Roman"/>
                <w:b/>
                <w:bCs/>
                <w:sz w:val="24"/>
                <w:szCs w:val="24"/>
                <w:lang w:val="sk-SK"/>
              </w:rPr>
              <w:t>Analýza vplyvov na informatizáciu spoločnosti</w:t>
            </w:r>
          </w:p>
          <w:p w:rsidR="008F7DF1" w:rsidRPr="00C95E6F" w:rsidP="007B71A4">
            <w:pPr>
              <w:bidi w:val="0"/>
              <w:jc w:val="center"/>
              <w:rPr>
                <w:rFonts w:ascii="Times New Roman" w:hAnsi="Times New Roman"/>
                <w:b/>
                <w:i/>
                <w:iCs/>
                <w:sz w:val="24"/>
                <w:szCs w:val="24"/>
                <w:lang w:val="sk-SK"/>
              </w:rPr>
            </w:pPr>
            <w:r w:rsidRPr="00C95E6F">
              <w:rPr>
                <w:rFonts w:ascii="Times New Roman" w:hAnsi="Times New Roman"/>
                <w:b/>
                <w:sz w:val="24"/>
                <w:szCs w:val="24"/>
                <w:lang w:val="sk-SK"/>
              </w:rPr>
              <w:t>Budovanie základných pilierov informatizácie</w:t>
            </w:r>
          </w:p>
        </w:tc>
      </w:tr>
      <w:tr>
        <w:tblPrEx>
          <w:tblW w:w="9371" w:type="dxa"/>
          <w:tblInd w:w="55" w:type="dxa"/>
          <w:tblLayout w:type="fixed"/>
          <w:tblCellMar>
            <w:top w:w="28" w:type="dxa"/>
            <w:left w:w="70" w:type="dxa"/>
            <w:bottom w:w="28" w:type="dxa"/>
            <w:right w:w="70" w:type="dxa"/>
          </w:tblCellMar>
        </w:tblPrEx>
        <w:trPr>
          <w:trHeight w:val="681"/>
        </w:trPr>
        <w:tc>
          <w:tcPr>
            <w:tcW w:w="395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8F7DF1" w:rsidRPr="00C95E6F" w:rsidP="007B71A4">
            <w:pPr>
              <w:bidi w:val="0"/>
              <w:jc w:val="center"/>
              <w:rPr>
                <w:rFonts w:ascii="Times New Roman" w:hAnsi="Times New Roman"/>
                <w:b/>
                <w:sz w:val="24"/>
                <w:szCs w:val="24"/>
                <w:lang w:val="sk-SK"/>
              </w:rPr>
            </w:pPr>
            <w:r w:rsidRPr="00C95E6F">
              <w:rPr>
                <w:rFonts w:ascii="Times New Roman" w:hAnsi="Times New Roman"/>
                <w:b/>
                <w:sz w:val="24"/>
                <w:szCs w:val="24"/>
                <w:lang w:val="sk-SK"/>
              </w:rPr>
              <w:t>Obsah</w:t>
            </w:r>
          </w:p>
        </w:tc>
        <w:tc>
          <w:tcPr>
            <w:tcW w:w="116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8F7DF1" w:rsidRPr="00C95E6F" w:rsidP="007B71A4">
            <w:pPr>
              <w:bidi w:val="0"/>
              <w:jc w:val="center"/>
              <w:rPr>
                <w:rFonts w:ascii="Times New Roman" w:hAnsi="Times New Roman"/>
                <w:b/>
                <w:sz w:val="24"/>
                <w:szCs w:val="24"/>
                <w:lang w:val="sk-SK"/>
              </w:rPr>
            </w:pPr>
            <w:r w:rsidRPr="00C95E6F">
              <w:rPr>
                <w:rFonts w:ascii="Times New Roman" w:hAnsi="Times New Roman"/>
                <w:b/>
                <w:sz w:val="24"/>
                <w:szCs w:val="24"/>
                <w:lang w:val="sk-SK"/>
              </w:rPr>
              <w:t>A – nová služba</w:t>
            </w:r>
          </w:p>
          <w:p w:rsidR="008F7DF1" w:rsidRPr="00C95E6F" w:rsidP="007B71A4">
            <w:pPr>
              <w:bidi w:val="0"/>
              <w:jc w:val="center"/>
              <w:rPr>
                <w:rFonts w:ascii="Times New Roman" w:hAnsi="Times New Roman"/>
                <w:i/>
                <w:iCs/>
                <w:sz w:val="24"/>
                <w:szCs w:val="24"/>
                <w:lang w:val="sk-SK"/>
              </w:rPr>
            </w:pPr>
            <w:r w:rsidRPr="00C95E6F">
              <w:rPr>
                <w:rFonts w:ascii="Times New Roman" w:hAnsi="Times New Roman"/>
                <w:b/>
                <w:sz w:val="24"/>
                <w:szCs w:val="24"/>
                <w:lang w:val="sk-SK"/>
              </w:rPr>
              <w:t>B – zmena služby</w:t>
            </w:r>
          </w:p>
        </w:tc>
        <w:tc>
          <w:tcPr>
            <w:tcW w:w="156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8F7DF1" w:rsidRPr="00C95E6F" w:rsidP="007B71A4">
            <w:pPr>
              <w:bidi w:val="0"/>
              <w:jc w:val="center"/>
              <w:rPr>
                <w:rFonts w:ascii="Times New Roman" w:hAnsi="Times New Roman"/>
                <w:i/>
                <w:iCs/>
                <w:sz w:val="24"/>
                <w:szCs w:val="24"/>
                <w:lang w:val="sk-SK"/>
              </w:rPr>
            </w:pPr>
          </w:p>
          <w:p w:rsidR="008F7DF1" w:rsidRPr="00C95E6F" w:rsidP="007B71A4">
            <w:pPr>
              <w:bidi w:val="0"/>
              <w:jc w:val="center"/>
              <w:rPr>
                <w:rFonts w:ascii="Times New Roman" w:hAnsi="Times New Roman"/>
                <w:sz w:val="24"/>
                <w:szCs w:val="24"/>
                <w:lang w:val="sk-SK"/>
              </w:rPr>
            </w:pPr>
            <w:r w:rsidRPr="00C95E6F">
              <w:rPr>
                <w:rFonts w:ascii="Times New Roman" w:hAnsi="Times New Roman"/>
                <w:b/>
                <w:sz w:val="24"/>
                <w:szCs w:val="24"/>
                <w:lang w:val="sk-SK"/>
              </w:rPr>
              <w:t>Kód služby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8F7DF1" w:rsidRPr="00C95E6F" w:rsidP="007B71A4">
            <w:pPr>
              <w:bidi w:val="0"/>
              <w:jc w:val="center"/>
              <w:rPr>
                <w:rFonts w:ascii="Times New Roman" w:hAnsi="Times New Roman"/>
                <w:b/>
                <w:sz w:val="24"/>
                <w:szCs w:val="24"/>
                <w:lang w:val="sk-SK"/>
              </w:rPr>
            </w:pPr>
          </w:p>
          <w:p w:rsidR="008F7DF1" w:rsidRPr="00C95E6F" w:rsidP="007B71A4">
            <w:pPr>
              <w:bidi w:val="0"/>
              <w:jc w:val="center"/>
              <w:rPr>
                <w:rFonts w:ascii="Times New Roman" w:hAnsi="Times New Roman"/>
                <w:i/>
                <w:iCs/>
                <w:sz w:val="24"/>
                <w:szCs w:val="24"/>
                <w:lang w:val="sk-SK"/>
              </w:rPr>
            </w:pPr>
            <w:r w:rsidRPr="00C95E6F">
              <w:rPr>
                <w:rFonts w:ascii="Times New Roman" w:hAnsi="Times New Roman"/>
                <w:b/>
                <w:sz w:val="24"/>
                <w:szCs w:val="24"/>
                <w:lang w:val="sk-SK"/>
              </w:rPr>
              <w:t>Názov služby</w:t>
            </w:r>
          </w:p>
        </w:tc>
        <w:tc>
          <w:tcPr>
            <w:tcW w:w="99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8F7DF1" w:rsidRPr="00C95E6F" w:rsidP="007B71A4">
            <w:pPr>
              <w:bidi w:val="0"/>
              <w:jc w:val="center"/>
              <w:rPr>
                <w:rFonts w:ascii="Times New Roman" w:hAnsi="Times New Roman"/>
                <w:b/>
                <w:sz w:val="24"/>
                <w:szCs w:val="24"/>
                <w:lang w:val="sk-SK"/>
              </w:rPr>
            </w:pPr>
            <w:r w:rsidRPr="00C95E6F">
              <w:rPr>
                <w:rFonts w:ascii="Times New Roman" w:hAnsi="Times New Roman"/>
                <w:b/>
                <w:sz w:val="24"/>
                <w:szCs w:val="24"/>
                <w:lang w:val="sk-SK"/>
              </w:rPr>
              <w:t>Úroveň elektronizácie služby</w:t>
            </w:r>
          </w:p>
          <w:p w:rsidR="008F7DF1" w:rsidRPr="00C95E6F" w:rsidP="007B71A4">
            <w:pPr>
              <w:bidi w:val="0"/>
              <w:jc w:val="center"/>
              <w:rPr>
                <w:rFonts w:ascii="Times New Roman" w:hAnsi="Times New Roman"/>
                <w:i/>
                <w:iCs/>
                <w:sz w:val="24"/>
                <w:szCs w:val="24"/>
                <w:lang w:val="sk-SK"/>
              </w:rPr>
            </w:pPr>
            <w:r w:rsidRPr="00C95E6F">
              <w:rPr>
                <w:rFonts w:ascii="Times New Roman" w:hAnsi="Times New Roman"/>
                <w:b/>
                <w:sz w:val="24"/>
                <w:szCs w:val="24"/>
                <w:lang w:val="sk-SK"/>
              </w:rPr>
              <w:t>(0 až 5)</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7B71A4">
            <w:pPr>
              <w:bidi w:val="0"/>
              <w:jc w:val="both"/>
              <w:rPr>
                <w:rFonts w:ascii="Times New Roman" w:hAnsi="Times New Roman"/>
                <w:sz w:val="24"/>
                <w:szCs w:val="24"/>
                <w:lang w:val="sk-SK"/>
              </w:rPr>
            </w:pPr>
            <w:r w:rsidRPr="00C95E6F">
              <w:rPr>
                <w:rFonts w:ascii="Times New Roman" w:hAnsi="Times New Roman"/>
                <w:b/>
                <w:sz w:val="24"/>
                <w:szCs w:val="24"/>
                <w:lang w:val="sk-SK"/>
              </w:rPr>
              <w:t>6.1.</w:t>
            </w:r>
            <w:r w:rsidRPr="00C95E6F">
              <w:rPr>
                <w:rFonts w:ascii="Times New Roman" w:hAnsi="Times New Roman"/>
                <w:sz w:val="24"/>
                <w:szCs w:val="24"/>
                <w:lang w:val="sk-SK"/>
              </w:rPr>
              <w:t xml:space="preserve"> Predpokladá predložený návrh zmenu existujúcich elektronických služieb verejnej správy alebo vytvorenie nových služieb?</w:t>
            </w:r>
          </w:p>
          <w:p w:rsidR="008F7DF1" w:rsidRPr="00C95E6F" w:rsidP="007B71A4">
            <w:pPr>
              <w:bidi w:val="0"/>
              <w:spacing w:line="20" w:lineRule="atLeast"/>
              <w:jc w:val="both"/>
              <w:rPr>
                <w:rFonts w:ascii="Times New Roman" w:hAnsi="Times New Roman"/>
                <w:b/>
                <w:sz w:val="24"/>
                <w:szCs w:val="24"/>
                <w:lang w:val="sk-SK"/>
              </w:rPr>
            </w:pPr>
            <w:r w:rsidRPr="00C95E6F">
              <w:rPr>
                <w:rFonts w:ascii="Times New Roman" w:hAnsi="Times New Roman"/>
                <w:i/>
                <w:iCs/>
                <w:sz w:val="24"/>
                <w:szCs w:val="24"/>
                <w:lang w:val="sk-SK"/>
              </w:rPr>
              <w:t>(Ak áno, uveďte zmenu služby alebo vytvorenie novej služby, ďalej  jej kód, názov a úroveň elektronizácie podľa katalógu eGovernment služieb, ktorý je vedený v centrálnom metainformačnom systéme verejnej správy.)</w:t>
            </w:r>
            <w:r w:rsidRPr="00C95E6F">
              <w:rPr>
                <w:rFonts w:ascii="Times New Roman" w:hAnsi="Times New Roman"/>
                <w:sz w:val="24"/>
                <w:szCs w:val="24"/>
                <w:lang w:val="sk-SK"/>
              </w:rPr>
              <w:t xml:space="preserve"> </w:t>
            </w: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B4BE4">
            <w:pPr>
              <w:bidi w:val="0"/>
              <w:jc w:val="center"/>
              <w:rPr>
                <w:rFonts w:ascii="Times New Roman" w:hAnsi="Times New Roman"/>
                <w:b/>
                <w:sz w:val="24"/>
                <w:szCs w:val="24"/>
                <w:lang w:val="sk-SK"/>
              </w:rPr>
            </w:pPr>
            <w:r w:rsidRPr="00C95E6F">
              <w:rPr>
                <w:rFonts w:ascii="Times New Roman" w:hAnsi="Times New Roman"/>
                <w:b/>
                <w:sz w:val="24"/>
                <w:szCs w:val="24"/>
                <w:lang w:val="sk-SK"/>
              </w:rPr>
              <w:t>B</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7B71A4">
            <w:pPr>
              <w:bidi w:val="0"/>
              <w:jc w:val="center"/>
              <w:rPr>
                <w:rFonts w:ascii="Times New Roman" w:hAnsi="Times New Roman"/>
                <w:color w:val="333333"/>
                <w:sz w:val="24"/>
                <w:szCs w:val="24"/>
                <w:lang w:val="sk-SK"/>
              </w:rPr>
            </w:pPr>
            <w:r w:rsidRPr="00C95E6F">
              <w:rPr>
                <w:rFonts w:ascii="Times New Roman" w:hAnsi="Times New Roman"/>
                <w:b/>
                <w:sz w:val="24"/>
                <w:szCs w:val="24"/>
                <w:lang w:val="sk-SK"/>
              </w:rPr>
              <w:t>sluzba_is_46004</w:t>
            </w:r>
            <w:r w:rsidRPr="00C95E6F">
              <w:rPr>
                <w:rFonts w:ascii="Times New Roman" w:hAnsi="Times New Roman"/>
                <w:color w:val="333333"/>
                <w:sz w:val="24"/>
                <w:szCs w:val="24"/>
                <w:lang w:val="sk-SK"/>
              </w:rPr>
              <w:t xml:space="preserve"> </w:t>
            </w:r>
          </w:p>
          <w:p w:rsidR="008F7DF1" w:rsidRPr="00C95E6F" w:rsidP="007B71A4">
            <w:pPr>
              <w:bidi w:val="0"/>
              <w:jc w:val="center"/>
              <w:rPr>
                <w:rFonts w:ascii="Times New Roman" w:hAnsi="Times New Roman"/>
                <w:color w:val="333333"/>
                <w:sz w:val="24"/>
                <w:szCs w:val="24"/>
                <w:lang w:val="sk-SK"/>
              </w:rPr>
            </w:pPr>
          </w:p>
          <w:p w:rsidR="008F7DF1" w:rsidRPr="00C95E6F" w:rsidP="008703F7">
            <w:pPr>
              <w:bidi w:val="0"/>
              <w:rPr>
                <w:rFonts w:ascii="Times New Roman" w:hAnsi="Times New Roman"/>
                <w:color w:val="333333"/>
                <w:sz w:val="24"/>
                <w:szCs w:val="24"/>
                <w:lang w:val="sk-SK"/>
              </w:rPr>
            </w:pPr>
          </w:p>
          <w:p w:rsidR="008F7DF1" w:rsidRPr="00C95E6F" w:rsidP="008703F7">
            <w:pPr>
              <w:bidi w:val="0"/>
              <w:rPr>
                <w:rFonts w:ascii="Times New Roman" w:hAnsi="Times New Roman"/>
                <w:color w:val="333333"/>
                <w:sz w:val="24"/>
                <w:szCs w:val="24"/>
                <w:lang w:val="sk-SK"/>
              </w:rPr>
            </w:pPr>
          </w:p>
          <w:p w:rsidR="008F7DF1" w:rsidRPr="00C95E6F" w:rsidP="007B71A4">
            <w:pPr>
              <w:bidi w:val="0"/>
              <w:jc w:val="center"/>
              <w:rPr>
                <w:rFonts w:ascii="Times New Roman" w:hAnsi="Times New Roman"/>
                <w:b/>
                <w:sz w:val="24"/>
                <w:szCs w:val="24"/>
                <w:lang w:val="sk-SK"/>
              </w:rPr>
            </w:pPr>
            <w:r w:rsidRPr="00C95E6F">
              <w:rPr>
                <w:rFonts w:ascii="Times New Roman" w:hAnsi="Times New Roman"/>
                <w:b/>
                <w:sz w:val="24"/>
                <w:szCs w:val="24"/>
                <w:lang w:val="sk-SK"/>
              </w:rPr>
              <w:t>sluzba_is_46006</w:t>
            </w: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8F7DF1" w:rsidRPr="00C95E6F" w:rsidP="008703F7">
            <w:pPr>
              <w:bidi w:val="0"/>
              <w:rPr>
                <w:rFonts w:ascii="Times New Roman" w:hAnsi="Times New Roman"/>
                <w:i/>
                <w:iCs/>
                <w:sz w:val="24"/>
                <w:szCs w:val="24"/>
                <w:lang w:val="sk-SK"/>
              </w:rPr>
            </w:pPr>
            <w:r w:rsidRPr="00C95E6F">
              <w:rPr>
                <w:rFonts w:ascii="Times New Roman" w:hAnsi="Times New Roman"/>
                <w:i/>
                <w:iCs/>
                <w:sz w:val="24"/>
                <w:szCs w:val="24"/>
                <w:lang w:val="sk-SK"/>
              </w:rPr>
              <w:t>Vrátenie ceny el. kolku podľa typu služby,</w:t>
            </w:r>
          </w:p>
          <w:p w:rsidR="008F7DF1" w:rsidRPr="00C95E6F" w:rsidP="008703F7">
            <w:pPr>
              <w:bidi w:val="0"/>
              <w:rPr>
                <w:rFonts w:ascii="Times New Roman" w:hAnsi="Times New Roman"/>
                <w:i/>
                <w:iCs/>
                <w:sz w:val="24"/>
                <w:szCs w:val="24"/>
                <w:lang w:val="sk-SK"/>
              </w:rPr>
            </w:pPr>
          </w:p>
          <w:p w:rsidR="008F7DF1" w:rsidRPr="00C95E6F" w:rsidP="008703F7">
            <w:pPr>
              <w:bidi w:val="0"/>
              <w:rPr>
                <w:rFonts w:ascii="Times New Roman" w:hAnsi="Times New Roman"/>
                <w:i/>
                <w:iCs/>
                <w:sz w:val="24"/>
                <w:szCs w:val="24"/>
                <w:lang w:val="sk-SK"/>
              </w:rPr>
            </w:pPr>
            <w:r w:rsidRPr="00C95E6F">
              <w:rPr>
                <w:rFonts w:ascii="Times New Roman" w:hAnsi="Times New Roman"/>
                <w:i/>
                <w:iCs/>
                <w:sz w:val="24"/>
                <w:szCs w:val="24"/>
                <w:lang w:val="sk-SK"/>
              </w:rPr>
              <w:t>Generovanie platobného príkazu pre vybranú službu,</w:t>
            </w:r>
          </w:p>
          <w:p w:rsidR="008F7DF1" w:rsidRPr="00C95E6F" w:rsidP="008703F7">
            <w:pPr>
              <w:bidi w:val="0"/>
              <w:rPr>
                <w:rFonts w:ascii="Times New Roman" w:hAnsi="Times New Roman"/>
                <w:b/>
                <w:sz w:val="24"/>
                <w:szCs w:val="24"/>
                <w:lang w:val="sk-SK"/>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7B71A4">
            <w:pPr>
              <w:bidi w:val="0"/>
              <w:rPr>
                <w:rFonts w:ascii="Times New Roman" w:hAnsi="Times New Roman"/>
                <w:b/>
                <w:i/>
                <w:sz w:val="24"/>
                <w:szCs w:val="24"/>
                <w:lang w:val="sk-SK"/>
              </w:rPr>
            </w:pPr>
          </w:p>
          <w:p w:rsidR="008F7DF1" w:rsidRPr="00C95E6F" w:rsidP="007B71A4">
            <w:pPr>
              <w:bidi w:val="0"/>
              <w:jc w:val="center"/>
              <w:rPr>
                <w:rFonts w:ascii="Times New Roman" w:hAnsi="Times New Roman"/>
                <w:b/>
                <w:sz w:val="24"/>
                <w:szCs w:val="24"/>
                <w:lang w:val="sk-SK"/>
              </w:rPr>
            </w:pPr>
            <w:r w:rsidRPr="00C95E6F">
              <w:rPr>
                <w:rFonts w:ascii="Times New Roman" w:hAnsi="Times New Roman"/>
                <w:b/>
                <w:sz w:val="24"/>
                <w:szCs w:val="24"/>
                <w:lang w:val="sk-SK"/>
              </w:rPr>
              <w:t>2</w:t>
            </w:r>
          </w:p>
          <w:p w:rsidR="008F7DF1" w:rsidRPr="00C95E6F" w:rsidP="007B71A4">
            <w:pPr>
              <w:bidi w:val="0"/>
              <w:jc w:val="center"/>
              <w:rPr>
                <w:rFonts w:ascii="Times New Roman" w:hAnsi="Times New Roman"/>
                <w:b/>
                <w:sz w:val="24"/>
                <w:szCs w:val="24"/>
                <w:lang w:val="sk-SK"/>
              </w:rPr>
            </w:pP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8F7DF1" w:rsidRPr="00C95E6F" w:rsidP="007B71A4">
            <w:pPr>
              <w:bidi w:val="0"/>
              <w:jc w:val="center"/>
              <w:rPr>
                <w:rFonts w:ascii="Times New Roman" w:hAnsi="Times New Roman"/>
                <w:b/>
                <w:sz w:val="24"/>
                <w:szCs w:val="24"/>
                <w:lang w:val="sk-SK"/>
              </w:rPr>
            </w:pPr>
            <w:r w:rsidRPr="00C95E6F">
              <w:rPr>
                <w:rFonts w:ascii="Times New Roman" w:hAnsi="Times New Roman"/>
                <w:b/>
                <w:sz w:val="24"/>
                <w:szCs w:val="24"/>
                <w:lang w:val="sk-SK"/>
              </w:rPr>
              <w:t>Infraštruktúra</w:t>
            </w:r>
          </w:p>
        </w:tc>
        <w:tc>
          <w:tcPr>
            <w:tcW w:w="116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8F7DF1" w:rsidRPr="00C95E6F" w:rsidP="007B71A4">
            <w:pPr>
              <w:bidi w:val="0"/>
              <w:jc w:val="center"/>
              <w:rPr>
                <w:rFonts w:ascii="Times New Roman" w:hAnsi="Times New Roman"/>
                <w:b/>
                <w:sz w:val="24"/>
                <w:szCs w:val="24"/>
                <w:lang w:val="sk-SK"/>
              </w:rPr>
            </w:pPr>
            <w:r w:rsidRPr="00C95E6F">
              <w:rPr>
                <w:rFonts w:ascii="Times New Roman" w:hAnsi="Times New Roman"/>
                <w:b/>
                <w:sz w:val="24"/>
                <w:szCs w:val="24"/>
                <w:lang w:val="sk-SK"/>
              </w:rPr>
              <w:t>A – nový systém</w:t>
            </w:r>
          </w:p>
          <w:p w:rsidR="008F7DF1" w:rsidRPr="00C95E6F" w:rsidP="007B71A4">
            <w:pPr>
              <w:bidi w:val="0"/>
              <w:jc w:val="center"/>
              <w:rPr>
                <w:rFonts w:ascii="Times New Roman" w:hAnsi="Times New Roman"/>
                <w:b/>
                <w:sz w:val="24"/>
                <w:szCs w:val="24"/>
                <w:lang w:val="sk-SK"/>
              </w:rPr>
            </w:pPr>
            <w:r w:rsidRPr="00C95E6F">
              <w:rPr>
                <w:rFonts w:ascii="Times New Roman" w:hAnsi="Times New Roman"/>
                <w:b/>
                <w:sz w:val="24"/>
                <w:szCs w:val="24"/>
                <w:lang w:val="sk-SK"/>
              </w:rPr>
              <w:t>B – zmena systému</w:t>
            </w:r>
          </w:p>
        </w:tc>
        <w:tc>
          <w:tcPr>
            <w:tcW w:w="156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8F7DF1" w:rsidRPr="00C95E6F" w:rsidP="007B71A4">
            <w:pPr>
              <w:bidi w:val="0"/>
              <w:jc w:val="center"/>
              <w:rPr>
                <w:rFonts w:ascii="Times New Roman" w:hAnsi="Times New Roman"/>
                <w:b/>
                <w:sz w:val="24"/>
                <w:szCs w:val="24"/>
                <w:lang w:val="sk-SK"/>
              </w:rPr>
            </w:pPr>
            <w:r w:rsidRPr="00C95E6F">
              <w:rPr>
                <w:rFonts w:ascii="Times New Roman" w:hAnsi="Times New Roman"/>
                <w:b/>
                <w:sz w:val="24"/>
                <w:szCs w:val="24"/>
                <w:lang w:val="sk-SK"/>
              </w:rPr>
              <w:t>Kód systému</w:t>
            </w:r>
          </w:p>
        </w:tc>
        <w:tc>
          <w:tcPr>
            <w:tcW w:w="2693" w:type="dxa"/>
            <w:gridSpan w:val="3"/>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8F7DF1" w:rsidRPr="00C95E6F" w:rsidP="007B71A4">
            <w:pPr>
              <w:bidi w:val="0"/>
              <w:jc w:val="center"/>
              <w:rPr>
                <w:rFonts w:ascii="Times New Roman" w:hAnsi="Times New Roman"/>
                <w:b/>
                <w:sz w:val="24"/>
                <w:szCs w:val="24"/>
                <w:lang w:val="sk-SK"/>
              </w:rPr>
            </w:pPr>
            <w:r w:rsidRPr="00C95E6F">
              <w:rPr>
                <w:rFonts w:ascii="Times New Roman" w:hAnsi="Times New Roman"/>
                <w:b/>
                <w:sz w:val="24"/>
                <w:szCs w:val="24"/>
                <w:lang w:val="sk-SK"/>
              </w:rPr>
              <w:t>Názov systému</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7B71A4">
            <w:pPr>
              <w:bidi w:val="0"/>
              <w:jc w:val="both"/>
              <w:rPr>
                <w:rFonts w:ascii="Times New Roman" w:hAnsi="Times New Roman"/>
                <w:sz w:val="24"/>
                <w:szCs w:val="24"/>
                <w:lang w:val="sk-SK"/>
              </w:rPr>
            </w:pPr>
            <w:r w:rsidRPr="00C95E6F">
              <w:rPr>
                <w:rFonts w:ascii="Times New Roman" w:hAnsi="Times New Roman"/>
                <w:b/>
                <w:sz w:val="24"/>
                <w:szCs w:val="24"/>
                <w:lang w:val="sk-SK"/>
              </w:rPr>
              <w:t>6.2.</w:t>
            </w:r>
            <w:r w:rsidRPr="00C95E6F">
              <w:rPr>
                <w:rFonts w:ascii="Times New Roman" w:hAnsi="Times New Roman"/>
                <w:sz w:val="24"/>
                <w:szCs w:val="24"/>
                <w:lang w:val="sk-SK"/>
              </w:rPr>
              <w:t xml:space="preserve"> Predpokladá predložený návrh zmenu existujúceho alebo vytvorenie nového informačného systému verejnej správy?</w:t>
            </w:r>
          </w:p>
          <w:p w:rsidR="008F7DF1" w:rsidRPr="00C95E6F" w:rsidP="007B71A4">
            <w:pPr>
              <w:bidi w:val="0"/>
              <w:spacing w:line="20" w:lineRule="atLeast"/>
              <w:jc w:val="both"/>
              <w:rPr>
                <w:rFonts w:ascii="Times New Roman" w:hAnsi="Times New Roman"/>
                <w:sz w:val="24"/>
                <w:szCs w:val="24"/>
                <w:lang w:val="sk-SK"/>
              </w:rPr>
            </w:pPr>
            <w:r w:rsidRPr="00C95E6F">
              <w:rPr>
                <w:rFonts w:ascii="Times New Roman" w:hAnsi="Times New Roman"/>
                <w:i/>
                <w:iCs/>
                <w:sz w:val="24"/>
                <w:szCs w:val="24"/>
                <w:lang w:val="sk-SK"/>
              </w:rPr>
              <w:t>(Ak áno, uveďte zmenu systému alebo vytvorenie nového systému, ďalej jeho kód a názov z centrálneho metainformačného systému verejnej správy.)</w:t>
            </w: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B4BE4">
            <w:pPr>
              <w:bidi w:val="0"/>
              <w:jc w:val="center"/>
              <w:rPr>
                <w:rFonts w:ascii="Times New Roman" w:hAnsi="Times New Roman"/>
                <w:i/>
                <w:iCs/>
                <w:sz w:val="24"/>
                <w:szCs w:val="24"/>
                <w:lang w:val="sk-SK"/>
              </w:rPr>
            </w:pPr>
            <w:r w:rsidRPr="00C95E6F">
              <w:rPr>
                <w:rFonts w:ascii="Times New Roman" w:hAnsi="Times New Roman"/>
                <w:b/>
                <w:sz w:val="24"/>
                <w:szCs w:val="24"/>
                <w:lang w:val="sk-SK"/>
              </w:rPr>
              <w:t>B</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8703F7">
            <w:pPr>
              <w:bidi w:val="0"/>
              <w:jc w:val="center"/>
              <w:rPr>
                <w:rFonts w:ascii="Times New Roman" w:hAnsi="Times New Roman"/>
                <w:i/>
                <w:iCs/>
                <w:sz w:val="24"/>
                <w:szCs w:val="24"/>
                <w:lang w:val="sk-SK"/>
              </w:rPr>
            </w:pPr>
            <w:r w:rsidRPr="00C95E6F">
              <w:rPr>
                <w:rFonts w:ascii="Times New Roman" w:hAnsi="Times New Roman"/>
                <w:b/>
                <w:sz w:val="24"/>
                <w:szCs w:val="24"/>
                <w:lang w:val="sk-SK"/>
              </w:rPr>
              <w:t>isvs_5585</w:t>
            </w:r>
          </w:p>
        </w:tc>
        <w:tc>
          <w:tcPr>
            <w:tcW w:w="2693" w:type="dxa"/>
            <w:gridSpan w:val="3"/>
            <w:tcBorders>
              <w:top w:val="single" w:sz="4" w:space="0" w:color="auto"/>
              <w:left w:val="single" w:sz="4" w:space="0" w:color="auto"/>
              <w:bottom w:val="single" w:sz="4" w:space="0" w:color="auto"/>
              <w:right w:val="single" w:sz="4" w:space="0" w:color="auto"/>
            </w:tcBorders>
            <w:textDirection w:val="lrTb"/>
            <w:vAlign w:val="top"/>
          </w:tcPr>
          <w:p w:rsidR="008F7DF1" w:rsidRPr="00C95E6F" w:rsidP="007B71A4">
            <w:pPr>
              <w:bidi w:val="0"/>
              <w:rPr>
                <w:rFonts w:ascii="Times New Roman" w:hAnsi="Times New Roman"/>
                <w:i/>
                <w:iCs/>
                <w:sz w:val="24"/>
                <w:szCs w:val="24"/>
                <w:lang w:val="sk-SK"/>
              </w:rPr>
            </w:pPr>
            <w:r w:rsidRPr="00C95E6F">
              <w:rPr>
                <w:rFonts w:ascii="Times New Roman" w:hAnsi="Times New Roman"/>
                <w:i/>
                <w:iCs/>
                <w:sz w:val="24"/>
                <w:szCs w:val="24"/>
                <w:lang w:val="sk-SK"/>
              </w:rPr>
              <w:t>Informačný systém pre platby a evidenciu správnych a súdnych poplatkov (IS PEP), ako súčasť komplexnej služby E-kolok</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8F7DF1" w:rsidRPr="00C95E6F" w:rsidP="007B71A4">
            <w:pPr>
              <w:bidi w:val="0"/>
              <w:spacing w:line="20" w:lineRule="atLeast"/>
              <w:ind w:hanging="55"/>
              <w:jc w:val="center"/>
              <w:rPr>
                <w:rFonts w:ascii="Times New Roman" w:hAnsi="Times New Roman"/>
                <w:b/>
                <w:sz w:val="24"/>
                <w:szCs w:val="24"/>
                <w:lang w:val="sk-SK"/>
              </w:rPr>
            </w:pPr>
            <w:r w:rsidRPr="00C95E6F">
              <w:rPr>
                <w:rFonts w:ascii="Times New Roman" w:hAnsi="Times New Roman"/>
                <w:b/>
                <w:sz w:val="24"/>
                <w:szCs w:val="24"/>
                <w:lang w:val="sk-SK"/>
              </w:rPr>
              <w:t>Financovanie procesu informatizácie</w:t>
            </w:r>
          </w:p>
        </w:tc>
        <w:tc>
          <w:tcPr>
            <w:tcW w:w="1162"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8F7DF1" w:rsidRPr="00C95E6F" w:rsidP="007B71A4">
            <w:pPr>
              <w:bidi w:val="0"/>
              <w:jc w:val="center"/>
              <w:rPr>
                <w:rFonts w:ascii="Times New Roman" w:hAnsi="Times New Roman"/>
                <w:b/>
                <w:i/>
                <w:iCs/>
                <w:sz w:val="24"/>
                <w:szCs w:val="24"/>
                <w:lang w:val="sk-SK"/>
              </w:rPr>
            </w:pPr>
            <w:r w:rsidRPr="00C95E6F">
              <w:rPr>
                <w:rFonts w:ascii="Times New Roman" w:hAnsi="Times New Roman"/>
                <w:b/>
                <w:sz w:val="24"/>
                <w:szCs w:val="24"/>
                <w:lang w:val="sk-SK"/>
              </w:rPr>
              <w:t>Rezortná úroveň</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8F7DF1" w:rsidRPr="00C95E6F" w:rsidP="007B71A4">
            <w:pPr>
              <w:bidi w:val="0"/>
              <w:jc w:val="center"/>
              <w:rPr>
                <w:rFonts w:ascii="Times New Roman" w:hAnsi="Times New Roman"/>
                <w:b/>
                <w:i/>
                <w:iCs/>
                <w:sz w:val="24"/>
                <w:szCs w:val="24"/>
                <w:lang w:val="sk-SK"/>
              </w:rPr>
            </w:pPr>
            <w:r w:rsidRPr="00C95E6F">
              <w:rPr>
                <w:rFonts w:ascii="Times New Roman" w:hAnsi="Times New Roman"/>
                <w:b/>
                <w:sz w:val="24"/>
                <w:szCs w:val="24"/>
                <w:lang w:val="sk-SK"/>
              </w:rPr>
              <w:t>Nadrezortná úroveň</w:t>
            </w:r>
          </w:p>
          <w:p w:rsidR="008F7DF1" w:rsidRPr="00C95E6F" w:rsidP="007B71A4">
            <w:pPr>
              <w:bidi w:val="0"/>
              <w:jc w:val="center"/>
              <w:rPr>
                <w:rFonts w:ascii="Times New Roman" w:hAnsi="Times New Roman"/>
                <w:b/>
                <w:sz w:val="24"/>
                <w:szCs w:val="24"/>
                <w:lang w:val="sk-SK"/>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8F7DF1" w:rsidRPr="00C95E6F" w:rsidP="007B71A4">
            <w:pPr>
              <w:bidi w:val="0"/>
              <w:rPr>
                <w:rFonts w:ascii="Times New Roman" w:hAnsi="Times New Roman"/>
                <w:b/>
                <w:sz w:val="24"/>
                <w:szCs w:val="24"/>
                <w:lang w:val="sk-SK"/>
              </w:rPr>
            </w:pPr>
            <w:r w:rsidRPr="00C95E6F">
              <w:rPr>
                <w:rFonts w:ascii="Times New Roman" w:hAnsi="Times New Roman"/>
                <w:b/>
                <w:sz w:val="24"/>
                <w:szCs w:val="24"/>
                <w:lang w:val="sk-SK"/>
              </w:rPr>
              <w:t>A - z prostriedkov EÚ   B - z ďalších zdrojov financovania</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7B71A4">
            <w:pPr>
              <w:bidi w:val="0"/>
              <w:jc w:val="both"/>
              <w:rPr>
                <w:rFonts w:ascii="Times New Roman" w:hAnsi="Times New Roman"/>
                <w:sz w:val="24"/>
                <w:szCs w:val="24"/>
                <w:lang w:val="sk-SK"/>
              </w:rPr>
            </w:pPr>
            <w:r w:rsidRPr="00C95E6F">
              <w:rPr>
                <w:rFonts w:ascii="Times New Roman" w:hAnsi="Times New Roman"/>
                <w:b/>
                <w:sz w:val="24"/>
                <w:szCs w:val="24"/>
                <w:lang w:val="sk-SK"/>
              </w:rPr>
              <w:t>6.3.</w:t>
            </w:r>
            <w:r w:rsidRPr="00C95E6F">
              <w:rPr>
                <w:rFonts w:ascii="Times New Roman" w:hAnsi="Times New Roman"/>
                <w:sz w:val="24"/>
                <w:szCs w:val="24"/>
                <w:lang w:val="sk-SK"/>
              </w:rPr>
              <w:t xml:space="preserve"> Vyžaduje si proces informatizácie  finančné investície?</w:t>
            </w:r>
          </w:p>
          <w:p w:rsidR="008F7DF1" w:rsidRPr="00C95E6F" w:rsidP="007B71A4">
            <w:pPr>
              <w:bidi w:val="0"/>
              <w:spacing w:line="20" w:lineRule="atLeast"/>
              <w:jc w:val="both"/>
              <w:rPr>
                <w:rFonts w:ascii="Times New Roman" w:hAnsi="Times New Roman"/>
                <w:sz w:val="24"/>
                <w:szCs w:val="24"/>
                <w:lang w:val="sk-SK"/>
              </w:rPr>
            </w:pPr>
            <w:r w:rsidRPr="00C95E6F">
              <w:rPr>
                <w:rFonts w:ascii="Times New Roman" w:hAnsi="Times New Roman"/>
                <w:i/>
                <w:iCs/>
                <w:sz w:val="24"/>
                <w:szCs w:val="24"/>
                <w:lang w:val="sk-SK"/>
              </w:rPr>
              <w:t>(Uveďte príslušnú úroveň financovania a kvantifikáciu finančných výdavkov uveďte  v analýze vplyvov na rozpočet verejnej správy.)</w:t>
            </w: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FA434F">
            <w:pPr>
              <w:bidi w:val="0"/>
              <w:jc w:val="center"/>
              <w:rPr>
                <w:rFonts w:ascii="Times New Roman" w:hAnsi="Times New Roman"/>
                <w:i/>
                <w:iCs/>
                <w:sz w:val="24"/>
                <w:szCs w:val="24"/>
                <w:lang w:val="sk-SK"/>
              </w:rPr>
            </w:pPr>
            <w:r w:rsidRPr="00C95E6F">
              <w:rPr>
                <w:rFonts w:ascii="Times New Roman" w:hAnsi="Times New Roman"/>
                <w:b/>
                <w:sz w:val="24"/>
                <w:szCs w:val="24"/>
                <w:lang w:val="sk-SK"/>
              </w:rPr>
              <w:t>X</w:t>
            </w:r>
          </w:p>
        </w:tc>
        <w:tc>
          <w:tcPr>
            <w:tcW w:w="2268" w:type="dxa"/>
            <w:gridSpan w:val="2"/>
            <w:tcBorders>
              <w:top w:val="single" w:sz="4" w:space="0" w:color="auto"/>
              <w:left w:val="single" w:sz="4" w:space="0" w:color="auto"/>
              <w:bottom w:val="single" w:sz="4" w:space="0" w:color="auto"/>
              <w:right w:val="single" w:sz="4" w:space="0" w:color="auto"/>
            </w:tcBorders>
            <w:textDirection w:val="lrTb"/>
            <w:vAlign w:val="top"/>
          </w:tcPr>
          <w:p w:rsidR="008F7DF1" w:rsidRPr="00C95E6F" w:rsidP="007B71A4">
            <w:pPr>
              <w:bidi w:val="0"/>
              <w:rPr>
                <w:rFonts w:ascii="Times New Roman" w:hAnsi="Times New Roman"/>
                <w:i/>
                <w:iCs/>
                <w:sz w:val="24"/>
                <w:szCs w:val="24"/>
                <w:lang w:val="sk-SK"/>
              </w:rPr>
            </w:pPr>
          </w:p>
        </w:tc>
        <w:tc>
          <w:tcPr>
            <w:tcW w:w="1985" w:type="dxa"/>
            <w:gridSpan w:val="2"/>
            <w:tcBorders>
              <w:top w:val="single" w:sz="4" w:space="0" w:color="auto"/>
              <w:left w:val="single" w:sz="4" w:space="0" w:color="auto"/>
              <w:bottom w:val="single" w:sz="4" w:space="0" w:color="auto"/>
              <w:right w:val="single" w:sz="4" w:space="0" w:color="auto"/>
            </w:tcBorders>
            <w:textDirection w:val="lrTb"/>
            <w:vAlign w:val="top"/>
          </w:tcPr>
          <w:p w:rsidR="008F7DF1" w:rsidRPr="00C95E6F" w:rsidP="007B71A4">
            <w:pPr>
              <w:bidi w:val="0"/>
              <w:rPr>
                <w:rFonts w:ascii="Times New Roman" w:hAnsi="Times New Roman"/>
                <w:i/>
                <w:iCs/>
                <w:sz w:val="24"/>
                <w:szCs w:val="24"/>
                <w:lang w:val="sk-SK"/>
              </w:rPr>
            </w:pPr>
          </w:p>
        </w:tc>
      </w:tr>
    </w:tbl>
    <w:p w:rsidR="008F7DF1" w:rsidRPr="00C95E6F" w:rsidP="00CE634D">
      <w:pPr>
        <w:bidi w:val="0"/>
        <w:rPr>
          <w:rFonts w:ascii="Times New Roman" w:hAnsi="Times New Roman"/>
          <w:b/>
          <w:bCs/>
          <w:sz w:val="24"/>
          <w:szCs w:val="24"/>
          <w:lang w:val="sk-SK"/>
        </w:rPr>
      </w:pPr>
    </w:p>
    <w:p w:rsidR="008F7DF1" w:rsidP="008703F7">
      <w:pPr>
        <w:bidi w:val="0"/>
        <w:jc w:val="both"/>
        <w:rPr>
          <w:rFonts w:ascii="Times New Roman" w:hAnsi="Times New Roman"/>
          <w:b/>
          <w:sz w:val="24"/>
          <w:szCs w:val="24"/>
          <w:lang w:val="sk-SK"/>
        </w:rPr>
      </w:pPr>
      <w:r w:rsidRPr="00C95E6F">
        <w:rPr>
          <w:rFonts w:ascii="Times New Roman" w:hAnsi="Times New Roman"/>
          <w:b/>
          <w:sz w:val="24"/>
          <w:szCs w:val="24"/>
          <w:lang w:val="sk-SK"/>
        </w:rPr>
        <w:t>Poznámka:</w:t>
      </w:r>
    </w:p>
    <w:p w:rsidR="00E105CF" w:rsidRPr="00E105CF" w:rsidP="00CE5F29">
      <w:pPr>
        <w:tabs>
          <w:tab w:val="num" w:pos="1080"/>
        </w:tabs>
        <w:bidi w:val="0"/>
        <w:spacing w:line="240" w:lineRule="auto"/>
        <w:ind w:right="1110"/>
        <w:jc w:val="both"/>
        <w:rPr>
          <w:rFonts w:ascii="Times New Roman" w:hAnsi="Times New Roman"/>
          <w:bCs/>
          <w:sz w:val="24"/>
          <w:szCs w:val="24"/>
          <w:lang w:val="sk-SK"/>
        </w:rPr>
      </w:pPr>
      <w:r w:rsidRPr="00E105CF">
        <w:rPr>
          <w:rFonts w:ascii="Times New Roman" w:hAnsi="Times New Roman"/>
          <w:sz w:val="24"/>
          <w:szCs w:val="24"/>
          <w:lang w:val="sk-SK"/>
        </w:rPr>
        <w:t>Novelou zákona sa navrhujú zaviesť nové sadzby poplatkov pri zápise držiteľa vozidla do evidencie vozidiel v SR a zmeniť výška sadzieb pri vydávaní a zmene existujúcich licencií na prevádzkovanie hazardných hier. Spôsob výberu poplatku zostáva totožný – predovšetkým cez samoobslužný kiosk priamo na úrade alebo cez webové a mobilné zariadenie, rovnako cez platobný predpis vygenerovaný úradníkom v Module správnych poplatkov a evidovaný v centrálnom systéme evidencie poplatkov. Pri zápise držiteľa do evidencie vozidiel v SR ide o zadefinovanie nových položiek číselníka poplatkov (vkladá sa v štruktúrovanej podobe do IS PEP), ktorý sa spracováva zo sadzobníka poplatkov (príloha zákona o správnych poplatkoch) a pri vydávaní licencií na hazardné hry dochádza iba k zmene výšky sadzieb číselníka poplatkov. Finančné krytie je potrebné v súvislosti s potrebou</w:t>
      </w:r>
      <w:r w:rsidRPr="00E105CF">
        <w:rPr>
          <w:rFonts w:ascii="Times New Roman" w:hAnsi="Times New Roman"/>
          <w:bCs/>
          <w:sz w:val="24"/>
          <w:szCs w:val="24"/>
          <w:lang w:val="sk-SK"/>
        </w:rPr>
        <w:t xml:space="preserve"> zapracovať nové algoritmy výpočtu na kioskoch, IS PEP, MSP, mobilnej aplikácii a virtuálnom kiosku vrátane zmeny stromu služieb a vrátane úpravy komunikačného protokolu v súvislosti s položkou 65 a potreby vyriešenia zaokrúhľovania v súlade s § 6a zákona č. 145/1995 Z. z. o správnych poplatkoch v znení neskorších predpisov pri výpočte sumy správneho poplatku na kioskoch (odhad cca 400 000,-- EUR bez DPH). </w:t>
      </w:r>
      <w:r w:rsidRPr="00E105CF">
        <w:rPr>
          <w:rFonts w:ascii="Times New Roman" w:hAnsi="Times New Roman"/>
          <w:sz w:val="24"/>
          <w:szCs w:val="24"/>
          <w:lang w:val="sk-SK"/>
        </w:rPr>
        <w:t>Ostatné navrhované úpravy nemajú vplyv na poskytovanie elektronických služieb.</w:t>
      </w:r>
    </w:p>
    <w:p w:rsidR="009A524A">
      <w:pPr>
        <w:widowControl/>
        <w:bidi w:val="0"/>
        <w:adjustRightInd/>
        <w:rPr>
          <w:rFonts w:ascii="Times New Roman" w:hAnsi="Times New Roman"/>
          <w:b/>
          <w:sz w:val="24"/>
          <w:szCs w:val="24"/>
          <w:lang w:val="sk-SK"/>
        </w:rPr>
        <w:sectPr w:rsidSect="00FA51C7">
          <w:headerReference w:type="default" r:id="rId25"/>
          <w:headerReference w:type="first" r:id="rId26"/>
          <w:pgSz w:w="11906" w:h="16838"/>
          <w:pgMar w:top="720" w:right="1841" w:bottom="720" w:left="720" w:header="709" w:footer="709" w:gutter="0"/>
          <w:lnNumType w:distance="0"/>
          <w:cols w:space="708"/>
          <w:noEndnote w:val="0"/>
          <w:titlePg/>
          <w:bidi w:val="0"/>
          <w:docGrid w:linePitch="360"/>
        </w:sectPr>
      </w:pPr>
    </w:p>
    <w:p w:rsidR="00A65AE8">
      <w:pPr>
        <w:widowControl/>
        <w:bidi w:val="0"/>
        <w:adjustRightInd/>
        <w:rPr>
          <w:rFonts w:ascii="Times New Roman" w:hAnsi="Times New Roman"/>
          <w:b/>
          <w:sz w:val="24"/>
          <w:szCs w:val="24"/>
          <w:lang w:val="sk-SK"/>
        </w:rPr>
      </w:pPr>
    </w:p>
    <w:p w:rsidR="00E105CF" w:rsidRPr="00ED2B85" w:rsidP="007C7F8B">
      <w:pPr>
        <w:bidi w:val="0"/>
        <w:spacing w:line="240" w:lineRule="auto"/>
        <w:jc w:val="right"/>
      </w:pPr>
    </w:p>
    <w:tbl>
      <w:tblPr>
        <w:tblStyle w:val="TableNormal"/>
        <w:tblpPr w:leftFromText="141" w:rightFromText="141" w:vertAnchor="text" w:tblpY="1"/>
        <w:tblOverlap w:val="neve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
      <w:tblGrid>
        <w:gridCol w:w="9371"/>
      </w:tblGrid>
      <w:tr>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Ex>
        <w:trPr>
          <w:trHeight w:val="822"/>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8F7DF1" w:rsidRPr="00C95E6F" w:rsidP="00A65AE8">
            <w:pPr>
              <w:bidi w:val="0"/>
              <w:spacing w:line="240" w:lineRule="auto"/>
              <w:suppressOverlap/>
              <w:jc w:val="center"/>
              <w:rPr>
                <w:rFonts w:ascii="Times New Roman" w:hAnsi="Times New Roman"/>
                <w:b/>
                <w:bCs/>
                <w:sz w:val="24"/>
                <w:szCs w:val="24"/>
                <w:lang w:val="sk-SK"/>
              </w:rPr>
            </w:pPr>
            <w:r w:rsidRPr="00C95E6F">
              <w:rPr>
                <w:rFonts w:ascii="Times New Roman" w:hAnsi="Times New Roman"/>
                <w:b/>
                <w:bCs/>
                <w:sz w:val="24"/>
                <w:szCs w:val="24"/>
                <w:lang w:val="sk-SK"/>
              </w:rPr>
              <w:t>Analýza vplyvov na služby verejnej správy pre občana</w:t>
            </w:r>
          </w:p>
          <w:p w:rsidR="008F7DF1" w:rsidRPr="00C95E6F" w:rsidP="00A65AE8">
            <w:pPr>
              <w:bidi w:val="0"/>
              <w:spacing w:line="240" w:lineRule="auto"/>
              <w:suppressOverlap/>
              <w:rPr>
                <w:rFonts w:ascii="Times New Roman" w:hAnsi="Times New Roman"/>
                <w:b/>
                <w:i/>
                <w:iCs/>
                <w:sz w:val="24"/>
                <w:szCs w:val="24"/>
                <w:lang w:val="sk-SK"/>
              </w:rPr>
            </w:pPr>
          </w:p>
        </w:tc>
      </w:tr>
      <w:tr>
        <w:tblPrEx>
          <w:tblW w:w="9371" w:type="dxa"/>
          <w:tblInd w:w="55" w:type="dxa"/>
          <w:tblLayout w:type="fixed"/>
          <w:tblCellMar>
            <w:top w:w="28" w:type="dxa"/>
            <w:left w:w="70" w:type="dxa"/>
            <w:bottom w:w="28" w:type="dxa"/>
            <w:right w:w="70" w:type="dxa"/>
          </w:tblCellMar>
        </w:tblPrEx>
        <w:trPr>
          <w:trHeight w:val="367"/>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8F7DF1" w:rsidRPr="00C95E6F" w:rsidP="00A65AE8">
            <w:pPr>
              <w:bidi w:val="0"/>
              <w:spacing w:line="240" w:lineRule="auto"/>
              <w:suppressOverlap/>
              <w:jc w:val="center"/>
              <w:rPr>
                <w:rFonts w:ascii="Times New Roman" w:hAnsi="Times New Roman"/>
                <w:b/>
                <w:sz w:val="24"/>
                <w:szCs w:val="24"/>
                <w:lang w:val="sk-SK"/>
              </w:rPr>
            </w:pPr>
            <w:r w:rsidRPr="00C95E6F">
              <w:rPr>
                <w:rFonts w:ascii="Times New Roman" w:hAnsi="Times New Roman"/>
                <w:b/>
                <w:sz w:val="24"/>
                <w:szCs w:val="24"/>
                <w:lang w:val="sk-SK"/>
              </w:rPr>
              <w:t xml:space="preserve">7.1 Identifikácia služby verejnej správy, ktorá je dotknutá návrhom </w:t>
            </w:r>
          </w:p>
        </w:tc>
      </w:tr>
      <w:tr>
        <w:tblPrEx>
          <w:tblW w:w="9371" w:type="dxa"/>
          <w:tblInd w:w="55" w:type="dxa"/>
          <w:tblLayout w:type="fixed"/>
          <w:tblCellMar>
            <w:top w:w="28" w:type="dxa"/>
            <w:left w:w="70" w:type="dxa"/>
            <w:bottom w:w="28" w:type="dxa"/>
            <w:right w:w="70" w:type="dxa"/>
          </w:tblCellMar>
        </w:tblPrEx>
        <w:trPr>
          <w:trHeight w:val="31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65AE8">
            <w:pPr>
              <w:bidi w:val="0"/>
              <w:spacing w:line="240" w:lineRule="auto"/>
              <w:suppressOverlap/>
              <w:rPr>
                <w:rFonts w:ascii="Times New Roman" w:hAnsi="Times New Roman"/>
                <w:b/>
                <w:i/>
                <w:sz w:val="24"/>
                <w:szCs w:val="24"/>
                <w:lang w:val="sk-SK"/>
              </w:rPr>
            </w:pPr>
            <w:r w:rsidRPr="00C95E6F">
              <w:rPr>
                <w:rFonts w:ascii="Times New Roman" w:hAnsi="Times New Roman"/>
                <w:b/>
                <w:sz w:val="24"/>
                <w:szCs w:val="24"/>
                <w:lang w:val="sk-SK"/>
              </w:rPr>
              <w:t>7.1.1 Predpokladá predložený návrh zmenu existujúcej služby verejnej správy alebo vytvorenie novej služby?</w:t>
            </w:r>
            <w:r w:rsidRPr="00C95E6F">
              <w:rPr>
                <w:rFonts w:ascii="Times New Roman" w:hAnsi="Times New Roman"/>
                <w:i/>
                <w:sz w:val="24"/>
                <w:szCs w:val="24"/>
                <w:lang w:val="sk-SK"/>
              </w:rPr>
              <w:t xml:space="preserve"> </w:t>
            </w:r>
          </w:p>
        </w:tc>
      </w:tr>
      <w:tr>
        <w:tblPrEx>
          <w:tblW w:w="9371" w:type="dxa"/>
          <w:tblInd w:w="55" w:type="dxa"/>
          <w:tblLayout w:type="fixed"/>
          <w:tblCellMar>
            <w:top w:w="28" w:type="dxa"/>
            <w:left w:w="70" w:type="dxa"/>
            <w:bottom w:w="28" w:type="dxa"/>
            <w:right w:w="70" w:type="dxa"/>
          </w:tblCellMar>
        </w:tblPrEx>
        <w:trPr>
          <w:trHeight w:val="29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65AE8">
            <w:pPr>
              <w:bidi w:val="0"/>
              <w:spacing w:line="240" w:lineRule="auto"/>
              <w:suppressOverlap/>
              <w:rPr>
                <w:rFonts w:ascii="Times New Roman" w:hAnsi="Times New Roman"/>
                <w:b/>
                <w:i/>
                <w:sz w:val="24"/>
                <w:szCs w:val="24"/>
                <w:lang w:val="sk-SK"/>
              </w:rPr>
            </w:pPr>
            <w:r w:rsidRPr="00C95E6F">
              <w:rPr>
                <w:rFonts w:ascii="Times New Roman" w:hAnsi="Times New Roman"/>
                <w:i/>
                <w:sz w:val="24"/>
                <w:szCs w:val="24"/>
                <w:lang w:val="sk-SK"/>
              </w:rPr>
              <w:t xml:space="preserve">Zmena existujúcej služby (konkretizujte a popíšte) </w:t>
            </w:r>
          </w:p>
        </w:tc>
      </w:tr>
      <w:tr>
        <w:tblPrEx>
          <w:tblW w:w="9371" w:type="dxa"/>
          <w:tblInd w:w="55" w:type="dxa"/>
          <w:tblLayout w:type="fixed"/>
          <w:tblCellMar>
            <w:top w:w="28" w:type="dxa"/>
            <w:left w:w="70" w:type="dxa"/>
            <w:bottom w:w="28" w:type="dxa"/>
            <w:right w:w="70" w:type="dxa"/>
          </w:tblCellMar>
        </w:tblPrEx>
        <w:trPr>
          <w:trHeight w:val="655"/>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E105CF" w:rsidRPr="00E105CF" w:rsidP="00A65AE8">
            <w:pPr>
              <w:bidi w:val="0"/>
              <w:spacing w:line="240" w:lineRule="auto"/>
              <w:suppressOverlap/>
              <w:jc w:val="both"/>
              <w:rPr>
                <w:rFonts w:ascii="Times New Roman" w:hAnsi="Times New Roman"/>
                <w:sz w:val="24"/>
                <w:szCs w:val="24"/>
                <w:lang w:val="sk-SK"/>
              </w:rPr>
            </w:pPr>
            <w:r w:rsidRPr="00E105CF">
              <w:rPr>
                <w:rFonts w:ascii="Times New Roman" w:hAnsi="Times New Roman"/>
                <w:sz w:val="24"/>
                <w:szCs w:val="24"/>
                <w:lang w:val="sk-SK"/>
              </w:rPr>
              <w:t>Návrh novely zákona č. 145/1995 Z. z. o správnych poplatkoch v znení neskorších predpisov v položke 65 sadzobníka správnych poplatkov upravuje mechanizmus určovania sadzby poplatku pri zápise držiteľa vozidla do evidencie vozidiel v Slovenskej republike tak, že okrem súčasného kritéria výkon vozidla je ďalším kritériom vek vozidla, čím sa vierohodnejšie podľa objektívnych znakov vozidla dosiahne určovanie výšky poplatku podľa hodnoty vozidla. Dopĺňa sa možnosť zníženia poplatku pre vozidlá s alternatívnym pohonom (hybridy, CNG, LNG a vodík) o 50%. Návrh nezavádza nové postupy pri vyberaní poplatku (naďalej sa poplatky vyberajú na ODI PZ SR a Klientskych centrách OÚ cez systém eKolok). Spôsob výberu poplatku zostáva totožný – predovšetkým cez samoobslužný kiosk priamo na úrade alebo cez webové a mobilné zariadenie, rovnako cez platobný predpis vygenerovaný úradníkom v Module správnych poplatkov a evidovaný v centrálnom systéme evidencie poplatkov.</w:t>
            </w:r>
          </w:p>
          <w:p w:rsidR="00E105CF" w:rsidRPr="00E105CF" w:rsidP="00A65AE8">
            <w:pPr>
              <w:bidi w:val="0"/>
              <w:spacing w:line="240" w:lineRule="auto"/>
              <w:suppressOverlap/>
              <w:jc w:val="both"/>
              <w:rPr>
                <w:rFonts w:ascii="Times New Roman" w:hAnsi="Times New Roman"/>
                <w:sz w:val="24"/>
                <w:szCs w:val="24"/>
                <w:lang w:val="sk-SK"/>
              </w:rPr>
            </w:pPr>
            <w:r w:rsidRPr="00E105CF">
              <w:rPr>
                <w:rFonts w:ascii="Times New Roman" w:hAnsi="Times New Roman"/>
                <w:sz w:val="24"/>
                <w:szCs w:val="24"/>
                <w:lang w:val="sk-SK"/>
              </w:rPr>
              <w:t>Doplnenie položky 73 d) sadzobníka správnych poplatkov, ktorým sa oslobodzuje platenie správneho poplatku pri trvalom vyradení vozidla z evidencie, ktoré podlieha spracovaniu podľa zákona o odpadoch.</w:t>
            </w:r>
          </w:p>
          <w:p w:rsidR="00E105CF" w:rsidRPr="00E105CF" w:rsidP="00A65AE8">
            <w:pPr>
              <w:bidi w:val="0"/>
              <w:spacing w:line="240" w:lineRule="auto"/>
              <w:suppressOverlap/>
              <w:jc w:val="both"/>
              <w:rPr>
                <w:rFonts w:ascii="Times New Roman" w:hAnsi="Times New Roman"/>
                <w:sz w:val="24"/>
                <w:szCs w:val="24"/>
                <w:lang w:val="sk-SK"/>
              </w:rPr>
            </w:pPr>
            <w:r w:rsidRPr="00E105CF">
              <w:rPr>
                <w:rFonts w:ascii="Times New Roman" w:hAnsi="Times New Roman"/>
                <w:sz w:val="24"/>
                <w:szCs w:val="24"/>
                <w:lang w:val="sk-SK"/>
              </w:rPr>
              <w:t>Pri zápise držiteľa do evidencie vozidiel v SR ide o zadefinovanie nových položiek číselníka poplatkov (vkladá sa v štruktúrovanej podobe do IS PEP), ktorý sa spracováva zo sadzobníka poplatkov (príloha zákona o správnych poplatkoch) a pri vydávaní licencií na hazardné hry dochádza iba k zmene výšky sadzieb číselníka poplatkov. K zmene číselníka poplatkov dochádza niekoľkokrát ročne ako reakcia na početné zmeny v sadzobníku poplatkov. Je to štandardizovaný proces, ktorý si z tohto titulu nevyžaduje úpravy procesov poskytovania verejných služieb.</w:t>
            </w:r>
          </w:p>
          <w:p w:rsidR="00E105CF" w:rsidRPr="00E105CF" w:rsidP="00A65AE8">
            <w:pPr>
              <w:bidi w:val="0"/>
              <w:spacing w:line="240" w:lineRule="auto"/>
              <w:suppressOverlap/>
              <w:jc w:val="both"/>
              <w:rPr>
                <w:rFonts w:ascii="Times New Roman" w:hAnsi="Times New Roman"/>
                <w:sz w:val="24"/>
                <w:szCs w:val="24"/>
                <w:lang w:val="sk-SK"/>
              </w:rPr>
            </w:pPr>
            <w:r w:rsidRPr="00E105CF">
              <w:rPr>
                <w:rFonts w:ascii="Times New Roman" w:hAnsi="Times New Roman"/>
                <w:sz w:val="24"/>
                <w:szCs w:val="24"/>
                <w:lang w:val="sk-SK"/>
              </w:rPr>
              <w:t xml:space="preserve">Nezavádzajú sa </w:t>
            </w:r>
            <w:r w:rsidRPr="00E105CF">
              <w:rPr>
                <w:rFonts w:ascii="Times New Roman" w:hAnsi="Times New Roman"/>
                <w:b/>
                <w:sz w:val="24"/>
                <w:szCs w:val="24"/>
                <w:lang w:val="sk-SK"/>
              </w:rPr>
              <w:t>nové postupy</w:t>
            </w:r>
            <w:r w:rsidRPr="00E105CF">
              <w:rPr>
                <w:rFonts w:ascii="Times New Roman" w:hAnsi="Times New Roman"/>
                <w:sz w:val="24"/>
                <w:szCs w:val="24"/>
                <w:lang w:val="sk-SK"/>
              </w:rPr>
              <w:t xml:space="preserve"> pri službách a procesoch verejnej správy, okrem prípadu, že </w:t>
            </w:r>
            <w:r w:rsidRPr="00E105CF">
              <w:rPr>
                <w:rFonts w:ascii="Times New Roman" w:hAnsi="Times New Roman"/>
                <w:b/>
                <w:sz w:val="24"/>
                <w:szCs w:val="24"/>
                <w:lang w:val="sk-SK"/>
              </w:rPr>
              <w:t>žiadateľ o zápis držiteľa do evidencie vozidiel prinesie spolu so žiadosťou o zápis držiteľa aj individuálny znalecký posudok potvrdený certifikovaným znalcom</w:t>
            </w:r>
            <w:r w:rsidRPr="00E105CF">
              <w:rPr>
                <w:rFonts w:ascii="Times New Roman" w:hAnsi="Times New Roman"/>
                <w:sz w:val="24"/>
                <w:szCs w:val="24"/>
                <w:lang w:val="sk-SK"/>
              </w:rPr>
              <w:t xml:space="preserve"> – podrobnejšie je tento proces opísaný v bode 7.3.2. tejto prílohy.</w:t>
            </w:r>
          </w:p>
          <w:p w:rsidR="008F7DF1" w:rsidRPr="00C95E6F" w:rsidP="00A65AE8">
            <w:pPr>
              <w:bidi w:val="0"/>
              <w:spacing w:line="240" w:lineRule="auto"/>
              <w:suppressOverlap/>
              <w:jc w:val="both"/>
              <w:rPr>
                <w:rFonts w:ascii="Times New Roman" w:hAnsi="Times New Roman"/>
                <w:i/>
                <w:sz w:val="24"/>
                <w:szCs w:val="24"/>
                <w:lang w:val="sk-SK"/>
              </w:rPr>
            </w:pPr>
            <w:r w:rsidRPr="00E105CF" w:rsidR="00E105CF">
              <w:rPr>
                <w:rFonts w:ascii="Times New Roman" w:hAnsi="Times New Roman"/>
                <w:sz w:val="24"/>
                <w:szCs w:val="24"/>
                <w:lang w:val="sk-SK"/>
              </w:rPr>
              <w:t>Ostatné navrhované zmeny reagujú na požiadavky z aplikácie centrálneho systému evidencie poplatkov napr. zníženie papierovej archivácie tam, kde to nie je nevyhnutné.</w:t>
            </w:r>
          </w:p>
        </w:tc>
      </w:tr>
      <w:tr>
        <w:tblPrEx>
          <w:tblW w:w="9371" w:type="dxa"/>
          <w:tblInd w:w="55" w:type="dxa"/>
          <w:tblLayout w:type="fixed"/>
          <w:tblCellMar>
            <w:top w:w="28" w:type="dxa"/>
            <w:left w:w="70" w:type="dxa"/>
            <w:bottom w:w="28" w:type="dxa"/>
            <w:right w:w="70" w:type="dxa"/>
          </w:tblCellMar>
        </w:tblPrEx>
        <w:trPr>
          <w:trHeight w:val="21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65AE8">
            <w:pPr>
              <w:bidi w:val="0"/>
              <w:spacing w:line="240" w:lineRule="auto"/>
              <w:suppressOverlap/>
              <w:rPr>
                <w:rFonts w:ascii="Times New Roman" w:hAnsi="Times New Roman"/>
                <w:i/>
                <w:sz w:val="24"/>
                <w:szCs w:val="24"/>
                <w:lang w:val="sk-SK"/>
              </w:rPr>
            </w:pPr>
            <w:r w:rsidRPr="00C95E6F">
              <w:rPr>
                <w:rFonts w:ascii="Times New Roman" w:hAnsi="Times New Roman"/>
                <w:i/>
                <w:sz w:val="24"/>
                <w:szCs w:val="24"/>
                <w:lang w:val="sk-SK"/>
              </w:rPr>
              <w:t>Nová služba (konkretizujte a popíšte)</w:t>
            </w:r>
          </w:p>
        </w:tc>
      </w:tr>
      <w:tr>
        <w:tblPrEx>
          <w:tblW w:w="9371" w:type="dxa"/>
          <w:tblInd w:w="55" w:type="dxa"/>
          <w:tblLayout w:type="fixed"/>
          <w:tblCellMar>
            <w:top w:w="28" w:type="dxa"/>
            <w:left w:w="70" w:type="dxa"/>
            <w:bottom w:w="28" w:type="dxa"/>
            <w:right w:w="70" w:type="dxa"/>
          </w:tblCellMar>
        </w:tblPrEx>
        <w:trPr>
          <w:trHeight w:val="59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65AE8">
            <w:pPr>
              <w:bidi w:val="0"/>
              <w:spacing w:line="240" w:lineRule="auto"/>
              <w:suppressOverlap/>
              <w:rPr>
                <w:rFonts w:ascii="Times New Roman" w:hAnsi="Times New Roman"/>
                <w:i/>
                <w:sz w:val="24"/>
                <w:szCs w:val="24"/>
                <w:lang w:val="sk-SK"/>
              </w:rPr>
            </w:pP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65AE8">
            <w:pPr>
              <w:bidi w:val="0"/>
              <w:spacing w:line="240" w:lineRule="auto"/>
              <w:suppressOverlap/>
              <w:rPr>
                <w:rFonts w:ascii="Times New Roman" w:hAnsi="Times New Roman"/>
                <w:b/>
                <w:sz w:val="24"/>
                <w:szCs w:val="24"/>
                <w:lang w:val="sk-SK"/>
              </w:rPr>
            </w:pPr>
            <w:r w:rsidRPr="00C95E6F">
              <w:rPr>
                <w:rFonts w:ascii="Times New Roman" w:hAnsi="Times New Roman"/>
                <w:b/>
                <w:sz w:val="24"/>
                <w:szCs w:val="24"/>
                <w:lang w:val="sk-SK"/>
              </w:rPr>
              <w:t>7.1.2 Špecifikácia služby verejnej správy, ktorá je dotknutá návrhom</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65AE8">
            <w:pPr>
              <w:bidi w:val="0"/>
              <w:spacing w:line="240" w:lineRule="auto"/>
              <w:suppressOverlap/>
              <w:rPr>
                <w:rFonts w:ascii="Times New Roman" w:hAnsi="Times New Roman"/>
                <w:i/>
                <w:sz w:val="24"/>
                <w:szCs w:val="24"/>
                <w:lang w:val="sk-SK"/>
              </w:rPr>
            </w:pPr>
            <w:r w:rsidRPr="00C95E6F">
              <w:rPr>
                <w:rFonts w:ascii="Times New Roman" w:hAnsi="Times New Roman"/>
                <w:i/>
                <w:sz w:val="24"/>
                <w:szCs w:val="24"/>
                <w:lang w:val="sk-SK"/>
              </w:rPr>
              <w:t xml:space="preserve">Názov služby </w:t>
            </w:r>
          </w:p>
        </w:tc>
      </w:tr>
      <w:tr>
        <w:tblPrEx>
          <w:tblW w:w="9371" w:type="dxa"/>
          <w:tblInd w:w="55" w:type="dxa"/>
          <w:tblLayout w:type="fixed"/>
          <w:tblCellMar>
            <w:top w:w="28" w:type="dxa"/>
            <w:left w:w="70" w:type="dxa"/>
            <w:bottom w:w="28" w:type="dxa"/>
            <w:right w:w="70" w:type="dxa"/>
          </w:tblCellMar>
        </w:tblPrEx>
        <w:trPr>
          <w:trHeight w:val="545"/>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65AE8">
            <w:pPr>
              <w:numPr>
                <w:numId w:val="20"/>
              </w:numPr>
              <w:bidi w:val="0"/>
              <w:spacing w:after="0" w:line="240" w:lineRule="auto"/>
              <w:suppressOverlap/>
              <w:jc w:val="both"/>
              <w:textAlignment w:val="baseline"/>
              <w:rPr>
                <w:rFonts w:ascii="Times New Roman" w:hAnsi="Times New Roman"/>
                <w:sz w:val="24"/>
                <w:szCs w:val="24"/>
                <w:lang w:val="sk-SK"/>
              </w:rPr>
            </w:pPr>
            <w:r w:rsidRPr="00C95E6F">
              <w:rPr>
                <w:rFonts w:ascii="Times New Roman" w:hAnsi="Times New Roman"/>
                <w:sz w:val="24"/>
                <w:szCs w:val="24"/>
                <w:lang w:val="sk-SK"/>
              </w:rPr>
              <w:t>Zápis držiteľa vozidla do evidencie vozidiel v Slovenskej republike podľa položky 65 sadzobníka správnych poplatkov.</w:t>
            </w:r>
          </w:p>
          <w:p w:rsidR="008F7DF1" w:rsidRPr="00C95E6F" w:rsidP="00A65AE8">
            <w:pPr>
              <w:bidi w:val="0"/>
              <w:spacing w:line="240" w:lineRule="auto"/>
              <w:ind w:left="720"/>
              <w:suppressOverlap/>
              <w:rPr>
                <w:rFonts w:ascii="Times New Roman" w:hAnsi="Times New Roman"/>
                <w:sz w:val="24"/>
                <w:szCs w:val="24"/>
                <w:lang w:val="sk-SK"/>
              </w:rPr>
            </w:pPr>
          </w:p>
          <w:p w:rsidR="008F7DF1" w:rsidRPr="00C95E6F" w:rsidP="00A65AE8">
            <w:pPr>
              <w:numPr>
                <w:numId w:val="20"/>
              </w:numPr>
              <w:bidi w:val="0"/>
              <w:spacing w:after="0" w:line="240" w:lineRule="auto"/>
              <w:suppressOverlap/>
              <w:jc w:val="both"/>
              <w:textAlignment w:val="baseline"/>
              <w:rPr>
                <w:rFonts w:ascii="Times New Roman" w:hAnsi="Times New Roman"/>
                <w:i/>
                <w:sz w:val="24"/>
                <w:szCs w:val="24"/>
                <w:lang w:val="sk-SK"/>
              </w:rPr>
            </w:pPr>
            <w:r w:rsidRPr="00C95E6F">
              <w:rPr>
                <w:rFonts w:ascii="Times New Roman" w:hAnsi="Times New Roman"/>
                <w:sz w:val="24"/>
                <w:szCs w:val="24"/>
                <w:lang w:val="sk-SK"/>
              </w:rPr>
              <w:t>Udelenie individuálnej licencie na prevádzkovanie hazardných hier a zmena licencie na základe oznámenia alebo požiadania prevádzkovateľa hazardnej hry podľa položky 140 sadzobníka správnych poplatkov.</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65AE8">
            <w:pPr>
              <w:bidi w:val="0"/>
              <w:spacing w:line="240" w:lineRule="auto"/>
              <w:suppressOverlap/>
              <w:rPr>
                <w:rFonts w:ascii="Times New Roman" w:hAnsi="Times New Roman"/>
                <w:b/>
                <w:i/>
                <w:sz w:val="24"/>
                <w:szCs w:val="24"/>
                <w:lang w:val="sk-SK"/>
              </w:rPr>
            </w:pPr>
            <w:r w:rsidRPr="00C95E6F">
              <w:rPr>
                <w:rFonts w:ascii="Times New Roman" w:hAnsi="Times New Roman"/>
                <w:i/>
                <w:sz w:val="24"/>
                <w:szCs w:val="24"/>
                <w:lang w:val="sk-SK"/>
              </w:rPr>
              <w:t>Platná právna úprava, na základe ktorej je služba poskytovaná (ak ide o zmenu existujúcej služby)</w:t>
            </w:r>
          </w:p>
        </w:tc>
      </w:tr>
      <w:tr>
        <w:tblPrEx>
          <w:tblW w:w="9371" w:type="dxa"/>
          <w:tblInd w:w="55" w:type="dxa"/>
          <w:tblLayout w:type="fixed"/>
          <w:tblCellMar>
            <w:top w:w="28" w:type="dxa"/>
            <w:left w:w="70" w:type="dxa"/>
            <w:bottom w:w="28" w:type="dxa"/>
            <w:right w:w="70" w:type="dxa"/>
          </w:tblCellMar>
        </w:tblPrEx>
        <w:trPr>
          <w:trHeight w:val="63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65AE8">
            <w:pPr>
              <w:bidi w:val="0"/>
              <w:spacing w:line="240" w:lineRule="auto"/>
              <w:suppressOverlap/>
              <w:rPr>
                <w:rFonts w:ascii="Times New Roman" w:hAnsi="Times New Roman"/>
                <w:b/>
                <w:sz w:val="24"/>
                <w:szCs w:val="24"/>
                <w:lang w:val="sk-SK"/>
              </w:rPr>
            </w:pPr>
            <w:r w:rsidRPr="00C95E6F">
              <w:rPr>
                <w:rFonts w:ascii="Times New Roman" w:hAnsi="Times New Roman"/>
                <w:b/>
                <w:sz w:val="24"/>
                <w:szCs w:val="24"/>
                <w:lang w:val="sk-SK"/>
              </w:rPr>
              <w:t>Zákon Národnej rady Slovenskej republiky č. 145/1995 Z. z. o správnych poplatkoch v znení neskorších predpisov.</w:t>
            </w:r>
          </w:p>
          <w:p w:rsidR="008F7DF1" w:rsidRPr="00C95E6F" w:rsidP="00A65AE8">
            <w:pPr>
              <w:bidi w:val="0"/>
              <w:spacing w:line="240" w:lineRule="auto"/>
              <w:suppressOverlap/>
              <w:rPr>
                <w:rFonts w:ascii="Times New Roman" w:hAnsi="Times New Roman"/>
                <w:b/>
                <w:i/>
                <w:sz w:val="24"/>
                <w:szCs w:val="24"/>
                <w:lang w:val="sk-SK"/>
              </w:rPr>
            </w:pPr>
            <w:r w:rsidRPr="00C95E6F">
              <w:rPr>
                <w:rFonts w:ascii="Times New Roman" w:hAnsi="Times New Roman"/>
                <w:b/>
                <w:sz w:val="24"/>
                <w:szCs w:val="24"/>
                <w:lang w:val="sk-SK"/>
              </w:rPr>
              <w:t>Zákon Slovenskej národnej rady č. 71/1992 Zb. o súdnych poplatkoch a poplatku za výpis z registra trestov v znení neskorších predpisov.</w:t>
            </w:r>
          </w:p>
        </w:tc>
      </w:tr>
      <w:tr>
        <w:tblPrEx>
          <w:tblW w:w="9371" w:type="dxa"/>
          <w:tblInd w:w="55" w:type="dxa"/>
          <w:tblLayout w:type="fixed"/>
          <w:tblCellMar>
            <w:top w:w="28" w:type="dxa"/>
            <w:left w:w="70" w:type="dxa"/>
            <w:bottom w:w="28" w:type="dxa"/>
            <w:right w:w="70" w:type="dxa"/>
          </w:tblCellMar>
        </w:tblPrEx>
        <w:trPr>
          <w:trHeight w:val="2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65AE8">
            <w:pPr>
              <w:bidi w:val="0"/>
              <w:spacing w:line="240" w:lineRule="auto"/>
              <w:suppressOverlap/>
              <w:rPr>
                <w:rFonts w:ascii="Times New Roman" w:hAnsi="Times New Roman"/>
                <w:b/>
                <w:i/>
                <w:sz w:val="24"/>
                <w:szCs w:val="24"/>
                <w:lang w:val="sk-SK"/>
              </w:rPr>
            </w:pPr>
            <w:r w:rsidRPr="00C95E6F">
              <w:rPr>
                <w:rFonts w:ascii="Times New Roman" w:hAnsi="Times New Roman"/>
                <w:i/>
                <w:sz w:val="24"/>
                <w:szCs w:val="24"/>
                <w:lang w:val="sk-SK"/>
              </w:rPr>
              <w:t xml:space="preserve">Subjekt, ktorý je na základe platnej právnej úpravy oprávnený službu poskytovať </w:t>
            </w:r>
          </w:p>
        </w:tc>
      </w:tr>
      <w:tr>
        <w:tblPrEx>
          <w:tblW w:w="9371" w:type="dxa"/>
          <w:tblInd w:w="55" w:type="dxa"/>
          <w:tblLayout w:type="fixed"/>
          <w:tblCellMar>
            <w:top w:w="28" w:type="dxa"/>
            <w:left w:w="70" w:type="dxa"/>
            <w:bottom w:w="28" w:type="dxa"/>
            <w:right w:w="70" w:type="dxa"/>
          </w:tblCellMar>
        </w:tblPrEx>
        <w:trPr>
          <w:trHeight w:val="58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65AE8">
            <w:pPr>
              <w:bidi w:val="0"/>
              <w:spacing w:line="240" w:lineRule="auto"/>
              <w:suppressOverlap/>
              <w:rPr>
                <w:rFonts w:ascii="Times New Roman" w:hAnsi="Times New Roman"/>
                <w:sz w:val="24"/>
                <w:szCs w:val="24"/>
                <w:lang w:val="sk-SK"/>
              </w:rPr>
            </w:pPr>
            <w:r w:rsidRPr="00C95E6F">
              <w:rPr>
                <w:rFonts w:ascii="Times New Roman" w:hAnsi="Times New Roman"/>
                <w:sz w:val="24"/>
                <w:szCs w:val="24"/>
                <w:lang w:val="sk-SK"/>
              </w:rPr>
              <w:t>Ministerstvo vnútra SR</w:t>
            </w:r>
          </w:p>
          <w:p w:rsidR="008F7DF1" w:rsidRPr="00C95E6F" w:rsidP="00A65AE8">
            <w:pPr>
              <w:bidi w:val="0"/>
              <w:spacing w:line="240" w:lineRule="auto"/>
              <w:suppressOverlap/>
              <w:rPr>
                <w:rFonts w:ascii="Times New Roman" w:hAnsi="Times New Roman"/>
                <w:sz w:val="24"/>
                <w:szCs w:val="24"/>
                <w:lang w:val="sk-SK"/>
              </w:rPr>
            </w:pPr>
            <w:r w:rsidRPr="00C95E6F">
              <w:rPr>
                <w:rFonts w:ascii="Times New Roman" w:hAnsi="Times New Roman"/>
                <w:sz w:val="24"/>
                <w:szCs w:val="24"/>
                <w:lang w:val="sk-SK"/>
              </w:rPr>
              <w:t>Ministerstvo financií SR</w:t>
            </w:r>
          </w:p>
        </w:tc>
      </w:tr>
      <w:tr>
        <w:tblPrEx>
          <w:tblW w:w="9371" w:type="dxa"/>
          <w:tblInd w:w="55" w:type="dxa"/>
          <w:tblLayout w:type="fixed"/>
          <w:tblCellMar>
            <w:top w:w="28" w:type="dxa"/>
            <w:left w:w="70" w:type="dxa"/>
            <w:bottom w:w="28" w:type="dxa"/>
            <w:right w:w="70" w:type="dxa"/>
          </w:tblCellMar>
        </w:tblPrEx>
        <w:trPr>
          <w:trHeight w:val="42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65AE8">
            <w:pPr>
              <w:bidi w:val="0"/>
              <w:spacing w:line="240" w:lineRule="auto"/>
              <w:suppressOverlap/>
              <w:rPr>
                <w:rFonts w:ascii="Times New Roman" w:hAnsi="Times New Roman"/>
                <w:b/>
                <w:i/>
                <w:sz w:val="24"/>
                <w:szCs w:val="24"/>
                <w:lang w:val="sk-SK"/>
              </w:rPr>
            </w:pPr>
            <w:r w:rsidRPr="00C95E6F">
              <w:rPr>
                <w:rFonts w:ascii="Times New Roman" w:hAnsi="Times New Roman"/>
                <w:b/>
                <w:sz w:val="24"/>
                <w:szCs w:val="24"/>
                <w:lang w:val="sk-SK"/>
              </w:rPr>
              <w:t xml:space="preserve">7.1.3 O aký vplyv na službu verejnej správy ide? </w:t>
            </w:r>
          </w:p>
        </w:tc>
      </w:tr>
      <w:tr>
        <w:tblPrEx>
          <w:tblW w:w="9371" w:type="dxa"/>
          <w:tblInd w:w="55" w:type="dxa"/>
          <w:tblLayout w:type="fixed"/>
          <w:tblCellMar>
            <w:top w:w="28" w:type="dxa"/>
            <w:left w:w="70" w:type="dxa"/>
            <w:bottom w:w="28" w:type="dxa"/>
            <w:right w:w="70" w:type="dxa"/>
          </w:tblCellMar>
        </w:tblPrEx>
        <w:trPr>
          <w:trHeight w:val="25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65AE8">
            <w:pPr>
              <w:bidi w:val="0"/>
              <w:spacing w:line="240" w:lineRule="auto"/>
              <w:suppressOverlap/>
              <w:rPr>
                <w:rFonts w:ascii="Times New Roman" w:hAnsi="Times New Roman"/>
                <w:b/>
                <w:i/>
                <w:sz w:val="24"/>
                <w:szCs w:val="24"/>
                <w:lang w:val="sk-SK"/>
              </w:rPr>
            </w:pPr>
            <w:r w:rsidRPr="00C95E6F">
              <w:rPr>
                <w:rFonts w:ascii="Times New Roman" w:hAnsi="Times New Roman"/>
                <w:i/>
                <w:sz w:val="24"/>
                <w:szCs w:val="24"/>
                <w:lang w:val="sk-SK"/>
              </w:rPr>
              <w:t xml:space="preserve">Priamy vplyv (popíšte) </w:t>
            </w:r>
          </w:p>
        </w:tc>
      </w:tr>
      <w:tr>
        <w:tblPrEx>
          <w:tblW w:w="9371" w:type="dxa"/>
          <w:tblInd w:w="55" w:type="dxa"/>
          <w:tblLayout w:type="fixed"/>
          <w:tblCellMar>
            <w:top w:w="28" w:type="dxa"/>
            <w:left w:w="70" w:type="dxa"/>
            <w:bottom w:w="28" w:type="dxa"/>
            <w:right w:w="70" w:type="dxa"/>
          </w:tblCellMar>
        </w:tblPrEx>
        <w:trPr>
          <w:trHeight w:val="54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65AE8">
            <w:pPr>
              <w:bidi w:val="0"/>
              <w:spacing w:line="240" w:lineRule="auto"/>
              <w:suppressOverlap/>
              <w:rPr>
                <w:rFonts w:ascii="Times New Roman" w:hAnsi="Times New Roman"/>
                <w:sz w:val="24"/>
                <w:szCs w:val="24"/>
                <w:lang w:val="sk-SK"/>
              </w:rPr>
            </w:pPr>
            <w:r w:rsidRPr="00C95E6F">
              <w:rPr>
                <w:rFonts w:ascii="Times New Roman" w:hAnsi="Times New Roman"/>
                <w:sz w:val="24"/>
                <w:szCs w:val="24"/>
                <w:lang w:val="sk-SK"/>
              </w:rPr>
              <w:t>Zmena systému sadzieb poplatkov pri podaní žiadosti o zápis držiteľa do evidencie vozidiel v Slovenskej republike, zvýšenie sadzieb za vydanie individuálnej licencie a zmenu licencie na prevádzkovanie hazardných hier.</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65AE8">
            <w:pPr>
              <w:bidi w:val="0"/>
              <w:spacing w:line="240" w:lineRule="auto"/>
              <w:suppressOverlap/>
              <w:rPr>
                <w:rFonts w:ascii="Times New Roman" w:hAnsi="Times New Roman"/>
                <w:b/>
                <w:i/>
                <w:sz w:val="24"/>
                <w:szCs w:val="24"/>
                <w:lang w:val="sk-SK"/>
              </w:rPr>
            </w:pPr>
            <w:r w:rsidRPr="00C95E6F">
              <w:rPr>
                <w:rFonts w:ascii="Times New Roman" w:hAnsi="Times New Roman"/>
                <w:i/>
                <w:sz w:val="24"/>
                <w:szCs w:val="24"/>
                <w:lang w:val="sk-SK"/>
              </w:rPr>
              <w:t xml:space="preserve">Nepriamy vplyv (popíšte) </w:t>
            </w:r>
          </w:p>
        </w:tc>
      </w:tr>
      <w:tr>
        <w:tblPrEx>
          <w:tblW w:w="9371" w:type="dxa"/>
          <w:tblInd w:w="55" w:type="dxa"/>
          <w:tblLayout w:type="fixed"/>
          <w:tblCellMar>
            <w:top w:w="28" w:type="dxa"/>
            <w:left w:w="70" w:type="dxa"/>
            <w:bottom w:w="28" w:type="dxa"/>
            <w:right w:w="70" w:type="dxa"/>
          </w:tblCellMar>
        </w:tblPrEx>
        <w:trPr>
          <w:trHeight w:val="61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65AE8">
            <w:pPr>
              <w:bidi w:val="0"/>
              <w:spacing w:line="240" w:lineRule="auto"/>
              <w:suppressOverlap/>
              <w:rPr>
                <w:rFonts w:ascii="Times New Roman" w:hAnsi="Times New Roman"/>
                <w:b/>
                <w:i/>
                <w:sz w:val="24"/>
                <w:szCs w:val="24"/>
                <w:lang w:val="sk-SK"/>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8F7DF1" w:rsidRPr="00C95E6F" w:rsidP="00A65AE8">
            <w:pPr>
              <w:bidi w:val="0"/>
              <w:spacing w:line="240" w:lineRule="auto"/>
              <w:suppressOverlap/>
              <w:jc w:val="center"/>
              <w:rPr>
                <w:rFonts w:ascii="Times New Roman" w:hAnsi="Times New Roman"/>
                <w:b/>
                <w:sz w:val="24"/>
                <w:szCs w:val="24"/>
                <w:lang w:val="sk-SK"/>
              </w:rPr>
            </w:pPr>
            <w:r w:rsidRPr="00C95E6F">
              <w:rPr>
                <w:rFonts w:ascii="Times New Roman" w:hAnsi="Times New Roman"/>
                <w:b/>
                <w:sz w:val="24"/>
                <w:szCs w:val="24"/>
                <w:lang w:val="sk-SK"/>
              </w:rPr>
              <w:t>7.2 Vplyv služieb verejnej správy na občana</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65AE8">
            <w:pPr>
              <w:bidi w:val="0"/>
              <w:spacing w:line="240" w:lineRule="auto"/>
              <w:suppressOverlap/>
              <w:rPr>
                <w:rFonts w:ascii="Times New Roman" w:hAnsi="Times New Roman"/>
                <w:b/>
                <w:sz w:val="24"/>
                <w:szCs w:val="24"/>
                <w:lang w:val="sk-SK"/>
              </w:rPr>
            </w:pPr>
            <w:r w:rsidRPr="00C95E6F">
              <w:rPr>
                <w:rFonts w:ascii="Times New Roman" w:hAnsi="Times New Roman"/>
                <w:b/>
                <w:sz w:val="24"/>
                <w:szCs w:val="24"/>
                <w:lang w:val="sk-SK"/>
              </w:rPr>
              <w:t xml:space="preserve">7.2.1 Náklady </w:t>
            </w:r>
          </w:p>
        </w:tc>
      </w:tr>
      <w:tr>
        <w:tblPrEx>
          <w:tblW w:w="9371" w:type="dxa"/>
          <w:tblInd w:w="55" w:type="dxa"/>
          <w:tblLayout w:type="fixed"/>
          <w:tblCellMar>
            <w:top w:w="28" w:type="dxa"/>
            <w:left w:w="70" w:type="dxa"/>
            <w:bottom w:w="28" w:type="dxa"/>
            <w:right w:w="70" w:type="dxa"/>
          </w:tblCellMar>
        </w:tblPrEx>
        <w:trPr>
          <w:trHeight w:val="22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65AE8">
            <w:pPr>
              <w:bidi w:val="0"/>
              <w:spacing w:line="240" w:lineRule="auto"/>
              <w:suppressOverlap/>
              <w:rPr>
                <w:rFonts w:ascii="Times New Roman" w:hAnsi="Times New Roman"/>
                <w:b/>
                <w:sz w:val="24"/>
                <w:szCs w:val="24"/>
                <w:lang w:val="sk-SK"/>
              </w:rPr>
            </w:pPr>
            <w:r w:rsidRPr="00C95E6F">
              <w:rPr>
                <w:rFonts w:ascii="Times New Roman" w:hAnsi="Times New Roman"/>
                <w:i/>
                <w:sz w:val="24"/>
                <w:szCs w:val="24"/>
                <w:lang w:val="sk-SK"/>
              </w:rPr>
              <w:t xml:space="preserve">Zníženie priamych finančných nákladov </w:t>
            </w:r>
          </w:p>
        </w:tc>
      </w:tr>
      <w:tr>
        <w:tblPrEx>
          <w:tblW w:w="9371" w:type="dxa"/>
          <w:tblInd w:w="55" w:type="dxa"/>
          <w:tblLayout w:type="fixed"/>
          <w:tblCellMar>
            <w:top w:w="28" w:type="dxa"/>
            <w:left w:w="70" w:type="dxa"/>
            <w:bottom w:w="28" w:type="dxa"/>
            <w:right w:w="70" w:type="dxa"/>
          </w:tblCellMar>
        </w:tblPrEx>
        <w:trPr>
          <w:trHeight w:val="59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E105CF" w:rsidP="00A65AE8">
            <w:pPr>
              <w:bidi w:val="0"/>
              <w:spacing w:line="240" w:lineRule="auto"/>
              <w:suppressOverlap/>
              <w:jc w:val="both"/>
              <w:rPr>
                <w:rFonts w:ascii="Times New Roman" w:hAnsi="Times New Roman"/>
                <w:sz w:val="24"/>
                <w:szCs w:val="24"/>
                <w:lang w:val="sk-SK"/>
              </w:rPr>
            </w:pPr>
            <w:r w:rsidRPr="00E105CF" w:rsidR="00E105CF">
              <w:rPr>
                <w:rFonts w:ascii="Times New Roman" w:hAnsi="Times New Roman"/>
                <w:sz w:val="24"/>
                <w:szCs w:val="24"/>
                <w:lang w:val="sk-SK"/>
              </w:rPr>
              <w:t>Zníženie poplatkov pre 17% všetkých žiadateľov o zápis držiteľa do evidencie vozidiel v SR (t.j. cca 68 300 žiadateľov ročne, z toho cca 27 800 fyzických osôb). Pozitívny vplyv môže predstavovať v závislosti od výkonu a veku vozidla oproti súčasnému stavu od 77 do 2763 EUR za každú registráciu (v priemere sa poplatok zníži o 182 EUR). Pozitívny vplyv zníženia poplatku pre vozidlá s alternatívnym pohonom o 50% a oslobodenie od správneho poplatku pri vyradení vozidiel z evidencie podľa zákona o odpadoch (oslobodenie poplatku 5 EUR pre 26 400 žiadateľov ročne, z toho cca 22 440 fyzických osôb).</w:t>
            </w:r>
          </w:p>
        </w:tc>
      </w:tr>
      <w:tr>
        <w:tblPrEx>
          <w:tblW w:w="9371" w:type="dxa"/>
          <w:tblInd w:w="55" w:type="dxa"/>
          <w:tblLayout w:type="fixed"/>
          <w:tblCellMar>
            <w:top w:w="28" w:type="dxa"/>
            <w:left w:w="70" w:type="dxa"/>
            <w:bottom w:w="28" w:type="dxa"/>
            <w:right w:w="70" w:type="dxa"/>
          </w:tblCellMar>
        </w:tblPrEx>
        <w:trPr>
          <w:trHeight w:val="29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65AE8">
            <w:pPr>
              <w:bidi w:val="0"/>
              <w:spacing w:line="240" w:lineRule="auto"/>
              <w:suppressOverlap/>
              <w:rPr>
                <w:rFonts w:ascii="Times New Roman" w:hAnsi="Times New Roman"/>
                <w:i/>
                <w:sz w:val="24"/>
                <w:szCs w:val="24"/>
                <w:lang w:val="sk-SK"/>
              </w:rPr>
            </w:pPr>
            <w:r w:rsidRPr="00C95E6F">
              <w:rPr>
                <w:rFonts w:ascii="Times New Roman" w:hAnsi="Times New Roman"/>
                <w:i/>
                <w:sz w:val="24"/>
                <w:szCs w:val="24"/>
                <w:lang w:val="sk-SK"/>
              </w:rPr>
              <w:t>Zvýšenie priamych finančných nákladov</w:t>
            </w:r>
          </w:p>
        </w:tc>
      </w:tr>
      <w:tr>
        <w:tblPrEx>
          <w:tblW w:w="9371" w:type="dxa"/>
          <w:tblInd w:w="55" w:type="dxa"/>
          <w:tblLayout w:type="fixed"/>
          <w:tblCellMar>
            <w:top w:w="28" w:type="dxa"/>
            <w:left w:w="70" w:type="dxa"/>
            <w:bottom w:w="28" w:type="dxa"/>
            <w:right w:w="70" w:type="dxa"/>
          </w:tblCellMar>
        </w:tblPrEx>
        <w:trPr>
          <w:trHeight w:val="57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65AE8">
            <w:pPr>
              <w:bidi w:val="0"/>
              <w:spacing w:line="240" w:lineRule="auto"/>
              <w:suppressOverlap/>
              <w:jc w:val="both"/>
              <w:rPr>
                <w:rFonts w:ascii="Times New Roman" w:hAnsi="Times New Roman"/>
                <w:sz w:val="24"/>
                <w:szCs w:val="24"/>
                <w:lang w:val="sk-SK"/>
              </w:rPr>
            </w:pPr>
            <w:r w:rsidRPr="00C95E6F">
              <w:rPr>
                <w:rFonts w:ascii="Times New Roman" w:hAnsi="Times New Roman"/>
                <w:sz w:val="24"/>
                <w:szCs w:val="24"/>
                <w:lang w:val="sk-SK"/>
              </w:rPr>
              <w:t>Zvýšenie poplatkov pre 16% všetkých žiadateľov o zápis držiteľa do evidencie vozidiel v SR (t.j. cca 67 300 žiadateľov ročne, z toho cca 45 000 fyzických osôb). Negatívny vplyv môže predstavovať v závislosti od výkonu a veku vozidla oproti súčasnému stavu 1 –  3165 EUR za každú registráciu (najväčšie zvýšenie poplatku sa týka preregistrácie tuzemského vozidla s výkonom nad 254 kW a s vekom do 1 roka). Priemerné zvýšenie poplatku predstavuje 184 EUR.</w:t>
            </w:r>
          </w:p>
          <w:p w:rsidR="008F7DF1" w:rsidRPr="00C95E6F" w:rsidP="00A65AE8">
            <w:pPr>
              <w:bidi w:val="0"/>
              <w:spacing w:line="240" w:lineRule="auto"/>
              <w:suppressOverlap/>
              <w:rPr>
                <w:rFonts w:ascii="Times New Roman" w:hAnsi="Times New Roman"/>
                <w:i/>
                <w:sz w:val="24"/>
                <w:szCs w:val="24"/>
                <w:lang w:val="sk-SK"/>
              </w:rPr>
            </w:pPr>
            <w:r w:rsidRPr="00C95E6F">
              <w:rPr>
                <w:rFonts w:ascii="Times New Roman" w:hAnsi="Times New Roman"/>
                <w:sz w:val="24"/>
                <w:szCs w:val="24"/>
                <w:lang w:val="sk-SK"/>
              </w:rPr>
              <w:t>Zvýšenie poplatkov pre 220 – 275 prípadov ročne súvisiacich s licenciami na prevádzkovanie hazardných hier.</w:t>
            </w:r>
          </w:p>
        </w:tc>
      </w:tr>
      <w:tr>
        <w:tblPrEx>
          <w:tblW w:w="9371" w:type="dxa"/>
          <w:tblInd w:w="55" w:type="dxa"/>
          <w:tblLayout w:type="fixed"/>
          <w:tblCellMar>
            <w:top w:w="28" w:type="dxa"/>
            <w:left w:w="70" w:type="dxa"/>
            <w:bottom w:w="28" w:type="dxa"/>
            <w:right w:w="70" w:type="dxa"/>
          </w:tblCellMar>
        </w:tblPrEx>
        <w:trPr>
          <w:trHeight w:val="21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65AE8">
            <w:pPr>
              <w:bidi w:val="0"/>
              <w:spacing w:line="240" w:lineRule="auto"/>
              <w:suppressOverlap/>
              <w:rPr>
                <w:rFonts w:ascii="Times New Roman" w:hAnsi="Times New Roman"/>
                <w:i/>
                <w:sz w:val="24"/>
                <w:szCs w:val="24"/>
                <w:lang w:val="sk-SK"/>
              </w:rPr>
            </w:pPr>
            <w:r w:rsidRPr="00C95E6F">
              <w:rPr>
                <w:rFonts w:ascii="Times New Roman" w:hAnsi="Times New Roman"/>
                <w:i/>
                <w:sz w:val="24"/>
                <w:szCs w:val="24"/>
                <w:lang w:val="sk-SK"/>
              </w:rPr>
              <w:t>Zníženie nepriamych finančných nákladov</w:t>
            </w:r>
          </w:p>
        </w:tc>
      </w:tr>
      <w:tr>
        <w:tblPrEx>
          <w:tblW w:w="9371" w:type="dxa"/>
          <w:tblInd w:w="55" w:type="dxa"/>
          <w:tblLayout w:type="fixed"/>
          <w:tblCellMar>
            <w:top w:w="28" w:type="dxa"/>
            <w:left w:w="70" w:type="dxa"/>
            <w:bottom w:w="28" w:type="dxa"/>
            <w:right w:w="70" w:type="dxa"/>
          </w:tblCellMar>
        </w:tblPrEx>
        <w:trPr>
          <w:trHeight w:val="70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65AE8">
            <w:pPr>
              <w:bidi w:val="0"/>
              <w:spacing w:line="240" w:lineRule="auto"/>
              <w:suppressOverlap/>
              <w:rPr>
                <w:rFonts w:ascii="Times New Roman" w:hAnsi="Times New Roman"/>
                <w:sz w:val="24"/>
                <w:szCs w:val="24"/>
                <w:lang w:val="sk-SK"/>
              </w:rPr>
            </w:pPr>
            <w:r w:rsidRPr="00C95E6F">
              <w:rPr>
                <w:rFonts w:ascii="Times New Roman" w:hAnsi="Times New Roman"/>
                <w:sz w:val="24"/>
                <w:szCs w:val="24"/>
                <w:lang w:val="sk-SK"/>
              </w:rPr>
              <w:t>Žiadne.</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65AE8">
            <w:pPr>
              <w:bidi w:val="0"/>
              <w:spacing w:line="240" w:lineRule="auto"/>
              <w:suppressOverlap/>
              <w:rPr>
                <w:rFonts w:ascii="Times New Roman" w:hAnsi="Times New Roman"/>
                <w:i/>
                <w:sz w:val="24"/>
                <w:szCs w:val="24"/>
                <w:lang w:val="sk-SK"/>
              </w:rPr>
            </w:pPr>
            <w:r w:rsidRPr="00C95E6F">
              <w:rPr>
                <w:rFonts w:ascii="Times New Roman" w:hAnsi="Times New Roman"/>
                <w:i/>
                <w:sz w:val="24"/>
                <w:szCs w:val="24"/>
                <w:lang w:val="sk-SK"/>
              </w:rPr>
              <w:t>Zvýšenie nepriamych finančných nákladov</w:t>
            </w:r>
          </w:p>
        </w:tc>
      </w:tr>
      <w:tr>
        <w:tblPrEx>
          <w:tblW w:w="9371" w:type="dxa"/>
          <w:tblInd w:w="55" w:type="dxa"/>
          <w:tblLayout w:type="fixed"/>
          <w:tblCellMar>
            <w:top w:w="28" w:type="dxa"/>
            <w:left w:w="70" w:type="dxa"/>
            <w:bottom w:w="28" w:type="dxa"/>
            <w:right w:w="70" w:type="dxa"/>
          </w:tblCellMar>
        </w:tblPrEx>
        <w:trPr>
          <w:trHeight w:val="80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65AE8">
            <w:pPr>
              <w:bidi w:val="0"/>
              <w:spacing w:line="240" w:lineRule="auto"/>
              <w:suppressOverlap/>
              <w:rPr>
                <w:rFonts w:ascii="Times New Roman" w:hAnsi="Times New Roman"/>
                <w:sz w:val="24"/>
                <w:szCs w:val="24"/>
                <w:lang w:val="sk-SK"/>
              </w:rPr>
            </w:pPr>
            <w:r w:rsidRPr="00C95E6F">
              <w:rPr>
                <w:rFonts w:ascii="Times New Roman" w:hAnsi="Times New Roman"/>
                <w:sz w:val="24"/>
                <w:szCs w:val="24"/>
                <w:lang w:val="sk-SK"/>
              </w:rPr>
              <w:t>Žiadne.</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65AE8">
            <w:pPr>
              <w:bidi w:val="0"/>
              <w:spacing w:line="240" w:lineRule="auto"/>
              <w:suppressOverlap/>
              <w:rPr>
                <w:rFonts w:ascii="Times New Roman" w:hAnsi="Times New Roman"/>
                <w:i/>
                <w:iCs/>
                <w:sz w:val="24"/>
                <w:szCs w:val="24"/>
                <w:lang w:val="sk-SK"/>
              </w:rPr>
            </w:pPr>
            <w:r w:rsidRPr="00C95E6F">
              <w:rPr>
                <w:rFonts w:ascii="Times New Roman" w:hAnsi="Times New Roman"/>
                <w:b/>
                <w:sz w:val="24"/>
                <w:szCs w:val="24"/>
                <w:lang w:val="sk-SK"/>
              </w:rPr>
              <w:t xml:space="preserve">7.2.2 Časový vplyv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65AE8">
            <w:pPr>
              <w:bidi w:val="0"/>
              <w:spacing w:line="240" w:lineRule="auto"/>
              <w:suppressOverlap/>
              <w:rPr>
                <w:rFonts w:ascii="Times New Roman" w:hAnsi="Times New Roman"/>
                <w:b/>
                <w:sz w:val="24"/>
                <w:szCs w:val="24"/>
                <w:lang w:val="sk-SK"/>
              </w:rPr>
            </w:pPr>
            <w:r w:rsidRPr="00C95E6F">
              <w:rPr>
                <w:rFonts w:ascii="Times New Roman" w:hAnsi="Times New Roman"/>
                <w:i/>
                <w:sz w:val="24"/>
                <w:szCs w:val="24"/>
                <w:lang w:val="sk-SK"/>
              </w:rPr>
              <w:t>Zvýšenie času vybavenia požiadavky (popíšte)</w:t>
            </w:r>
          </w:p>
        </w:tc>
      </w:tr>
      <w:tr>
        <w:tblPrEx>
          <w:tblW w:w="9371" w:type="dxa"/>
          <w:tblInd w:w="55" w:type="dxa"/>
          <w:tblLayout w:type="fixed"/>
          <w:tblCellMar>
            <w:top w:w="28" w:type="dxa"/>
            <w:left w:w="70" w:type="dxa"/>
            <w:bottom w:w="28" w:type="dxa"/>
            <w:right w:w="70" w:type="dxa"/>
          </w:tblCellMar>
        </w:tblPrEx>
        <w:trPr>
          <w:trHeight w:val="70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65AE8">
            <w:pPr>
              <w:bidi w:val="0"/>
              <w:spacing w:line="240" w:lineRule="auto"/>
              <w:suppressOverlap/>
              <w:rPr>
                <w:rFonts w:ascii="Times New Roman" w:hAnsi="Times New Roman"/>
                <w:sz w:val="24"/>
                <w:szCs w:val="24"/>
                <w:lang w:val="sk-SK"/>
              </w:rPr>
            </w:pPr>
            <w:r w:rsidRPr="00C95E6F">
              <w:rPr>
                <w:rFonts w:ascii="Times New Roman" w:hAnsi="Times New Roman"/>
                <w:sz w:val="24"/>
                <w:szCs w:val="24"/>
                <w:lang w:val="sk-SK"/>
              </w:rPr>
              <w:t xml:space="preserve">Bez dodatočných časových nárokov.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65AE8">
            <w:pPr>
              <w:bidi w:val="0"/>
              <w:spacing w:line="240" w:lineRule="auto"/>
              <w:suppressOverlap/>
              <w:rPr>
                <w:rFonts w:ascii="Times New Roman" w:hAnsi="Times New Roman"/>
                <w:b/>
                <w:sz w:val="24"/>
                <w:szCs w:val="24"/>
                <w:lang w:val="sk-SK"/>
              </w:rPr>
            </w:pPr>
            <w:r w:rsidRPr="00C95E6F">
              <w:rPr>
                <w:rFonts w:ascii="Times New Roman" w:hAnsi="Times New Roman"/>
                <w:i/>
                <w:sz w:val="24"/>
                <w:szCs w:val="24"/>
                <w:lang w:val="sk-SK"/>
              </w:rPr>
              <w:t>Zníženie času  vybavenia požiadavky (popíšte)</w:t>
            </w:r>
          </w:p>
        </w:tc>
      </w:tr>
      <w:tr>
        <w:tblPrEx>
          <w:tblW w:w="9371" w:type="dxa"/>
          <w:tblInd w:w="55" w:type="dxa"/>
          <w:tblLayout w:type="fixed"/>
          <w:tblCellMar>
            <w:top w:w="28" w:type="dxa"/>
            <w:left w:w="70" w:type="dxa"/>
            <w:bottom w:w="28" w:type="dxa"/>
            <w:right w:w="70" w:type="dxa"/>
          </w:tblCellMar>
        </w:tblPrEx>
        <w:trPr>
          <w:trHeight w:val="72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65AE8">
            <w:pPr>
              <w:bidi w:val="0"/>
              <w:spacing w:line="240" w:lineRule="auto"/>
              <w:suppressOverlap/>
              <w:rPr>
                <w:rFonts w:ascii="Times New Roman" w:hAnsi="Times New Roman"/>
                <w:b/>
                <w:sz w:val="24"/>
                <w:szCs w:val="24"/>
                <w:lang w:val="sk-SK"/>
              </w:rPr>
            </w:pPr>
          </w:p>
        </w:tc>
      </w:tr>
      <w:tr>
        <w:tblPrEx>
          <w:tblW w:w="9371" w:type="dxa"/>
          <w:tblInd w:w="55" w:type="dxa"/>
          <w:tblLayout w:type="fixed"/>
          <w:tblCellMar>
            <w:top w:w="28" w:type="dxa"/>
            <w:left w:w="70" w:type="dxa"/>
            <w:bottom w:w="28" w:type="dxa"/>
            <w:right w:w="70" w:type="dxa"/>
          </w:tblCellMar>
        </w:tblPrEx>
        <w:trPr>
          <w:trHeight w:val="42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65AE8">
            <w:pPr>
              <w:bidi w:val="0"/>
              <w:spacing w:line="240" w:lineRule="auto"/>
              <w:suppressOverlap/>
              <w:rPr>
                <w:rFonts w:ascii="Times New Roman" w:hAnsi="Times New Roman"/>
                <w:b/>
                <w:sz w:val="24"/>
                <w:szCs w:val="24"/>
                <w:lang w:val="sk-SK"/>
              </w:rPr>
            </w:pPr>
            <w:r w:rsidRPr="00C95E6F">
              <w:rPr>
                <w:rFonts w:ascii="Times New Roman" w:hAnsi="Times New Roman"/>
                <w:b/>
                <w:sz w:val="24"/>
                <w:szCs w:val="24"/>
                <w:lang w:val="sk-SK"/>
              </w:rPr>
              <w:t xml:space="preserve">7.2.3 Ktorá skupina občanov bude predloženým návrhom ovplyvnená? </w:t>
            </w:r>
          </w:p>
          <w:p w:rsidR="008F7DF1" w:rsidRPr="00C95E6F" w:rsidP="00A65AE8">
            <w:pPr>
              <w:bidi w:val="0"/>
              <w:spacing w:line="240" w:lineRule="auto"/>
              <w:suppressOverlap/>
              <w:rPr>
                <w:rFonts w:ascii="Times New Roman" w:hAnsi="Times New Roman"/>
                <w:i/>
                <w:iCs/>
                <w:sz w:val="24"/>
                <w:szCs w:val="24"/>
                <w:lang w:val="sk-SK"/>
              </w:rPr>
            </w:pPr>
            <w:r w:rsidRPr="00C95E6F">
              <w:rPr>
                <w:rFonts w:ascii="Times New Roman" w:hAnsi="Times New Roman"/>
                <w:i/>
                <w:iCs/>
                <w:sz w:val="24"/>
                <w:szCs w:val="24"/>
                <w:lang w:val="sk-SK"/>
              </w:rPr>
              <w:t>Špecifikujte skupinu občanov, ktorá bude návrhom ovplyvnená (napr. držitelia vodičských oprávnení). Aká je  veľkosť tejto skupiny?</w:t>
            </w:r>
          </w:p>
        </w:tc>
      </w:tr>
      <w:tr>
        <w:tblPrEx>
          <w:tblW w:w="9371" w:type="dxa"/>
          <w:tblInd w:w="55" w:type="dxa"/>
          <w:tblLayout w:type="fixed"/>
          <w:tblCellMar>
            <w:top w:w="28" w:type="dxa"/>
            <w:left w:w="70" w:type="dxa"/>
            <w:bottom w:w="28" w:type="dxa"/>
            <w:right w:w="70" w:type="dxa"/>
          </w:tblCellMar>
        </w:tblPrEx>
        <w:trPr>
          <w:trHeight w:val="73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65AE8">
            <w:pPr>
              <w:bidi w:val="0"/>
              <w:spacing w:line="240" w:lineRule="auto"/>
              <w:suppressOverlap/>
              <w:rPr>
                <w:rFonts w:ascii="Times New Roman" w:hAnsi="Times New Roman"/>
                <w:iCs/>
                <w:sz w:val="24"/>
                <w:szCs w:val="24"/>
                <w:lang w:val="sk-SK"/>
              </w:rPr>
            </w:pPr>
            <w:r w:rsidRPr="00C95E6F">
              <w:rPr>
                <w:rFonts w:ascii="Times New Roman" w:hAnsi="Times New Roman"/>
                <w:iCs/>
                <w:sz w:val="24"/>
                <w:szCs w:val="24"/>
                <w:lang w:val="sk-SK"/>
              </w:rPr>
              <w:t>Ročne sa na Slovensku vykoná približne 415 000 zápisov držiteľa do evidencie vozidiel, ktoré sa týkajú tak nových vozidiel, ako aj starších vozidiel kategórie vozidiel L, M</w:t>
            </w:r>
            <w:r w:rsidRPr="00C95E6F">
              <w:rPr>
                <w:rFonts w:ascii="Times New Roman" w:hAnsi="Times New Roman"/>
                <w:iCs/>
                <w:sz w:val="24"/>
                <w:szCs w:val="24"/>
                <w:vertAlign w:val="subscript"/>
                <w:lang w:val="sk-SK"/>
              </w:rPr>
              <w:t>1</w:t>
            </w:r>
            <w:r w:rsidRPr="00C95E6F">
              <w:rPr>
                <w:rFonts w:ascii="Times New Roman" w:hAnsi="Times New Roman"/>
                <w:iCs/>
                <w:sz w:val="24"/>
                <w:szCs w:val="24"/>
                <w:lang w:val="sk-SK"/>
              </w:rPr>
              <w:t xml:space="preserve"> a N</w:t>
            </w:r>
            <w:r w:rsidRPr="00C95E6F">
              <w:rPr>
                <w:rFonts w:ascii="Times New Roman" w:hAnsi="Times New Roman"/>
                <w:iCs/>
                <w:sz w:val="24"/>
                <w:szCs w:val="24"/>
                <w:vertAlign w:val="subscript"/>
                <w:lang w:val="sk-SK"/>
              </w:rPr>
              <w:t>1</w:t>
            </w:r>
            <w:r w:rsidRPr="00C95E6F">
              <w:rPr>
                <w:rFonts w:ascii="Times New Roman" w:hAnsi="Times New Roman"/>
                <w:iCs/>
                <w:sz w:val="24"/>
                <w:szCs w:val="24"/>
                <w:lang w:val="sk-SK"/>
              </w:rPr>
              <w:t>.</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65AE8">
            <w:pPr>
              <w:bidi w:val="0"/>
              <w:spacing w:line="240" w:lineRule="auto"/>
              <w:suppressOverlap/>
              <w:rPr>
                <w:rFonts w:ascii="Times New Roman" w:hAnsi="Times New Roman"/>
                <w:i/>
                <w:iCs/>
                <w:sz w:val="24"/>
                <w:szCs w:val="24"/>
                <w:lang w:val="sk-SK"/>
              </w:rPr>
            </w:pPr>
            <w:r w:rsidRPr="00C95E6F">
              <w:rPr>
                <w:rFonts w:ascii="Times New Roman" w:hAnsi="Times New Roman"/>
                <w:b/>
                <w:sz w:val="24"/>
                <w:szCs w:val="24"/>
                <w:lang w:val="sk-SK"/>
              </w:rPr>
              <w:t xml:space="preserve">7.2.4 Vyplývajú z návrhu pre občana pri vybavení svojej požiadavky nové povinnosti alebo zanikajú už existujúce povinnosti?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65AE8">
            <w:pPr>
              <w:bidi w:val="0"/>
              <w:spacing w:line="240" w:lineRule="auto"/>
              <w:suppressOverlap/>
              <w:rPr>
                <w:rFonts w:ascii="Times New Roman" w:hAnsi="Times New Roman"/>
                <w:i/>
                <w:iCs/>
                <w:sz w:val="24"/>
                <w:szCs w:val="24"/>
                <w:lang w:val="sk-SK"/>
              </w:rPr>
            </w:pPr>
            <w:r w:rsidRPr="00C95E6F">
              <w:rPr>
                <w:rFonts w:ascii="Times New Roman" w:hAnsi="Times New Roman"/>
                <w:i/>
                <w:iCs/>
                <w:sz w:val="24"/>
                <w:szCs w:val="24"/>
                <w:lang w:val="sk-SK"/>
              </w:rPr>
              <w:t xml:space="preserve">Nové povinnosti (identifikujte) </w:t>
            </w:r>
          </w:p>
        </w:tc>
      </w:tr>
      <w:tr>
        <w:tblPrEx>
          <w:tblW w:w="9371" w:type="dxa"/>
          <w:tblInd w:w="55" w:type="dxa"/>
          <w:tblLayout w:type="fixed"/>
          <w:tblCellMar>
            <w:top w:w="28" w:type="dxa"/>
            <w:left w:w="70" w:type="dxa"/>
            <w:bottom w:w="28" w:type="dxa"/>
            <w:right w:w="70" w:type="dxa"/>
          </w:tblCellMar>
        </w:tblPrEx>
        <w:trPr>
          <w:trHeight w:val="72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65AE8">
            <w:pPr>
              <w:bidi w:val="0"/>
              <w:spacing w:line="240" w:lineRule="auto"/>
              <w:suppressOverlap/>
              <w:rPr>
                <w:rFonts w:ascii="Times New Roman" w:hAnsi="Times New Roman"/>
                <w:iCs/>
                <w:sz w:val="24"/>
                <w:szCs w:val="24"/>
                <w:lang w:val="sk-SK"/>
              </w:rPr>
            </w:pPr>
            <w:r w:rsidRPr="00C95E6F">
              <w:rPr>
                <w:rFonts w:ascii="Times New Roman" w:hAnsi="Times New Roman"/>
                <w:iCs/>
                <w:sz w:val="24"/>
                <w:szCs w:val="24"/>
                <w:lang w:val="sk-SK"/>
              </w:rPr>
              <w:t>Žiadne.</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65AE8">
            <w:pPr>
              <w:bidi w:val="0"/>
              <w:spacing w:line="240" w:lineRule="auto"/>
              <w:suppressOverlap/>
              <w:rPr>
                <w:rFonts w:ascii="Times New Roman" w:hAnsi="Times New Roman"/>
                <w:i/>
                <w:iCs/>
                <w:sz w:val="24"/>
                <w:szCs w:val="24"/>
                <w:lang w:val="sk-SK"/>
              </w:rPr>
            </w:pPr>
            <w:r w:rsidRPr="00C95E6F">
              <w:rPr>
                <w:rFonts w:ascii="Times New Roman" w:hAnsi="Times New Roman"/>
                <w:i/>
                <w:iCs/>
                <w:sz w:val="24"/>
                <w:szCs w:val="24"/>
                <w:lang w:val="sk-SK"/>
              </w:rPr>
              <w:t>Zanikajúce povinnosti (identifikujte)</w:t>
            </w:r>
          </w:p>
        </w:tc>
      </w:tr>
      <w:tr>
        <w:tblPrEx>
          <w:tblW w:w="9371" w:type="dxa"/>
          <w:tblInd w:w="55" w:type="dxa"/>
          <w:tblLayout w:type="fixed"/>
          <w:tblCellMar>
            <w:top w:w="28" w:type="dxa"/>
            <w:left w:w="70" w:type="dxa"/>
            <w:bottom w:w="28" w:type="dxa"/>
            <w:right w:w="70" w:type="dxa"/>
          </w:tblCellMar>
        </w:tblPrEx>
        <w:trPr>
          <w:trHeight w:val="60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65AE8">
            <w:pPr>
              <w:bidi w:val="0"/>
              <w:spacing w:line="240" w:lineRule="auto"/>
              <w:suppressOverlap/>
              <w:rPr>
                <w:rFonts w:ascii="Times New Roman" w:hAnsi="Times New Roman"/>
                <w:iCs/>
                <w:sz w:val="24"/>
                <w:szCs w:val="24"/>
                <w:lang w:val="sk-SK"/>
              </w:rPr>
            </w:pPr>
            <w:r w:rsidRPr="00C95E6F">
              <w:rPr>
                <w:rFonts w:ascii="Times New Roman" w:hAnsi="Times New Roman"/>
                <w:iCs/>
                <w:sz w:val="24"/>
                <w:szCs w:val="24"/>
                <w:lang w:val="sk-SK"/>
              </w:rPr>
              <w:t>Žiadne.</w:t>
            </w:r>
          </w:p>
          <w:p w:rsidR="008F7DF1" w:rsidRPr="00C95E6F" w:rsidP="00A65AE8">
            <w:pPr>
              <w:bidi w:val="0"/>
              <w:spacing w:line="240" w:lineRule="auto"/>
              <w:suppressOverlap/>
              <w:rPr>
                <w:rFonts w:ascii="Times New Roman" w:hAnsi="Times New Roman"/>
                <w:i/>
                <w:iCs/>
                <w:sz w:val="24"/>
                <w:szCs w:val="24"/>
                <w:lang w:val="sk-SK"/>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8F7DF1" w:rsidRPr="00C95E6F" w:rsidP="00A65AE8">
            <w:pPr>
              <w:bidi w:val="0"/>
              <w:spacing w:line="240" w:lineRule="auto"/>
              <w:suppressOverlap/>
              <w:jc w:val="center"/>
              <w:rPr>
                <w:rFonts w:ascii="Times New Roman" w:hAnsi="Times New Roman"/>
                <w:b/>
                <w:sz w:val="24"/>
                <w:szCs w:val="24"/>
                <w:lang w:val="sk-SK"/>
              </w:rPr>
            </w:pPr>
            <w:r w:rsidRPr="00C95E6F">
              <w:rPr>
                <w:rFonts w:ascii="Times New Roman" w:hAnsi="Times New Roman"/>
                <w:b/>
                <w:sz w:val="24"/>
                <w:szCs w:val="24"/>
                <w:lang w:val="sk-SK"/>
              </w:rPr>
              <w:t>7.3 Vplyv na procesy služieb vo verejnej správe</w:t>
            </w:r>
          </w:p>
        </w:tc>
      </w:tr>
      <w:tr>
        <w:tblPrEx>
          <w:tblW w:w="9371" w:type="dxa"/>
          <w:tblInd w:w="55" w:type="dxa"/>
          <w:tblLayout w:type="fixed"/>
          <w:tblCellMar>
            <w:top w:w="28" w:type="dxa"/>
            <w:left w:w="70" w:type="dxa"/>
            <w:bottom w:w="28" w:type="dxa"/>
            <w:right w:w="70" w:type="dxa"/>
          </w:tblCellMar>
        </w:tblPrEx>
        <w:trPr>
          <w:trHeight w:val="39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65AE8">
            <w:pPr>
              <w:bidi w:val="0"/>
              <w:spacing w:line="240" w:lineRule="auto"/>
              <w:suppressOverlap/>
              <w:rPr>
                <w:rFonts w:ascii="Times New Roman" w:hAnsi="Times New Roman"/>
                <w:b/>
                <w:sz w:val="24"/>
                <w:szCs w:val="24"/>
                <w:lang w:val="sk-SK"/>
              </w:rPr>
            </w:pPr>
            <w:r w:rsidRPr="00C95E6F">
              <w:rPr>
                <w:rFonts w:ascii="Times New Roman" w:hAnsi="Times New Roman"/>
                <w:b/>
                <w:sz w:val="24"/>
                <w:szCs w:val="24"/>
                <w:lang w:val="sk-SK"/>
              </w:rPr>
              <w:t xml:space="preserve">7.3.1 Ktoré sú dotknuté subjekty verejnej správy? </w:t>
            </w:r>
          </w:p>
          <w:p w:rsidR="008F7DF1" w:rsidRPr="00C95E6F" w:rsidP="00A65AE8">
            <w:pPr>
              <w:bidi w:val="0"/>
              <w:spacing w:line="240" w:lineRule="auto"/>
              <w:suppressOverlap/>
              <w:rPr>
                <w:rFonts w:ascii="Times New Roman" w:hAnsi="Times New Roman"/>
                <w:i/>
                <w:iCs/>
                <w:sz w:val="24"/>
                <w:szCs w:val="24"/>
                <w:lang w:val="sk-SK"/>
              </w:rPr>
            </w:pPr>
            <w:r w:rsidRPr="00C95E6F">
              <w:rPr>
                <w:rFonts w:ascii="Times New Roman" w:hAnsi="Times New Roman"/>
                <w:i/>
                <w:sz w:val="24"/>
                <w:szCs w:val="24"/>
                <w:lang w:val="sk-SK"/>
              </w:rPr>
              <w:t xml:space="preserve">Ktoré subjekty verejnej správy sú účastné procesu poskytnutia služby? </w:t>
            </w:r>
          </w:p>
        </w:tc>
      </w:tr>
      <w:tr>
        <w:tblPrEx>
          <w:tblW w:w="9371" w:type="dxa"/>
          <w:tblInd w:w="55" w:type="dxa"/>
          <w:tblLayout w:type="fixed"/>
          <w:tblCellMar>
            <w:top w:w="28" w:type="dxa"/>
            <w:left w:w="70" w:type="dxa"/>
            <w:bottom w:w="28" w:type="dxa"/>
            <w:right w:w="70" w:type="dxa"/>
          </w:tblCellMar>
        </w:tblPrEx>
        <w:trPr>
          <w:trHeight w:val="73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65AE8">
            <w:pPr>
              <w:bidi w:val="0"/>
              <w:spacing w:line="240" w:lineRule="auto"/>
              <w:suppressOverlap/>
              <w:rPr>
                <w:rFonts w:ascii="Times New Roman" w:hAnsi="Times New Roman"/>
                <w:sz w:val="24"/>
                <w:szCs w:val="24"/>
                <w:lang w:val="sk-SK"/>
              </w:rPr>
            </w:pPr>
            <w:r w:rsidRPr="00C95E6F">
              <w:rPr>
                <w:rFonts w:ascii="Times New Roman" w:hAnsi="Times New Roman"/>
                <w:sz w:val="24"/>
                <w:szCs w:val="24"/>
                <w:lang w:val="sk-SK"/>
              </w:rPr>
              <w:t>Ministerstvo vnútra SR – oddelenia dopravných inšpektorátov a klientske centrá.</w:t>
            </w:r>
          </w:p>
          <w:p w:rsidR="008F7DF1" w:rsidRPr="00C95E6F" w:rsidP="00A65AE8">
            <w:pPr>
              <w:bidi w:val="0"/>
              <w:spacing w:line="240" w:lineRule="auto"/>
              <w:suppressOverlap/>
              <w:rPr>
                <w:rFonts w:ascii="Times New Roman" w:hAnsi="Times New Roman"/>
                <w:sz w:val="24"/>
                <w:szCs w:val="24"/>
                <w:lang w:val="sk-SK"/>
              </w:rPr>
            </w:pPr>
            <w:r w:rsidRPr="00C95E6F">
              <w:rPr>
                <w:rFonts w:ascii="Times New Roman" w:hAnsi="Times New Roman"/>
                <w:sz w:val="24"/>
                <w:szCs w:val="24"/>
                <w:lang w:val="sk-SK"/>
              </w:rPr>
              <w:t>Ministerstvo financií SR – sekcia finančného trhu.</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65AE8">
            <w:pPr>
              <w:bidi w:val="0"/>
              <w:spacing w:line="240" w:lineRule="auto"/>
              <w:suppressOverlap/>
              <w:rPr>
                <w:rFonts w:ascii="Times New Roman" w:hAnsi="Times New Roman"/>
                <w:i/>
                <w:iCs/>
                <w:sz w:val="24"/>
                <w:szCs w:val="24"/>
                <w:lang w:val="sk-SK"/>
              </w:rPr>
            </w:pPr>
            <w:r w:rsidRPr="00C95E6F">
              <w:rPr>
                <w:rFonts w:ascii="Times New Roman" w:hAnsi="Times New Roman"/>
                <w:b/>
                <w:sz w:val="24"/>
                <w:szCs w:val="24"/>
                <w:lang w:val="sk-SK"/>
              </w:rPr>
              <w:t xml:space="preserve">7.3.2 Vyplývajú z návrhu pre orgán verejnej správy pri vybavení požiadavky nové povinnosti alebo zanikajú už existujúce povinnosti?  </w:t>
            </w:r>
            <w:r w:rsidRPr="00C95E6F">
              <w:rPr>
                <w:rFonts w:ascii="Times New Roman" w:hAnsi="Times New Roman"/>
                <w:iCs/>
                <w:sz w:val="24"/>
                <w:szCs w:val="24"/>
                <w:lang w:val="sk-SK"/>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65AE8">
            <w:pPr>
              <w:bidi w:val="0"/>
              <w:spacing w:line="240" w:lineRule="auto"/>
              <w:suppressOverlap/>
              <w:rPr>
                <w:rFonts w:ascii="Times New Roman" w:hAnsi="Times New Roman"/>
                <w:i/>
                <w:iCs/>
                <w:sz w:val="24"/>
                <w:szCs w:val="24"/>
                <w:lang w:val="sk-SK"/>
              </w:rPr>
            </w:pPr>
            <w:r w:rsidRPr="00C95E6F">
              <w:rPr>
                <w:rFonts w:ascii="Times New Roman" w:hAnsi="Times New Roman"/>
                <w:i/>
                <w:iCs/>
                <w:sz w:val="24"/>
                <w:szCs w:val="24"/>
                <w:lang w:val="sk-SK"/>
              </w:rPr>
              <w:t>Nové povinnosti (identifikujte)</w:t>
            </w:r>
          </w:p>
        </w:tc>
      </w:tr>
      <w:tr>
        <w:tblPrEx>
          <w:tblW w:w="9371" w:type="dxa"/>
          <w:tblInd w:w="55" w:type="dxa"/>
          <w:tblLayout w:type="fixed"/>
          <w:tblCellMar>
            <w:top w:w="28" w:type="dxa"/>
            <w:left w:w="70" w:type="dxa"/>
            <w:bottom w:w="28" w:type="dxa"/>
            <w:right w:w="70" w:type="dxa"/>
          </w:tblCellMar>
        </w:tblPrEx>
        <w:trPr>
          <w:trHeight w:val="67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65AE8">
            <w:pPr>
              <w:bidi w:val="0"/>
              <w:spacing w:line="240" w:lineRule="auto"/>
              <w:suppressOverlap/>
              <w:jc w:val="both"/>
              <w:rPr>
                <w:rFonts w:ascii="Times New Roman" w:hAnsi="Times New Roman"/>
                <w:iCs/>
                <w:sz w:val="24"/>
                <w:szCs w:val="24"/>
                <w:lang w:val="sk-SK"/>
              </w:rPr>
            </w:pPr>
            <w:r w:rsidRPr="00C95E6F">
              <w:rPr>
                <w:rFonts w:ascii="Times New Roman" w:hAnsi="Times New Roman"/>
                <w:iCs/>
                <w:sz w:val="24"/>
                <w:szCs w:val="24"/>
                <w:lang w:val="sk-SK"/>
              </w:rPr>
              <w:t>V prípade, že žiadateľ o zápis držiteľa do evidencie vozidiel v SR doručí individuálny znalecký posudok vypracovaný certifikovaným znalcom na inú zostatkovú hodnotu vozidla v pomere k jeho obstarávacej cene, použije sa koeficient zostatkovej ceny vozidla vypočítaný z tohto znaleckého posudku. Úradník vypočíta výšku poplatkov na základe dosadených parametrov výkonu a ním vypočítanej zostatkovej hodnoty vozidla a vystaví platobný predpis v Module správnych poplatkov. Vystavenie platobného predpisu je už štandardný proces, ktorý je v súčasnosti používaný. Individuálny znalecký posudok dáva možnosť objektivizovať pomer zostatkovej hodnoty vozidla k jeho počiatočnej cene, avšak nepredpokladá sa, že tento nárok poplatníka bude často využívaný (skôr sa predpokladá iba ojedinelé využitie, keďže iba v určitých prípadoch môže byť zaobstaranie znaleckého posudku pre žiadateľa o zápis do evidencie držiteľov vozidiel výhodné).</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65AE8">
            <w:pPr>
              <w:bidi w:val="0"/>
              <w:spacing w:line="240" w:lineRule="auto"/>
              <w:suppressOverlap/>
              <w:rPr>
                <w:rFonts w:ascii="Times New Roman" w:hAnsi="Times New Roman"/>
                <w:i/>
                <w:iCs/>
                <w:sz w:val="24"/>
                <w:szCs w:val="24"/>
                <w:lang w:val="sk-SK"/>
              </w:rPr>
            </w:pPr>
            <w:r w:rsidRPr="00C95E6F">
              <w:rPr>
                <w:rFonts w:ascii="Times New Roman" w:hAnsi="Times New Roman"/>
                <w:i/>
                <w:iCs/>
                <w:sz w:val="24"/>
                <w:szCs w:val="24"/>
                <w:lang w:val="sk-SK"/>
              </w:rPr>
              <w:t>Zanikajúce povinnosti (identifikujte)</w:t>
            </w:r>
          </w:p>
        </w:tc>
      </w:tr>
      <w:tr>
        <w:tblPrEx>
          <w:tblW w:w="9371" w:type="dxa"/>
          <w:tblInd w:w="55" w:type="dxa"/>
          <w:tblLayout w:type="fixed"/>
          <w:tblCellMar>
            <w:top w:w="28" w:type="dxa"/>
            <w:left w:w="70" w:type="dxa"/>
            <w:bottom w:w="28" w:type="dxa"/>
            <w:right w:w="70" w:type="dxa"/>
          </w:tblCellMar>
        </w:tblPrEx>
        <w:trPr>
          <w:trHeight w:val="85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8F7DF1" w:rsidRPr="00C95E6F" w:rsidP="00A65AE8">
            <w:pPr>
              <w:bidi w:val="0"/>
              <w:spacing w:line="240" w:lineRule="auto"/>
              <w:suppressOverlap/>
              <w:rPr>
                <w:rFonts w:ascii="Times New Roman" w:hAnsi="Times New Roman"/>
                <w:iCs/>
                <w:sz w:val="24"/>
                <w:szCs w:val="24"/>
                <w:lang w:val="sk-SK"/>
              </w:rPr>
            </w:pPr>
            <w:r w:rsidRPr="00C95E6F">
              <w:rPr>
                <w:rFonts w:ascii="Times New Roman" w:hAnsi="Times New Roman"/>
                <w:iCs/>
                <w:sz w:val="24"/>
                <w:szCs w:val="24"/>
                <w:lang w:val="sk-SK"/>
              </w:rPr>
              <w:t>Žiadne.</w:t>
            </w:r>
          </w:p>
        </w:tc>
      </w:tr>
    </w:tbl>
    <w:p w:rsidR="008F7DF1" w:rsidRPr="00C95E6F" w:rsidP="00096C3F">
      <w:pPr>
        <w:pStyle w:val="ListParagraph"/>
        <w:autoSpaceDE w:val="0"/>
        <w:autoSpaceDN w:val="0"/>
        <w:bidi w:val="0"/>
        <w:spacing w:after="0" w:line="240" w:lineRule="auto"/>
        <w:rPr>
          <w:rFonts w:ascii="Times New Roman" w:hAnsi="Times New Roman"/>
          <w:bCs/>
          <w:color w:val="000000"/>
          <w:sz w:val="24"/>
          <w:szCs w:val="24"/>
        </w:rPr>
      </w:pPr>
      <w:r w:rsidR="00A65AE8">
        <w:rPr>
          <w:rFonts w:ascii="Times New Roman" w:hAnsi="Times New Roman"/>
          <w:bCs/>
          <w:color w:val="000000"/>
          <w:sz w:val="24"/>
          <w:szCs w:val="24"/>
        </w:rPr>
        <w:br w:type="textWrapping" w:clear="all"/>
      </w:r>
    </w:p>
    <w:p w:rsidR="008F7DF1" w:rsidRPr="00C95E6F">
      <w:pPr>
        <w:bidi w:val="0"/>
        <w:rPr>
          <w:lang w:val="sk-SK"/>
        </w:rPr>
      </w:pPr>
    </w:p>
    <w:p w:rsidR="00DF565B" w:rsidRPr="00C95E6F" w:rsidP="00E13160">
      <w:pPr>
        <w:bidi w:val="0"/>
        <w:spacing w:after="0" w:line="240" w:lineRule="auto"/>
        <w:rPr>
          <w:rFonts w:ascii="Times New Roman" w:hAnsi="Times New Roman"/>
          <w:b/>
          <w:sz w:val="24"/>
          <w:szCs w:val="24"/>
          <w:lang w:val="sk-SK"/>
        </w:rPr>
      </w:pPr>
    </w:p>
    <w:p w:rsidR="00DF565B" w:rsidP="00E13160">
      <w:pPr>
        <w:bidi w:val="0"/>
        <w:spacing w:after="0" w:line="240" w:lineRule="auto"/>
        <w:rPr>
          <w:rFonts w:ascii="Times New Roman" w:hAnsi="Times New Roman"/>
          <w:b/>
          <w:sz w:val="24"/>
          <w:szCs w:val="24"/>
          <w:lang w:val="sk-SK"/>
        </w:rPr>
      </w:pPr>
    </w:p>
    <w:p w:rsidR="00DF565B" w:rsidP="00E13160">
      <w:pPr>
        <w:bidi w:val="0"/>
        <w:spacing w:after="0" w:line="240" w:lineRule="auto"/>
        <w:rPr>
          <w:rFonts w:ascii="Times New Roman" w:hAnsi="Times New Roman"/>
          <w:b/>
          <w:sz w:val="24"/>
          <w:szCs w:val="24"/>
          <w:lang w:val="sk-SK"/>
        </w:rPr>
      </w:pPr>
    </w:p>
    <w:p w:rsidR="00DF565B" w:rsidP="00E13160">
      <w:pPr>
        <w:bidi w:val="0"/>
        <w:spacing w:after="0" w:line="240" w:lineRule="auto"/>
        <w:rPr>
          <w:rFonts w:ascii="Times New Roman" w:hAnsi="Times New Roman"/>
          <w:b/>
          <w:sz w:val="24"/>
          <w:szCs w:val="24"/>
          <w:lang w:val="sk-SK"/>
        </w:rPr>
      </w:pPr>
    </w:p>
    <w:p w:rsidR="006E21FB" w:rsidP="00E13160">
      <w:pPr>
        <w:bidi w:val="0"/>
        <w:spacing w:after="0" w:line="240" w:lineRule="auto"/>
        <w:rPr>
          <w:rFonts w:ascii="Times New Roman" w:hAnsi="Times New Roman"/>
          <w:b/>
          <w:sz w:val="24"/>
          <w:szCs w:val="24"/>
          <w:lang w:val="sk-SK"/>
        </w:rPr>
        <w:sectPr w:rsidSect="00FA51C7">
          <w:headerReference w:type="default" r:id="rId27"/>
          <w:headerReference w:type="first" r:id="rId28"/>
          <w:pgSz w:w="11906" w:h="16838"/>
          <w:pgMar w:top="720" w:right="1841" w:bottom="720" w:left="720" w:header="709" w:footer="709" w:gutter="0"/>
          <w:lnNumType w:distance="0"/>
          <w:cols w:space="708"/>
          <w:noEndnote w:val="0"/>
          <w:titlePg/>
          <w:bidi w:val="0"/>
          <w:docGrid w:linePitch="360"/>
        </w:sectPr>
      </w:pPr>
    </w:p>
    <w:p w:rsidR="00CF0A3A" w:rsidRPr="00C95E6F" w:rsidP="00CF0A3A">
      <w:pPr>
        <w:bidi w:val="0"/>
        <w:spacing w:after="0" w:line="240" w:lineRule="auto"/>
        <w:rPr>
          <w:rFonts w:ascii="Times New Roman" w:hAnsi="Times New Roman"/>
          <w:b/>
          <w:sz w:val="24"/>
          <w:szCs w:val="24"/>
          <w:lang w:val="sk-SK"/>
        </w:rPr>
      </w:pPr>
      <w:r w:rsidRPr="00C95E6F">
        <w:rPr>
          <w:rFonts w:ascii="Times New Roman" w:hAnsi="Times New Roman"/>
          <w:b/>
          <w:sz w:val="24"/>
          <w:szCs w:val="24"/>
          <w:lang w:val="sk-SK"/>
        </w:rPr>
        <w:t>II. Osobitná časť</w:t>
      </w:r>
    </w:p>
    <w:p w:rsidR="00CF0A3A" w:rsidRPr="00C95E6F" w:rsidP="00CF0A3A">
      <w:pPr>
        <w:bidi w:val="0"/>
        <w:spacing w:after="0" w:line="240" w:lineRule="auto"/>
        <w:rPr>
          <w:rFonts w:ascii="Times New Roman" w:hAnsi="Times New Roman"/>
          <w:b/>
          <w:sz w:val="24"/>
          <w:szCs w:val="24"/>
          <w:lang w:val="sk-SK"/>
        </w:rPr>
      </w:pPr>
    </w:p>
    <w:p w:rsidR="00010C9D" w:rsidRPr="00C95E6F" w:rsidP="00CF0A3A">
      <w:pPr>
        <w:bidi w:val="0"/>
        <w:spacing w:after="0" w:line="240" w:lineRule="auto"/>
        <w:rPr>
          <w:rFonts w:ascii="Times New Roman" w:hAnsi="Times New Roman"/>
          <w:b/>
          <w:sz w:val="24"/>
          <w:szCs w:val="24"/>
          <w:lang w:val="sk-SK"/>
        </w:rPr>
      </w:pPr>
    </w:p>
    <w:p w:rsidR="00CF0A3A" w:rsidRPr="00C95E6F" w:rsidP="00CF0A3A">
      <w:pPr>
        <w:bidi w:val="0"/>
        <w:spacing w:after="0" w:line="240" w:lineRule="auto"/>
        <w:rPr>
          <w:rFonts w:ascii="Times New Roman" w:hAnsi="Times New Roman"/>
          <w:b/>
          <w:sz w:val="24"/>
          <w:szCs w:val="24"/>
          <w:lang w:val="sk-SK"/>
        </w:rPr>
      </w:pPr>
      <w:r w:rsidRPr="00C95E6F" w:rsidR="00C95E6F">
        <w:rPr>
          <w:rFonts w:ascii="Times New Roman" w:hAnsi="Times New Roman"/>
          <w:b/>
          <w:sz w:val="24"/>
          <w:szCs w:val="24"/>
          <w:lang w:val="sk-SK"/>
        </w:rPr>
        <w:t xml:space="preserve">K </w:t>
      </w:r>
      <w:r w:rsidRPr="00C95E6F">
        <w:rPr>
          <w:rFonts w:ascii="Times New Roman" w:hAnsi="Times New Roman"/>
          <w:b/>
          <w:sz w:val="24"/>
          <w:szCs w:val="24"/>
          <w:lang w:val="sk-SK"/>
        </w:rPr>
        <w:t>Čl. I</w:t>
      </w:r>
    </w:p>
    <w:p w:rsidR="00CF0A3A" w:rsidRPr="0060639F" w:rsidP="00CF0A3A">
      <w:pPr>
        <w:bidi w:val="0"/>
        <w:spacing w:after="0" w:line="240" w:lineRule="auto"/>
        <w:rPr>
          <w:rFonts w:ascii="Times New Roman" w:hAnsi="Times New Roman"/>
          <w:sz w:val="24"/>
          <w:szCs w:val="24"/>
          <w:lang w:val="sk-SK"/>
        </w:rPr>
      </w:pPr>
    </w:p>
    <w:p w:rsidR="00E105CF" w:rsidRPr="00E105CF" w:rsidP="00E105CF">
      <w:pPr>
        <w:bidi w:val="0"/>
        <w:spacing w:after="0" w:line="240" w:lineRule="auto"/>
        <w:jc w:val="both"/>
        <w:rPr>
          <w:rFonts w:ascii="Times New Roman" w:hAnsi="Times New Roman"/>
          <w:b/>
          <w:sz w:val="24"/>
          <w:szCs w:val="24"/>
          <w:lang w:val="sk-SK"/>
        </w:rPr>
      </w:pPr>
      <w:r w:rsidRPr="00E105CF">
        <w:rPr>
          <w:rFonts w:ascii="Times New Roman" w:hAnsi="Times New Roman"/>
          <w:b/>
          <w:sz w:val="24"/>
          <w:szCs w:val="24"/>
          <w:lang w:val="sk-SK"/>
        </w:rPr>
        <w:t>K bodu 1</w:t>
      </w:r>
    </w:p>
    <w:p w:rsidR="00E105CF" w:rsidRPr="00E105CF" w:rsidP="00E105CF">
      <w:pPr>
        <w:bidi w:val="0"/>
        <w:spacing w:after="0" w:line="240" w:lineRule="auto"/>
        <w:jc w:val="both"/>
        <w:rPr>
          <w:rFonts w:ascii="Times New Roman" w:hAnsi="Times New Roman"/>
          <w:sz w:val="24"/>
          <w:szCs w:val="24"/>
          <w:lang w:val="sk-SK"/>
        </w:rPr>
      </w:pPr>
      <w:r w:rsidRPr="00E105CF">
        <w:rPr>
          <w:rFonts w:ascii="Times New Roman" w:hAnsi="Times New Roman"/>
          <w:sz w:val="24"/>
          <w:szCs w:val="24"/>
          <w:lang w:val="sk-SK"/>
        </w:rPr>
        <w:t>Z dôvodu odstránenia aplikačných nejasností sa navrhuje doplnenie úvodného ustanovenia o vzdelávacie inštitúcie, ktoré podľa zákona č. 422/2015 Z. z. o uznávaní dokladov o vzdelaní a o uznávaní odborných kvalifikácií vyberajú správne poplatky.</w:t>
      </w:r>
    </w:p>
    <w:p w:rsidR="00E105CF" w:rsidRPr="00E105CF" w:rsidP="00E105CF">
      <w:pPr>
        <w:bidi w:val="0"/>
        <w:spacing w:after="0" w:line="240" w:lineRule="auto"/>
        <w:jc w:val="both"/>
        <w:rPr>
          <w:rFonts w:ascii="Times New Roman" w:hAnsi="Times New Roman"/>
          <w:b/>
          <w:color w:val="000000" w:themeColor="tx1" w:themeShade="FF"/>
          <w:sz w:val="24"/>
          <w:szCs w:val="24"/>
          <w:lang w:val="sk-SK"/>
        </w:rPr>
      </w:pPr>
    </w:p>
    <w:p w:rsidR="00E105CF" w:rsidRPr="00E105CF" w:rsidP="00E105CF">
      <w:pPr>
        <w:bidi w:val="0"/>
        <w:spacing w:after="0" w:line="240" w:lineRule="auto"/>
        <w:jc w:val="both"/>
        <w:rPr>
          <w:rFonts w:ascii="Times New Roman" w:hAnsi="Times New Roman"/>
          <w:b/>
          <w:color w:val="000000" w:themeColor="tx1" w:themeShade="FF"/>
          <w:sz w:val="24"/>
          <w:szCs w:val="24"/>
          <w:lang w:val="sk-SK"/>
        </w:rPr>
      </w:pPr>
      <w:r w:rsidRPr="00E105CF">
        <w:rPr>
          <w:rFonts w:ascii="Times New Roman" w:hAnsi="Times New Roman"/>
          <w:b/>
          <w:color w:val="000000" w:themeColor="tx1" w:themeShade="FF"/>
          <w:sz w:val="24"/>
          <w:szCs w:val="24"/>
          <w:lang w:val="sk-SK"/>
        </w:rPr>
        <w:t xml:space="preserve">K bodom 2 až 4 </w:t>
      </w:r>
    </w:p>
    <w:p w:rsidR="00E105CF" w:rsidRPr="00E105CF" w:rsidP="00E105CF">
      <w:pPr>
        <w:bidi w:val="0"/>
        <w:spacing w:after="0" w:line="240" w:lineRule="auto"/>
        <w:jc w:val="both"/>
        <w:rPr>
          <w:rFonts w:ascii="Times New Roman" w:hAnsi="Times New Roman"/>
          <w:sz w:val="24"/>
          <w:szCs w:val="24"/>
          <w:lang w:val="sk-SK"/>
        </w:rPr>
      </w:pPr>
      <w:r w:rsidRPr="00E105CF">
        <w:rPr>
          <w:rFonts w:ascii="Times New Roman" w:hAnsi="Times New Roman"/>
          <w:sz w:val="24"/>
          <w:szCs w:val="24"/>
          <w:lang w:val="sk-SK"/>
        </w:rPr>
        <w:t xml:space="preserve">V uvedených ustanoveniach sa navrhuje legislatívne spresniť už existujúci princíp zaokrúhlenia základu poplatku, ak je sadzba poplatku určená percentom v sadzobníku správnych poplatkov. </w:t>
      </w:r>
    </w:p>
    <w:p w:rsidR="00E105CF" w:rsidRPr="00E105CF" w:rsidP="00E105CF">
      <w:pPr>
        <w:bidi w:val="0"/>
        <w:spacing w:after="0" w:line="240" w:lineRule="auto"/>
        <w:ind w:right="85" w:firstLine="709"/>
        <w:jc w:val="both"/>
        <w:rPr>
          <w:rFonts w:ascii="Times New Roman" w:hAnsi="Times New Roman"/>
          <w:sz w:val="24"/>
          <w:szCs w:val="24"/>
          <w:lang w:val="sk-SK"/>
        </w:rPr>
      </w:pPr>
    </w:p>
    <w:p w:rsidR="00E105CF" w:rsidRPr="00E105CF" w:rsidP="00E105CF">
      <w:pPr>
        <w:bidi w:val="0"/>
        <w:spacing w:after="0" w:line="240" w:lineRule="auto"/>
        <w:ind w:right="85"/>
        <w:jc w:val="both"/>
        <w:rPr>
          <w:rFonts w:ascii="Times New Roman" w:hAnsi="Times New Roman"/>
          <w:b/>
          <w:sz w:val="24"/>
          <w:szCs w:val="24"/>
          <w:lang w:val="sk-SK"/>
        </w:rPr>
      </w:pPr>
      <w:r w:rsidRPr="00E105CF">
        <w:rPr>
          <w:rFonts w:ascii="Times New Roman" w:hAnsi="Times New Roman"/>
          <w:b/>
          <w:sz w:val="24"/>
          <w:szCs w:val="24"/>
          <w:lang w:val="sk-SK"/>
        </w:rPr>
        <w:t>K bodu 5</w:t>
      </w:r>
    </w:p>
    <w:p w:rsidR="00E105CF" w:rsidRPr="00E105CF" w:rsidP="00E105CF">
      <w:pPr>
        <w:bidi w:val="0"/>
        <w:spacing w:after="0" w:line="240" w:lineRule="auto"/>
        <w:ind w:right="85"/>
        <w:jc w:val="both"/>
        <w:rPr>
          <w:rFonts w:ascii="Times New Roman" w:hAnsi="Times New Roman"/>
          <w:sz w:val="24"/>
          <w:szCs w:val="24"/>
          <w:lang w:val="sk-SK"/>
        </w:rPr>
      </w:pPr>
      <w:r w:rsidRPr="00E105CF">
        <w:rPr>
          <w:rFonts w:ascii="Times New Roman" w:hAnsi="Times New Roman"/>
          <w:sz w:val="24"/>
          <w:szCs w:val="24"/>
          <w:lang w:val="sk-SK"/>
        </w:rPr>
        <w:t>Za účelom nastavenia lehoty na vyplatenie poplatku alebo preplatku prevádzkovateľom systému na základe už priznaného poplatku alebo preplatku správnym orgánom sa navrhuje ustanoviť lehotu 10 rokov od konca kalendárneho roka, v ktorom sa stalo vydané rozhodnutie o vrátení poplatku alebo preplatku právoplatným. Po uplynutí tejto lehoty možnosť vyplatiť poplatok alebo preplatok zaniká. Návrh súvisí aj s existujúcim technickým nastavením archivácie dát v systéme centrálnej evidencie poplatkov podľa lehôt uchovávania účtovnej evidencie. Zaplatené poplatky sú podľa § 17 ods. 3 zákona odvádzané do štátneho rozpočtu najneskôr do konca mesiaca nasledujúceho po mesiaci, v ktorom tieto sumy prevádzkovateľ prijal. V prípade, ak nedôjde k vyplateniu poplatku alebo preplatku, tieto prostriedky sú na účtoch štátneho rozpočtu, a teda prevádzkovateľ systému nevyplatený poplatok alebo preplatok nedrží na svojich zberných účtoch systému eKolok.</w:t>
      </w:r>
    </w:p>
    <w:p w:rsidR="00E105CF" w:rsidRPr="00E105CF" w:rsidP="00E105CF">
      <w:pPr>
        <w:bidi w:val="0"/>
        <w:spacing w:after="0" w:line="240" w:lineRule="auto"/>
        <w:ind w:right="85"/>
        <w:jc w:val="both"/>
        <w:rPr>
          <w:rFonts w:ascii="Times New Roman" w:hAnsi="Times New Roman"/>
          <w:sz w:val="24"/>
          <w:szCs w:val="24"/>
          <w:lang w:val="sk-SK"/>
        </w:rPr>
      </w:pPr>
    </w:p>
    <w:p w:rsidR="00E105CF" w:rsidRPr="00E105CF" w:rsidP="00E105CF">
      <w:pPr>
        <w:bidi w:val="0"/>
        <w:spacing w:after="0" w:line="240" w:lineRule="auto"/>
        <w:ind w:right="85"/>
        <w:jc w:val="both"/>
        <w:rPr>
          <w:rFonts w:ascii="Times New Roman" w:hAnsi="Times New Roman"/>
          <w:b/>
          <w:strike/>
          <w:sz w:val="24"/>
          <w:szCs w:val="24"/>
          <w:lang w:val="sk-SK"/>
        </w:rPr>
      </w:pPr>
      <w:r w:rsidRPr="00E105CF">
        <w:rPr>
          <w:rFonts w:ascii="Times New Roman" w:hAnsi="Times New Roman"/>
          <w:b/>
          <w:sz w:val="24"/>
          <w:szCs w:val="24"/>
          <w:lang w:val="sk-SK"/>
        </w:rPr>
        <w:t>K bodu 6</w:t>
      </w:r>
    </w:p>
    <w:p w:rsidR="00E105CF" w:rsidRPr="00E105CF" w:rsidP="00E105CF">
      <w:pPr>
        <w:bidi w:val="0"/>
        <w:spacing w:after="0" w:line="240" w:lineRule="auto"/>
        <w:jc w:val="both"/>
        <w:rPr>
          <w:rFonts w:ascii="Times New Roman" w:hAnsi="Times New Roman"/>
          <w:color w:val="000000" w:themeColor="tx1" w:themeShade="FF"/>
          <w:sz w:val="24"/>
          <w:szCs w:val="24"/>
          <w:lang w:val="sk-SK"/>
        </w:rPr>
      </w:pPr>
      <w:r w:rsidRPr="00E105CF">
        <w:rPr>
          <w:rFonts w:ascii="Times New Roman" w:hAnsi="Times New Roman"/>
          <w:sz w:val="24"/>
          <w:szCs w:val="24"/>
          <w:lang w:val="sk-SK"/>
        </w:rPr>
        <w:t>Navrhuje sa legislatívno-technická úprava vyvolaná prijatím nového právneho predpisu.</w:t>
      </w:r>
    </w:p>
    <w:p w:rsidR="00E105CF" w:rsidRPr="00E105CF" w:rsidP="00E105CF">
      <w:pPr>
        <w:bidi w:val="0"/>
        <w:spacing w:after="0" w:line="240" w:lineRule="auto"/>
        <w:ind w:right="85"/>
        <w:jc w:val="both"/>
        <w:rPr>
          <w:rFonts w:ascii="Times New Roman" w:hAnsi="Times New Roman"/>
          <w:sz w:val="24"/>
          <w:szCs w:val="24"/>
          <w:lang w:val="sk-SK"/>
        </w:rPr>
      </w:pPr>
    </w:p>
    <w:p w:rsidR="00E105CF" w:rsidRPr="00E105CF" w:rsidP="00E105CF">
      <w:pPr>
        <w:bidi w:val="0"/>
        <w:spacing w:after="0" w:line="240" w:lineRule="auto"/>
        <w:ind w:right="85"/>
        <w:jc w:val="both"/>
        <w:rPr>
          <w:rFonts w:ascii="Times New Roman" w:hAnsi="Times New Roman"/>
          <w:b/>
          <w:sz w:val="24"/>
          <w:szCs w:val="24"/>
          <w:lang w:val="sk-SK"/>
        </w:rPr>
      </w:pPr>
      <w:r w:rsidRPr="00E105CF">
        <w:rPr>
          <w:rFonts w:ascii="Times New Roman" w:hAnsi="Times New Roman"/>
          <w:b/>
          <w:sz w:val="24"/>
          <w:szCs w:val="24"/>
          <w:lang w:val="sk-SK"/>
        </w:rPr>
        <w:t xml:space="preserve">K bodu 7 </w:t>
      </w:r>
    </w:p>
    <w:p w:rsidR="00E105CF" w:rsidRPr="00E105CF" w:rsidP="00E105CF">
      <w:pPr>
        <w:bidi w:val="0"/>
        <w:spacing w:after="0" w:line="240" w:lineRule="auto"/>
        <w:ind w:right="85"/>
        <w:jc w:val="both"/>
        <w:rPr>
          <w:rFonts w:ascii="Times New Roman" w:hAnsi="Times New Roman"/>
          <w:sz w:val="24"/>
          <w:szCs w:val="24"/>
          <w:lang w:val="sk-SK"/>
        </w:rPr>
      </w:pPr>
      <w:r w:rsidRPr="00E105CF">
        <w:rPr>
          <w:rFonts w:ascii="Times New Roman" w:hAnsi="Times New Roman"/>
          <w:sz w:val="24"/>
          <w:szCs w:val="24"/>
          <w:lang w:val="sk-SK"/>
        </w:rPr>
        <w:t>Navrhuje sa spresniť prechodným ustanovením použitie navrhnutých zmien predmetnej úpravy. Osobitným spôsobom je uplatnené prechodné ustanovenie pri zániku nároku vyplatenia poplatku alebo preplatku už skôr priznaného rozhodnutím príslušného orgánu s neúspešným pokusom jeho vyplatenia poplatníkovi z dôvodu nevyzdvihnutia si peňažných prostriedkov poplatníkom tak, aby desaťročná lehota plynula od účinnosti návrhu zákona. Z titulu nastavenia archivácie dát v centrálnom systéme evidencie poplatkov aj za minulosť, kedy sa po dobe desiatich rokov tieto dáta ďalej nearchivujú, navrhuje sa do zákona rovnaká desaťročná lehota na jeho vyplatenie a to aj na prípady, ktoré sa stali pred účinnosťou tohto návrhu zákona. Desaťročná lehota je považovaná za dostatočnú na vyzdvihnutie si peňažných prostriedkov z rozhodnutia úradu o vrátení poplatku alebo preplatku a to aj v prípade dedičského konania alebo iných životných situácií.</w:t>
      </w:r>
    </w:p>
    <w:p w:rsidR="00E105CF" w:rsidRPr="00E105CF" w:rsidP="00E105CF">
      <w:pPr>
        <w:bidi w:val="0"/>
        <w:spacing w:after="0" w:line="240" w:lineRule="auto"/>
        <w:ind w:right="85"/>
        <w:jc w:val="both"/>
        <w:rPr>
          <w:rFonts w:ascii="Times New Roman" w:hAnsi="Times New Roman"/>
          <w:b/>
          <w:sz w:val="24"/>
          <w:szCs w:val="24"/>
          <w:lang w:val="sk-SK"/>
        </w:rPr>
      </w:pPr>
    </w:p>
    <w:p w:rsidR="00E105CF" w:rsidRPr="00E105CF" w:rsidP="00E105CF">
      <w:pPr>
        <w:bidi w:val="0"/>
        <w:spacing w:after="0" w:line="240" w:lineRule="auto"/>
        <w:ind w:right="85"/>
        <w:jc w:val="both"/>
        <w:rPr>
          <w:rFonts w:ascii="Times New Roman" w:hAnsi="Times New Roman"/>
          <w:b/>
          <w:sz w:val="24"/>
          <w:szCs w:val="24"/>
          <w:lang w:val="sk-SK"/>
        </w:rPr>
      </w:pPr>
      <w:r w:rsidRPr="00E105CF">
        <w:rPr>
          <w:rFonts w:ascii="Times New Roman" w:hAnsi="Times New Roman"/>
          <w:b/>
          <w:sz w:val="24"/>
          <w:szCs w:val="24"/>
          <w:lang w:val="sk-SK"/>
        </w:rPr>
        <w:t xml:space="preserve">K bodu 8  </w:t>
      </w:r>
    </w:p>
    <w:p w:rsidR="00E105CF" w:rsidRPr="00E105CF" w:rsidP="00E105CF">
      <w:pPr>
        <w:bidi w:val="0"/>
        <w:spacing w:after="0" w:line="240" w:lineRule="auto"/>
        <w:ind w:right="85"/>
        <w:jc w:val="both"/>
        <w:rPr>
          <w:rFonts w:ascii="Times New Roman" w:hAnsi="Times New Roman"/>
          <w:sz w:val="24"/>
          <w:szCs w:val="24"/>
          <w:lang w:val="sk-SK"/>
        </w:rPr>
      </w:pPr>
      <w:r w:rsidRPr="00E105CF">
        <w:rPr>
          <w:rFonts w:ascii="Times New Roman" w:hAnsi="Times New Roman"/>
          <w:sz w:val="24"/>
          <w:szCs w:val="24"/>
          <w:lang w:val="sk-SK"/>
        </w:rPr>
        <w:t xml:space="preserve">Navrhuje sa doplnenie predmetnej položky, z dôvodu úpravy návrhu novely zákona </w:t>
        <w:br/>
        <w:t>č. 563/2009 Z. z. o správe daní (daňový poriadok) a o zmene a doplnení niektorých zákonov v znení neskorších predpisov, konkrétne § 23 ods. 2.</w:t>
      </w:r>
    </w:p>
    <w:p w:rsidR="00E105CF" w:rsidRPr="00E105CF" w:rsidP="00E105CF">
      <w:pPr>
        <w:bidi w:val="0"/>
        <w:spacing w:after="0" w:line="240" w:lineRule="auto"/>
        <w:ind w:right="85"/>
        <w:jc w:val="both"/>
        <w:rPr>
          <w:rFonts w:ascii="Times New Roman" w:hAnsi="Times New Roman"/>
          <w:b/>
          <w:sz w:val="24"/>
          <w:szCs w:val="24"/>
          <w:lang w:val="sk-SK"/>
        </w:rPr>
      </w:pPr>
    </w:p>
    <w:p w:rsidR="00E105CF" w:rsidRPr="00E105CF" w:rsidP="00E105CF">
      <w:pPr>
        <w:bidi w:val="0"/>
        <w:spacing w:after="0" w:line="240" w:lineRule="auto"/>
        <w:ind w:right="85"/>
        <w:jc w:val="both"/>
        <w:rPr>
          <w:rFonts w:ascii="Times New Roman" w:hAnsi="Times New Roman"/>
          <w:b/>
          <w:sz w:val="24"/>
          <w:szCs w:val="24"/>
          <w:lang w:val="sk-SK"/>
        </w:rPr>
      </w:pPr>
      <w:r w:rsidRPr="00E105CF">
        <w:rPr>
          <w:rFonts w:ascii="Times New Roman" w:hAnsi="Times New Roman"/>
          <w:b/>
          <w:sz w:val="24"/>
          <w:szCs w:val="24"/>
          <w:lang w:val="sk-SK"/>
        </w:rPr>
        <w:t>K bodu 9</w:t>
      </w:r>
    </w:p>
    <w:p w:rsidR="00E105CF" w:rsidRPr="00E105CF" w:rsidP="00E105CF">
      <w:pPr>
        <w:bidi w:val="0"/>
        <w:spacing w:after="0" w:line="240" w:lineRule="auto"/>
        <w:ind w:right="85"/>
        <w:jc w:val="both"/>
        <w:rPr>
          <w:rFonts w:ascii="Times New Roman" w:hAnsi="Times New Roman"/>
          <w:sz w:val="24"/>
          <w:szCs w:val="24"/>
          <w:lang w:val="sk-SK"/>
        </w:rPr>
      </w:pPr>
      <w:r w:rsidRPr="00E105CF">
        <w:rPr>
          <w:rFonts w:ascii="Times New Roman" w:hAnsi="Times New Roman"/>
          <w:sz w:val="24"/>
          <w:szCs w:val="24"/>
          <w:lang w:val="sk-SK"/>
        </w:rPr>
        <w:t>Navrhuje sa úprava položky 65 pri evidencii vozidla do národnej evidencie vozidiel v Slovenskej republike na základe uplatnenia princípu vyjadrenia hodnoty vozidla cez objektívne ukazovatele, ktorými sú výkon a vek vozidla. Týmto spôsobom sa zachytí opotrebenie vozidla, čomu zodpovedá aj klesajúca sadzba poplatku. Použitím údaja o výkone motora z technickej dokumentácie k vozidlu a prislúchajúcej sadzby poplatku z tabuľky č. 1, následne prenásobením príslušným koeficientom zostatkovej hodnoty podľa zodpovedajúceho veku vozidla priamo z tabuľky č. 2 sa vypočíta  poplatok na úhradu.</w:t>
      </w:r>
    </w:p>
    <w:p w:rsidR="00E105CF" w:rsidRPr="00E105CF" w:rsidP="00E105CF">
      <w:pPr>
        <w:bidi w:val="0"/>
        <w:spacing w:after="0" w:line="240" w:lineRule="auto"/>
        <w:ind w:right="85"/>
        <w:jc w:val="both"/>
        <w:rPr>
          <w:rFonts w:ascii="Times New Roman" w:hAnsi="Times New Roman"/>
          <w:sz w:val="24"/>
          <w:szCs w:val="24"/>
          <w:lang w:val="sk-SK"/>
        </w:rPr>
      </w:pPr>
      <w:r w:rsidRPr="00E105CF">
        <w:rPr>
          <w:rFonts w:ascii="Times New Roman" w:hAnsi="Times New Roman"/>
          <w:sz w:val="24"/>
          <w:szCs w:val="24"/>
          <w:lang w:val="sk-SK"/>
        </w:rPr>
        <w:t>Podľa poznámky 4 k položke 65 môže poplatník namiesto koeficientu z uvedenej tabuľky použiť koeficient vypočítaný na základe znaleckého posudku, ktorý si od súdneho znalca obstará na vlastné náklady, čím sa mu na základe individuálneho prístupu k oceneniu vozidla vypočíta poplatok na úhradu. Podmienkou obsahu znaleckého posudku je okrem náležitostí podľa osobitného predpisu predovšetkým stanovenie aktuálnej hodnoty vozidla a počiatočnej hodnoty vozidla v čase jeho prvej evidencie (roku výroby). Pomerom aktuálnej a počiatočnej hodnoty vozidla vyjde číslo, ktoré sa po matematickom zaokrúhlení na dve desatinné miesta považuje za koeficient zostatkovej hodnoty vozidla a dosádza sa do vzorca za veličinu „RV“.</w:t>
      </w:r>
    </w:p>
    <w:p w:rsidR="00E105CF" w:rsidRPr="00E105CF" w:rsidP="00E105CF">
      <w:pPr>
        <w:bidi w:val="0"/>
        <w:spacing w:after="0" w:line="240" w:lineRule="auto"/>
        <w:ind w:right="85"/>
        <w:jc w:val="both"/>
        <w:rPr>
          <w:rFonts w:ascii="Times New Roman" w:hAnsi="Times New Roman"/>
          <w:sz w:val="24"/>
          <w:szCs w:val="24"/>
          <w:lang w:val="sk-SK"/>
        </w:rPr>
      </w:pPr>
    </w:p>
    <w:p w:rsidR="00E105CF" w:rsidRPr="00E105CF" w:rsidP="00E105CF">
      <w:pPr>
        <w:bidi w:val="0"/>
        <w:spacing w:after="0" w:line="240" w:lineRule="auto"/>
        <w:ind w:right="85"/>
        <w:jc w:val="both"/>
        <w:rPr>
          <w:rFonts w:ascii="Times New Roman" w:hAnsi="Times New Roman"/>
          <w:sz w:val="24"/>
          <w:szCs w:val="24"/>
          <w:lang w:val="sk-SK"/>
        </w:rPr>
      </w:pPr>
      <w:r w:rsidRPr="00E105CF">
        <w:rPr>
          <w:rFonts w:ascii="Times New Roman" w:hAnsi="Times New Roman"/>
          <w:sz w:val="24"/>
          <w:szCs w:val="24"/>
          <w:lang w:val="sk-SK"/>
        </w:rPr>
        <w:t xml:space="preserve">Poplatok za evidenciu vozidla, ktorého jediným zdrojom energie je elektrina, zostáva zachovaný na úrovni 33 eur. </w:t>
      </w:r>
    </w:p>
    <w:p w:rsidR="00E105CF" w:rsidRPr="00E105CF" w:rsidP="00E105CF">
      <w:pPr>
        <w:bidi w:val="0"/>
        <w:spacing w:after="0" w:line="240" w:lineRule="auto"/>
        <w:ind w:right="85"/>
        <w:jc w:val="both"/>
        <w:rPr>
          <w:rFonts w:ascii="Times New Roman" w:hAnsi="Times New Roman"/>
          <w:sz w:val="24"/>
          <w:szCs w:val="24"/>
          <w:lang w:val="sk-SK"/>
        </w:rPr>
      </w:pPr>
    </w:p>
    <w:p w:rsidR="00E105CF" w:rsidRPr="00E105CF" w:rsidP="00E105CF">
      <w:pPr>
        <w:bidi w:val="0"/>
        <w:spacing w:after="0" w:line="240" w:lineRule="auto"/>
        <w:ind w:right="85"/>
        <w:jc w:val="both"/>
        <w:rPr>
          <w:rFonts w:ascii="Times New Roman" w:hAnsi="Times New Roman"/>
          <w:sz w:val="24"/>
          <w:szCs w:val="24"/>
          <w:lang w:val="sk-SK"/>
        </w:rPr>
      </w:pPr>
      <w:r w:rsidRPr="00E105CF">
        <w:rPr>
          <w:rFonts w:ascii="Times New Roman" w:hAnsi="Times New Roman"/>
          <w:sz w:val="24"/>
          <w:szCs w:val="24"/>
          <w:lang w:val="sk-SK"/>
        </w:rPr>
        <w:t>Navrhuje sa doplniť písmeno d) položky, podľa ktorého je zápis držiteľa úplne nového vozidla, ktoré ešte nikdy nebolo evidované (celosvetovo), za poplatok vo výške 33 eur. Podľa písmena d) prvú evidenciu držiteľa vozidla za 33 eur môže využiť len výrobca vozidiel, zástupca výrobcu alebo autorizovaný predajca vozidiel, ktorý má na účely predaja vozidiel konečným zákazníkom uzatvorenú zmluvu s výrobcom alebo zástupcom výrobcu vozidiel (ďalej pre všetky tri menované osoby spoločne len „výrobca alebo predajca“). Predpokladá sa, že výrobca alebo predajca vozidiel si takto zaevidované vozidlo ponechá len na predvádzacie alebo skúšobné účely do času, kým ho nepredá zákazníkovi. Kupujúci (zákazník výrobcu alebo predajcu vozidla) pri zápise držiteľa do evidencie vozidiel v mene svojej osoby už postupuje štandardne podľa položky 65 písm. a), kde sa na vozidlo nahliada ako na používané, pretože jeho prvá evidencia bola realizovaná samotným výrobcom alebo predajcom vozidla. Keďže sa vozidlo určitý čas používalo (na predvádzacie alebo skúšobné účely), registračný poplatok podľa písm. a) sa pre kupujúceho určí podľa rokov, ktoré uplynuli od prvej evidencie vozidla (vrátane). Ak predmetom činnosti osoby uvedenej v písmene d) je predaj vozidiel na základe zmluvného vzťahu s výrobcom alebo zástupcom výrobcu, pri zápise držiteľa vozidla do evidencie vozidiel je potrebné hodnoverným spôsobom preukázať túto skutočnosť správnemu orgánu (napr. potvrdením od výrobcu alebo zástupcu výrobcu alebo identifikáciou cez elektronickú službu). Ďalšie podmienky vo vzťahu k výrobcovi alebo predajcovi sú ustanovené v poznámke 6 položky 65. Navrhuje sa ustanoviť jednoročná lehota, počas ktorej môže výrobca alebo predajca vozidiel previesť držbu vozidiel na inú osobu (zákazníka predajcu) bez dodatočnej poplatkovej povinnosti obsiahnutej v poznámke 6 položky 65, nakoľko sa predpokladá, že predajcom zaevidované vozidlá podľa písm. d) na predvádzacie alebo skúšobné účely sú len dočasné. V opačnom prípade, bez prevodu držby vozidla po uplynutí jedného roka vrátane odo dňa prvej evidencie vozidla, je výrobca alebo predajca vozidiel povinný zaplatiť plnú hodnotu registračného poplatku podľa písm. a), akú by výrobca alebo predajca v polohe držiteľa zaplatil v čase, keď došlo k prvej evidencii vozidla. Poplatok podľa písmena a) výrobca alebo predajca vozidiel uhradí správnemu orgánu po uplynutí jednoročnej lehoty, najneskôr však pri nasledujúcej zmene v evidencii vozidiel, ktorou sa v súlade so zákonom č. 8/2009 Z. z. rozumie akýkoľvek evidenčný úkon (napr. zmena farby vozidla, znovuvydanie dokladov ku vozidlu, zmena držby vozidla alebo vyradenie vozidla z evidencie). Ak poplatok podľa písmena a) výrobca alebo predajca vozidiel neuhradí správnemu orgánu, správny orgán evidenčný úkon nevykoná. Príklad k určeniu výšky poplatku: predajca vozidiel zaeviduje seba ako držiteľa predtým neevidovaného vozidla s výkonom 100 kW do evidencie vozidiel za sumu poplatku 33 EUR. Do jedného roka prevedie držbu vozidla na inú osobu, ktorá zaplatí 82% poplatku z 210 EUR. Predajcovi vozidiel po splnení jednoročnej lehoty nevzniká žiadna ďalšia povinnosť úhrady poplatku. Naopak, ak predajca neprevedie držbu do jedného roka na inú osobu, je povinný zaplatiť 100% poplatku z 210 EUR (na už zaplatený 33 eurový poplatok sa neprihliada). Poznámka 6 k položke 65 teda definuje povinnosť držiteľa, ktorým je výrobca alebo predajca, zaplatiť poplatok po uplynutí jedného roka a kompetenciu správneho orgánu, ktorý je oprávnený nevykonať zmeny v evidencii vozidiel, ak správny poplatok nebol zaplatený. Pre výrobcov a predajcov vozidiel je zachovaná možnosť evidencie vozidla aj podľa písmena a) v závislosti od výkonu a veku vozidla, ak sa pri evidencii vozidiel výrobca alebo predajca rozhodne vykonať zápis držiteľa vozidla do evidencie týmto štandardným spôsobom (napr. ak si predajca eviduje vlastné vozidlá, ktoré chce dlhodobo používať na svoje podnikateľské účely).</w:t>
      </w:r>
    </w:p>
    <w:p w:rsidR="00E105CF" w:rsidRPr="00E105CF" w:rsidP="00E105CF">
      <w:pPr>
        <w:bidi w:val="0"/>
        <w:spacing w:after="0" w:line="240" w:lineRule="auto"/>
        <w:ind w:right="85"/>
        <w:jc w:val="both"/>
        <w:rPr>
          <w:rFonts w:ascii="Times New Roman" w:hAnsi="Times New Roman"/>
          <w:sz w:val="24"/>
          <w:szCs w:val="24"/>
          <w:lang w:val="sk-SK"/>
        </w:rPr>
      </w:pPr>
      <w:r w:rsidRPr="00E105CF">
        <w:rPr>
          <w:rFonts w:ascii="Times New Roman" w:hAnsi="Times New Roman"/>
          <w:sz w:val="24"/>
          <w:szCs w:val="24"/>
          <w:lang w:val="sk-SK"/>
        </w:rPr>
        <w:t xml:space="preserve">Existujúce  oslobodenia a poznámky súvisiace s položkou 65 zostávajú zachované v nezmenenom rozsahu. Navrhuje sa však doplniť zníženie poplatku za zápis držiteľa do evidencie vozidiel podľa písm. a) o 50%, ak vozidlo, ku ktorému sa robí zápis má alternatívny pohon alebo palivo (vozidlá s pohonom na CNG, LNG, vodík, hybridné motorové vozidlá a hybridné elektrické vozidlá). Týmto návrhom sa cieli environmentálny aspekt registračného poplatku tak, aby návrh novely podporoval znižovanie tvorby emisií v doprave a súčasne bol v súlade s Programovým vyhlásením vlády na roky 2016 – 2020 v časti environmentálna politika a s pripravovaným Národným politickým rámcom pre rozvoj trhu s alternatívnymi palivami, </w:t>
      </w:r>
      <w:r w:rsidRPr="00E105CF">
        <w:rPr>
          <w:rFonts w:ascii="Times New Roman" w:hAnsi="Times New Roman"/>
          <w:sz w:val="24"/>
          <w:szCs w:val="24"/>
          <w:lang w:val="sk-SK" w:eastAsia="sk-SK"/>
        </w:rPr>
        <w:t>ktorým sa preberá smernica Európskeho parlamentu a Rady 2014/94/EÚ z 22. októbra 2014 o zavádzaní infraštruktúry pre alternatívne palivá</w:t>
      </w:r>
      <w:r w:rsidRPr="00E105CF">
        <w:rPr>
          <w:rFonts w:ascii="Times New Roman" w:hAnsi="Times New Roman"/>
          <w:sz w:val="24"/>
          <w:szCs w:val="24"/>
          <w:lang w:val="sk-SK"/>
        </w:rPr>
        <w:t>. Vozidlá s nízkymi alebo nulovými emisiami sú týmto návrhom zvýhodnené. Príklad: držiteľ nového hybridného motorového vozidla, ktorého súčet výkonov oboch motorov je 170 kW, zaplatí poplatok pri prvej evidencii vozidla znížený o 50% zo sumy 1 250 EUR, t. j. 625 EUR.</w:t>
      </w:r>
    </w:p>
    <w:p w:rsidR="00E105CF" w:rsidRPr="00E105CF" w:rsidP="00E105CF">
      <w:pPr>
        <w:bidi w:val="0"/>
        <w:spacing w:after="0" w:line="240" w:lineRule="auto"/>
        <w:ind w:right="85"/>
        <w:jc w:val="both"/>
        <w:rPr>
          <w:rFonts w:ascii="Times New Roman" w:hAnsi="Times New Roman"/>
          <w:sz w:val="24"/>
          <w:szCs w:val="24"/>
          <w:lang w:val="sk-SK"/>
        </w:rPr>
      </w:pPr>
    </w:p>
    <w:p w:rsidR="00E105CF" w:rsidRPr="00E105CF" w:rsidP="00E105CF">
      <w:pPr>
        <w:bidi w:val="0"/>
        <w:spacing w:line="240" w:lineRule="auto"/>
        <w:jc w:val="both"/>
        <w:rPr>
          <w:rFonts w:ascii="Times New Roman" w:hAnsi="Times New Roman"/>
          <w:sz w:val="24"/>
          <w:szCs w:val="24"/>
          <w:lang w:val="sk-SK"/>
        </w:rPr>
      </w:pPr>
      <w:r w:rsidRPr="00E105CF">
        <w:rPr>
          <w:rFonts w:ascii="Times New Roman" w:hAnsi="Times New Roman"/>
          <w:sz w:val="24"/>
          <w:szCs w:val="24"/>
          <w:lang w:val="sk-SK"/>
        </w:rPr>
        <w:t>Vek vozidla sa určuje v závislosti od prvej evidencie vozidla (roku výroby), čo je v osvedčení o evidencii vozidla časť II (tzv. veľký techničák) uvedené pod písm. B v časti základné údaje o evidencii. V prípade dovezeného ojazdeného vozidla sa vek vozidla podľa návrhu bude určovať podľa doby, ktorá uplynula od dátumu uvedeného v bode B. Je to síce prvá evidencia v SR (bod „I“ v osvedčení o evidencii), avšak tento dátum nie je rozhodujúci pre výpočet poplatku podľa vzorca uvedeného v návrhu novely zákona o správnych poplatkoch. Napríklad: prvá evidencia vozidla (rok výroby) je 20.5.2012, pri dovoze a prvej evidencii v SR 28.7.2017 by sa na uvedené vozidlo nahliadalo v koeficiente zostatkovej hodnoty ako na „do 6 rokov vrátane“.</w:t>
      </w:r>
    </w:p>
    <w:p w:rsidR="00E105CF" w:rsidRPr="00E105CF" w:rsidP="00E105CF">
      <w:pPr>
        <w:bidi w:val="0"/>
        <w:spacing w:after="0" w:line="240" w:lineRule="auto"/>
        <w:ind w:right="85"/>
        <w:jc w:val="both"/>
        <w:rPr>
          <w:rFonts w:ascii="Times New Roman" w:hAnsi="Times New Roman"/>
          <w:b/>
          <w:sz w:val="24"/>
          <w:szCs w:val="24"/>
          <w:lang w:val="sk-SK"/>
        </w:rPr>
      </w:pPr>
      <w:r w:rsidRPr="00E105CF">
        <w:rPr>
          <w:rFonts w:ascii="Times New Roman" w:hAnsi="Times New Roman"/>
          <w:b/>
          <w:sz w:val="24"/>
          <w:szCs w:val="24"/>
          <w:lang w:val="sk-SK"/>
        </w:rPr>
        <w:t>K bodom 10 a 11</w:t>
      </w:r>
    </w:p>
    <w:p w:rsidR="00E105CF" w:rsidRPr="00E105CF" w:rsidP="00E105CF">
      <w:pPr>
        <w:bidi w:val="0"/>
        <w:spacing w:line="240" w:lineRule="auto"/>
        <w:jc w:val="both"/>
        <w:rPr>
          <w:rFonts w:ascii="Times New Roman" w:hAnsi="Times New Roman"/>
          <w:sz w:val="24"/>
          <w:szCs w:val="24"/>
          <w:lang w:val="sk-SK"/>
        </w:rPr>
      </w:pPr>
      <w:r w:rsidRPr="00E105CF">
        <w:rPr>
          <w:rFonts w:ascii="Times New Roman" w:hAnsi="Times New Roman"/>
          <w:sz w:val="24"/>
          <w:szCs w:val="24"/>
          <w:lang w:val="sk-SK"/>
        </w:rPr>
        <w:t>Zavedením inštitútu odovzdávania starých vozidiel podľa zákona č. 79/2015 Z. z. o odpadoch a o zmene a doplnení niektorých zákonov sa okrem naplnenia cieľov v oblasti ochrany životného prostredia predpokladalo uľahčenie riešenia životných situácií verejnosti pri odovzdaní vozidla na spracovanie a následnom vyradení z evidencie. V súčasnosti občan pri odovzdaní starého vozidla odovzdáva aj vydané doklady k vozidlu a tabuľky s evidenčným číslom. Po odovzdaní vozidla na spracovanie musí občan ešte požiadať dopravný inšpektorát o vyradenie vozidla z evidencie, čo podlieha správnemu poplatku vo výške 5 eur. Navrhuje sa, že ak sa odovzdá vozidlo na spracovanie podľa zákona o odpadoch, tento úkon nebude podliehať správnemu poplatku. Súčasne sa navrhuje zaviesť oslobodenie od poplatku za trvalé vyradenie vozidla v prípade jeho odcudzenia. Návrh oslobodenia od platenia poplatku pri tomto úkone je dôsledkom už aj tak vzniknutej nemalej majetkovej ujmy osoby, ktorej bolo vozidlo odcudzené a nepodarilo sa ho ani v spravidla 30 dňovej lehote vypátrať. Navrhnuté oslobodenie od poplatku tak sčasti eliminuje administratívne úkony spojené s odcudzením vozidla.</w:t>
      </w:r>
    </w:p>
    <w:p w:rsidR="00E105CF" w:rsidRPr="00E105CF" w:rsidP="00E105CF">
      <w:pPr>
        <w:bidi w:val="0"/>
        <w:spacing w:after="0" w:line="240" w:lineRule="auto"/>
        <w:ind w:right="85"/>
        <w:jc w:val="both"/>
        <w:rPr>
          <w:rFonts w:ascii="Times New Roman" w:hAnsi="Times New Roman"/>
          <w:b/>
          <w:sz w:val="24"/>
          <w:szCs w:val="24"/>
          <w:lang w:val="sk-SK"/>
        </w:rPr>
      </w:pPr>
      <w:r w:rsidRPr="00E105CF">
        <w:rPr>
          <w:rFonts w:ascii="Times New Roman" w:hAnsi="Times New Roman"/>
          <w:b/>
          <w:sz w:val="24"/>
          <w:szCs w:val="24"/>
          <w:lang w:val="sk-SK"/>
        </w:rPr>
        <w:t>K bodom 12 až 17</w:t>
      </w:r>
    </w:p>
    <w:p w:rsidR="00E105CF" w:rsidRPr="00E105CF" w:rsidP="00E105CF">
      <w:pPr>
        <w:bidi w:val="0"/>
        <w:spacing w:after="0" w:line="240" w:lineRule="auto"/>
        <w:ind w:right="85"/>
        <w:jc w:val="both"/>
        <w:rPr>
          <w:rFonts w:ascii="Times New Roman" w:hAnsi="Times New Roman"/>
          <w:sz w:val="24"/>
          <w:szCs w:val="24"/>
          <w:lang w:val="sk-SK"/>
        </w:rPr>
      </w:pPr>
      <w:r w:rsidRPr="00E105CF">
        <w:rPr>
          <w:rFonts w:ascii="Times New Roman" w:hAnsi="Times New Roman"/>
          <w:sz w:val="24"/>
          <w:szCs w:val="24"/>
          <w:lang w:val="sk-SK"/>
        </w:rPr>
        <w:t>Navrhuje sa upraviť sadzba poplatkov týkajúcich sa udelenia licencie a zmeny licencie na prevádzkovanie hazardných hier z dôvodu regulácie vydávania povolení na prevádzkovanie hazardných hier a súčasne, z dôvodu obsolentnosti sa navrhuje vypustenie písmena d) položky 143 a položiek 266 a 267. Vzhľadom na spoplatňovanie žiadosti o prerušení daňového konania podľa osobitného predpisu upravujúceho daňové konania sa navrhuje upraviť aj odkaz na zákon 563/2009 Z. z. Úpravou položky 149 sa navrhuje odstrániť nesúlad previazanosti jej jednotlivých častí.</w:t>
      </w:r>
    </w:p>
    <w:p w:rsidR="00E105CF" w:rsidRPr="00E105CF" w:rsidP="00E105CF">
      <w:pPr>
        <w:bidi w:val="0"/>
        <w:spacing w:after="0" w:line="240" w:lineRule="auto"/>
        <w:ind w:right="85"/>
        <w:jc w:val="both"/>
        <w:rPr>
          <w:rFonts w:ascii="Times New Roman" w:hAnsi="Times New Roman"/>
          <w:sz w:val="24"/>
          <w:szCs w:val="24"/>
          <w:lang w:val="sk-SK"/>
        </w:rPr>
      </w:pPr>
    </w:p>
    <w:p w:rsidR="00E105CF" w:rsidRPr="00E105CF" w:rsidP="00E105CF">
      <w:pPr>
        <w:bidi w:val="0"/>
        <w:spacing w:after="0" w:line="240" w:lineRule="auto"/>
        <w:jc w:val="both"/>
        <w:rPr>
          <w:rFonts w:ascii="Times New Roman" w:hAnsi="Times New Roman"/>
          <w:b/>
          <w:sz w:val="24"/>
          <w:szCs w:val="24"/>
          <w:lang w:val="sk-SK"/>
        </w:rPr>
      </w:pPr>
      <w:r w:rsidRPr="00E105CF">
        <w:rPr>
          <w:rFonts w:ascii="Times New Roman" w:hAnsi="Times New Roman"/>
          <w:b/>
          <w:sz w:val="24"/>
          <w:szCs w:val="24"/>
          <w:lang w:val="sk-SK"/>
        </w:rPr>
        <w:t>K Čl. II</w:t>
      </w:r>
    </w:p>
    <w:p w:rsidR="00E105CF" w:rsidRPr="00E105CF" w:rsidP="00E105CF">
      <w:pPr>
        <w:bidi w:val="0"/>
        <w:spacing w:after="0" w:line="240" w:lineRule="auto"/>
        <w:jc w:val="both"/>
        <w:rPr>
          <w:rFonts w:ascii="Times New Roman" w:hAnsi="Times New Roman"/>
          <w:sz w:val="24"/>
          <w:szCs w:val="24"/>
          <w:lang w:val="sk-SK"/>
        </w:rPr>
      </w:pPr>
    </w:p>
    <w:p w:rsidR="00E105CF" w:rsidRPr="00E105CF" w:rsidP="00E105CF">
      <w:pPr>
        <w:bidi w:val="0"/>
        <w:spacing w:after="0" w:line="240" w:lineRule="auto"/>
        <w:jc w:val="both"/>
        <w:rPr>
          <w:rFonts w:ascii="Times New Roman" w:hAnsi="Times New Roman"/>
          <w:b/>
          <w:sz w:val="24"/>
          <w:szCs w:val="24"/>
          <w:lang w:val="sk-SK"/>
        </w:rPr>
      </w:pPr>
      <w:r w:rsidRPr="00E105CF">
        <w:rPr>
          <w:rFonts w:ascii="Times New Roman" w:hAnsi="Times New Roman"/>
          <w:b/>
          <w:sz w:val="24"/>
          <w:szCs w:val="24"/>
          <w:lang w:val="sk-SK"/>
        </w:rPr>
        <w:t xml:space="preserve">K bodu 1 </w:t>
      </w:r>
    </w:p>
    <w:p w:rsidR="00E105CF" w:rsidRPr="00E105CF" w:rsidP="00E105CF">
      <w:pPr>
        <w:bidi w:val="0"/>
        <w:spacing w:after="0" w:line="240" w:lineRule="auto"/>
        <w:jc w:val="both"/>
        <w:rPr>
          <w:rFonts w:ascii="Times New Roman" w:hAnsi="Times New Roman"/>
          <w:sz w:val="24"/>
          <w:szCs w:val="24"/>
          <w:lang w:val="sk-SK"/>
        </w:rPr>
      </w:pPr>
      <w:r w:rsidRPr="00E105CF">
        <w:rPr>
          <w:rFonts w:ascii="Times New Roman" w:hAnsi="Times New Roman"/>
          <w:sz w:val="24"/>
          <w:szCs w:val="24"/>
          <w:lang w:val="sk-SK"/>
        </w:rPr>
        <w:t>Navrhuje sa rozšíriť rozsah osobných oslobodení z poplatkovej povinnosti o poverenú osobu vykonávajúcu konsolidáciu pohľadávok verejného sektora.</w:t>
      </w:r>
    </w:p>
    <w:p w:rsidR="00E105CF" w:rsidRPr="00E105CF" w:rsidP="00E105CF">
      <w:pPr>
        <w:bidi w:val="0"/>
        <w:spacing w:after="0" w:line="240" w:lineRule="auto"/>
        <w:jc w:val="both"/>
        <w:rPr>
          <w:rFonts w:ascii="Times New Roman" w:hAnsi="Times New Roman"/>
          <w:sz w:val="24"/>
          <w:szCs w:val="24"/>
          <w:lang w:val="sk-SK"/>
        </w:rPr>
      </w:pPr>
    </w:p>
    <w:p w:rsidR="00E105CF" w:rsidRPr="00E105CF" w:rsidP="00E105CF">
      <w:pPr>
        <w:bidi w:val="0"/>
        <w:spacing w:after="0" w:line="240" w:lineRule="auto"/>
        <w:jc w:val="both"/>
        <w:rPr>
          <w:rFonts w:ascii="Times New Roman" w:hAnsi="Times New Roman"/>
          <w:b/>
          <w:sz w:val="24"/>
          <w:szCs w:val="24"/>
          <w:lang w:val="sk-SK"/>
        </w:rPr>
      </w:pPr>
      <w:r w:rsidRPr="00E105CF">
        <w:rPr>
          <w:rFonts w:ascii="Times New Roman" w:hAnsi="Times New Roman"/>
          <w:b/>
          <w:sz w:val="24"/>
          <w:szCs w:val="24"/>
          <w:lang w:val="sk-SK"/>
        </w:rPr>
        <w:t xml:space="preserve">K bodu 2 </w:t>
      </w:r>
    </w:p>
    <w:p w:rsidR="00E105CF" w:rsidRPr="00E105CF" w:rsidP="00E105CF">
      <w:pPr>
        <w:bidi w:val="0"/>
        <w:spacing w:after="0" w:line="240" w:lineRule="auto"/>
        <w:ind w:right="85"/>
        <w:jc w:val="both"/>
        <w:rPr>
          <w:rFonts w:ascii="Times New Roman" w:hAnsi="Times New Roman"/>
          <w:sz w:val="24"/>
          <w:szCs w:val="24"/>
          <w:lang w:val="sk-SK"/>
        </w:rPr>
      </w:pPr>
      <w:r w:rsidRPr="00E105CF">
        <w:rPr>
          <w:rFonts w:ascii="Times New Roman" w:hAnsi="Times New Roman"/>
          <w:sz w:val="24"/>
          <w:szCs w:val="24"/>
          <w:lang w:val="sk-SK"/>
        </w:rPr>
        <w:t>Za účelom nastavenia lehoty na vyplatenie poplatku alebo preplatku prevádzkovateľom systému na základe už priznaného poplatku alebo preplatku príslušným orgánom sa navrhuje ustanoviť lehotu 10 rokov od konca kalendárneho roka, v ktorom sa stalo právoplatným vydané rozhodnutie o vrátení poplatku alebo preplatku alebo bolo vydané písomné upovedomenie o spôsobe vybavenia sťažnosti. Po uplynutí tejto lehoty možnosť vyplatiť poplatok alebo preplatok zaniká. Návrh súvisí aj s existujúcim technickým nastavením archivácie dát v systéme centrálnej evidencie poplatkov podľa lehôt uchovávania účtovnej evidencie. Zaplatené poplatky sú podľa § 16 ods. 4 zákona odvádzané do štátneho rozpočtu najneskôr do konca mesiaca nasledujúceho po mesiaci, v ktorom tieto sumy prevádzkovateľ prijal. V prípade, ak nedôjde k vyplateniu poplatku alebo preplatku, tieto prostriedky sú na účtoch štátneho rozpočtu, a teda prevádzkovateľ systému nevyplatený poplatok alebo preplatok nedrží na svojich zberných účtoch systému eKolok.</w:t>
      </w:r>
    </w:p>
    <w:p w:rsidR="00E105CF" w:rsidRPr="00E105CF" w:rsidP="00E105CF">
      <w:pPr>
        <w:bidi w:val="0"/>
        <w:spacing w:after="0" w:line="240" w:lineRule="auto"/>
        <w:ind w:right="85"/>
        <w:jc w:val="both"/>
        <w:rPr>
          <w:rFonts w:ascii="Times New Roman" w:hAnsi="Times New Roman"/>
          <w:sz w:val="24"/>
          <w:szCs w:val="24"/>
          <w:lang w:val="sk-SK"/>
        </w:rPr>
      </w:pPr>
    </w:p>
    <w:p w:rsidR="00E105CF" w:rsidRPr="00E105CF" w:rsidP="00E105CF">
      <w:pPr>
        <w:bidi w:val="0"/>
        <w:spacing w:after="0" w:line="240" w:lineRule="auto"/>
        <w:jc w:val="both"/>
        <w:rPr>
          <w:rFonts w:ascii="Times New Roman" w:hAnsi="Times New Roman"/>
          <w:b/>
          <w:sz w:val="24"/>
          <w:szCs w:val="24"/>
          <w:lang w:val="sk-SK"/>
        </w:rPr>
      </w:pPr>
      <w:r w:rsidRPr="00E105CF">
        <w:rPr>
          <w:rFonts w:ascii="Times New Roman" w:hAnsi="Times New Roman"/>
          <w:b/>
          <w:sz w:val="24"/>
          <w:szCs w:val="24"/>
          <w:lang w:val="sk-SK"/>
        </w:rPr>
        <w:t>K bodu 3</w:t>
      </w:r>
    </w:p>
    <w:p w:rsidR="00E105CF" w:rsidRPr="00E105CF" w:rsidP="00E105CF">
      <w:pPr>
        <w:bidi w:val="0"/>
        <w:spacing w:after="0" w:line="240" w:lineRule="auto"/>
        <w:jc w:val="both"/>
        <w:rPr>
          <w:rFonts w:ascii="Times New Roman" w:hAnsi="Times New Roman"/>
          <w:sz w:val="24"/>
          <w:szCs w:val="24"/>
          <w:lang w:val="sk-SK"/>
        </w:rPr>
      </w:pPr>
      <w:r w:rsidRPr="00E105CF">
        <w:rPr>
          <w:rFonts w:ascii="Times New Roman" w:hAnsi="Times New Roman"/>
          <w:sz w:val="24"/>
          <w:szCs w:val="24"/>
          <w:lang w:val="sk-SK"/>
        </w:rPr>
        <w:t>Navrhuje sa legislatívno-technická úprava vyvolaná prijatím nového právneho predpisu.</w:t>
      </w:r>
    </w:p>
    <w:p w:rsidR="00E105CF" w:rsidRPr="00E105CF" w:rsidP="00E105CF">
      <w:pPr>
        <w:bidi w:val="0"/>
        <w:spacing w:after="0" w:line="240" w:lineRule="auto"/>
        <w:jc w:val="both"/>
        <w:rPr>
          <w:rFonts w:ascii="Times New Roman" w:hAnsi="Times New Roman"/>
          <w:sz w:val="24"/>
          <w:szCs w:val="24"/>
          <w:lang w:val="sk-SK"/>
        </w:rPr>
      </w:pPr>
      <w:r w:rsidRPr="00E105CF">
        <w:rPr>
          <w:rFonts w:ascii="Times New Roman" w:hAnsi="Times New Roman"/>
          <w:sz w:val="24"/>
          <w:szCs w:val="24"/>
          <w:lang w:val="sk-SK"/>
        </w:rPr>
        <w:t xml:space="preserve"> </w:t>
      </w:r>
    </w:p>
    <w:p w:rsidR="00E105CF" w:rsidRPr="00E105CF" w:rsidP="00E105CF">
      <w:pPr>
        <w:bidi w:val="0"/>
        <w:spacing w:after="0" w:line="240" w:lineRule="auto"/>
        <w:jc w:val="both"/>
        <w:rPr>
          <w:rFonts w:ascii="Times New Roman" w:hAnsi="Times New Roman"/>
          <w:b/>
          <w:sz w:val="24"/>
          <w:szCs w:val="24"/>
          <w:lang w:val="sk-SK"/>
        </w:rPr>
      </w:pPr>
      <w:r w:rsidRPr="00E105CF">
        <w:rPr>
          <w:rFonts w:ascii="Times New Roman" w:hAnsi="Times New Roman"/>
          <w:b/>
          <w:sz w:val="24"/>
          <w:szCs w:val="24"/>
          <w:lang w:val="sk-SK"/>
        </w:rPr>
        <w:t>K bodu 4</w:t>
      </w:r>
    </w:p>
    <w:p w:rsidR="00E105CF" w:rsidRPr="00E105CF" w:rsidP="00E105CF">
      <w:pPr>
        <w:bidi w:val="0"/>
        <w:spacing w:after="0" w:line="240" w:lineRule="auto"/>
        <w:ind w:right="85"/>
        <w:jc w:val="both"/>
        <w:rPr>
          <w:rFonts w:ascii="Times New Roman" w:hAnsi="Times New Roman"/>
          <w:sz w:val="24"/>
          <w:szCs w:val="24"/>
          <w:lang w:val="sk-SK"/>
        </w:rPr>
      </w:pPr>
      <w:r w:rsidRPr="00E105CF">
        <w:rPr>
          <w:rFonts w:ascii="Times New Roman" w:hAnsi="Times New Roman"/>
          <w:sz w:val="24"/>
          <w:szCs w:val="24"/>
          <w:lang w:val="sk-SK"/>
        </w:rPr>
        <w:t>Navrhuje sa doplniť ustanovenie o evidencii poplatkov, archivácii potvrdení o úhrade poplatkov pre účely následnej kontroly v príslušnom orgáne v rozlíšení, ak ide o orgány zapojené alebo nezapojené do centrálnej evidencie poplatkov.</w:t>
      </w:r>
    </w:p>
    <w:p w:rsidR="00E105CF" w:rsidRPr="00E105CF" w:rsidP="00E105CF">
      <w:pPr>
        <w:bidi w:val="0"/>
        <w:spacing w:after="0" w:line="240" w:lineRule="auto"/>
        <w:ind w:right="85"/>
        <w:jc w:val="both"/>
        <w:rPr>
          <w:rFonts w:ascii="Times New Roman" w:hAnsi="Times New Roman"/>
          <w:sz w:val="24"/>
          <w:szCs w:val="24"/>
          <w:lang w:val="sk-SK"/>
        </w:rPr>
      </w:pPr>
    </w:p>
    <w:p w:rsidR="00E105CF" w:rsidRPr="00E105CF" w:rsidP="00E105CF">
      <w:pPr>
        <w:bidi w:val="0"/>
        <w:spacing w:after="0" w:line="240" w:lineRule="auto"/>
        <w:ind w:right="85"/>
        <w:jc w:val="both"/>
        <w:rPr>
          <w:rFonts w:ascii="Times New Roman" w:hAnsi="Times New Roman"/>
          <w:b/>
          <w:sz w:val="24"/>
          <w:szCs w:val="24"/>
          <w:lang w:val="sk-SK"/>
        </w:rPr>
      </w:pPr>
      <w:r w:rsidRPr="00E105CF">
        <w:rPr>
          <w:rFonts w:ascii="Times New Roman" w:hAnsi="Times New Roman"/>
          <w:b/>
          <w:sz w:val="24"/>
          <w:szCs w:val="24"/>
          <w:lang w:val="sk-SK"/>
        </w:rPr>
        <w:t>K bodu 5</w:t>
      </w:r>
    </w:p>
    <w:p w:rsidR="00E105CF" w:rsidRPr="00E105CF" w:rsidP="00E105CF">
      <w:pPr>
        <w:bidi w:val="0"/>
        <w:spacing w:after="0" w:line="240" w:lineRule="auto"/>
        <w:ind w:right="85"/>
        <w:jc w:val="both"/>
        <w:rPr>
          <w:rFonts w:ascii="Times New Roman" w:hAnsi="Times New Roman"/>
          <w:sz w:val="24"/>
          <w:szCs w:val="24"/>
          <w:lang w:val="sk-SK"/>
        </w:rPr>
      </w:pPr>
      <w:r w:rsidRPr="00E105CF">
        <w:rPr>
          <w:rFonts w:ascii="Times New Roman" w:hAnsi="Times New Roman"/>
          <w:sz w:val="24"/>
          <w:szCs w:val="24"/>
          <w:lang w:val="sk-SK"/>
        </w:rPr>
        <w:t xml:space="preserve">Z dôvodu rovnakého postupu pri odvádzaní poplatkov pre orgány zapojené do centrálnej evidencie poplatkov sa navrhuje postupovať rovnako aj v prípade jednotného kontaktného miesta, ktoré vykonáva sprostredkovanie úkonov pre registrové súdy. </w:t>
      </w:r>
    </w:p>
    <w:p w:rsidR="00E105CF" w:rsidRPr="00E105CF" w:rsidP="00E105CF">
      <w:pPr>
        <w:bidi w:val="0"/>
        <w:spacing w:after="0" w:line="240" w:lineRule="auto"/>
        <w:ind w:right="85"/>
        <w:jc w:val="both"/>
        <w:rPr>
          <w:rFonts w:ascii="Times New Roman" w:hAnsi="Times New Roman"/>
          <w:sz w:val="24"/>
          <w:szCs w:val="24"/>
          <w:lang w:val="sk-SK"/>
        </w:rPr>
      </w:pPr>
    </w:p>
    <w:p w:rsidR="00E105CF" w:rsidRPr="00E105CF" w:rsidP="00E105CF">
      <w:pPr>
        <w:bidi w:val="0"/>
        <w:spacing w:after="0" w:line="240" w:lineRule="auto"/>
        <w:ind w:right="85"/>
        <w:jc w:val="both"/>
        <w:rPr>
          <w:rFonts w:ascii="Times New Roman" w:hAnsi="Times New Roman"/>
          <w:b/>
          <w:sz w:val="24"/>
          <w:szCs w:val="24"/>
          <w:lang w:val="sk-SK"/>
        </w:rPr>
      </w:pPr>
      <w:r w:rsidRPr="00E105CF">
        <w:rPr>
          <w:rFonts w:ascii="Times New Roman" w:hAnsi="Times New Roman"/>
          <w:b/>
          <w:sz w:val="24"/>
          <w:szCs w:val="24"/>
          <w:lang w:val="sk-SK"/>
        </w:rPr>
        <w:t>K bodu 6</w:t>
      </w:r>
    </w:p>
    <w:p w:rsidR="00E105CF" w:rsidRPr="00E105CF" w:rsidP="00E105CF">
      <w:pPr>
        <w:bidi w:val="0"/>
        <w:spacing w:after="0" w:line="240" w:lineRule="auto"/>
        <w:ind w:right="85"/>
        <w:jc w:val="both"/>
        <w:rPr>
          <w:rFonts w:ascii="Times New Roman" w:hAnsi="Times New Roman"/>
          <w:sz w:val="24"/>
          <w:szCs w:val="24"/>
          <w:lang w:val="sk-SK"/>
        </w:rPr>
      </w:pPr>
      <w:r w:rsidRPr="00E105CF">
        <w:rPr>
          <w:rFonts w:ascii="Times New Roman" w:hAnsi="Times New Roman"/>
          <w:sz w:val="24"/>
          <w:szCs w:val="24"/>
          <w:lang w:val="sk-SK"/>
        </w:rPr>
        <w:t>Navrhuje sa spresniť prechodným ustanovením použitie navrhnutých zmien predmetnej úpravy. Osobitným spôsobom je uplatnené prechodné ustanovenie pri zániku nároku vyplatenia poplatku alebo preplatku už skôr priznaného rozhodnutím príslušného orgánu s neúspešným pokusom jeho vyplatenia poplatníkovi z dôvodu nevyzdvihnutia si peňažných prostriedkov poplatníkom tak, aby desaťročná lehota plynula od účinnosti návrhu zákona. Z titulu nastavenia archivácie dát v centrálnom systéme evidencie poplatkov aj za minulosť, kedy sa po dobe  desiatich rokov tieto dáta ďalej nearchivujú, navrhuje sa do zákona rovnaká desaťročná lehota na jeho vyplatenie a to aj na prípady, ktoré sa stali pred účinnosťou tohto návrhu zákona. Desaťročná lehota je považovaná za dostatočnú na vyzdvihnutie si peňažných prostriedkov z rozhodnutia úradu o vrátení poplatku alebo preplatku a to aj v prípade dedičského konania alebo iných životných situácií.</w:t>
      </w:r>
    </w:p>
    <w:p w:rsidR="00E105CF" w:rsidRPr="00E105CF" w:rsidP="00E105CF">
      <w:pPr>
        <w:bidi w:val="0"/>
        <w:spacing w:after="0" w:line="240" w:lineRule="auto"/>
        <w:jc w:val="both"/>
        <w:rPr>
          <w:rFonts w:ascii="Times New Roman" w:hAnsi="Times New Roman"/>
          <w:b/>
          <w:sz w:val="24"/>
          <w:szCs w:val="24"/>
          <w:lang w:val="sk-SK"/>
        </w:rPr>
      </w:pPr>
    </w:p>
    <w:p w:rsidR="00E105CF" w:rsidP="00E105CF">
      <w:pPr>
        <w:bidi w:val="0"/>
        <w:spacing w:after="0" w:line="240" w:lineRule="auto"/>
        <w:jc w:val="both"/>
        <w:rPr>
          <w:rFonts w:ascii="Times New Roman" w:hAnsi="Times New Roman"/>
          <w:b/>
          <w:sz w:val="24"/>
          <w:szCs w:val="24"/>
          <w:lang w:val="sk-SK"/>
        </w:rPr>
      </w:pPr>
      <w:r w:rsidRPr="00E105CF">
        <w:rPr>
          <w:rFonts w:ascii="Times New Roman" w:hAnsi="Times New Roman"/>
          <w:b/>
          <w:sz w:val="24"/>
          <w:szCs w:val="24"/>
          <w:lang w:val="sk-SK"/>
        </w:rPr>
        <w:t>K Čl. III</w:t>
      </w:r>
    </w:p>
    <w:p w:rsidR="007823F3" w:rsidRPr="00E105CF" w:rsidP="00E105CF">
      <w:pPr>
        <w:bidi w:val="0"/>
        <w:spacing w:after="0" w:line="240" w:lineRule="auto"/>
        <w:jc w:val="both"/>
        <w:rPr>
          <w:rFonts w:ascii="Times New Roman" w:hAnsi="Times New Roman"/>
          <w:b/>
          <w:sz w:val="24"/>
          <w:szCs w:val="24"/>
          <w:lang w:val="sk-SK"/>
        </w:rPr>
      </w:pPr>
    </w:p>
    <w:p w:rsidR="00E105CF" w:rsidRPr="00E105CF" w:rsidP="00E105CF">
      <w:pPr>
        <w:bidi w:val="0"/>
        <w:spacing w:after="0" w:line="240" w:lineRule="auto"/>
        <w:jc w:val="both"/>
        <w:rPr>
          <w:rFonts w:ascii="Times New Roman" w:hAnsi="Times New Roman"/>
          <w:sz w:val="24"/>
          <w:szCs w:val="24"/>
          <w:lang w:val="sk-SK"/>
        </w:rPr>
      </w:pPr>
      <w:r w:rsidRPr="00E105CF">
        <w:rPr>
          <w:rFonts w:ascii="Times New Roman" w:hAnsi="Times New Roman"/>
          <w:sz w:val="24"/>
          <w:szCs w:val="24"/>
          <w:lang w:val="sk-SK"/>
        </w:rPr>
        <w:t>Navrhuje sa prijať účinnosť zákona od 1. februára 2017.</w:t>
      </w:r>
    </w:p>
    <w:p w:rsidR="00E105CF" w:rsidRPr="00E105CF" w:rsidP="00E105CF">
      <w:pPr>
        <w:bidi w:val="0"/>
        <w:spacing w:after="0" w:line="240" w:lineRule="auto"/>
        <w:jc w:val="both"/>
        <w:rPr>
          <w:rFonts w:ascii="Times New Roman" w:hAnsi="Times New Roman"/>
          <w:sz w:val="24"/>
          <w:szCs w:val="24"/>
          <w:lang w:val="sk-SK"/>
        </w:rPr>
      </w:pPr>
    </w:p>
    <w:p w:rsidR="00792278" w:rsidRPr="00792278" w:rsidP="00792278">
      <w:pPr>
        <w:bidi w:val="0"/>
        <w:jc w:val="both"/>
        <w:rPr>
          <w:rFonts w:ascii="Times New Roman" w:hAnsi="Times New Roman"/>
          <w:sz w:val="24"/>
          <w:szCs w:val="24"/>
          <w:lang w:val="sk-SK" w:eastAsia="sk-SK"/>
        </w:rPr>
      </w:pPr>
      <w:r w:rsidRPr="00792278">
        <w:rPr>
          <w:rFonts w:ascii="Times New Roman" w:hAnsi="Times New Roman"/>
          <w:sz w:val="24"/>
          <w:szCs w:val="24"/>
          <w:lang w:val="sk-SK" w:eastAsia="sk-SK"/>
        </w:rPr>
        <w:t xml:space="preserve">Schválené  na rokovaní vlády Slovenskej republiky dňa </w:t>
      </w:r>
      <w:r>
        <w:rPr>
          <w:rFonts w:ascii="Times New Roman" w:hAnsi="Times New Roman"/>
          <w:sz w:val="24"/>
          <w:szCs w:val="24"/>
          <w:lang w:val="sk-SK" w:eastAsia="sk-SK"/>
        </w:rPr>
        <w:t>21</w:t>
      </w:r>
      <w:r w:rsidRPr="00792278">
        <w:rPr>
          <w:rFonts w:ascii="Times New Roman" w:hAnsi="Times New Roman"/>
          <w:sz w:val="24"/>
          <w:szCs w:val="24"/>
          <w:lang w:val="sk-SK" w:eastAsia="sk-SK"/>
        </w:rPr>
        <w:t xml:space="preserve">. </w:t>
      </w:r>
      <w:r>
        <w:rPr>
          <w:rFonts w:ascii="Times New Roman" w:hAnsi="Times New Roman"/>
          <w:sz w:val="24"/>
          <w:szCs w:val="24"/>
          <w:lang w:val="sk-SK" w:eastAsia="sk-SK"/>
        </w:rPr>
        <w:t>septembra</w:t>
      </w:r>
      <w:r w:rsidRPr="00792278">
        <w:rPr>
          <w:rFonts w:ascii="Times New Roman" w:hAnsi="Times New Roman"/>
          <w:sz w:val="24"/>
          <w:szCs w:val="24"/>
          <w:lang w:val="sk-SK" w:eastAsia="sk-SK"/>
        </w:rPr>
        <w:t xml:space="preserve"> 2016.</w:t>
      </w:r>
    </w:p>
    <w:p w:rsidR="00792278" w:rsidP="00792278">
      <w:pPr>
        <w:pStyle w:val="ListParagraph"/>
        <w:bidi w:val="0"/>
        <w:ind w:left="0"/>
        <w:jc w:val="both"/>
        <w:rPr>
          <w:rFonts w:ascii="Calibri" w:hAnsi="Calibri"/>
          <w:szCs w:val="22"/>
        </w:rPr>
      </w:pPr>
    </w:p>
    <w:p w:rsidR="00792278" w:rsidP="00792278">
      <w:pPr>
        <w:bidi w:val="0"/>
        <w:jc w:val="center"/>
        <w:rPr>
          <w:rFonts w:ascii="Times New Roman" w:hAnsi="Times New Roman"/>
          <w:sz w:val="24"/>
          <w:szCs w:val="24"/>
          <w:lang w:eastAsia="sk-SK"/>
        </w:rPr>
      </w:pPr>
    </w:p>
    <w:p w:rsidR="00792278" w:rsidP="00792278">
      <w:pPr>
        <w:pStyle w:val="ListParagraph"/>
        <w:bidi w:val="0"/>
        <w:jc w:val="center"/>
        <w:rPr>
          <w:rFonts w:ascii="Times New Roman" w:hAnsi="Times New Roman"/>
          <w:b/>
          <w:bCs/>
          <w:sz w:val="24"/>
          <w:szCs w:val="24"/>
        </w:rPr>
      </w:pPr>
      <w:r>
        <w:rPr>
          <w:rFonts w:ascii="Times New Roman" w:hAnsi="Times New Roman"/>
          <w:b/>
          <w:bCs/>
          <w:sz w:val="24"/>
          <w:szCs w:val="24"/>
        </w:rPr>
        <w:t>Robert Fico</w:t>
      </w:r>
      <w:r w:rsidR="004B7156">
        <w:rPr>
          <w:rFonts w:ascii="Times New Roman" w:hAnsi="Times New Roman"/>
          <w:b/>
          <w:bCs/>
          <w:sz w:val="24"/>
          <w:szCs w:val="24"/>
        </w:rPr>
        <w:t>,v.r.</w:t>
      </w:r>
      <w:r>
        <w:rPr>
          <w:rFonts w:ascii="Times New Roman" w:hAnsi="Times New Roman"/>
          <w:b/>
          <w:bCs/>
          <w:sz w:val="24"/>
          <w:szCs w:val="24"/>
        </w:rPr>
        <w:t xml:space="preserve"> </w:t>
      </w:r>
    </w:p>
    <w:p w:rsidR="00792278" w:rsidP="00792278">
      <w:pPr>
        <w:pStyle w:val="ListParagraph"/>
        <w:bidi w:val="0"/>
        <w:jc w:val="center"/>
        <w:rPr>
          <w:rFonts w:ascii="Times New Roman" w:hAnsi="Times New Roman"/>
          <w:sz w:val="24"/>
          <w:szCs w:val="24"/>
          <w:lang w:eastAsia="sk-SK"/>
        </w:rPr>
      </w:pPr>
      <w:r>
        <w:rPr>
          <w:rFonts w:ascii="Times New Roman" w:hAnsi="Times New Roman"/>
          <w:sz w:val="24"/>
          <w:szCs w:val="24"/>
        </w:rPr>
        <w:t>predseda vlády Slovenskej republiky</w:t>
      </w:r>
    </w:p>
    <w:p w:rsidR="00792278" w:rsidP="00792278">
      <w:pPr>
        <w:pStyle w:val="ListParagraph"/>
        <w:bidi w:val="0"/>
        <w:jc w:val="center"/>
        <w:rPr>
          <w:rFonts w:ascii="Times New Roman" w:hAnsi="Times New Roman"/>
          <w:b/>
          <w:bCs/>
          <w:sz w:val="24"/>
          <w:szCs w:val="24"/>
        </w:rPr>
      </w:pPr>
    </w:p>
    <w:p w:rsidR="00501116" w:rsidP="00792278">
      <w:pPr>
        <w:pStyle w:val="ListParagraph"/>
        <w:bidi w:val="0"/>
        <w:jc w:val="center"/>
        <w:rPr>
          <w:rFonts w:ascii="Times New Roman" w:hAnsi="Times New Roman"/>
          <w:b/>
          <w:bCs/>
          <w:sz w:val="24"/>
          <w:szCs w:val="24"/>
        </w:rPr>
      </w:pPr>
    </w:p>
    <w:p w:rsidR="00501116" w:rsidP="00792278">
      <w:pPr>
        <w:pStyle w:val="ListParagraph"/>
        <w:bidi w:val="0"/>
        <w:jc w:val="center"/>
        <w:rPr>
          <w:rFonts w:ascii="Times New Roman" w:hAnsi="Times New Roman"/>
          <w:b/>
          <w:bCs/>
          <w:sz w:val="24"/>
          <w:szCs w:val="24"/>
        </w:rPr>
      </w:pPr>
    </w:p>
    <w:p w:rsidR="00501116" w:rsidP="00792278">
      <w:pPr>
        <w:pStyle w:val="ListParagraph"/>
        <w:bidi w:val="0"/>
        <w:jc w:val="center"/>
        <w:rPr>
          <w:rFonts w:ascii="Times New Roman" w:hAnsi="Times New Roman"/>
          <w:b/>
          <w:bCs/>
          <w:sz w:val="24"/>
          <w:szCs w:val="24"/>
        </w:rPr>
      </w:pPr>
    </w:p>
    <w:p w:rsidR="00792278" w:rsidP="00792278">
      <w:pPr>
        <w:pStyle w:val="ListParagraph"/>
        <w:bidi w:val="0"/>
        <w:jc w:val="center"/>
        <w:rPr>
          <w:rFonts w:ascii="Times New Roman" w:hAnsi="Times New Roman"/>
          <w:b/>
          <w:bCs/>
          <w:sz w:val="24"/>
          <w:szCs w:val="24"/>
        </w:rPr>
      </w:pPr>
      <w:r>
        <w:rPr>
          <w:rFonts w:ascii="Times New Roman" w:hAnsi="Times New Roman"/>
          <w:b/>
          <w:bCs/>
          <w:sz w:val="24"/>
          <w:szCs w:val="24"/>
        </w:rPr>
        <w:t>Peter Kažimír</w:t>
      </w:r>
      <w:r w:rsidR="004B7156">
        <w:rPr>
          <w:rFonts w:ascii="Times New Roman" w:hAnsi="Times New Roman"/>
          <w:b/>
          <w:bCs/>
          <w:sz w:val="24"/>
          <w:szCs w:val="24"/>
        </w:rPr>
        <w:t>,v.r.</w:t>
      </w:r>
    </w:p>
    <w:p w:rsidR="009C2F33" w:rsidRPr="00C95E6F" w:rsidP="00DB0ADF">
      <w:pPr>
        <w:pStyle w:val="ListParagraph"/>
        <w:bidi w:val="0"/>
        <w:jc w:val="center"/>
        <w:rPr>
          <w:rFonts w:ascii="Times New Roman" w:hAnsi="Times New Roman"/>
          <w:sz w:val="24"/>
          <w:szCs w:val="24"/>
        </w:rPr>
      </w:pPr>
      <w:r w:rsidR="00792278">
        <w:rPr>
          <w:rFonts w:ascii="Times New Roman" w:hAnsi="Times New Roman"/>
          <w:sz w:val="24"/>
          <w:szCs w:val="24"/>
        </w:rPr>
        <w:t>minister financií Slovenskej republiky</w:t>
      </w:r>
    </w:p>
    <w:sectPr w:rsidSect="0040784B">
      <w:headerReference w:type="default" r:id="rId29"/>
      <w:headerReference w:type="first" r:id="rId30"/>
      <w:pgSz w:w="11906" w:h="16838"/>
      <w:pgMar w:top="720" w:right="720" w:bottom="720" w:left="720"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Narrow"/>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Arial Narrow">
    <w:altName w:val="Century Gothic"/>
    <w:panose1 w:val="00000000000000000000"/>
    <w:charset w:val="EE"/>
    <w:family w:val="swiss"/>
    <w:pitch w:val="variable"/>
    <w:sig w:usb0="00000000" w:usb1="00000000" w:usb2="00000000" w:usb3="00000000" w:csb0="0000009F" w:csb1="00000000"/>
  </w:font>
  <w:font w:name="@MS Gothic">
    <w:panose1 w:val="00000000000000000000"/>
    <w:charset w:val="80"/>
    <w:family w:val="modern"/>
    <w:pitch w:val="fixed"/>
    <w:sig w:usb0="00000000" w:usb1="00000000" w:usb2="00000000" w:usb3="00000000" w:csb0="0002009F" w:csb1="00000000"/>
  </w:font>
  <w:font w:name="@MS Mincho">
    <w:panose1 w:val="00000000000000000000"/>
    <w:charset w:val="80"/>
    <w:family w:val="modern"/>
    <w:pitch w:val="fixed"/>
    <w:sig w:usb0="00000000" w:usb1="00000000" w:usb2="00000000" w:usb3="00000000" w:csb0="0002009F" w:csb1="00000000"/>
  </w:font>
  <w:font w:name="Segoe UI Symbol">
    <w:panose1 w:val="00000000000000000000"/>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1F6">
    <w:pPr>
      <w:pStyle w:val="Footer"/>
      <w:framePr w:wrap="around"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2151F6">
    <w:pPr>
      <w:pStyle w:val="Footer"/>
      <w:bidi w:val="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1F6">
    <w:pPr>
      <w:pStyle w:val="Footer"/>
      <w:bidi w:val="0"/>
      <w:jc w:val="right"/>
    </w:pPr>
    <w:r>
      <w:fldChar w:fldCharType="begin"/>
    </w:r>
    <w:r>
      <w:instrText>PAGE   \* MERGEFORMAT</w:instrText>
    </w:r>
    <w:r>
      <w:fldChar w:fldCharType="separate"/>
    </w:r>
    <w:r w:rsidR="004B7156">
      <w:rPr>
        <w:noProof/>
      </w:rPr>
      <w:t>10</w:t>
    </w:r>
    <w:r>
      <w:fldChar w:fldCharType="end"/>
    </w:r>
  </w:p>
  <w:p w:rsidR="002151F6">
    <w:pPr>
      <w:pStyle w:val="Footer"/>
      <w:bidi w:val="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1F6" w:rsidP="00FA51C7">
    <w:pPr>
      <w:pStyle w:val="Footer"/>
      <w:bidi w:val="0"/>
      <w:ind w:right="1110"/>
      <w:jc w:val="right"/>
    </w:pPr>
    <w:r>
      <w:fldChar w:fldCharType="begin"/>
    </w:r>
    <w:r>
      <w:instrText>PAGE   \* MERGEFORMAT</w:instrText>
    </w:r>
    <w:r>
      <w:fldChar w:fldCharType="separate"/>
    </w:r>
    <w:r w:rsidR="004B7156">
      <w:rPr>
        <w:noProof/>
      </w:rPr>
      <w:t>30</w:t>
    </w:r>
    <w:r>
      <w:fldChar w:fldCharType="end"/>
    </w:r>
  </w:p>
  <w:p w:rsidR="002151F6">
    <w:pPr>
      <w:pStyle w:val="Footer"/>
      <w:bidi w:val="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C9D" w:rsidRPr="00010C9D" w:rsidP="00DB0ADF">
    <w:pPr>
      <w:pStyle w:val="Footer"/>
      <w:bidi w:val="0"/>
      <w:jc w:val="right"/>
      <w:rPr>
        <w:rFonts w:ascii="Times New Roman" w:hAnsi="Times New Roman"/>
        <w:sz w:val="20"/>
        <w:szCs w:val="20"/>
      </w:rPr>
    </w:pPr>
    <w:r w:rsidRPr="00010C9D">
      <w:rPr>
        <w:rFonts w:ascii="Times New Roman" w:hAnsi="Times New Roman"/>
        <w:sz w:val="20"/>
        <w:szCs w:val="20"/>
      </w:rPr>
      <w:fldChar w:fldCharType="begin"/>
    </w:r>
    <w:r w:rsidRPr="00010C9D">
      <w:rPr>
        <w:rFonts w:ascii="Times New Roman" w:hAnsi="Times New Roman"/>
        <w:sz w:val="20"/>
        <w:szCs w:val="20"/>
      </w:rPr>
      <w:instrText>PAGE   \* MERGEFORMAT</w:instrText>
    </w:r>
    <w:r w:rsidRPr="00010C9D">
      <w:rPr>
        <w:rFonts w:ascii="Times New Roman" w:hAnsi="Times New Roman"/>
        <w:sz w:val="20"/>
        <w:szCs w:val="20"/>
      </w:rPr>
      <w:fldChar w:fldCharType="separate"/>
    </w:r>
    <w:r w:rsidRPr="004B7156" w:rsidR="004B7156">
      <w:rPr>
        <w:rFonts w:ascii="Times New Roman" w:hAnsi="Times New Roman"/>
        <w:noProof/>
        <w:sz w:val="20"/>
        <w:szCs w:val="20"/>
        <w:lang w:val="sk-SK"/>
      </w:rPr>
      <w:t>13</w:t>
    </w:r>
    <w:r w:rsidRPr="00010C9D">
      <w:rPr>
        <w:rFonts w:ascii="Times New Roman" w:hAnsi="Times New Roman"/>
        <w:sz w:val="20"/>
        <w:szCs w:val="20"/>
      </w:rPr>
      <w:fldChar w:fldCharType="end"/>
    </w:r>
  </w:p>
  <w:p w:rsidR="00010C9D">
    <w:pPr>
      <w:pStyle w:val="Footer"/>
      <w:bidi w:val="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2D4" w:rsidRPr="001D6749">
    <w:pPr>
      <w:pStyle w:val="Footer"/>
      <w:bidi w:val="0"/>
      <w:jc w:val="right"/>
      <w:rPr>
        <w:rFonts w:ascii="Times New Roman" w:hAnsi="Times New Roman"/>
      </w:rPr>
    </w:pPr>
    <w:r w:rsidRPr="001D6749">
      <w:rPr>
        <w:rFonts w:ascii="Times New Roman" w:hAnsi="Times New Roman"/>
      </w:rPr>
      <w:fldChar w:fldCharType="begin"/>
    </w:r>
    <w:r w:rsidRPr="001D6749">
      <w:rPr>
        <w:rFonts w:ascii="Times New Roman" w:hAnsi="Times New Roman"/>
      </w:rPr>
      <w:instrText>PAGE   \* MERGEFORMAT</w:instrText>
    </w:r>
    <w:r w:rsidRPr="001D6749">
      <w:rPr>
        <w:rFonts w:ascii="Times New Roman" w:hAnsi="Times New Roman"/>
      </w:rPr>
      <w:fldChar w:fldCharType="separate"/>
    </w:r>
    <w:r w:rsidR="004B7156">
      <w:rPr>
        <w:rFonts w:ascii="Times New Roman" w:hAnsi="Times New Roman"/>
        <w:noProof/>
      </w:rPr>
      <w:t>20</w:t>
    </w:r>
    <w:r w:rsidRPr="001D6749">
      <w:rPr>
        <w:rFonts w:ascii="Times New Roman" w:hAnsi="Times New Roman"/>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2D4" w:rsidRPr="001D6749" w:rsidP="00A65AE8">
    <w:pPr>
      <w:pStyle w:val="Footer"/>
      <w:bidi w:val="0"/>
      <w:ind w:right="1110"/>
      <w:jc w:val="right"/>
      <w:rPr>
        <w:rFonts w:ascii="Times New Roman" w:hAnsi="Times New Roman"/>
      </w:rPr>
    </w:pPr>
    <w:r w:rsidRPr="001D6749">
      <w:rPr>
        <w:rFonts w:ascii="Times New Roman" w:hAnsi="Times New Roman"/>
      </w:rPr>
      <w:fldChar w:fldCharType="begin"/>
    </w:r>
    <w:r w:rsidRPr="001D6749">
      <w:rPr>
        <w:rFonts w:ascii="Times New Roman" w:hAnsi="Times New Roman"/>
      </w:rPr>
      <w:instrText>PAGE   \* MERGEFORMAT</w:instrText>
    </w:r>
    <w:r w:rsidRPr="001D6749">
      <w:rPr>
        <w:rFonts w:ascii="Times New Roman" w:hAnsi="Times New Roman"/>
      </w:rPr>
      <w:fldChar w:fldCharType="separate"/>
    </w:r>
    <w:r w:rsidR="004B7156">
      <w:rPr>
        <w:rFonts w:ascii="Times New Roman" w:hAnsi="Times New Roman"/>
        <w:noProof/>
      </w:rPr>
      <w:t>33</w:t>
    </w:r>
    <w:r w:rsidRPr="001D6749">
      <w:rPr>
        <w:rFonts w:ascii="Times New Roman" w:hAnsi="Times New Roman"/>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1F6" w:rsidP="00EB59C8">
    <w:pPr>
      <w:pStyle w:val="Header"/>
      <w:bidi w:val="0"/>
      <w:jc w:val="right"/>
      <w:rPr>
        <w:sz w:val="24"/>
        <w:szCs w:val="24"/>
      </w:rPr>
    </w:pPr>
    <w:r>
      <w:rPr>
        <w:sz w:val="24"/>
        <w:szCs w:val="24"/>
      </w:rPr>
      <w:t>Príloha č. 2</w:t>
    </w:r>
  </w:p>
  <w:p w:rsidR="002151F6" w:rsidRPr="00EB59C8" w:rsidP="00EB59C8">
    <w:pPr>
      <w:pStyle w:val="Header"/>
      <w:bidi w:val="0"/>
      <w:jc w:val="right"/>
      <w:rPr>
        <w:sz w:val="24"/>
        <w:szCs w:val="24"/>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DF1" w:rsidRPr="00CD4982" w:rsidP="00CD4982">
    <w:pPr>
      <w:tabs>
        <w:tab w:val="center" w:pos="4536"/>
        <w:tab w:val="right" w:pos="9072"/>
      </w:tabs>
      <w:bidi w:val="0"/>
      <w:spacing w:after="0" w:line="240" w:lineRule="auto"/>
      <w:jc w:val="right"/>
      <w:rPr>
        <w:rFonts w:ascii="Times New Roman" w:hAnsi="Times New Roman"/>
        <w:sz w:val="24"/>
        <w:szCs w:val="24"/>
        <w:lang w:eastAsia="sk-SK"/>
      </w:rPr>
    </w:pPr>
    <w:r w:rsidRPr="001D6749">
      <w:rPr>
        <w:rFonts w:ascii="Times New Roman" w:hAnsi="Times New Roman"/>
        <w:sz w:val="24"/>
        <w:szCs w:val="24"/>
        <w:lang w:eastAsia="sk-SK"/>
      </w:rPr>
      <w:t xml:space="preserve">Príloha č. </w:t>
    </w:r>
    <w:r>
      <w:rPr>
        <w:rFonts w:ascii="Times New Roman" w:hAnsi="Times New Roman"/>
        <w:sz w:val="24"/>
        <w:szCs w:val="24"/>
        <w:lang w:eastAsia="sk-SK"/>
      </w:rPr>
      <w:t>4</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2D4" w:rsidRPr="00CD4982" w:rsidP="00CD4982">
    <w:pPr>
      <w:tabs>
        <w:tab w:val="center" w:pos="4536"/>
        <w:tab w:val="right" w:pos="9072"/>
      </w:tabs>
      <w:bidi w:val="0"/>
      <w:spacing w:after="0" w:line="240" w:lineRule="auto"/>
      <w:jc w:val="right"/>
      <w:rPr>
        <w:rFonts w:ascii="Times New Roman" w:hAnsi="Times New Roman"/>
        <w:sz w:val="24"/>
        <w:szCs w:val="24"/>
        <w:lang w:eastAsia="sk-SK"/>
      </w:rPr>
    </w:pPr>
    <w:r w:rsidRPr="001D6749">
      <w:rPr>
        <w:rFonts w:ascii="Times New Roman" w:hAnsi="Times New Roman"/>
        <w:sz w:val="24"/>
        <w:szCs w:val="24"/>
        <w:lang w:eastAsia="sk-SK"/>
      </w:rPr>
      <w:t>Príloha č. 4</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1FB" w:rsidRPr="00BC4C40" w:rsidP="00FA51C7">
    <w:pPr>
      <w:pStyle w:val="Header"/>
      <w:bidi w:val="0"/>
      <w:ind w:right="1394"/>
      <w:jc w:val="right"/>
      <w:rPr>
        <w:lang w:val="sk-SK"/>
      </w:rPr>
    </w:pPr>
    <w:r>
      <w:rPr>
        <w:lang w:val="sk-SK"/>
      </w:rPr>
      <w:t xml:space="preserve">Príloha č. </w:t>
    </w:r>
    <w:r w:rsidR="008F7DF1">
      <w:rPr>
        <w:lang w:val="sk-SK"/>
      </w:rPr>
      <w:t>5</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1FB" w:rsidRPr="006E21FB" w:rsidP="006E21FB">
    <w:pPr>
      <w:pStyle w:val="Header"/>
      <w:bidi w:val="0"/>
      <w:jc w:val="right"/>
      <w:rPr>
        <w:lang w:val="sk-SK"/>
      </w:rPr>
    </w:pPr>
    <w:r>
      <w:rPr>
        <w:lang w:val="sk-SK"/>
      </w:rPr>
      <w:t xml:space="preserve">Príloha č. </w:t>
    </w:r>
    <w:r w:rsidR="008F7DF1">
      <w:rPr>
        <w:lang w:val="sk-SK"/>
      </w:rPr>
      <w:t>4</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DF1" w:rsidRPr="00BC4C40" w:rsidP="00A65AE8">
    <w:pPr>
      <w:pStyle w:val="Header"/>
      <w:bidi w:val="0"/>
      <w:ind w:right="1110"/>
      <w:jc w:val="right"/>
      <w:rPr>
        <w:lang w:val="sk-SK"/>
      </w:rPr>
    </w:pPr>
    <w:r>
      <w:rPr>
        <w:lang w:val="sk-SK"/>
      </w:rPr>
      <w:t>Príloha č</w:t>
    </w:r>
    <w:r w:rsidR="00DB0ADF">
      <w:rPr>
        <w:lang w:val="sk-SK"/>
      </w:rPr>
      <w:t xml:space="preserve">. </w:t>
    </w:r>
    <w:r w:rsidR="009A524A">
      <w:rPr>
        <w:lang w:val="sk-SK"/>
      </w:rPr>
      <w:t>6</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DF1" w:rsidRPr="006E21FB" w:rsidP="006E21FB">
    <w:pPr>
      <w:pStyle w:val="Header"/>
      <w:bidi w:val="0"/>
      <w:jc w:val="right"/>
      <w:rPr>
        <w:lang w:val="sk-SK"/>
      </w:rPr>
    </w:pPr>
    <w:r w:rsidR="00DB0ADF">
      <w:rPr>
        <w:lang w:val="sk-SK"/>
      </w:rPr>
      <w:t>Príloha č. 6</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24A" w:rsidRPr="00BC4C40" w:rsidP="00A65AE8">
    <w:pPr>
      <w:pStyle w:val="Header"/>
      <w:bidi w:val="0"/>
      <w:ind w:right="1110"/>
      <w:jc w:val="right"/>
      <w:rPr>
        <w:lang w:val="sk-SK"/>
      </w:rPr>
    </w:pPr>
    <w:r>
      <w:rPr>
        <w:lang w:val="sk-SK"/>
      </w:rPr>
      <w:t>Príloha č. 7</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24A" w:rsidRPr="006E21FB" w:rsidP="006E21FB">
    <w:pPr>
      <w:pStyle w:val="Header"/>
      <w:bidi w:val="0"/>
      <w:jc w:val="right"/>
      <w:rPr>
        <w:lang w:val="sk-SK"/>
      </w:rPr>
    </w:pPr>
    <w:r>
      <w:rPr>
        <w:lang w:val="sk-SK"/>
      </w:rPr>
      <w:t>Príloha č. 7</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DF1" w:rsidRPr="00BC4C40" w:rsidP="00BC4C40">
    <w:pPr>
      <w:pStyle w:val="Header"/>
      <w:bidi w:val="0"/>
      <w:jc w:val="right"/>
      <w:rPr>
        <w:lang w:val="sk-SK"/>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DF1" w:rsidRPr="006E21FB" w:rsidP="006E21FB">
    <w:pPr>
      <w:pStyle w:val="Header"/>
      <w:bidi w:val="0"/>
      <w:jc w:val="right"/>
      <w:rPr>
        <w:lang w:val="sk-SK"/>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2D4" w:rsidRPr="00CD4982" w:rsidP="006752D4">
    <w:pPr>
      <w:tabs>
        <w:tab w:val="center" w:pos="4536"/>
        <w:tab w:val="right" w:pos="9072"/>
      </w:tabs>
      <w:bidi w:val="0"/>
      <w:spacing w:after="0" w:line="240" w:lineRule="auto"/>
      <w:jc w:val="right"/>
      <w:rPr>
        <w:rFonts w:ascii="Times New Roman" w:hAnsi="Times New Roman"/>
        <w:sz w:val="24"/>
        <w:szCs w:val="24"/>
        <w:lang w:eastAsia="sk-SK"/>
      </w:rPr>
    </w:pPr>
    <w:r w:rsidRPr="001D6749">
      <w:rPr>
        <w:rFonts w:ascii="Times New Roman" w:hAnsi="Times New Roman"/>
        <w:sz w:val="24"/>
        <w:szCs w:val="24"/>
        <w:lang w:eastAsia="sk-SK"/>
      </w:rPr>
      <w:t xml:space="preserve">Príloha č. </w:t>
    </w:r>
    <w:r w:rsidR="008F7DF1">
      <w:rPr>
        <w:rFonts w:ascii="Times New Roman" w:hAnsi="Times New Roman"/>
        <w:sz w:val="24"/>
        <w:szCs w:val="24"/>
        <w:lang w:eastAsia="sk-SK"/>
      </w:rPr>
      <w:t>4</w:t>
    </w:r>
  </w:p>
  <w:p w:rsidR="006752D4">
    <w:pPr>
      <w:pStyle w:val="Header"/>
      <w:bidi w:val="0"/>
    </w:pPr>
  </w:p>
  <w:p w:rsidR="006752D4">
    <w:pPr>
      <w:pStyle w:val="Header"/>
      <w:bidi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1FB" w:rsidRPr="00BC4C40" w:rsidP="00BC4C40">
    <w:pPr>
      <w:pStyle w:val="Header"/>
      <w:bidi w:val="0"/>
      <w:jc w:val="right"/>
      <w:rPr>
        <w:lang w:val="sk-SK"/>
      </w:rPr>
    </w:pPr>
    <w:r>
      <w:rPr>
        <w:lang w:val="sk-SK"/>
      </w:rPr>
      <w:t>Príloha č. 1</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1FB" w:rsidRPr="00BC4C40" w:rsidP="00BC4C40">
    <w:pPr>
      <w:pStyle w:val="Header"/>
      <w:bidi w:val="0"/>
      <w:jc w:val="right"/>
      <w:rPr>
        <w:lang w:val="sk-SK"/>
      </w:rPr>
    </w:pPr>
    <w:r>
      <w:rPr>
        <w:lang w:val="sk-SK"/>
      </w:rPr>
      <w:t xml:space="preserve">Príloha č. </w:t>
    </w:r>
    <w:r w:rsidR="006752D4">
      <w:rPr>
        <w:lang w:val="sk-SK"/>
      </w:rPr>
      <w:t>2</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A69" w:rsidRPr="00CD4982" w:rsidP="006752D4">
    <w:pPr>
      <w:tabs>
        <w:tab w:val="center" w:pos="4536"/>
        <w:tab w:val="right" w:pos="9072"/>
      </w:tabs>
      <w:bidi w:val="0"/>
      <w:spacing w:after="0" w:line="240" w:lineRule="auto"/>
      <w:jc w:val="right"/>
      <w:rPr>
        <w:rFonts w:ascii="Times New Roman" w:hAnsi="Times New Roman"/>
        <w:sz w:val="24"/>
        <w:szCs w:val="24"/>
        <w:lang w:eastAsia="sk-SK"/>
      </w:rPr>
    </w:pPr>
    <w:r w:rsidRPr="001D6749">
      <w:rPr>
        <w:rFonts w:ascii="Times New Roman" w:hAnsi="Times New Roman"/>
        <w:sz w:val="24"/>
        <w:szCs w:val="24"/>
        <w:lang w:eastAsia="sk-SK"/>
      </w:rPr>
      <w:t xml:space="preserve">Príloha č. </w:t>
    </w:r>
    <w:r>
      <w:rPr>
        <w:rFonts w:ascii="Times New Roman" w:hAnsi="Times New Roman"/>
        <w:sz w:val="24"/>
        <w:szCs w:val="24"/>
        <w:lang w:eastAsia="sk-SK"/>
      </w:rPr>
      <w:t>2</w:t>
    </w:r>
  </w:p>
  <w:p w:rsidR="004F1A69">
    <w:pPr>
      <w:pStyle w:val="Header"/>
      <w:bidi w:val="0"/>
    </w:pPr>
  </w:p>
  <w:p w:rsidR="004F1A69">
    <w:pPr>
      <w:pStyle w:val="Header"/>
      <w:bidi w:val="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2D4" w:rsidRPr="00CD4982" w:rsidP="00CD4982">
    <w:pPr>
      <w:tabs>
        <w:tab w:val="center" w:pos="4536"/>
        <w:tab w:val="right" w:pos="9072"/>
      </w:tabs>
      <w:bidi w:val="0"/>
      <w:spacing w:after="0" w:line="240" w:lineRule="auto"/>
      <w:jc w:val="right"/>
      <w:rPr>
        <w:rFonts w:ascii="Times New Roman" w:hAnsi="Times New Roman"/>
        <w:sz w:val="24"/>
        <w:szCs w:val="24"/>
        <w:lang w:eastAsia="sk-SK"/>
      </w:rPr>
    </w:pPr>
    <w:r w:rsidRPr="001D6749">
      <w:rPr>
        <w:rFonts w:ascii="Times New Roman" w:hAnsi="Times New Roman"/>
        <w:sz w:val="24"/>
        <w:szCs w:val="24"/>
        <w:lang w:eastAsia="sk-SK"/>
      </w:rPr>
      <w:t xml:space="preserve">Príloha č. </w:t>
    </w:r>
    <w:r>
      <w:rPr>
        <w:rFonts w:ascii="Times New Roman" w:hAnsi="Times New Roman"/>
        <w:sz w:val="24"/>
        <w:szCs w:val="24"/>
        <w:lang w:eastAsia="sk-SK"/>
      </w:rPr>
      <w:t>3</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A69" w:rsidRPr="00CD4982" w:rsidP="006752D4">
    <w:pPr>
      <w:tabs>
        <w:tab w:val="center" w:pos="4536"/>
        <w:tab w:val="right" w:pos="9072"/>
      </w:tabs>
      <w:bidi w:val="0"/>
      <w:spacing w:after="0" w:line="240" w:lineRule="auto"/>
      <w:jc w:val="right"/>
      <w:rPr>
        <w:rFonts w:ascii="Times New Roman" w:hAnsi="Times New Roman"/>
        <w:sz w:val="24"/>
        <w:szCs w:val="24"/>
        <w:lang w:eastAsia="sk-SK"/>
      </w:rPr>
    </w:pPr>
    <w:r w:rsidRPr="001D6749">
      <w:rPr>
        <w:rFonts w:ascii="Times New Roman" w:hAnsi="Times New Roman"/>
        <w:sz w:val="24"/>
        <w:szCs w:val="24"/>
        <w:lang w:eastAsia="sk-SK"/>
      </w:rPr>
      <w:t xml:space="preserve">Príloha č. </w:t>
    </w:r>
    <w:r>
      <w:rPr>
        <w:rFonts w:ascii="Times New Roman" w:hAnsi="Times New Roman"/>
        <w:sz w:val="24"/>
        <w:szCs w:val="24"/>
        <w:lang w:eastAsia="sk-SK"/>
      </w:rPr>
      <w:t>3</w:t>
    </w:r>
  </w:p>
  <w:p w:rsidR="004F1A69">
    <w:pPr>
      <w:pStyle w:val="Header"/>
      <w:bidi w:val="0"/>
    </w:pPr>
  </w:p>
  <w:p w:rsidR="004F1A69">
    <w:pPr>
      <w:pStyle w:val="Header"/>
      <w:bidi w:val="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A69" w:rsidRPr="00CD4982" w:rsidP="006752D4">
    <w:pPr>
      <w:tabs>
        <w:tab w:val="center" w:pos="4536"/>
        <w:tab w:val="right" w:pos="9072"/>
      </w:tabs>
      <w:bidi w:val="0"/>
      <w:spacing w:after="0" w:line="240" w:lineRule="auto"/>
      <w:jc w:val="right"/>
      <w:rPr>
        <w:rFonts w:ascii="Times New Roman" w:hAnsi="Times New Roman"/>
        <w:sz w:val="24"/>
        <w:szCs w:val="24"/>
        <w:lang w:eastAsia="sk-SK"/>
      </w:rPr>
    </w:pPr>
    <w:r w:rsidRPr="001D6749">
      <w:rPr>
        <w:rFonts w:ascii="Times New Roman" w:hAnsi="Times New Roman"/>
        <w:sz w:val="24"/>
        <w:szCs w:val="24"/>
        <w:lang w:eastAsia="sk-SK"/>
      </w:rPr>
      <w:t xml:space="preserve">Príloha č. </w:t>
    </w:r>
    <w:r>
      <w:rPr>
        <w:rFonts w:ascii="Times New Roman" w:hAnsi="Times New Roman"/>
        <w:sz w:val="24"/>
        <w:szCs w:val="24"/>
        <w:lang w:eastAsia="sk-SK"/>
      </w:rPr>
      <w:t>4</w:t>
    </w:r>
  </w:p>
  <w:p w:rsidR="004F1A69">
    <w:pPr>
      <w:pStyle w:val="Header"/>
      <w:bidi w:val="0"/>
    </w:pPr>
  </w:p>
  <w:p w:rsidR="004F1A69">
    <w:pPr>
      <w:pStyle w:val="Header"/>
      <w:bidi w:val="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24A" w:rsidRPr="00CD4982" w:rsidP="00CD4982">
    <w:pPr>
      <w:tabs>
        <w:tab w:val="center" w:pos="4536"/>
        <w:tab w:val="right" w:pos="9072"/>
      </w:tabs>
      <w:bidi w:val="0"/>
      <w:spacing w:after="0" w:line="240" w:lineRule="auto"/>
      <w:jc w:val="right"/>
      <w:rPr>
        <w:rFonts w:ascii="Times New Roman" w:hAnsi="Times New Roman"/>
        <w:sz w:val="24"/>
        <w:szCs w:val="24"/>
        <w:lang w:eastAsia="sk-SK"/>
      </w:rPr>
    </w:pPr>
    <w:r w:rsidRPr="001D6749">
      <w:rPr>
        <w:rFonts w:ascii="Times New Roman" w:hAnsi="Times New Roman"/>
        <w:sz w:val="24"/>
        <w:szCs w:val="24"/>
        <w:lang w:eastAsia="sk-SK"/>
      </w:rPr>
      <w:t xml:space="preserve">Príloha č. </w:t>
    </w:r>
    <w:r>
      <w:rPr>
        <w:rFonts w:ascii="Times New Roman" w:hAnsi="Times New Roman"/>
        <w:sz w:val="24"/>
        <w:szCs w:val="24"/>
        <w:lang w:eastAsia="sk-SK"/>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45E1"/>
    <w:multiLevelType w:val="hybridMultilevel"/>
    <w:tmpl w:val="E6282E16"/>
    <w:lvl w:ilvl="0">
      <w:start w:val="2"/>
      <w:numFmt w:val="lowerLetter"/>
      <w:lvlText w:val="%1)"/>
      <w:lvlJc w:val="left"/>
      <w:pPr>
        <w:ind w:left="144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FA1458F"/>
    <w:multiLevelType w:val="hybridMultilevel"/>
    <w:tmpl w:val="B20AD7E8"/>
    <w:lvl w:ilvl="0">
      <w:start w:val="1"/>
      <w:numFmt w:val="upperRoman"/>
      <w:lvlText w:val="%1."/>
      <w:lvlJc w:val="left"/>
      <w:pPr>
        <w:ind w:left="1004" w:hanging="72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
    <w:nsid w:val="10C349EF"/>
    <w:multiLevelType w:val="hybridMultilevel"/>
    <w:tmpl w:val="35EE77EC"/>
    <w:lvl w:ilvl="0">
      <w:start w:val="6"/>
      <w:numFmt w:val="bullet"/>
      <w:lvlText w:val="-"/>
      <w:lvlJc w:val="left"/>
      <w:pPr>
        <w:ind w:left="1157" w:hanging="360"/>
      </w:pPr>
      <w:rPr>
        <w:rFonts w:ascii="Times New Roman" w:eastAsia="Times New Roman" w:hAnsi="Times New Roman" w:hint="default"/>
      </w:rPr>
    </w:lvl>
    <w:lvl w:ilvl="1">
      <w:start w:val="1"/>
      <w:numFmt w:val="bullet"/>
      <w:lvlText w:val="o"/>
      <w:lvlJc w:val="left"/>
      <w:pPr>
        <w:ind w:left="1877" w:hanging="360"/>
      </w:pPr>
      <w:rPr>
        <w:rFonts w:ascii="Courier New" w:hAnsi="Courier New" w:hint="default"/>
      </w:rPr>
    </w:lvl>
    <w:lvl w:ilvl="2">
      <w:start w:val="1"/>
      <w:numFmt w:val="bullet"/>
      <w:lvlText w:val=""/>
      <w:lvlJc w:val="left"/>
      <w:pPr>
        <w:ind w:left="2597" w:hanging="360"/>
      </w:pPr>
      <w:rPr>
        <w:rFonts w:ascii="Wingdings" w:hAnsi="Wingdings" w:hint="default"/>
      </w:rPr>
    </w:lvl>
    <w:lvl w:ilvl="3">
      <w:start w:val="1"/>
      <w:numFmt w:val="bullet"/>
      <w:lvlText w:val=""/>
      <w:lvlJc w:val="left"/>
      <w:pPr>
        <w:ind w:left="3317" w:hanging="360"/>
      </w:pPr>
      <w:rPr>
        <w:rFonts w:ascii="Symbol" w:hAnsi="Symbol" w:hint="default"/>
      </w:rPr>
    </w:lvl>
    <w:lvl w:ilvl="4">
      <w:start w:val="1"/>
      <w:numFmt w:val="bullet"/>
      <w:lvlText w:val="o"/>
      <w:lvlJc w:val="left"/>
      <w:pPr>
        <w:ind w:left="4037" w:hanging="360"/>
      </w:pPr>
      <w:rPr>
        <w:rFonts w:ascii="Courier New" w:hAnsi="Courier New" w:hint="default"/>
      </w:rPr>
    </w:lvl>
    <w:lvl w:ilvl="5">
      <w:start w:val="1"/>
      <w:numFmt w:val="bullet"/>
      <w:lvlText w:val=""/>
      <w:lvlJc w:val="left"/>
      <w:pPr>
        <w:ind w:left="4757" w:hanging="360"/>
      </w:pPr>
      <w:rPr>
        <w:rFonts w:ascii="Wingdings" w:hAnsi="Wingdings" w:hint="default"/>
      </w:rPr>
    </w:lvl>
    <w:lvl w:ilvl="6">
      <w:start w:val="1"/>
      <w:numFmt w:val="bullet"/>
      <w:lvlText w:val=""/>
      <w:lvlJc w:val="left"/>
      <w:pPr>
        <w:ind w:left="5477" w:hanging="360"/>
      </w:pPr>
      <w:rPr>
        <w:rFonts w:ascii="Symbol" w:hAnsi="Symbol" w:hint="default"/>
      </w:rPr>
    </w:lvl>
    <w:lvl w:ilvl="7">
      <w:start w:val="1"/>
      <w:numFmt w:val="bullet"/>
      <w:lvlText w:val="o"/>
      <w:lvlJc w:val="left"/>
      <w:pPr>
        <w:ind w:left="6197" w:hanging="360"/>
      </w:pPr>
      <w:rPr>
        <w:rFonts w:ascii="Courier New" w:hAnsi="Courier New" w:hint="default"/>
      </w:rPr>
    </w:lvl>
    <w:lvl w:ilvl="8">
      <w:start w:val="1"/>
      <w:numFmt w:val="bullet"/>
      <w:lvlText w:val=""/>
      <w:lvlJc w:val="left"/>
      <w:pPr>
        <w:ind w:left="6917" w:hanging="360"/>
      </w:pPr>
      <w:rPr>
        <w:rFonts w:ascii="Wingdings" w:hAnsi="Wingdings" w:hint="default"/>
      </w:rPr>
    </w:lvl>
  </w:abstractNum>
  <w:abstractNum w:abstractNumId="3">
    <w:nsid w:val="1D3F2D1F"/>
    <w:multiLevelType w:val="hybridMultilevel"/>
    <w:tmpl w:val="2976140A"/>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0EB7CCA"/>
    <w:multiLevelType w:val="multilevel"/>
    <w:tmpl w:val="25B85DCE"/>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21EC07DA"/>
    <w:multiLevelType w:val="hybridMultilevel"/>
    <w:tmpl w:val="49B4160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77D0DE7"/>
    <w:multiLevelType w:val="hybridMultilevel"/>
    <w:tmpl w:val="35C6414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2BC84CD3"/>
    <w:multiLevelType w:val="hybridMultilevel"/>
    <w:tmpl w:val="14626138"/>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8">
    <w:nsid w:val="2F4A5F9C"/>
    <w:multiLevelType w:val="hybridMultilevel"/>
    <w:tmpl w:val="38B61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40BB08A6"/>
    <w:multiLevelType w:val="hybridMultilevel"/>
    <w:tmpl w:val="97620AF0"/>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lowerLetter"/>
      <w:lvlText w:val="%2)"/>
      <w:lvlJc w:val="left"/>
      <w:pPr>
        <w:tabs>
          <w:tab w:val="num" w:pos="1620"/>
        </w:tabs>
        <w:ind w:left="1620" w:hanging="360"/>
      </w:pPr>
      <w:rPr>
        <w:rFonts w:cs="Times New Roman" w:hint="default"/>
        <w:rtl w:val="0"/>
        <w:cs w:val="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nsid w:val="451F6C06"/>
    <w:multiLevelType w:val="hybridMultilevel"/>
    <w:tmpl w:val="26B4305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
    <w:nsid w:val="4A527123"/>
    <w:multiLevelType w:val="hybridMultilevel"/>
    <w:tmpl w:val="0FC42C70"/>
    <w:lvl w:ilvl="0">
      <w:start w:val="1"/>
      <w:numFmt w:val="lowerLetter"/>
      <w:lvlText w:val="%1)"/>
      <w:lvlJc w:val="left"/>
      <w:pPr>
        <w:tabs>
          <w:tab w:val="num" w:pos="757"/>
        </w:tabs>
        <w:ind w:left="757"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2">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13">
    <w:nsid w:val="5D0B44FF"/>
    <w:multiLevelType w:val="hybridMultilevel"/>
    <w:tmpl w:val="38349D9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667B564C"/>
    <w:multiLevelType w:val="hybridMultilevel"/>
    <w:tmpl w:val="3A46DE4C"/>
    <w:lvl w:ilvl="0">
      <w:start w:val="0"/>
      <w:numFmt w:val="bullet"/>
      <w:lvlText w:val="-"/>
      <w:lvlJc w:val="left"/>
      <w:pPr>
        <w:ind w:left="835" w:hanging="360"/>
      </w:pPr>
      <w:rPr>
        <w:rFonts w:ascii="Arial Narrow" w:eastAsia="Times New Roman" w:hAnsi="Arial Narrow" w:hint="default"/>
      </w:rPr>
    </w:lvl>
    <w:lvl w:ilvl="1">
      <w:start w:val="1"/>
      <w:numFmt w:val="bullet"/>
      <w:lvlText w:val="o"/>
      <w:lvlJc w:val="left"/>
      <w:pPr>
        <w:ind w:left="1555" w:hanging="360"/>
      </w:pPr>
      <w:rPr>
        <w:rFonts w:ascii="Courier New" w:hAnsi="Courier New" w:hint="default"/>
      </w:rPr>
    </w:lvl>
    <w:lvl w:ilvl="2">
      <w:start w:val="1"/>
      <w:numFmt w:val="bullet"/>
      <w:lvlText w:val=""/>
      <w:lvlJc w:val="left"/>
      <w:pPr>
        <w:ind w:left="2275" w:hanging="360"/>
      </w:pPr>
      <w:rPr>
        <w:rFonts w:ascii="Wingdings" w:hAnsi="Wingdings" w:hint="default"/>
      </w:rPr>
    </w:lvl>
    <w:lvl w:ilvl="3">
      <w:start w:val="1"/>
      <w:numFmt w:val="bullet"/>
      <w:lvlText w:val=""/>
      <w:lvlJc w:val="left"/>
      <w:pPr>
        <w:ind w:left="2995" w:hanging="360"/>
      </w:pPr>
      <w:rPr>
        <w:rFonts w:ascii="Symbol" w:hAnsi="Symbol" w:hint="default"/>
      </w:rPr>
    </w:lvl>
    <w:lvl w:ilvl="4">
      <w:start w:val="1"/>
      <w:numFmt w:val="bullet"/>
      <w:lvlText w:val="o"/>
      <w:lvlJc w:val="left"/>
      <w:pPr>
        <w:ind w:left="3715" w:hanging="360"/>
      </w:pPr>
      <w:rPr>
        <w:rFonts w:ascii="Courier New" w:hAnsi="Courier New" w:hint="default"/>
      </w:rPr>
    </w:lvl>
    <w:lvl w:ilvl="5">
      <w:start w:val="1"/>
      <w:numFmt w:val="bullet"/>
      <w:lvlText w:val=""/>
      <w:lvlJc w:val="left"/>
      <w:pPr>
        <w:ind w:left="4435" w:hanging="360"/>
      </w:pPr>
      <w:rPr>
        <w:rFonts w:ascii="Wingdings" w:hAnsi="Wingdings" w:hint="default"/>
      </w:rPr>
    </w:lvl>
    <w:lvl w:ilvl="6">
      <w:start w:val="1"/>
      <w:numFmt w:val="bullet"/>
      <w:lvlText w:val=""/>
      <w:lvlJc w:val="left"/>
      <w:pPr>
        <w:ind w:left="5155" w:hanging="360"/>
      </w:pPr>
      <w:rPr>
        <w:rFonts w:ascii="Symbol" w:hAnsi="Symbol" w:hint="default"/>
      </w:rPr>
    </w:lvl>
    <w:lvl w:ilvl="7">
      <w:start w:val="1"/>
      <w:numFmt w:val="bullet"/>
      <w:lvlText w:val="o"/>
      <w:lvlJc w:val="left"/>
      <w:pPr>
        <w:ind w:left="5875" w:hanging="360"/>
      </w:pPr>
      <w:rPr>
        <w:rFonts w:ascii="Courier New" w:hAnsi="Courier New" w:hint="default"/>
      </w:rPr>
    </w:lvl>
    <w:lvl w:ilvl="8">
      <w:start w:val="1"/>
      <w:numFmt w:val="bullet"/>
      <w:lvlText w:val=""/>
      <w:lvlJc w:val="left"/>
      <w:pPr>
        <w:ind w:left="6595" w:hanging="360"/>
      </w:pPr>
      <w:rPr>
        <w:rFonts w:ascii="Wingdings" w:hAnsi="Wingdings" w:hint="default"/>
      </w:rPr>
    </w:lvl>
  </w:abstractNum>
  <w:abstractNum w:abstractNumId="15">
    <w:nsid w:val="6B625AE5"/>
    <w:multiLevelType w:val="singleLevel"/>
    <w:tmpl w:val="0405000F"/>
    <w:lvl w:ilvl="0">
      <w:start w:val="2"/>
      <w:numFmt w:val="decimal"/>
      <w:lvlText w:val="%1."/>
      <w:lvlJc w:val="left"/>
      <w:pPr>
        <w:tabs>
          <w:tab w:val="num" w:pos="360"/>
        </w:tabs>
        <w:ind w:left="360" w:hanging="360"/>
      </w:pPr>
      <w:rPr>
        <w:rFonts w:cs="Times New Roman"/>
        <w:rtl w:val="0"/>
        <w:cs w:val="0"/>
      </w:rPr>
    </w:lvl>
  </w:abstractNum>
  <w:abstractNum w:abstractNumId="16">
    <w:nsid w:val="6BF03261"/>
    <w:multiLevelType w:val="hybridMultilevel"/>
    <w:tmpl w:val="69926042"/>
    <w:lvl w:ilvl="0">
      <w:start w:val="1"/>
      <w:numFmt w:val="decimal"/>
      <w:lvlText w:val="%1."/>
      <w:lvlJc w:val="left"/>
      <w:pPr>
        <w:ind w:left="720" w:hanging="360"/>
      </w:pPr>
      <w:rPr>
        <w:rFonts w:cs="Arial Narrow"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70A52F18"/>
    <w:multiLevelType w:val="hybridMultilevel"/>
    <w:tmpl w:val="DF6CCACC"/>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8">
    <w:nsid w:val="7552299F"/>
    <w:multiLevelType w:val="hybridMultilevel"/>
    <w:tmpl w:val="0F208BBA"/>
    <w:lvl w:ilvl="0">
      <w:start w:val="1"/>
      <w:numFmt w:val="bullet"/>
      <w:lvlText w:val="o"/>
      <w:lvlJc w:val="left"/>
      <w:pPr>
        <w:ind w:left="1428" w:hanging="360"/>
      </w:pPr>
      <w:rPr>
        <w:rFonts w:ascii="Courier New" w:hAnsi="Courier New"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9">
    <w:nsid w:val="7BDE54EF"/>
    <w:multiLevelType w:val="hybridMultilevel"/>
    <w:tmpl w:val="419C7968"/>
    <w:lvl w:ilvl="0">
      <w:start w:val="1"/>
      <w:numFmt w:val="decimal"/>
      <w:lvlText w:val="%1."/>
      <w:lvlJc w:val="left"/>
      <w:pPr>
        <w:ind w:left="360"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7"/>
  </w:num>
  <w:num w:numId="2">
    <w:abstractNumId w:val="15"/>
    <w:lvlOverride w:ilvl="0">
      <w:startOverride w:val="2"/>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2"/>
  </w:num>
  <w:num w:numId="6">
    <w:abstractNumId w:val="9"/>
  </w:num>
  <w:num w:numId="7">
    <w:abstractNumId w:val="3"/>
  </w:num>
  <w:num w:numId="8">
    <w:abstractNumId w:val="0"/>
  </w:num>
  <w:num w:numId="9">
    <w:abstractNumId w:val="16"/>
  </w:num>
  <w:num w:numId="10">
    <w:abstractNumId w:val="18"/>
  </w:num>
  <w:num w:numId="11">
    <w:abstractNumId w:val="13"/>
  </w:num>
  <w:num w:numId="12">
    <w:abstractNumId w:val="2"/>
  </w:num>
  <w:num w:numId="13">
    <w:abstractNumId w:val="14"/>
  </w:num>
  <w:num w:numId="14">
    <w:abstractNumId w:val="19"/>
  </w:num>
  <w:num w:numId="15">
    <w:abstractNumId w:val="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6"/>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compat/>
  <w:rsids>
    <w:rsidRoot w:val="00A46D89"/>
    <w:rsid w:val="00010C9D"/>
    <w:rsid w:val="00094059"/>
    <w:rsid w:val="00096C3F"/>
    <w:rsid w:val="000A097D"/>
    <w:rsid w:val="000B7811"/>
    <w:rsid w:val="00125D2A"/>
    <w:rsid w:val="00141089"/>
    <w:rsid w:val="001676DF"/>
    <w:rsid w:val="00184CAB"/>
    <w:rsid w:val="001D6749"/>
    <w:rsid w:val="001F5353"/>
    <w:rsid w:val="002151F6"/>
    <w:rsid w:val="00224847"/>
    <w:rsid w:val="00227B99"/>
    <w:rsid w:val="00242BEF"/>
    <w:rsid w:val="002468FF"/>
    <w:rsid w:val="00281349"/>
    <w:rsid w:val="002E32C0"/>
    <w:rsid w:val="00374EDB"/>
    <w:rsid w:val="003B1444"/>
    <w:rsid w:val="0040544D"/>
    <w:rsid w:val="0040784B"/>
    <w:rsid w:val="00413E9A"/>
    <w:rsid w:val="00415EA0"/>
    <w:rsid w:val="00465E15"/>
    <w:rsid w:val="004676F7"/>
    <w:rsid w:val="004702CB"/>
    <w:rsid w:val="004A6AFD"/>
    <w:rsid w:val="004B4EA8"/>
    <w:rsid w:val="004B7156"/>
    <w:rsid w:val="004E6413"/>
    <w:rsid w:val="004F1A69"/>
    <w:rsid w:val="00501116"/>
    <w:rsid w:val="00501AD0"/>
    <w:rsid w:val="005B308E"/>
    <w:rsid w:val="005B4511"/>
    <w:rsid w:val="005F2424"/>
    <w:rsid w:val="0060639F"/>
    <w:rsid w:val="00622D0E"/>
    <w:rsid w:val="00653EEA"/>
    <w:rsid w:val="00673BF3"/>
    <w:rsid w:val="006752D4"/>
    <w:rsid w:val="00685EBA"/>
    <w:rsid w:val="006C4B17"/>
    <w:rsid w:val="006E21FB"/>
    <w:rsid w:val="00734CC6"/>
    <w:rsid w:val="007466D3"/>
    <w:rsid w:val="007545FE"/>
    <w:rsid w:val="00756DA8"/>
    <w:rsid w:val="00766B89"/>
    <w:rsid w:val="007823F3"/>
    <w:rsid w:val="00792278"/>
    <w:rsid w:val="007B003C"/>
    <w:rsid w:val="007B71A4"/>
    <w:rsid w:val="007C7F8B"/>
    <w:rsid w:val="007D5748"/>
    <w:rsid w:val="007E3732"/>
    <w:rsid w:val="007F6B74"/>
    <w:rsid w:val="00805396"/>
    <w:rsid w:val="00816AE4"/>
    <w:rsid w:val="008703F7"/>
    <w:rsid w:val="008B550E"/>
    <w:rsid w:val="008C2661"/>
    <w:rsid w:val="008D6081"/>
    <w:rsid w:val="008F71E1"/>
    <w:rsid w:val="008F7DF1"/>
    <w:rsid w:val="009066B1"/>
    <w:rsid w:val="009329D5"/>
    <w:rsid w:val="009634B3"/>
    <w:rsid w:val="0099440F"/>
    <w:rsid w:val="00994C53"/>
    <w:rsid w:val="009A524A"/>
    <w:rsid w:val="009C2704"/>
    <w:rsid w:val="009C2F33"/>
    <w:rsid w:val="00A30F1C"/>
    <w:rsid w:val="00A46D89"/>
    <w:rsid w:val="00A65AE8"/>
    <w:rsid w:val="00A8025E"/>
    <w:rsid w:val="00A82F95"/>
    <w:rsid w:val="00AA4179"/>
    <w:rsid w:val="00AB4BE4"/>
    <w:rsid w:val="00AD5A74"/>
    <w:rsid w:val="00B410BF"/>
    <w:rsid w:val="00B55757"/>
    <w:rsid w:val="00B80DDA"/>
    <w:rsid w:val="00BA34FD"/>
    <w:rsid w:val="00BC4C40"/>
    <w:rsid w:val="00BE5571"/>
    <w:rsid w:val="00BF5638"/>
    <w:rsid w:val="00C11040"/>
    <w:rsid w:val="00C13E6A"/>
    <w:rsid w:val="00C24CC2"/>
    <w:rsid w:val="00C95E6F"/>
    <w:rsid w:val="00C96668"/>
    <w:rsid w:val="00CB1C65"/>
    <w:rsid w:val="00CD128E"/>
    <w:rsid w:val="00CD4982"/>
    <w:rsid w:val="00CE5F29"/>
    <w:rsid w:val="00CE634D"/>
    <w:rsid w:val="00CF0A3A"/>
    <w:rsid w:val="00D3362A"/>
    <w:rsid w:val="00D72801"/>
    <w:rsid w:val="00D91170"/>
    <w:rsid w:val="00DA4453"/>
    <w:rsid w:val="00DB0ADF"/>
    <w:rsid w:val="00DD22F7"/>
    <w:rsid w:val="00DD2D4E"/>
    <w:rsid w:val="00DD3EA1"/>
    <w:rsid w:val="00DE211D"/>
    <w:rsid w:val="00DF5164"/>
    <w:rsid w:val="00DF565B"/>
    <w:rsid w:val="00E105CF"/>
    <w:rsid w:val="00E13160"/>
    <w:rsid w:val="00E1659F"/>
    <w:rsid w:val="00E53304"/>
    <w:rsid w:val="00E57B5B"/>
    <w:rsid w:val="00E65DF5"/>
    <w:rsid w:val="00E70F04"/>
    <w:rsid w:val="00EA2837"/>
    <w:rsid w:val="00EB59C8"/>
    <w:rsid w:val="00EB636A"/>
    <w:rsid w:val="00EB7ECA"/>
    <w:rsid w:val="00ED2B85"/>
    <w:rsid w:val="00F04CCD"/>
    <w:rsid w:val="00F650A7"/>
    <w:rsid w:val="00F706ED"/>
    <w:rsid w:val="00F8651B"/>
    <w:rsid w:val="00FA434F"/>
    <w:rsid w:val="00FA51C7"/>
    <w:rsid w:val="00FB2EC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A3A"/>
    <w:pPr>
      <w:framePr w:wrap="auto"/>
      <w:widowControl w:val="0"/>
      <w:autoSpaceDE/>
      <w:autoSpaceDN/>
      <w:adjustRightInd w:val="0"/>
      <w:spacing w:after="200" w:line="276" w:lineRule="auto"/>
      <w:ind w:left="0" w:right="0"/>
      <w:jc w:val="left"/>
      <w:textAlignment w:val="auto"/>
    </w:pPr>
    <w:rPr>
      <w:rFonts w:ascii="Calibri" w:hAnsi="Calibri" w:cs="Times New Roman"/>
      <w:sz w:val="22"/>
      <w:szCs w:val="22"/>
      <w:rtl w:val="0"/>
      <w:cs w:val="0"/>
      <w:lang w:val="en-US" w:eastAsia="en-US" w:bidi="ar-SA"/>
    </w:rPr>
  </w:style>
  <w:style w:type="paragraph" w:styleId="Heading3">
    <w:name w:val="heading 3"/>
    <w:aliases w:val="Tab"/>
    <w:basedOn w:val="Normal"/>
    <w:next w:val="Normal"/>
    <w:link w:val="Nadpis3Char"/>
    <w:uiPriority w:val="99"/>
    <w:qFormat/>
    <w:rsid w:val="002151F6"/>
    <w:pPr>
      <w:keepNext/>
      <w:widowControl/>
      <w:adjustRightInd/>
      <w:spacing w:after="0" w:line="240" w:lineRule="auto"/>
      <w:jc w:val="left"/>
      <w:outlineLvl w:val="2"/>
    </w:pPr>
    <w:rPr>
      <w:rFonts w:ascii="Arial Narrow" w:hAnsi="Arial Narrow" w:cs="Arial"/>
      <w:b/>
      <w:bCs/>
      <w:sz w:val="20"/>
      <w:szCs w:val="26"/>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aliases w:val="Tab Char"/>
    <w:basedOn w:val="DefaultParagraphFont"/>
    <w:link w:val="Heading3"/>
    <w:uiPriority w:val="99"/>
    <w:locked/>
    <w:rsid w:val="002151F6"/>
    <w:rPr>
      <w:rFonts w:cs="Arial"/>
      <w:b/>
      <w:bCs/>
      <w:sz w:val="26"/>
      <w:szCs w:val="26"/>
      <w:rtl w:val="0"/>
      <w:cs w:val="0"/>
      <w:lang w:val="x-none" w:eastAsia="sk-SK"/>
    </w:rPr>
  </w:style>
  <w:style w:type="paragraph" w:styleId="ListParagraph">
    <w:name w:val="List Paragraph"/>
    <w:aliases w:val="Odsek,Odsek zoznamu1,Odsek zoznamu2,body"/>
    <w:basedOn w:val="Normal"/>
    <w:link w:val="OdsekzoznamuChar"/>
    <w:uiPriority w:val="34"/>
    <w:qFormat/>
    <w:rsid w:val="00CF0A3A"/>
    <w:pPr>
      <w:widowControl/>
      <w:adjustRightInd/>
      <w:ind w:left="720"/>
      <w:contextualSpacing/>
      <w:jc w:val="left"/>
    </w:pPr>
    <w:rPr>
      <w:rFonts w:ascii="Arial Narrow" w:hAnsi="Arial Narrow"/>
      <w:szCs w:val="36"/>
      <w:lang w:val="sk-SK"/>
    </w:rPr>
  </w:style>
  <w:style w:type="paragraph" w:customStyle="1" w:styleId="Zkladntext">
    <w:name w:val="Základní text"/>
    <w:aliases w:val="Základný text Char Char"/>
    <w:rsid w:val="00CF0A3A"/>
    <w:pPr>
      <w:framePr w:wrap="auto"/>
      <w:widowControl/>
      <w:autoSpaceDE/>
      <w:autoSpaceDN/>
      <w:adjustRightInd/>
      <w:ind w:left="0" w:right="0"/>
      <w:jc w:val="left"/>
      <w:textAlignment w:val="auto"/>
    </w:pPr>
    <w:rPr>
      <w:rFonts w:cs="Times New Roman"/>
      <w:color w:val="000000"/>
      <w:sz w:val="24"/>
      <w:szCs w:val="20"/>
      <w:rtl w:val="0"/>
      <w:cs w:val="0"/>
      <w:lang w:val="sk-SK" w:eastAsia="sk-SK" w:bidi="ar-SA"/>
    </w:rPr>
  </w:style>
  <w:style w:type="paragraph" w:styleId="BodyTextIndent">
    <w:name w:val="Body Text Indent"/>
    <w:basedOn w:val="Normal"/>
    <w:link w:val="ZarkazkladnhotextuChar"/>
    <w:uiPriority w:val="99"/>
    <w:semiHidden/>
    <w:unhideWhenUsed/>
    <w:rsid w:val="00CF0A3A"/>
    <w:pPr>
      <w:widowControl/>
      <w:adjustRightInd/>
      <w:spacing w:after="120" w:line="240" w:lineRule="auto"/>
      <w:ind w:left="283"/>
      <w:jc w:val="left"/>
    </w:pPr>
    <w:rPr>
      <w:rFonts w:ascii="Times New Roman" w:hAnsi="Times New Roman"/>
      <w:sz w:val="20"/>
      <w:szCs w:val="20"/>
      <w:lang w:val="cs-CZ" w:eastAsia="cs-CZ"/>
    </w:rPr>
  </w:style>
  <w:style w:type="character" w:customStyle="1" w:styleId="ZarkazkladnhotextuChar">
    <w:name w:val="Zarážka základného textu Char"/>
    <w:basedOn w:val="DefaultParagraphFont"/>
    <w:link w:val="BodyTextIndent"/>
    <w:uiPriority w:val="99"/>
    <w:semiHidden/>
    <w:locked/>
    <w:rsid w:val="00CF0A3A"/>
    <w:rPr>
      <w:rFonts w:ascii="Times New Roman" w:hAnsi="Times New Roman" w:cs="Times New Roman"/>
      <w:sz w:val="20"/>
      <w:szCs w:val="20"/>
      <w:rtl w:val="0"/>
      <w:cs w:val="0"/>
      <w:lang w:val="cs-CZ" w:eastAsia="cs-CZ"/>
    </w:rPr>
  </w:style>
  <w:style w:type="paragraph" w:styleId="Title">
    <w:name w:val="Title"/>
    <w:basedOn w:val="Normal"/>
    <w:link w:val="NzovChar"/>
    <w:uiPriority w:val="10"/>
    <w:qFormat/>
    <w:rsid w:val="00CF0A3A"/>
    <w:pPr>
      <w:widowControl/>
      <w:pBdr>
        <w:bottom w:val="single" w:sz="4" w:space="1" w:color="auto"/>
      </w:pBdr>
      <w:autoSpaceDE w:val="0"/>
      <w:autoSpaceDN w:val="0"/>
      <w:adjustRightInd/>
      <w:spacing w:after="0" w:line="240" w:lineRule="auto"/>
      <w:jc w:val="center"/>
    </w:pPr>
    <w:rPr>
      <w:rFonts w:ascii="Times New Roman" w:hAnsi="Times New Roman"/>
      <w:b/>
      <w:bCs/>
      <w:sz w:val="24"/>
      <w:szCs w:val="24"/>
      <w:lang w:val="sk-SK" w:eastAsia="sk-SK"/>
    </w:rPr>
  </w:style>
  <w:style w:type="character" w:customStyle="1" w:styleId="NzovChar">
    <w:name w:val="Názov Char"/>
    <w:basedOn w:val="DefaultParagraphFont"/>
    <w:link w:val="Title"/>
    <w:uiPriority w:val="10"/>
    <w:locked/>
    <w:rsid w:val="00CF0A3A"/>
    <w:rPr>
      <w:rFonts w:ascii="Times New Roman" w:hAnsi="Times New Roman" w:cs="Times New Roman"/>
      <w:b/>
      <w:bCs/>
      <w:sz w:val="24"/>
      <w:szCs w:val="24"/>
      <w:rtl w:val="0"/>
      <w:cs w:val="0"/>
      <w:lang w:val="x-none" w:eastAsia="sk-SK"/>
    </w:rPr>
  </w:style>
  <w:style w:type="paragraph" w:customStyle="1" w:styleId="Zkladntext0">
    <w:name w:val="Zkladn text"/>
    <w:rsid w:val="00CF0A3A"/>
    <w:pPr>
      <w:framePr w:wrap="auto"/>
      <w:widowControl w:val="0"/>
      <w:autoSpaceDE w:val="0"/>
      <w:autoSpaceDN w:val="0"/>
      <w:adjustRightInd/>
      <w:ind w:left="0" w:right="0"/>
      <w:jc w:val="left"/>
      <w:textAlignment w:val="auto"/>
    </w:pPr>
    <w:rPr>
      <w:rFonts w:cs="Times New Roman"/>
      <w:color w:val="000000"/>
      <w:sz w:val="20"/>
      <w:szCs w:val="20"/>
      <w:rtl w:val="0"/>
      <w:cs w:val="0"/>
      <w:lang w:val="sk-SK" w:eastAsia="sk-SK" w:bidi="ar-SA"/>
    </w:rPr>
  </w:style>
  <w:style w:type="character" w:customStyle="1" w:styleId="tlZkladntext1">
    <w:name w:val="Štýl Základný text1"/>
    <w:aliases w:val="Základný text Char Char + Tučné Char1"/>
    <w:basedOn w:val="DefaultParagraphFont"/>
    <w:rsid w:val="00CF0A3A"/>
    <w:rPr>
      <w:rFonts w:cs="Times New Roman"/>
      <w:b/>
      <w:bCs/>
      <w:sz w:val="24"/>
      <w:szCs w:val="24"/>
      <w:rtl w:val="0"/>
      <w:cs w:val="0"/>
      <w:lang w:val="sk-SK" w:eastAsia="sk-SK" w:bidi="ar-SA"/>
    </w:rPr>
  </w:style>
  <w:style w:type="paragraph" w:styleId="NormalWeb">
    <w:name w:val="Normal (Web)"/>
    <w:aliases w:val="webb"/>
    <w:basedOn w:val="Normal"/>
    <w:uiPriority w:val="99"/>
    <w:rsid w:val="00CF0A3A"/>
    <w:pPr>
      <w:widowControl/>
      <w:adjustRightInd/>
      <w:spacing w:before="100" w:beforeAutospacing="1" w:after="100" w:afterAutospacing="1" w:line="240" w:lineRule="auto"/>
      <w:jc w:val="left"/>
    </w:pPr>
    <w:rPr>
      <w:rFonts w:ascii="Times New Roman" w:hAnsi="Times New Roman"/>
      <w:sz w:val="24"/>
      <w:szCs w:val="24"/>
      <w:lang w:val="sk-SK" w:eastAsia="sk-SK"/>
    </w:rPr>
  </w:style>
  <w:style w:type="paragraph" w:styleId="BodyTextIndent3">
    <w:name w:val="Body Text Indent 3"/>
    <w:basedOn w:val="Normal"/>
    <w:link w:val="Zarkazkladnhotextu3Char"/>
    <w:uiPriority w:val="99"/>
    <w:semiHidden/>
    <w:unhideWhenUsed/>
    <w:rsid w:val="009C2F33"/>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sid w:val="009C2F33"/>
    <w:rPr>
      <w:rFonts w:ascii="Calibri" w:hAnsi="Calibri" w:cs="Times New Roman"/>
      <w:sz w:val="16"/>
      <w:szCs w:val="16"/>
      <w:rtl w:val="0"/>
      <w:cs w:val="0"/>
      <w:lang w:val="en-US" w:eastAsia="x-none"/>
    </w:rPr>
  </w:style>
  <w:style w:type="paragraph" w:styleId="Header">
    <w:name w:val="header"/>
    <w:basedOn w:val="Normal"/>
    <w:link w:val="HlavikaChar"/>
    <w:uiPriority w:val="99"/>
    <w:unhideWhenUsed/>
    <w:rsid w:val="00010C9D"/>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010C9D"/>
    <w:rPr>
      <w:rFonts w:ascii="Calibri" w:hAnsi="Calibri" w:cs="Times New Roman"/>
      <w:rtl w:val="0"/>
      <w:cs w:val="0"/>
      <w:lang w:val="en-US" w:eastAsia="x-none"/>
    </w:rPr>
  </w:style>
  <w:style w:type="paragraph" w:styleId="Footer">
    <w:name w:val="footer"/>
    <w:basedOn w:val="Normal"/>
    <w:link w:val="PtaChar"/>
    <w:uiPriority w:val="99"/>
    <w:unhideWhenUsed/>
    <w:rsid w:val="00010C9D"/>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010C9D"/>
    <w:rPr>
      <w:rFonts w:ascii="Calibri" w:hAnsi="Calibri" w:cs="Times New Roman"/>
      <w:rtl w:val="0"/>
      <w:cs w:val="0"/>
      <w:lang w:val="en-US" w:eastAsia="x-none"/>
    </w:rPr>
  </w:style>
  <w:style w:type="paragraph" w:styleId="BodyText">
    <w:name w:val="Body Text"/>
    <w:basedOn w:val="Normal"/>
    <w:link w:val="ZkladntextChar"/>
    <w:uiPriority w:val="99"/>
    <w:rsid w:val="00094059"/>
    <w:pPr>
      <w:widowControl/>
      <w:adjustRightInd/>
      <w:spacing w:after="120" w:line="240" w:lineRule="auto"/>
      <w:jc w:val="left"/>
    </w:pPr>
    <w:rPr>
      <w:rFonts w:ascii="Times New Roman" w:hAnsi="Times New Roman"/>
      <w:sz w:val="24"/>
      <w:szCs w:val="24"/>
      <w:lang w:val="sk-SK"/>
    </w:rPr>
  </w:style>
  <w:style w:type="character" w:customStyle="1" w:styleId="ZkladntextChar">
    <w:name w:val="Základný text Char"/>
    <w:basedOn w:val="DefaultParagraphFont"/>
    <w:link w:val="BodyText"/>
    <w:uiPriority w:val="99"/>
    <w:locked/>
    <w:rsid w:val="00094059"/>
    <w:rPr>
      <w:rFonts w:ascii="Times New Roman" w:hAnsi="Times New Roman" w:cs="Times New Roman"/>
      <w:sz w:val="24"/>
      <w:szCs w:val="24"/>
      <w:rtl w:val="0"/>
      <w:cs w:val="0"/>
    </w:rPr>
  </w:style>
  <w:style w:type="character" w:styleId="Emphasis">
    <w:name w:val="Emphasis"/>
    <w:basedOn w:val="DefaultParagraphFont"/>
    <w:uiPriority w:val="20"/>
    <w:qFormat/>
    <w:rsid w:val="00094059"/>
    <w:rPr>
      <w:rFonts w:cs="Times New Roman"/>
      <w:i/>
      <w:rtl w:val="0"/>
      <w:cs w:val="0"/>
    </w:rPr>
  </w:style>
  <w:style w:type="paragraph" w:customStyle="1" w:styleId="c02alineaalta">
    <w:name w:val="c02alineaalta"/>
    <w:basedOn w:val="Normal"/>
    <w:rsid w:val="00094059"/>
    <w:pPr>
      <w:widowControl/>
      <w:adjustRightInd/>
      <w:spacing w:after="240" w:line="240" w:lineRule="auto"/>
      <w:ind w:left="567"/>
      <w:jc w:val="both"/>
    </w:pPr>
    <w:rPr>
      <w:rFonts w:ascii="Arial" w:hAnsi="Arial" w:cs="Arial"/>
      <w:lang w:val="sk-SK" w:eastAsia="sk-SK"/>
    </w:rPr>
  </w:style>
  <w:style w:type="paragraph" w:styleId="BodyText2">
    <w:name w:val="Body Text 2"/>
    <w:basedOn w:val="Normal"/>
    <w:link w:val="Zkladntext2Char"/>
    <w:uiPriority w:val="99"/>
    <w:rsid w:val="0060639F"/>
    <w:pPr>
      <w:widowControl/>
      <w:adjustRightInd/>
      <w:spacing w:after="120" w:line="480" w:lineRule="auto"/>
      <w:jc w:val="left"/>
    </w:pPr>
    <w:rPr>
      <w:rFonts w:ascii="Times New Roman" w:hAnsi="Times New Roman"/>
      <w:sz w:val="24"/>
      <w:szCs w:val="24"/>
      <w:lang w:val="sk-SK" w:eastAsia="sk-SK"/>
    </w:rPr>
  </w:style>
  <w:style w:type="character" w:customStyle="1" w:styleId="Zkladntext2Char">
    <w:name w:val="Základný text 2 Char"/>
    <w:basedOn w:val="DefaultParagraphFont"/>
    <w:link w:val="BodyText2"/>
    <w:uiPriority w:val="99"/>
    <w:locked/>
    <w:rsid w:val="0060639F"/>
    <w:rPr>
      <w:rFonts w:ascii="Times New Roman" w:hAnsi="Times New Roman" w:cs="Times New Roman"/>
      <w:sz w:val="24"/>
      <w:szCs w:val="24"/>
      <w:rtl w:val="0"/>
      <w:cs w:val="0"/>
      <w:lang w:val="x-none" w:eastAsia="sk-SK"/>
    </w:rPr>
  </w:style>
  <w:style w:type="character" w:styleId="PlaceholderText">
    <w:name w:val="Placeholder Text"/>
    <w:basedOn w:val="DefaultParagraphFont"/>
    <w:uiPriority w:val="99"/>
    <w:semiHidden/>
    <w:rsid w:val="002151F6"/>
    <w:rPr>
      <w:rFonts w:ascii="Times New Roman" w:hAnsi="Times New Roman" w:cs="Times New Roman"/>
      <w:color w:val="000000"/>
      <w:rtl w:val="0"/>
      <w:cs w:val="0"/>
    </w:rPr>
  </w:style>
  <w:style w:type="character" w:customStyle="1" w:styleId="apple-converted-space">
    <w:name w:val="apple-converted-space"/>
    <w:rsid w:val="002151F6"/>
  </w:style>
  <w:style w:type="character" w:styleId="Hyperlink">
    <w:name w:val="Hyperlink"/>
    <w:basedOn w:val="DefaultParagraphFont"/>
    <w:uiPriority w:val="99"/>
    <w:unhideWhenUsed/>
    <w:rsid w:val="002151F6"/>
    <w:rPr>
      <w:rFonts w:cs="Times New Roman"/>
      <w:color w:val="0000FF"/>
      <w:u w:val="single"/>
      <w:rtl w:val="0"/>
      <w:cs w:val="0"/>
    </w:rPr>
  </w:style>
  <w:style w:type="table" w:styleId="TableGrid">
    <w:name w:val="Table Grid"/>
    <w:basedOn w:val="TableNormal"/>
    <w:uiPriority w:val="59"/>
    <w:rsid w:val="002151F6"/>
    <w:pPr>
      <w:spacing w:after="0" w:line="240" w:lineRule="auto"/>
    </w:pPr>
    <w:rPr>
      <w:rFonts w:asciiTheme="minorHAnsi" w:hAnsiTheme="minorHAns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2151F6"/>
    <w:rPr>
      <w:rFonts w:cs="Times New Roman"/>
      <w:rtl w:val="0"/>
      <w:cs w:val="0"/>
    </w:rPr>
  </w:style>
  <w:style w:type="character" w:customStyle="1" w:styleId="OdsekzoznamuChar">
    <w:name w:val="Odsek zoznamu Char"/>
    <w:aliases w:val="Odsek Char,Odsek zoznamu1 Char,Odsek zoznamu2 Char,body Char"/>
    <w:basedOn w:val="DefaultParagraphFont"/>
    <w:link w:val="ListParagraph"/>
    <w:uiPriority w:val="34"/>
    <w:locked/>
    <w:rsid w:val="00AD5A74"/>
    <w:rPr>
      <w:rFonts w:cs="Times New Roman"/>
      <w:sz w:val="36"/>
      <w:szCs w:val="36"/>
      <w:rtl w:val="0"/>
      <w:cs w:val="0"/>
    </w:rPr>
  </w:style>
  <w:style w:type="paragraph" w:styleId="BalloonText">
    <w:name w:val="Balloon Text"/>
    <w:basedOn w:val="Normal"/>
    <w:link w:val="TextbublinyChar"/>
    <w:uiPriority w:val="99"/>
    <w:rsid w:val="00792278"/>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792278"/>
    <w:rPr>
      <w:rFonts w:ascii="Segoe UI" w:hAnsi="Segoe UI" w:cs="Segoe UI"/>
      <w:sz w:val="18"/>
      <w:szCs w:val="18"/>
      <w:rtl w:val="0"/>
      <w:cs w:val="0"/>
      <w:lang w:val="en-US" w:eastAsia="x-no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footer" Target="footer4.xml" /><Relationship Id="rId14" Type="http://schemas.openxmlformats.org/officeDocument/2006/relationships/header" Target="header5.xml" /><Relationship Id="rId15" Type="http://schemas.openxmlformats.org/officeDocument/2006/relationships/header" Target="header6.xml" /><Relationship Id="rId16" Type="http://schemas.openxmlformats.org/officeDocument/2006/relationships/footer" Target="footer5.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header" Target="header9.xml" /><Relationship Id="rId2" Type="http://schemas.openxmlformats.org/officeDocument/2006/relationships/webSettings" Target="webSettings.xml" /><Relationship Id="rId20" Type="http://schemas.openxmlformats.org/officeDocument/2006/relationships/header" Target="header10.xml" /><Relationship Id="rId21" Type="http://schemas.openxmlformats.org/officeDocument/2006/relationships/header" Target="header11.xml" /><Relationship Id="rId22" Type="http://schemas.openxmlformats.org/officeDocument/2006/relationships/footer" Target="footer6.xml" /><Relationship Id="rId23" Type="http://schemas.openxmlformats.org/officeDocument/2006/relationships/header" Target="header12.xml" /><Relationship Id="rId24" Type="http://schemas.openxmlformats.org/officeDocument/2006/relationships/header" Target="header13.xml" /><Relationship Id="rId25" Type="http://schemas.openxmlformats.org/officeDocument/2006/relationships/header" Target="header14.xml" /><Relationship Id="rId26" Type="http://schemas.openxmlformats.org/officeDocument/2006/relationships/header" Target="header15.xml" /><Relationship Id="rId27" Type="http://schemas.openxmlformats.org/officeDocument/2006/relationships/header" Target="header16.xml" /><Relationship Id="rId28" Type="http://schemas.openxmlformats.org/officeDocument/2006/relationships/header" Target="header17.xml" /><Relationship Id="rId29" Type="http://schemas.openxmlformats.org/officeDocument/2006/relationships/header" Target="header18.xml" /><Relationship Id="rId3" Type="http://schemas.openxmlformats.org/officeDocument/2006/relationships/fontTable" Target="fontTable.xml" /><Relationship Id="rId30" Type="http://schemas.openxmlformats.org/officeDocument/2006/relationships/header" Target="header19.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http://curia.europa.eu/juris/liste.jsf?num=C-290/05&amp;language=sk"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77945-57D8-49B4-AEC2-A83C02D2C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312</TotalTime>
  <Pages>33</Pages>
  <Words>11317</Words>
  <Characters>64509</Characters>
  <Application>Microsoft Office Word</Application>
  <DocSecurity>0</DocSecurity>
  <Lines>0</Lines>
  <Paragraphs>0</Paragraphs>
  <ScaleCrop>false</ScaleCrop>
  <Company/>
  <LinksUpToDate>false</LinksUpToDate>
  <CharactersWithSpaces>75675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Fulopova Jana</dc:creator>
  <cp:lastModifiedBy>Fulopova Jana</cp:lastModifiedBy>
  <cp:revision>15</cp:revision>
  <cp:lastPrinted>2016-09-21T16:00:00Z</cp:lastPrinted>
  <dcterms:created xsi:type="dcterms:W3CDTF">2016-08-15T10:44:00Z</dcterms:created>
  <dcterms:modified xsi:type="dcterms:W3CDTF">2016-09-22T08:31:00Z</dcterms:modified>
</cp:coreProperties>
</file>