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851"/>
        <w:gridCol w:w="850"/>
        <w:gridCol w:w="4678"/>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57670A" w:rsidP="0078287E">
            <w:pPr>
              <w:pStyle w:val="Heading1"/>
              <w:bidi w:val="0"/>
              <w:rPr>
                <w:rFonts w:ascii="Arial Narrow" w:hAnsi="Arial Narrow"/>
                <w:sz w:val="22"/>
                <w:szCs w:val="22"/>
              </w:rPr>
            </w:pPr>
            <w:r w:rsidRPr="0057670A">
              <w:rPr>
                <w:rFonts w:ascii="Arial Narrow" w:hAnsi="Arial Narrow"/>
                <w:sz w:val="22"/>
                <w:szCs w:val="22"/>
              </w:rPr>
              <w:t>TABUĽKA  ZHODY</w:t>
            </w:r>
          </w:p>
          <w:p w:rsidR="00217BF4" w:rsidRPr="0057670A" w:rsidP="00217BF4">
            <w:pPr>
              <w:pStyle w:val="Zkladntext"/>
              <w:bidi w:val="0"/>
              <w:jc w:val="center"/>
              <w:rPr>
                <w:rFonts w:ascii="Arial Narrow" w:hAnsi="Arial Narrow"/>
                <w:b/>
                <w:sz w:val="22"/>
                <w:szCs w:val="22"/>
              </w:rPr>
            </w:pPr>
            <w:r w:rsidRPr="0057670A" w:rsidR="004577EC">
              <w:rPr>
                <w:rFonts w:ascii="Arial Narrow" w:hAnsi="Arial Narrow"/>
                <w:b/>
                <w:sz w:val="22"/>
                <w:szCs w:val="22"/>
              </w:rPr>
              <w:t>k </w:t>
            </w:r>
            <w:r w:rsidRPr="0057670A" w:rsidR="0078287E">
              <w:rPr>
                <w:rFonts w:ascii="Arial Narrow" w:hAnsi="Arial Narrow"/>
                <w:b/>
                <w:sz w:val="22"/>
                <w:szCs w:val="22"/>
              </w:rPr>
              <w:t>n</w:t>
            </w:r>
            <w:r w:rsidRPr="0057670A" w:rsidR="0091636B">
              <w:rPr>
                <w:rFonts w:ascii="Arial Narrow" w:hAnsi="Arial Narrow"/>
                <w:b/>
                <w:sz w:val="22"/>
                <w:szCs w:val="22"/>
              </w:rPr>
              <w:t>ávrh</w:t>
            </w:r>
            <w:r w:rsidRPr="0057670A" w:rsidR="00DD1983">
              <w:rPr>
                <w:rFonts w:ascii="Arial Narrow" w:hAnsi="Arial Narrow"/>
                <w:b/>
                <w:sz w:val="22"/>
                <w:szCs w:val="22"/>
              </w:rPr>
              <w:t>u</w:t>
            </w:r>
            <w:r w:rsidRPr="0057670A" w:rsidR="0091636B">
              <w:rPr>
                <w:rFonts w:ascii="Arial Narrow" w:hAnsi="Arial Narrow"/>
                <w:b/>
                <w:sz w:val="22"/>
                <w:szCs w:val="22"/>
              </w:rPr>
              <w:t xml:space="preserve"> zákona</w:t>
            </w:r>
            <w:r w:rsidRPr="0057670A" w:rsidR="002E1D16">
              <w:rPr>
                <w:rFonts w:ascii="Arial Narrow" w:hAnsi="Arial Narrow"/>
                <w:b/>
                <w:sz w:val="22"/>
                <w:szCs w:val="22"/>
              </w:rPr>
              <w:t>, ktorým sa mení a </w:t>
            </w:r>
            <w:r w:rsidRPr="0057670A" w:rsidR="002D6E94">
              <w:rPr>
                <w:rFonts w:ascii="Arial Narrow" w:hAnsi="Arial Narrow"/>
                <w:b/>
                <w:sz w:val="22"/>
                <w:szCs w:val="22"/>
              </w:rPr>
              <w:t xml:space="preserve">dopĺňa zákon č. 595/2003 Z. z. o dani z príjmov v znení neskorších predpisov </w:t>
            </w:r>
            <w:r w:rsidR="000C1703">
              <w:rPr>
                <w:rFonts w:ascii="Arial Narrow" w:hAnsi="Arial Narrow"/>
                <w:b/>
                <w:sz w:val="22"/>
                <w:szCs w:val="22"/>
              </w:rPr>
              <w:t xml:space="preserve"> a ktorým sa mení a dopĺňa zákon č. 580/2004 Z. z. o zdravotnom poistení a o zmene a doplnení zákona č. 95/2002 Z. z. o poisťovníctve a o zmene a doplnení niektorých zákonov v znení neskorších prepisov</w:t>
            </w:r>
          </w:p>
          <w:p w:rsidR="008C54C3" w:rsidRPr="0057670A" w:rsidP="00217BF4">
            <w:pPr>
              <w:pStyle w:val="Zkladntext"/>
              <w:bidi w:val="0"/>
              <w:jc w:val="center"/>
              <w:rPr>
                <w:rFonts w:ascii="Arial Narrow" w:hAnsi="Arial Narrow"/>
                <w:b/>
                <w:bCs/>
                <w:sz w:val="22"/>
                <w:szCs w:val="22"/>
              </w:rPr>
            </w:pPr>
            <w:r w:rsidRPr="0057670A" w:rsidR="00217BF4">
              <w:rPr>
                <w:rFonts w:ascii="Arial Narrow" w:hAnsi="Arial Narrow"/>
                <w:b/>
                <w:sz w:val="22"/>
                <w:szCs w:val="22"/>
              </w:rPr>
              <w:t xml:space="preserve"> </w:t>
            </w:r>
            <w:r w:rsidRPr="0057670A"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57670A">
            <w:pPr>
              <w:pStyle w:val="Heading4"/>
              <w:bidi w:val="0"/>
              <w:jc w:val="both"/>
              <w:rPr>
                <w:rFonts w:ascii="Arial Narrow" w:hAnsi="Arial Narrow"/>
              </w:rPr>
            </w:pPr>
            <w:r w:rsidRPr="0057670A">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57670A" w:rsidP="007F0FE8">
            <w:pPr>
              <w:pStyle w:val="Default"/>
              <w:bidi w:val="0"/>
              <w:rPr>
                <w:rFonts w:ascii="Arial Narrow" w:hAnsi="Arial Narrow" w:cs="Times New Roman"/>
                <w:b/>
                <w:bCs/>
                <w:sz w:val="22"/>
                <w:szCs w:val="22"/>
              </w:rPr>
            </w:pPr>
            <w:r w:rsidRPr="0057670A" w:rsidR="00A85039">
              <w:rPr>
                <w:rFonts w:ascii="Arial Narrow" w:hAnsi="Arial Narrow"/>
                <w:b/>
                <w:bCs/>
                <w:sz w:val="22"/>
                <w:szCs w:val="22"/>
              </w:rPr>
              <w:t xml:space="preserve">SMERNICA RADY </w:t>
            </w:r>
            <w:r w:rsidRPr="0057670A" w:rsidR="00A85039">
              <w:rPr>
                <w:rFonts w:ascii="Arial Narrow" w:hAnsi="Arial Narrow"/>
                <w:b/>
                <w:bCs/>
                <w:sz w:val="22"/>
                <w:szCs w:val="22"/>
                <w:u w:val="single"/>
              </w:rPr>
              <w:t>201</w:t>
            </w:r>
            <w:r w:rsidR="007F0FE8">
              <w:rPr>
                <w:rFonts w:ascii="Arial Narrow" w:hAnsi="Arial Narrow"/>
                <w:b/>
                <w:bCs/>
                <w:sz w:val="22"/>
                <w:szCs w:val="22"/>
                <w:u w:val="single"/>
              </w:rPr>
              <w:t>5</w:t>
            </w:r>
            <w:r w:rsidRPr="0057670A" w:rsidR="00A85039">
              <w:rPr>
                <w:rFonts w:ascii="Arial Narrow" w:hAnsi="Arial Narrow"/>
                <w:b/>
                <w:bCs/>
                <w:sz w:val="22"/>
                <w:szCs w:val="22"/>
                <w:u w:val="single"/>
              </w:rPr>
              <w:t>/</w:t>
            </w:r>
            <w:r w:rsidR="007F0FE8">
              <w:rPr>
                <w:rFonts w:ascii="Arial Narrow" w:hAnsi="Arial Narrow"/>
                <w:b/>
                <w:bCs/>
                <w:sz w:val="22"/>
                <w:szCs w:val="22"/>
                <w:u w:val="single"/>
              </w:rPr>
              <w:t>2060</w:t>
            </w:r>
            <w:r w:rsidRPr="0057670A" w:rsidR="00A85039">
              <w:rPr>
                <w:rFonts w:ascii="Arial Narrow" w:hAnsi="Arial Narrow"/>
                <w:b/>
                <w:bCs/>
                <w:sz w:val="22"/>
                <w:szCs w:val="22"/>
                <w:u w:val="single"/>
              </w:rPr>
              <w:t>/EÚ</w:t>
            </w:r>
            <w:r w:rsidR="007F0FE8">
              <w:rPr>
                <w:rFonts w:ascii="Arial Narrow" w:hAnsi="Arial Narrow"/>
                <w:b/>
                <w:bCs/>
                <w:sz w:val="22"/>
                <w:szCs w:val="22"/>
              </w:rPr>
              <w:t xml:space="preserve"> z 10</w:t>
            </w:r>
            <w:r w:rsidRPr="0057670A" w:rsidR="00A85039">
              <w:rPr>
                <w:rFonts w:ascii="Arial Narrow" w:hAnsi="Arial Narrow"/>
                <w:b/>
                <w:bCs/>
                <w:sz w:val="22"/>
                <w:szCs w:val="22"/>
              </w:rPr>
              <w:t xml:space="preserve">. </w:t>
            </w:r>
            <w:r w:rsidR="007F0FE8">
              <w:rPr>
                <w:rFonts w:ascii="Arial Narrow" w:hAnsi="Arial Narrow"/>
                <w:b/>
                <w:bCs/>
                <w:sz w:val="22"/>
                <w:szCs w:val="22"/>
              </w:rPr>
              <w:t>novembra 2015</w:t>
            </w:r>
            <w:r w:rsidRPr="0057670A" w:rsidR="00A85039">
              <w:rPr>
                <w:rFonts w:ascii="Arial Narrow" w:hAnsi="Arial Narrow"/>
                <w:b/>
                <w:bCs/>
                <w:sz w:val="22"/>
                <w:szCs w:val="22"/>
              </w:rPr>
              <w:t xml:space="preserve">, ktorou sa </w:t>
            </w:r>
            <w:r w:rsidR="007F0FE8">
              <w:rPr>
                <w:rFonts w:ascii="Arial Narrow" w:hAnsi="Arial Narrow"/>
                <w:b/>
                <w:bCs/>
                <w:sz w:val="22"/>
                <w:szCs w:val="22"/>
              </w:rPr>
              <w:t>zrušuje smernica</w:t>
            </w:r>
            <w:r w:rsidRPr="0057670A" w:rsidR="00A85039">
              <w:rPr>
                <w:rFonts w:ascii="Arial Narrow" w:hAnsi="Arial Narrow"/>
                <w:b/>
                <w:bCs/>
                <w:sz w:val="22"/>
                <w:szCs w:val="22"/>
              </w:rPr>
              <w:t xml:space="preserve"> 20</w:t>
            </w:r>
            <w:r w:rsidR="007F0FE8">
              <w:rPr>
                <w:rFonts w:ascii="Arial Narrow" w:hAnsi="Arial Narrow"/>
                <w:b/>
                <w:bCs/>
                <w:sz w:val="22"/>
                <w:szCs w:val="22"/>
              </w:rPr>
              <w:t>03</w:t>
            </w:r>
            <w:r w:rsidRPr="0057670A" w:rsidR="00A85039">
              <w:rPr>
                <w:rFonts w:ascii="Arial Narrow" w:hAnsi="Arial Narrow"/>
                <w:b/>
                <w:bCs/>
                <w:sz w:val="22"/>
                <w:szCs w:val="22"/>
              </w:rPr>
              <w:t>/</w:t>
            </w:r>
            <w:r w:rsidR="007F0FE8">
              <w:rPr>
                <w:rFonts w:ascii="Arial Narrow" w:hAnsi="Arial Narrow"/>
                <w:b/>
                <w:bCs/>
                <w:sz w:val="22"/>
                <w:szCs w:val="22"/>
              </w:rPr>
              <w:t>48</w:t>
            </w:r>
            <w:r w:rsidRPr="0057670A" w:rsidR="00A85039">
              <w:rPr>
                <w:rFonts w:ascii="Arial Narrow" w:hAnsi="Arial Narrow"/>
                <w:b/>
                <w:bCs/>
                <w:sz w:val="22"/>
                <w:szCs w:val="22"/>
              </w:rPr>
              <w:t>/EÚ o</w:t>
            </w:r>
            <w:r w:rsidR="007F0FE8">
              <w:rPr>
                <w:rFonts w:ascii="Arial Narrow" w:hAnsi="Arial Narrow"/>
                <w:b/>
                <w:bCs/>
                <w:sz w:val="22"/>
                <w:szCs w:val="22"/>
              </w:rPr>
              <w:t> zdaňovaní príjmu z úspor v podobe výplaty úrokov</w:t>
            </w:r>
            <w:r w:rsidRPr="0057670A" w:rsidR="00A85039">
              <w:rPr>
                <w:rFonts w:ascii="Arial Narrow" w:hAnsi="Arial Narrow"/>
                <w:b/>
                <w:bCs/>
                <w:sz w:val="22"/>
                <w:szCs w:val="22"/>
              </w:rPr>
              <w:t xml:space="preserve">  </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57670A">
            <w:pPr>
              <w:pStyle w:val="Heading4"/>
              <w:bidi w:val="0"/>
              <w:spacing w:before="120"/>
              <w:rPr>
                <w:rFonts w:ascii="Arial Narrow" w:hAnsi="Arial Narrow"/>
              </w:rPr>
            </w:pPr>
            <w:r w:rsidRPr="0057670A" w:rsidR="00DE0F85">
              <w:rPr>
                <w:rFonts w:ascii="Arial Narrow" w:hAnsi="Arial Narrow"/>
              </w:rPr>
              <w:t>Smernica EÚ</w:t>
            </w:r>
          </w:p>
          <w:p w:rsidR="00EE7DD6" w:rsidRPr="0057670A" w:rsidP="007F0FE8">
            <w:pPr>
              <w:pStyle w:val="BodyText3"/>
              <w:bidi w:val="0"/>
              <w:spacing w:line="240" w:lineRule="exact"/>
              <w:rPr>
                <w:rFonts w:ascii="Arial Narrow" w:hAnsi="Arial Narrow"/>
                <w:sz w:val="22"/>
                <w:szCs w:val="22"/>
              </w:rPr>
            </w:pPr>
            <w:r w:rsidRPr="0057670A" w:rsidR="002E1D16">
              <w:rPr>
                <w:rFonts w:ascii="Arial Narrow" w:hAnsi="Arial Narrow"/>
                <w:b/>
                <w:bCs/>
                <w:color w:val="000000"/>
                <w:sz w:val="22"/>
                <w:szCs w:val="22"/>
              </w:rPr>
              <w:t xml:space="preserve">SMERNICA RADY </w:t>
            </w:r>
            <w:r w:rsidRPr="0057670A" w:rsidR="00A95E8B">
              <w:rPr>
                <w:rFonts w:ascii="Arial Narrow" w:hAnsi="Arial Narrow"/>
                <w:b/>
                <w:bCs/>
                <w:sz w:val="22"/>
                <w:szCs w:val="22"/>
              </w:rPr>
              <w:t xml:space="preserve">SMERNICA RADY </w:t>
            </w:r>
            <w:r w:rsidRPr="0057670A" w:rsidR="00A95E8B">
              <w:rPr>
                <w:rFonts w:ascii="Arial Narrow" w:hAnsi="Arial Narrow"/>
                <w:b/>
                <w:bCs/>
                <w:sz w:val="22"/>
                <w:szCs w:val="22"/>
                <w:u w:val="single"/>
              </w:rPr>
              <w:t>201</w:t>
            </w:r>
            <w:r w:rsidR="007F0FE8">
              <w:rPr>
                <w:rFonts w:ascii="Arial Narrow" w:hAnsi="Arial Narrow"/>
                <w:b/>
                <w:bCs/>
                <w:sz w:val="22"/>
                <w:szCs w:val="22"/>
                <w:u w:val="single"/>
              </w:rPr>
              <w:t>5</w:t>
            </w:r>
            <w:r w:rsidRPr="0057670A" w:rsidR="00A95E8B">
              <w:rPr>
                <w:rFonts w:ascii="Arial Narrow" w:hAnsi="Arial Narrow"/>
                <w:b/>
                <w:bCs/>
                <w:sz w:val="22"/>
                <w:szCs w:val="22"/>
                <w:u w:val="single"/>
              </w:rPr>
              <w:t>/</w:t>
            </w:r>
            <w:r w:rsidR="007F0FE8">
              <w:rPr>
                <w:rFonts w:ascii="Arial Narrow" w:hAnsi="Arial Narrow"/>
                <w:b/>
                <w:bCs/>
                <w:sz w:val="22"/>
                <w:szCs w:val="22"/>
                <w:u w:val="single"/>
              </w:rPr>
              <w:t>2060</w:t>
            </w:r>
            <w:r w:rsidRPr="0057670A" w:rsidR="00A95E8B">
              <w:rPr>
                <w:rFonts w:ascii="Arial Narrow" w:hAnsi="Arial Narrow"/>
                <w:b/>
                <w:bCs/>
                <w:sz w:val="22"/>
                <w:szCs w:val="22"/>
                <w:u w:val="single"/>
              </w:rPr>
              <w:t>/EÚ</w:t>
            </w:r>
            <w:r w:rsidRPr="0057670A" w:rsidR="00A95E8B">
              <w:rPr>
                <w:rFonts w:ascii="Arial Narrow" w:hAnsi="Arial Narrow"/>
                <w:b/>
                <w:bCs/>
                <w:sz w:val="22"/>
                <w:szCs w:val="22"/>
              </w:rPr>
              <w:t xml:space="preserve"> </w:t>
            </w:r>
            <w:r w:rsidR="007F0FE8">
              <w:rPr>
                <w:rFonts w:ascii="Arial Narrow" w:hAnsi="Arial Narrow"/>
                <w:b/>
                <w:bCs/>
                <w:sz w:val="22"/>
                <w:szCs w:val="22"/>
              </w:rPr>
              <w:t>z 10</w:t>
            </w:r>
            <w:r w:rsidRPr="0057670A" w:rsidR="007F0FE8">
              <w:rPr>
                <w:rFonts w:ascii="Arial Narrow" w:hAnsi="Arial Narrow"/>
                <w:b/>
                <w:bCs/>
                <w:sz w:val="22"/>
                <w:szCs w:val="22"/>
              </w:rPr>
              <w:t xml:space="preserve">. </w:t>
            </w:r>
            <w:r w:rsidR="007F0FE8">
              <w:rPr>
                <w:rFonts w:ascii="Arial Narrow" w:hAnsi="Arial Narrow"/>
                <w:b/>
                <w:bCs/>
                <w:sz w:val="22"/>
                <w:szCs w:val="22"/>
              </w:rPr>
              <w:t>novembra 2015</w:t>
            </w:r>
            <w:r w:rsidRPr="0057670A" w:rsidR="007F0FE8">
              <w:rPr>
                <w:rFonts w:ascii="Arial Narrow" w:hAnsi="Arial Narrow"/>
                <w:b/>
                <w:bCs/>
                <w:sz w:val="22"/>
                <w:szCs w:val="22"/>
              </w:rPr>
              <w:t xml:space="preserve">, ktorou sa </w:t>
            </w:r>
            <w:r w:rsidR="007F0FE8">
              <w:rPr>
                <w:rFonts w:ascii="Arial Narrow" w:hAnsi="Arial Narrow"/>
                <w:b/>
                <w:bCs/>
                <w:sz w:val="22"/>
                <w:szCs w:val="22"/>
              </w:rPr>
              <w:t>zrušuje smernica</w:t>
            </w:r>
            <w:r w:rsidRPr="0057670A" w:rsidR="007F0FE8">
              <w:rPr>
                <w:rFonts w:ascii="Arial Narrow" w:hAnsi="Arial Narrow"/>
                <w:b/>
                <w:bCs/>
                <w:sz w:val="22"/>
                <w:szCs w:val="22"/>
              </w:rPr>
              <w:t xml:space="preserve"> 20</w:t>
            </w:r>
            <w:r w:rsidR="007F0FE8">
              <w:rPr>
                <w:rFonts w:ascii="Arial Narrow" w:hAnsi="Arial Narrow"/>
                <w:b/>
                <w:bCs/>
                <w:sz w:val="22"/>
                <w:szCs w:val="22"/>
              </w:rPr>
              <w:t>03</w:t>
            </w:r>
            <w:r w:rsidRPr="0057670A" w:rsidR="007F0FE8">
              <w:rPr>
                <w:rFonts w:ascii="Arial Narrow" w:hAnsi="Arial Narrow"/>
                <w:b/>
                <w:bCs/>
                <w:sz w:val="22"/>
                <w:szCs w:val="22"/>
              </w:rPr>
              <w:t>/</w:t>
            </w:r>
            <w:r w:rsidR="007F0FE8">
              <w:rPr>
                <w:rFonts w:ascii="Arial Narrow" w:hAnsi="Arial Narrow"/>
                <w:b/>
                <w:bCs/>
                <w:sz w:val="22"/>
                <w:szCs w:val="22"/>
              </w:rPr>
              <w:t>48</w:t>
            </w:r>
            <w:r w:rsidRPr="0057670A" w:rsidR="007F0FE8">
              <w:rPr>
                <w:rFonts w:ascii="Arial Narrow" w:hAnsi="Arial Narrow"/>
                <w:b/>
                <w:bCs/>
                <w:sz w:val="22"/>
                <w:szCs w:val="22"/>
              </w:rPr>
              <w:t>/EÚ o</w:t>
            </w:r>
            <w:r w:rsidR="007F0FE8">
              <w:rPr>
                <w:rFonts w:ascii="Arial Narrow" w:hAnsi="Arial Narrow"/>
                <w:b/>
                <w:bCs/>
                <w:sz w:val="22"/>
                <w:szCs w:val="22"/>
              </w:rPr>
              <w:t> zdaňovaní príjmu z úspor v podobe výplaty úrokov</w:t>
            </w:r>
            <w:r w:rsidRPr="0057670A" w:rsidR="007F0FE8">
              <w:rPr>
                <w:rFonts w:ascii="Arial Narrow" w:hAnsi="Arial Narrow"/>
                <w:b/>
                <w:bCs/>
                <w:sz w:val="22"/>
                <w:szCs w:val="22"/>
              </w:rPr>
              <w:t xml:space="preserve">  </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57670A">
            <w:pPr>
              <w:pStyle w:val="Heading4"/>
              <w:bidi w:val="0"/>
              <w:spacing w:before="120"/>
              <w:rPr>
                <w:rFonts w:ascii="Arial Narrow" w:hAnsi="Arial Narrow"/>
              </w:rPr>
            </w:pPr>
            <w:r w:rsidRPr="0057670A">
              <w:rPr>
                <w:rFonts w:ascii="Arial Narrow" w:hAnsi="Arial Narrow"/>
              </w:rPr>
              <w:t>Všeobecne záväzné právne predpisy Slovenskej republiky</w:t>
            </w:r>
          </w:p>
          <w:p w:rsidR="00217BF4" w:rsidRPr="0057670A" w:rsidP="00217BF4">
            <w:pPr>
              <w:pStyle w:val="Zkladntext"/>
              <w:bidi w:val="0"/>
              <w:jc w:val="both"/>
              <w:rPr>
                <w:rFonts w:ascii="Arial Narrow" w:hAnsi="Arial Narrow"/>
                <w:b/>
                <w:sz w:val="22"/>
                <w:szCs w:val="22"/>
              </w:rPr>
            </w:pPr>
            <w:r w:rsidRPr="0057670A" w:rsidR="004577EC">
              <w:rPr>
                <w:rFonts w:ascii="Arial Narrow" w:hAnsi="Arial Narrow"/>
                <w:b/>
                <w:sz w:val="22"/>
                <w:szCs w:val="22"/>
              </w:rPr>
              <w:t>Návrh zákona, ktorým sa mení a</w:t>
            </w:r>
            <w:r w:rsidRPr="0057670A" w:rsidR="00331AF7">
              <w:rPr>
                <w:rFonts w:ascii="Arial Narrow" w:hAnsi="Arial Narrow"/>
                <w:b/>
                <w:sz w:val="22"/>
                <w:szCs w:val="22"/>
              </w:rPr>
              <w:t> </w:t>
            </w:r>
            <w:r w:rsidRPr="0057670A" w:rsidR="004577EC">
              <w:rPr>
                <w:rFonts w:ascii="Arial Narrow" w:hAnsi="Arial Narrow"/>
                <w:b/>
                <w:sz w:val="22"/>
                <w:szCs w:val="22"/>
              </w:rPr>
              <w:t>dopĺňa</w:t>
            </w:r>
            <w:r w:rsidRPr="0057670A" w:rsidR="00331AF7">
              <w:rPr>
                <w:rFonts w:ascii="Arial Narrow" w:hAnsi="Arial Narrow"/>
                <w:b/>
                <w:sz w:val="22"/>
                <w:szCs w:val="22"/>
              </w:rPr>
              <w:t xml:space="preserve"> zákon č. 595/2003 Z. z. o dani z príjmov v znení neskorších predpisov (ďalej „návrh zákona“)</w:t>
            </w:r>
          </w:p>
          <w:p w:rsidR="00331AF7" w:rsidRPr="0057670A" w:rsidP="00217BF4">
            <w:pPr>
              <w:pStyle w:val="Zkladntext"/>
              <w:bidi w:val="0"/>
              <w:jc w:val="both"/>
              <w:rPr>
                <w:rFonts w:ascii="Arial Narrow" w:hAnsi="Arial Narrow"/>
                <w:sz w:val="22"/>
                <w:szCs w:val="22"/>
              </w:rPr>
            </w:pPr>
          </w:p>
          <w:p w:rsidR="002E1D16" w:rsidP="00331AF7">
            <w:pPr>
              <w:pStyle w:val="Zkladntext"/>
              <w:bidi w:val="0"/>
              <w:jc w:val="both"/>
              <w:rPr>
                <w:rFonts w:ascii="Arial Narrow" w:hAnsi="Arial Narrow"/>
                <w:sz w:val="22"/>
                <w:szCs w:val="22"/>
              </w:rPr>
            </w:pPr>
            <w:r w:rsidRPr="0057670A" w:rsidR="00331AF7">
              <w:rPr>
                <w:rFonts w:ascii="Arial Narrow" w:hAnsi="Arial Narrow"/>
                <w:sz w:val="22"/>
                <w:szCs w:val="22"/>
              </w:rPr>
              <w:t xml:space="preserve">Zákon č. 595/2003 Z. z. o dani z príjmov v znení neskorších predpisov ďalej </w:t>
            </w:r>
            <w:r w:rsidR="003C0FC5">
              <w:rPr>
                <w:rFonts w:ascii="Arial Narrow" w:hAnsi="Arial Narrow"/>
                <w:sz w:val="22"/>
                <w:szCs w:val="22"/>
              </w:rPr>
              <w:t>(</w:t>
            </w:r>
            <w:r w:rsidRPr="0057670A" w:rsidR="00331AF7">
              <w:rPr>
                <w:rFonts w:ascii="Arial Narrow" w:hAnsi="Arial Narrow"/>
                <w:sz w:val="22"/>
                <w:szCs w:val="22"/>
              </w:rPr>
              <w:t>„595/2003“)</w:t>
            </w:r>
          </w:p>
          <w:p w:rsidR="007D58B7" w:rsidP="00331AF7">
            <w:pPr>
              <w:pStyle w:val="Zkladntext"/>
              <w:bidi w:val="0"/>
              <w:jc w:val="both"/>
              <w:rPr>
                <w:rFonts w:ascii="Arial Narrow" w:hAnsi="Arial Narrow"/>
                <w:sz w:val="22"/>
                <w:szCs w:val="22"/>
              </w:rPr>
            </w:pPr>
            <w:r>
              <w:rPr>
                <w:rFonts w:ascii="Arial Narrow" w:hAnsi="Arial Narrow"/>
                <w:sz w:val="22"/>
                <w:szCs w:val="22"/>
              </w:rPr>
              <w:t xml:space="preserve">Zákon č. 359/2015 Z. z. o automatickej výmene informácií o finančných účtoch </w:t>
            </w:r>
            <w:r w:rsidR="003C0FC5">
              <w:rPr>
                <w:rFonts w:ascii="Arial Narrow" w:hAnsi="Arial Narrow"/>
                <w:sz w:val="22"/>
                <w:szCs w:val="22"/>
              </w:rPr>
              <w:t>(</w:t>
            </w:r>
            <w:r>
              <w:rPr>
                <w:rFonts w:ascii="Arial Narrow" w:hAnsi="Arial Narrow"/>
                <w:sz w:val="22"/>
                <w:szCs w:val="22"/>
              </w:rPr>
              <w:t>ďalej „359/2015“)</w:t>
            </w:r>
          </w:p>
          <w:p w:rsidR="007D58B7" w:rsidRPr="0057670A" w:rsidP="00331AF7">
            <w:pPr>
              <w:pStyle w:val="Zkladntext"/>
              <w:bidi w:val="0"/>
              <w:jc w:val="both"/>
              <w:rPr>
                <w:rFonts w:ascii="Arial Narrow" w:hAnsi="Arial Narrow"/>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7670A">
            <w:pPr>
              <w:bidi w:val="0"/>
              <w:jc w:val="center"/>
              <w:rPr>
                <w:rFonts w:ascii="Arial Narrow" w:hAnsi="Arial Narrow"/>
                <w:sz w:val="22"/>
                <w:szCs w:val="22"/>
              </w:rPr>
            </w:pPr>
            <w:r w:rsidRPr="0057670A">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7670A">
            <w:pPr>
              <w:bidi w:val="0"/>
              <w:jc w:val="center"/>
              <w:rPr>
                <w:rFonts w:ascii="Arial Narrow" w:hAnsi="Arial Narrow"/>
                <w:sz w:val="22"/>
                <w:szCs w:val="22"/>
              </w:rPr>
            </w:pPr>
            <w:r w:rsidRPr="0057670A">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7670A">
            <w:pPr>
              <w:bidi w:val="0"/>
              <w:jc w:val="center"/>
              <w:rPr>
                <w:rFonts w:ascii="Arial Narrow" w:hAnsi="Arial Narrow"/>
                <w:sz w:val="22"/>
                <w:szCs w:val="22"/>
              </w:rPr>
            </w:pPr>
            <w:r w:rsidRPr="0057670A">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57670A">
            <w:pPr>
              <w:bidi w:val="0"/>
              <w:jc w:val="center"/>
              <w:rPr>
                <w:rFonts w:ascii="Arial Narrow" w:hAnsi="Arial Narrow"/>
                <w:sz w:val="22"/>
                <w:szCs w:val="22"/>
              </w:rPr>
            </w:pPr>
            <w:r w:rsidRPr="0057670A">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57670A">
            <w:pPr>
              <w:pStyle w:val="BodyText2"/>
              <w:bidi w:val="0"/>
              <w:spacing w:line="240" w:lineRule="exact"/>
              <w:rPr>
                <w:rFonts w:ascii="Arial Narrow" w:hAnsi="Arial Narrow"/>
                <w:sz w:val="22"/>
                <w:szCs w:val="22"/>
              </w:rPr>
            </w:pPr>
            <w:r w:rsidRPr="0057670A">
              <w:rPr>
                <w:rFonts w:ascii="Arial Narrow" w:hAnsi="Arial Narrow"/>
                <w:sz w:val="22"/>
                <w:szCs w:val="22"/>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57670A">
            <w:pPr>
              <w:pStyle w:val="BodyText2"/>
              <w:bidi w:val="0"/>
              <w:spacing w:line="240" w:lineRule="exact"/>
              <w:rPr>
                <w:rFonts w:ascii="Arial Narrow" w:hAnsi="Arial Narrow"/>
                <w:sz w:val="22"/>
                <w:szCs w:val="22"/>
              </w:rPr>
            </w:pPr>
            <w:r w:rsidRPr="0057670A">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7670A">
            <w:pPr>
              <w:bidi w:val="0"/>
              <w:jc w:val="center"/>
              <w:rPr>
                <w:rFonts w:ascii="Arial Narrow" w:hAnsi="Arial Narrow"/>
                <w:sz w:val="22"/>
                <w:szCs w:val="22"/>
              </w:rPr>
            </w:pPr>
            <w:r w:rsidRPr="0057670A">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57670A">
            <w:pPr>
              <w:bidi w:val="0"/>
              <w:jc w:val="center"/>
              <w:rPr>
                <w:rFonts w:ascii="Arial Narrow" w:hAnsi="Arial Narrow"/>
                <w:sz w:val="22"/>
                <w:szCs w:val="22"/>
              </w:rPr>
            </w:pPr>
            <w:r w:rsidRPr="0057670A"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7670A">
            <w:pPr>
              <w:pStyle w:val="Normlny"/>
              <w:bidi w:val="0"/>
              <w:jc w:val="center"/>
              <w:rPr>
                <w:rFonts w:ascii="Arial Narrow" w:hAnsi="Arial Narrow"/>
                <w:sz w:val="22"/>
                <w:szCs w:val="22"/>
              </w:rPr>
            </w:pPr>
            <w:r w:rsidRPr="0057670A">
              <w:rPr>
                <w:rFonts w:ascii="Arial Narrow" w:hAnsi="Arial Narrow"/>
                <w:sz w:val="22"/>
                <w:szCs w:val="22"/>
              </w:rPr>
              <w:t>Článok</w:t>
            </w:r>
          </w:p>
          <w:p w:rsidR="00A9063F" w:rsidRPr="0057670A">
            <w:pPr>
              <w:pStyle w:val="Normlny"/>
              <w:bidi w:val="0"/>
              <w:jc w:val="center"/>
              <w:rPr>
                <w:rFonts w:ascii="Arial Narrow" w:hAnsi="Arial Narrow"/>
                <w:sz w:val="22"/>
                <w:szCs w:val="22"/>
              </w:rPr>
            </w:pPr>
            <w:r w:rsidRPr="0057670A">
              <w:rPr>
                <w:rFonts w:ascii="Arial Narrow" w:hAnsi="Arial Narrow"/>
                <w:sz w:val="22"/>
                <w:szCs w:val="22"/>
              </w:rPr>
              <w:t>(Č, O,</w:t>
            </w:r>
          </w:p>
          <w:p w:rsidR="00A9063F" w:rsidRPr="0057670A">
            <w:pPr>
              <w:pStyle w:val="Normlny"/>
              <w:bidi w:val="0"/>
              <w:jc w:val="center"/>
              <w:rPr>
                <w:rFonts w:ascii="Arial Narrow" w:hAnsi="Arial Narrow"/>
                <w:sz w:val="22"/>
                <w:szCs w:val="22"/>
              </w:rPr>
            </w:pPr>
            <w:r w:rsidRPr="0057670A">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7670A">
            <w:pPr>
              <w:pStyle w:val="Normlny"/>
              <w:bidi w:val="0"/>
              <w:jc w:val="center"/>
              <w:rPr>
                <w:rFonts w:ascii="Arial Narrow" w:hAnsi="Arial Narrow"/>
                <w:sz w:val="22"/>
                <w:szCs w:val="22"/>
              </w:rPr>
            </w:pPr>
            <w:r w:rsidRPr="0057670A">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7670A">
            <w:pPr>
              <w:pStyle w:val="Normlny"/>
              <w:bidi w:val="0"/>
              <w:jc w:val="center"/>
              <w:rPr>
                <w:rFonts w:ascii="Arial Narrow" w:hAnsi="Arial Narrow"/>
                <w:sz w:val="22"/>
                <w:szCs w:val="22"/>
              </w:rPr>
            </w:pPr>
            <w:r w:rsidRPr="0057670A">
              <w:rPr>
                <w:rFonts w:ascii="Arial Narrow" w:hAnsi="Arial Narrow"/>
                <w:sz w:val="22"/>
                <w:szCs w:val="22"/>
              </w:rPr>
              <w:t>Spôsob transp.</w:t>
            </w:r>
          </w:p>
          <w:p w:rsidR="00A9063F" w:rsidRPr="0057670A">
            <w:pPr>
              <w:pStyle w:val="Normlny"/>
              <w:bidi w:val="0"/>
              <w:jc w:val="center"/>
              <w:rPr>
                <w:rFonts w:ascii="Arial Narrow" w:hAnsi="Arial Narrow"/>
                <w:sz w:val="22"/>
                <w:szCs w:val="22"/>
              </w:rPr>
            </w:pPr>
            <w:r w:rsidRPr="0057670A">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57670A">
            <w:pPr>
              <w:pStyle w:val="Normlny"/>
              <w:bidi w:val="0"/>
              <w:jc w:val="center"/>
              <w:rPr>
                <w:rFonts w:ascii="Arial Narrow" w:hAnsi="Arial Narrow"/>
                <w:sz w:val="22"/>
                <w:szCs w:val="22"/>
              </w:rPr>
            </w:pPr>
            <w:r w:rsidRPr="0057670A">
              <w:rPr>
                <w:rFonts w:ascii="Arial Narrow" w:hAnsi="Arial Narrow"/>
                <w:sz w:val="22"/>
                <w:szCs w:val="22"/>
              </w:rPr>
              <w:t>Číslo</w:t>
            </w:r>
          </w:p>
          <w:p w:rsidR="00A9063F" w:rsidRPr="0057670A">
            <w:pPr>
              <w:pStyle w:val="Normlny"/>
              <w:bidi w:val="0"/>
              <w:jc w:val="center"/>
              <w:rPr>
                <w:rFonts w:ascii="Arial Narrow" w:hAnsi="Arial Narrow"/>
                <w:sz w:val="22"/>
                <w:szCs w:val="22"/>
              </w:rPr>
            </w:pPr>
            <w:r w:rsidRPr="0057670A">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57670A">
            <w:pPr>
              <w:pStyle w:val="Normlny"/>
              <w:bidi w:val="0"/>
              <w:jc w:val="center"/>
              <w:rPr>
                <w:rFonts w:ascii="Arial Narrow" w:hAnsi="Arial Narrow"/>
                <w:sz w:val="22"/>
                <w:szCs w:val="22"/>
              </w:rPr>
            </w:pPr>
            <w:r w:rsidRPr="0057670A">
              <w:rPr>
                <w:rFonts w:ascii="Arial Narrow" w:hAnsi="Arial Narrow"/>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57670A">
            <w:pPr>
              <w:pStyle w:val="Normlny"/>
              <w:bidi w:val="0"/>
              <w:jc w:val="center"/>
              <w:rPr>
                <w:rFonts w:ascii="Arial Narrow" w:hAnsi="Arial Narrow"/>
                <w:sz w:val="22"/>
                <w:szCs w:val="22"/>
              </w:rPr>
            </w:pPr>
            <w:r w:rsidRPr="0057670A">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7670A">
            <w:pPr>
              <w:pStyle w:val="Normlny"/>
              <w:bidi w:val="0"/>
              <w:jc w:val="center"/>
              <w:rPr>
                <w:rFonts w:ascii="Arial Narrow" w:hAnsi="Arial Narrow"/>
                <w:sz w:val="22"/>
                <w:szCs w:val="22"/>
              </w:rPr>
            </w:pPr>
            <w:r w:rsidRPr="0057670A">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57670A">
            <w:pPr>
              <w:pStyle w:val="Normlny"/>
              <w:bidi w:val="0"/>
              <w:jc w:val="center"/>
              <w:rPr>
                <w:rFonts w:ascii="Arial Narrow" w:hAnsi="Arial Narrow"/>
                <w:sz w:val="22"/>
                <w:szCs w:val="22"/>
              </w:rPr>
            </w:pPr>
            <w:r w:rsidRPr="0057670A">
              <w:rPr>
                <w:rFonts w:ascii="Arial Narrow" w:hAnsi="Arial Narrow"/>
                <w:sz w:val="22"/>
                <w:szCs w:val="22"/>
              </w:rPr>
              <w:t>Poznámky</w:t>
            </w:r>
          </w:p>
        </w:tc>
      </w:tr>
      <w:tr>
        <w:tblPrEx>
          <w:tblW w:w="16200" w:type="dxa"/>
          <w:tblInd w:w="-497" w:type="dxa"/>
          <w:tblLayout w:type="fixed"/>
          <w:tblCellMar>
            <w:left w:w="43" w:type="dxa"/>
            <w:right w:w="43" w:type="dxa"/>
          </w:tblCellMar>
        </w:tblPrEx>
        <w:trPr>
          <w:trHeight w:val="1125"/>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7670A" w:rsidP="00A95E8B">
            <w:pPr>
              <w:bidi w:val="0"/>
              <w:jc w:val="center"/>
              <w:rPr>
                <w:rFonts w:ascii="Arial Narrow" w:hAnsi="Arial Narrow"/>
                <w:sz w:val="22"/>
                <w:szCs w:val="22"/>
              </w:rPr>
            </w:pPr>
            <w:r w:rsidRPr="0057670A" w:rsidR="00331AF7">
              <w:rPr>
                <w:rFonts w:ascii="Arial Narrow" w:hAnsi="Arial Narrow"/>
                <w:sz w:val="22"/>
                <w:szCs w:val="22"/>
              </w:rPr>
              <w:t>Čl.</w:t>
            </w:r>
            <w:r w:rsidRPr="0057670A" w:rsidR="00A95E8B">
              <w:rPr>
                <w:rFonts w:ascii="Arial Narrow" w:hAnsi="Arial Narrow"/>
                <w:sz w:val="22"/>
                <w:szCs w:val="22"/>
              </w:rPr>
              <w:t xml:space="preserve"> 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B2E5D" w:rsidRPr="00A2554E" w:rsidP="00A2554E">
            <w:pPr>
              <w:pStyle w:val="Normlny"/>
              <w:bidi w:val="0"/>
              <w:jc w:val="both"/>
              <w:rPr>
                <w:rFonts w:ascii="Arial Narrow" w:hAnsi="Arial Narrow"/>
                <w:color w:val="000000"/>
                <w:sz w:val="22"/>
                <w:szCs w:val="22"/>
              </w:rPr>
            </w:pPr>
            <w:r w:rsidRPr="00A2554E" w:rsidR="00802EE3">
              <w:rPr>
                <w:rFonts w:ascii="Arial Narrow" w:hAnsi="Arial Narrow"/>
                <w:color w:val="000000"/>
                <w:sz w:val="22"/>
                <w:szCs w:val="22"/>
              </w:rPr>
              <w:t>1.   S výhradou odsekov 2 a 3 sa smernica 2003/48/ES zrušuje s účinnosťou od 1. januára 2016.</w:t>
            </w:r>
          </w:p>
          <w:p w:rsidR="00802EE3" w:rsidP="00A2554E">
            <w:pPr>
              <w:pStyle w:val="Normlny"/>
              <w:bidi w:val="0"/>
              <w:jc w:val="both"/>
              <w:rPr>
                <w:rFonts w:ascii="Arial Narrow" w:hAnsi="Arial Narrow"/>
                <w:sz w:val="22"/>
                <w:szCs w:val="22"/>
              </w:rPr>
            </w:pPr>
          </w:p>
          <w:p w:rsidR="00853264" w:rsidP="00A2554E">
            <w:pPr>
              <w:pStyle w:val="Normlny"/>
              <w:bidi w:val="0"/>
              <w:jc w:val="both"/>
              <w:rPr>
                <w:rFonts w:ascii="Arial Narrow" w:hAnsi="Arial Narrow"/>
                <w:sz w:val="22"/>
                <w:szCs w:val="22"/>
              </w:rPr>
            </w:pPr>
          </w:p>
          <w:p w:rsidR="00853264" w:rsidP="00A2554E">
            <w:pPr>
              <w:pStyle w:val="Normlny"/>
              <w:bidi w:val="0"/>
              <w:jc w:val="both"/>
              <w:rPr>
                <w:rFonts w:ascii="Arial Narrow" w:hAnsi="Arial Narrow"/>
                <w:sz w:val="22"/>
                <w:szCs w:val="22"/>
              </w:rPr>
            </w:pPr>
          </w:p>
          <w:p w:rsidR="00853264" w:rsidRPr="00A2554E" w:rsidP="00A2554E">
            <w:pPr>
              <w:pStyle w:val="Normlny"/>
              <w:bidi w:val="0"/>
              <w:jc w:val="both"/>
              <w:rPr>
                <w:rFonts w:ascii="Arial Narrow" w:hAnsi="Arial Narrow"/>
                <w:sz w:val="22"/>
                <w:szCs w:val="22"/>
              </w:rPr>
            </w:pPr>
          </w:p>
          <w:p w:rsidR="00802EE3" w:rsidRPr="003D7A2E" w:rsidP="00A2554E">
            <w:pPr>
              <w:pStyle w:val="Normlny"/>
              <w:bidi w:val="0"/>
              <w:jc w:val="both"/>
              <w:rPr>
                <w:rFonts w:ascii="Arial Narrow" w:hAnsi="Arial Narrow"/>
                <w:sz w:val="22"/>
                <w:szCs w:val="22"/>
              </w:rPr>
            </w:pPr>
            <w:r w:rsidRPr="00A2554E">
              <w:rPr>
                <w:rFonts w:ascii="Arial Narrow" w:hAnsi="Arial Narrow"/>
                <w:color w:val="000000"/>
                <w:sz w:val="22"/>
                <w:szCs w:val="22"/>
              </w:rPr>
              <w:t>2.   Bez toho, aby bol dotknutý odsek 3, sa naďalej uplatňujú tieto povinnosti vyplývajúce zo smernice 2003/48/ES zmenenej smernicou Rady 2006/98/</w:t>
            </w:r>
            <w:r w:rsidRPr="003D7A2E">
              <w:rPr>
                <w:rFonts w:ascii="Arial Narrow" w:hAnsi="Arial Narrow"/>
                <w:sz w:val="22"/>
                <w:szCs w:val="22"/>
              </w:rPr>
              <w:t>ES</w:t>
            </w:r>
            <w:hyperlink r:id="rId4" w:anchor="ntr5-L_2015301SK.01000101-E0005" w:history="1">
              <w:r w:rsidRPr="003D7A2E">
                <w:rPr>
                  <w:rStyle w:val="Hyperlink"/>
                  <w:rFonts w:ascii="Arial Narrow" w:hAnsi="Arial Narrow"/>
                  <w:color w:val="auto"/>
                  <w:sz w:val="22"/>
                  <w:szCs w:val="22"/>
                </w:rPr>
                <w:t> (</w:t>
              </w:r>
              <w:r w:rsidRPr="003D7A2E">
                <w:rPr>
                  <w:rStyle w:val="super"/>
                  <w:rFonts w:ascii="Arial Narrow" w:hAnsi="Arial Narrow"/>
                  <w:sz w:val="22"/>
                  <w:szCs w:val="22"/>
                  <w:u w:val="single"/>
                </w:rPr>
                <w:t>5</w:t>
              </w:r>
              <w:r w:rsidRPr="003D7A2E">
                <w:rPr>
                  <w:rStyle w:val="Hyperlink"/>
                  <w:rFonts w:ascii="Arial Narrow" w:hAnsi="Arial Narrow"/>
                  <w:color w:val="auto"/>
                  <w:sz w:val="22"/>
                  <w:szCs w:val="22"/>
                </w:rPr>
                <w:t>)</w:t>
              </w:r>
            </w:hyperlink>
            <w:r w:rsidRPr="003D7A2E">
              <w:rPr>
                <w:rFonts w:ascii="Arial Narrow" w:hAnsi="Arial Narrow"/>
                <w:sz w:val="22"/>
                <w:szCs w:val="22"/>
              </w:rPr>
              <w:t>:</w:t>
            </w:r>
          </w:p>
          <w:p w:rsidR="00853264" w:rsidRPr="00A2554E" w:rsidP="00A2554E">
            <w:pPr>
              <w:pStyle w:val="Normlny"/>
              <w:bidi w:val="0"/>
              <w:jc w:val="both"/>
              <w:rPr>
                <w:rFonts w:ascii="Arial Narrow" w:hAnsi="Arial Narrow"/>
                <w:color w:val="000000"/>
                <w:sz w:val="22"/>
                <w:szCs w:val="22"/>
              </w:rPr>
            </w:pPr>
          </w:p>
          <w:p w:rsidR="00802EE3" w:rsidRPr="00A2554E" w:rsidP="00A2554E">
            <w:pPr>
              <w:pStyle w:val="Normlny"/>
              <w:numPr>
                <w:numId w:val="17"/>
              </w:numPr>
              <w:bidi w:val="0"/>
              <w:ind w:left="241" w:hanging="241"/>
              <w:jc w:val="both"/>
              <w:rPr>
                <w:rFonts w:ascii="Arial Narrow" w:hAnsi="Arial Narrow"/>
                <w:sz w:val="22"/>
                <w:szCs w:val="22"/>
              </w:rPr>
            </w:pPr>
            <w:r w:rsidRPr="00A2554E">
              <w:rPr>
                <w:rFonts w:ascii="Arial Narrow" w:hAnsi="Arial Narrow"/>
                <w:color w:val="000000"/>
                <w:sz w:val="22"/>
                <w:szCs w:val="22"/>
              </w:rPr>
              <w:t>povinnosti členských štátov a v nich usadených hospodárskych subjektov podľa článku 4 ods. 2 druhého pododseku smernice 2003/48/ES sa naďalej uplatňujú do 5. októbra 2016 alebo dovtedy, kým uvedené povinnosti nebudú splnené;</w:t>
            </w:r>
          </w:p>
          <w:p w:rsidR="00A2554E" w:rsidP="00A2554E">
            <w:pPr>
              <w:pStyle w:val="Normlny"/>
              <w:bidi w:val="0"/>
              <w:ind w:left="241"/>
              <w:jc w:val="both"/>
              <w:rPr>
                <w:rFonts w:ascii="Arial Narrow" w:hAnsi="Arial Narrow"/>
                <w:sz w:val="22"/>
                <w:szCs w:val="22"/>
              </w:rPr>
            </w:pPr>
          </w:p>
          <w:p w:rsidR="00802EE3" w:rsidRPr="00A2554E" w:rsidP="00A2554E">
            <w:pPr>
              <w:pStyle w:val="Normlny"/>
              <w:numPr>
                <w:numId w:val="17"/>
              </w:numPr>
              <w:bidi w:val="0"/>
              <w:ind w:left="241" w:hanging="241"/>
              <w:jc w:val="both"/>
              <w:rPr>
                <w:rFonts w:ascii="Arial Narrow" w:hAnsi="Arial Narrow"/>
                <w:sz w:val="22"/>
                <w:szCs w:val="22"/>
              </w:rPr>
            </w:pPr>
            <w:r w:rsidRPr="00A2554E">
              <w:rPr>
                <w:rFonts w:ascii="Arial Narrow" w:hAnsi="Arial Narrow"/>
                <w:color w:val="000000"/>
                <w:sz w:val="22"/>
                <w:szCs w:val="22"/>
              </w:rPr>
              <w:t>povinnosti vyplácajúcich zástupcov podľa článku 8 smernice 2003/48/ES a členských štátov vyplácajúcich zástupcov podľa článku 9 smernice 2003/48/ES sa naďalej uplatňujú do 5. októbra 2016 alebo dovtedy, kým uvedené povinnosti nebudú splnené;</w:t>
            </w:r>
          </w:p>
          <w:p w:rsidR="00A2554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3D7A2E" w:rsidP="00A2554E">
            <w:pPr>
              <w:pStyle w:val="Normlny"/>
              <w:bidi w:val="0"/>
              <w:ind w:left="241"/>
              <w:jc w:val="both"/>
              <w:rPr>
                <w:rFonts w:ascii="Arial Narrow" w:hAnsi="Arial Narrow"/>
                <w:sz w:val="22"/>
                <w:szCs w:val="22"/>
              </w:rPr>
            </w:pPr>
          </w:p>
          <w:p w:rsidR="008F5AE2" w:rsidP="00A2554E">
            <w:pPr>
              <w:pStyle w:val="Normlny"/>
              <w:bidi w:val="0"/>
              <w:ind w:left="241"/>
              <w:jc w:val="both"/>
              <w:rPr>
                <w:rFonts w:ascii="Arial Narrow" w:hAnsi="Arial Narrow"/>
                <w:sz w:val="22"/>
                <w:szCs w:val="22"/>
              </w:rPr>
            </w:pPr>
          </w:p>
          <w:p w:rsidR="008F5AE2" w:rsidP="00A2554E">
            <w:pPr>
              <w:pStyle w:val="Normlny"/>
              <w:bidi w:val="0"/>
              <w:ind w:left="241"/>
              <w:jc w:val="both"/>
              <w:rPr>
                <w:rFonts w:ascii="Arial Narrow" w:hAnsi="Arial Narrow"/>
                <w:sz w:val="22"/>
                <w:szCs w:val="22"/>
              </w:rPr>
            </w:pPr>
          </w:p>
          <w:p w:rsidR="00FD68A5" w:rsidRPr="00A2554E" w:rsidP="00A2554E">
            <w:pPr>
              <w:pStyle w:val="Normlny"/>
              <w:bidi w:val="0"/>
              <w:ind w:left="241"/>
              <w:jc w:val="both"/>
              <w:rPr>
                <w:rFonts w:ascii="Arial Narrow" w:hAnsi="Arial Narrow"/>
                <w:sz w:val="22"/>
                <w:szCs w:val="22"/>
              </w:rPr>
            </w:pPr>
          </w:p>
          <w:p w:rsidR="00802EE3" w:rsidRPr="00A2554E" w:rsidP="00A2554E">
            <w:pPr>
              <w:pStyle w:val="Normlny"/>
              <w:numPr>
                <w:numId w:val="17"/>
              </w:numPr>
              <w:bidi w:val="0"/>
              <w:ind w:left="241" w:hanging="241"/>
              <w:jc w:val="both"/>
              <w:rPr>
                <w:rFonts w:ascii="Arial Narrow" w:hAnsi="Arial Narrow"/>
                <w:sz w:val="22"/>
                <w:szCs w:val="22"/>
              </w:rPr>
            </w:pPr>
            <w:r w:rsidRPr="00A2554E">
              <w:rPr>
                <w:rFonts w:ascii="Arial Narrow" w:hAnsi="Arial Narrow"/>
                <w:color w:val="000000"/>
                <w:sz w:val="22"/>
                <w:szCs w:val="22"/>
              </w:rPr>
              <w:t>povinnosti členských štátov skutočných vlastníkov príjmu, v ktorých majú skutoční vlastníci príjmu bydlisko na daňové účely, podľa článku 13 ods. 2 smernice 2003/48/ES sa naďalej uplatňujú do 31. decembra 2016;</w:t>
            </w:r>
          </w:p>
          <w:p w:rsidR="00A2554E" w:rsidRPr="00A2554E" w:rsidP="00A2554E">
            <w:pPr>
              <w:pStyle w:val="Normlny"/>
              <w:bidi w:val="0"/>
              <w:jc w:val="both"/>
              <w:rPr>
                <w:rFonts w:ascii="Arial Narrow" w:hAnsi="Arial Narrow"/>
                <w:sz w:val="22"/>
                <w:szCs w:val="22"/>
              </w:rPr>
            </w:pPr>
          </w:p>
          <w:p w:rsidR="00802EE3" w:rsidRPr="00A2554E" w:rsidP="00A2554E">
            <w:pPr>
              <w:pStyle w:val="Normlny"/>
              <w:numPr>
                <w:numId w:val="17"/>
              </w:numPr>
              <w:bidi w:val="0"/>
              <w:ind w:left="241" w:hanging="241"/>
              <w:jc w:val="both"/>
              <w:rPr>
                <w:rFonts w:ascii="Arial Narrow" w:hAnsi="Arial Narrow"/>
                <w:sz w:val="22"/>
                <w:szCs w:val="22"/>
              </w:rPr>
            </w:pPr>
            <w:r w:rsidRPr="00A2554E">
              <w:rPr>
                <w:rFonts w:ascii="Arial Narrow" w:hAnsi="Arial Narrow"/>
                <w:color w:val="000000"/>
                <w:sz w:val="22"/>
                <w:szCs w:val="22"/>
              </w:rPr>
              <w:t>povinnosti členských štátov skutočných vlastníkov príjmu, v ktorých majú skutoční vlastníci príjmu bydlisko na daňové účely, podľa článku 14 smernice 2003/48/ES, pokiaľ ide o daň vyberanú zrážkou v roku 2016 a predchádzajúcich rokoch, sa naďalej uplatňujú dovtedy, kým uvedené povinnosti nebudú splnené.</w:t>
            </w:r>
          </w:p>
          <w:p w:rsidR="00802EE3" w:rsidP="00A2554E">
            <w:pPr>
              <w:pStyle w:val="Normlny"/>
              <w:bidi w:val="0"/>
              <w:jc w:val="both"/>
              <w:rPr>
                <w:rFonts w:ascii="Arial Narrow" w:hAnsi="Arial Narrow"/>
                <w:color w:val="000000"/>
                <w:sz w:val="22"/>
                <w:szCs w:val="22"/>
              </w:rPr>
            </w:pPr>
          </w:p>
          <w:p w:rsidR="008F5AE2"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A571F1" w:rsidP="00A2554E">
            <w:pPr>
              <w:pStyle w:val="Normlny"/>
              <w:bidi w:val="0"/>
              <w:jc w:val="both"/>
              <w:rPr>
                <w:rFonts w:ascii="Arial Narrow" w:hAnsi="Arial Narrow"/>
                <w:color w:val="000000"/>
                <w:sz w:val="22"/>
                <w:szCs w:val="22"/>
              </w:rPr>
            </w:pPr>
          </w:p>
          <w:p w:rsidR="008F5AE2" w:rsidRPr="00A2554E" w:rsidP="00A2554E">
            <w:pPr>
              <w:pStyle w:val="Normlny"/>
              <w:bidi w:val="0"/>
              <w:jc w:val="both"/>
              <w:rPr>
                <w:rFonts w:ascii="Arial Narrow" w:hAnsi="Arial Narrow"/>
                <w:color w:val="000000"/>
                <w:sz w:val="22"/>
                <w:szCs w:val="22"/>
              </w:rPr>
            </w:pPr>
          </w:p>
          <w:p w:rsidR="00802EE3" w:rsidP="00A2554E">
            <w:pPr>
              <w:pStyle w:val="Normlny"/>
              <w:bidi w:val="0"/>
              <w:jc w:val="both"/>
              <w:rPr>
                <w:rFonts w:ascii="Arial Narrow" w:hAnsi="Arial Narrow"/>
                <w:color w:val="000000"/>
                <w:sz w:val="22"/>
                <w:szCs w:val="22"/>
              </w:rPr>
            </w:pPr>
            <w:r w:rsidRPr="00A2554E">
              <w:rPr>
                <w:rFonts w:ascii="Arial Narrow" w:hAnsi="Arial Narrow"/>
                <w:color w:val="000000"/>
                <w:sz w:val="22"/>
                <w:szCs w:val="22"/>
              </w:rPr>
              <w:t>3. Smernica 2003/48/ES zmenená smernicou 2006/98/ES sa naďalej uplatňuje, pokiaľ ide o Rakúsko, do 31. decembra 2016 s výnimkou týchto povinností:</w:t>
            </w:r>
          </w:p>
          <w:p w:rsidR="00A2554E" w:rsidRPr="00A2554E" w:rsidP="00A2554E">
            <w:pPr>
              <w:pStyle w:val="Normlny"/>
              <w:bidi w:val="0"/>
              <w:jc w:val="both"/>
              <w:rPr>
                <w:rFonts w:ascii="Arial Narrow" w:hAnsi="Arial Narrow"/>
                <w:color w:val="000000"/>
                <w:sz w:val="22"/>
                <w:szCs w:val="22"/>
              </w:rPr>
            </w:pPr>
          </w:p>
          <w:p w:rsidR="00802EE3" w:rsidP="00A2554E">
            <w:pPr>
              <w:pStyle w:val="Normlny"/>
              <w:bidi w:val="0"/>
              <w:jc w:val="both"/>
              <w:rPr>
                <w:rFonts w:ascii="Arial Narrow" w:hAnsi="Arial Narrow"/>
                <w:color w:val="000000"/>
                <w:sz w:val="22"/>
                <w:szCs w:val="22"/>
              </w:rPr>
            </w:pPr>
            <w:r w:rsidRPr="00A2554E">
              <w:rPr>
                <w:rFonts w:ascii="Arial Narrow" w:hAnsi="Arial Narrow"/>
                <w:color w:val="000000"/>
                <w:sz w:val="22"/>
                <w:szCs w:val="22"/>
              </w:rPr>
              <w:t>a) povinností Rakúska a príslušných povinností v ňom usadených vyplácajúcich zástupcov a hospodárskych subjektov podľa článku 12 smernice 2003/48/ES, ktoré sa naďalej uplatňujú do 30. júna 2017 alebo dovtedy, kým uvedené povinnosti nebudú splnené;</w:t>
            </w:r>
          </w:p>
          <w:p w:rsidR="00A2554E" w:rsidRPr="00A2554E" w:rsidP="00A2554E">
            <w:pPr>
              <w:pStyle w:val="Normlny"/>
              <w:bidi w:val="0"/>
              <w:jc w:val="both"/>
              <w:rPr>
                <w:rFonts w:ascii="Arial Narrow" w:hAnsi="Arial Narrow"/>
                <w:color w:val="000000"/>
                <w:sz w:val="22"/>
                <w:szCs w:val="22"/>
              </w:rPr>
            </w:pPr>
          </w:p>
          <w:p w:rsidR="00802EE3" w:rsidP="00A2554E">
            <w:pPr>
              <w:pStyle w:val="Normlny"/>
              <w:bidi w:val="0"/>
              <w:jc w:val="both"/>
              <w:rPr>
                <w:rFonts w:ascii="Arial Narrow" w:hAnsi="Arial Narrow"/>
                <w:color w:val="000000"/>
                <w:sz w:val="22"/>
                <w:szCs w:val="22"/>
              </w:rPr>
            </w:pPr>
            <w:r w:rsidRPr="00A2554E">
              <w:rPr>
                <w:rFonts w:ascii="Arial Narrow" w:hAnsi="Arial Narrow"/>
                <w:color w:val="000000"/>
                <w:sz w:val="22"/>
                <w:szCs w:val="22"/>
              </w:rPr>
              <w:t>b) povinností Rakúska a v ňom usadených hospodárskych subjektov podľa článku 4 ods. 2 druhého pododseku smernice 2003/48/ES, ktoré sa naďalej uplatňujú do 30. júna 2017 alebo dovtedy, kým uvedené povinnosti nebudú splnené;</w:t>
            </w:r>
          </w:p>
          <w:p w:rsidR="00A2554E" w:rsidRPr="00A2554E" w:rsidP="00A2554E">
            <w:pPr>
              <w:pStyle w:val="Normlny"/>
              <w:bidi w:val="0"/>
              <w:jc w:val="both"/>
              <w:rPr>
                <w:rFonts w:ascii="Arial Narrow" w:hAnsi="Arial Narrow"/>
                <w:color w:val="000000"/>
                <w:sz w:val="22"/>
                <w:szCs w:val="22"/>
              </w:rPr>
            </w:pPr>
          </w:p>
          <w:p w:rsidR="00802EE3" w:rsidRPr="00A2554E" w:rsidP="00A2554E">
            <w:pPr>
              <w:pStyle w:val="Normlny"/>
              <w:bidi w:val="0"/>
              <w:jc w:val="both"/>
              <w:rPr>
                <w:rFonts w:ascii="Arial Narrow" w:hAnsi="Arial Narrow"/>
                <w:color w:val="000000"/>
                <w:sz w:val="22"/>
                <w:szCs w:val="22"/>
              </w:rPr>
            </w:pPr>
            <w:r w:rsidRPr="00A2554E">
              <w:rPr>
                <w:rFonts w:ascii="Arial Narrow" w:hAnsi="Arial Narrow"/>
                <w:color w:val="000000"/>
                <w:sz w:val="22"/>
                <w:szCs w:val="22"/>
              </w:rPr>
              <w:t>c) akýchkoľvek povinností Rakúska a príslušných povinností v ňom usadených vyplácajúcich zástupcov, ktoré priamo alebo nepriamo vyplývajú z postupov uvedených v článku 13 smernice 2003/48/ES a ktoré sa naďalej uplatňujú do 30. júna 2017 alebo dovtedy, kým uvedené povinnosti nebudú splnené.</w:t>
            </w:r>
          </w:p>
          <w:p w:rsidR="00802EE3" w:rsidRPr="00A2554E" w:rsidP="00A2554E">
            <w:pPr>
              <w:pStyle w:val="Normlny"/>
              <w:bidi w:val="0"/>
              <w:jc w:val="both"/>
              <w:rPr>
                <w:rFonts w:ascii="Arial Narrow" w:hAnsi="Arial Narrow"/>
                <w:color w:val="000000"/>
                <w:sz w:val="22"/>
                <w:szCs w:val="22"/>
              </w:rPr>
            </w:pPr>
          </w:p>
          <w:p w:rsidR="00802EE3" w:rsidRPr="00A2554E" w:rsidP="00A2554E">
            <w:pPr>
              <w:pStyle w:val="Normlny"/>
              <w:bidi w:val="0"/>
              <w:jc w:val="both"/>
              <w:rPr>
                <w:rFonts w:ascii="Arial Narrow" w:hAnsi="Arial Narrow"/>
                <w:color w:val="000000"/>
                <w:sz w:val="22"/>
                <w:szCs w:val="22"/>
              </w:rPr>
            </w:pPr>
            <w:r w:rsidRPr="00A2554E">
              <w:rPr>
                <w:rFonts w:ascii="Arial Narrow" w:hAnsi="Arial Narrow"/>
                <w:color w:val="000000"/>
                <w:sz w:val="22"/>
                <w:szCs w:val="22"/>
              </w:rPr>
              <w:t>Bez ohľadu na prvý pododsek sa smernica 2003/48/ES zmenená smernicou 2006/98/ES neuplatňuje po 1. októbri 2016 na výplaty úrokov, pokiaľ ide o účty, v prípade ktorých boli splnené povinnosti týkajúce sa oznamovania a hĺbkového preverovania uvedené v prílohách I a II k smernici 2011/16/EÚ a v prípade ktorých Rakúsko oznámilo prostredníctvom automatickej výmeny informácie uvedené v článku 8 ods. 3a smernice 2011/16/EÚ v lehote stanovenej v článku 8 ods. 6 písm. b) smernice 2011/16/EÚ.</w:t>
            </w:r>
          </w:p>
          <w:p w:rsidR="00802EE3" w:rsidRPr="0057670A" w:rsidP="00802EE3">
            <w:pPr>
              <w:pStyle w:val="Normlny"/>
              <w:bidi w:val="0"/>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jc w:val="center"/>
              <w:rPr>
                <w:rFonts w:ascii="Arial Narrow" w:hAnsi="Arial Narrow"/>
                <w:sz w:val="22"/>
                <w:szCs w:val="22"/>
              </w:rPr>
            </w:pPr>
            <w:r w:rsidRPr="0057670A" w:rsidR="00DB0A4C">
              <w:rPr>
                <w:rFonts w:ascii="Arial Narrow" w:hAnsi="Arial Narrow"/>
                <w:sz w:val="22"/>
                <w:szCs w:val="22"/>
              </w:rPr>
              <w:t>N</w:t>
            </w: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rsidRPr="0057670A">
            <w:pPr>
              <w:bidi w:val="0"/>
              <w:jc w:val="center"/>
              <w:rPr>
                <w:rFonts w:ascii="Arial Narrow" w:hAnsi="Arial Narrow"/>
                <w:sz w:val="22"/>
                <w:szCs w:val="22"/>
              </w:rPr>
            </w:pPr>
          </w:p>
          <w:p w:rsidR="00A95E8B">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rsidRPr="0057670A">
            <w:pPr>
              <w:bidi w:val="0"/>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pPr>
              <w:bidi w:val="0"/>
              <w:jc w:val="center"/>
              <w:rPr>
                <w:rFonts w:ascii="Arial Narrow" w:hAnsi="Arial Narrow"/>
                <w:sz w:val="22"/>
                <w:szCs w:val="22"/>
              </w:rPr>
            </w:pPr>
            <w:r w:rsidR="00D15EEF">
              <w:rPr>
                <w:rFonts w:ascii="Arial Narrow" w:hAnsi="Arial Narrow"/>
                <w:sz w:val="22"/>
                <w:szCs w:val="22"/>
              </w:rPr>
              <w:t xml:space="preserve">359/2015 Z. z. </w:t>
            </w:r>
          </w:p>
          <w:p w:rsidR="00D15EEF">
            <w:pPr>
              <w:bidi w:val="0"/>
              <w:jc w:val="center"/>
              <w:rPr>
                <w:rFonts w:ascii="Arial Narrow" w:hAnsi="Arial Narrow"/>
                <w:sz w:val="22"/>
                <w:szCs w:val="22"/>
              </w:rPr>
            </w:pPr>
          </w:p>
          <w:p w:rsidR="00D15EEF">
            <w:pPr>
              <w:bidi w:val="0"/>
              <w:jc w:val="center"/>
              <w:rPr>
                <w:rFonts w:ascii="Arial Narrow" w:hAnsi="Arial Narrow"/>
                <w:sz w:val="22"/>
                <w:szCs w:val="22"/>
              </w:rPr>
            </w:pPr>
          </w:p>
          <w:p w:rsidR="008F17C7">
            <w:pPr>
              <w:bidi w:val="0"/>
              <w:jc w:val="center"/>
              <w:rPr>
                <w:rFonts w:ascii="Arial Narrow" w:hAnsi="Arial Narrow"/>
                <w:sz w:val="22"/>
                <w:szCs w:val="22"/>
              </w:rPr>
            </w:pPr>
          </w:p>
          <w:p w:rsidR="008F17C7">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8F17C7" w:rsidRPr="003C0FC5">
            <w:pPr>
              <w:bidi w:val="0"/>
              <w:jc w:val="center"/>
              <w:rPr>
                <w:rFonts w:ascii="Arial Narrow" w:hAnsi="Arial Narrow"/>
                <w:b/>
                <w:sz w:val="22"/>
                <w:szCs w:val="22"/>
              </w:rPr>
            </w:pPr>
            <w:r w:rsidRPr="003C0FC5" w:rsidR="00853264">
              <w:rPr>
                <w:rFonts w:ascii="Arial Narrow" w:hAnsi="Arial Narrow"/>
                <w:b/>
                <w:sz w:val="22"/>
                <w:szCs w:val="22"/>
              </w:rPr>
              <w:t>Návrh zákona</w:t>
            </w:r>
          </w:p>
          <w:p w:rsidR="00505033" w:rsidRPr="003C0FC5">
            <w:pPr>
              <w:bidi w:val="0"/>
              <w:jc w:val="center"/>
              <w:rPr>
                <w:rFonts w:ascii="Arial Narrow" w:hAnsi="Arial Narrow"/>
                <w:b/>
                <w:sz w:val="22"/>
                <w:szCs w:val="22"/>
              </w:rPr>
            </w:pPr>
            <w:r w:rsidRPr="003C0FC5">
              <w:rPr>
                <w:rFonts w:ascii="Arial Narrow" w:hAnsi="Arial Narrow"/>
                <w:b/>
                <w:sz w:val="22"/>
                <w:szCs w:val="22"/>
              </w:rPr>
              <w:t>Čl.I</w:t>
            </w:r>
          </w:p>
          <w:p w:rsidR="008F17C7">
            <w:pPr>
              <w:bidi w:val="0"/>
              <w:jc w:val="center"/>
              <w:rPr>
                <w:rFonts w:ascii="Arial Narrow" w:hAnsi="Arial Narrow"/>
                <w:sz w:val="22"/>
                <w:szCs w:val="22"/>
              </w:rPr>
            </w:pPr>
          </w:p>
          <w:p w:rsidR="008F17C7">
            <w:pPr>
              <w:bidi w:val="0"/>
              <w:jc w:val="center"/>
              <w:rPr>
                <w:rFonts w:ascii="Arial Narrow" w:hAnsi="Arial Narrow"/>
                <w:sz w:val="22"/>
                <w:szCs w:val="22"/>
              </w:rPr>
            </w:pPr>
          </w:p>
          <w:p w:rsidR="008F17C7">
            <w:pPr>
              <w:bidi w:val="0"/>
              <w:jc w:val="center"/>
              <w:rPr>
                <w:rFonts w:ascii="Arial Narrow" w:hAnsi="Arial Narrow"/>
                <w:sz w:val="22"/>
                <w:szCs w:val="22"/>
              </w:rPr>
            </w:pPr>
          </w:p>
          <w:p w:rsidR="00853264">
            <w:pPr>
              <w:bidi w:val="0"/>
              <w:jc w:val="center"/>
              <w:rPr>
                <w:rFonts w:ascii="Arial Narrow" w:hAnsi="Arial Narrow"/>
                <w:sz w:val="22"/>
                <w:szCs w:val="22"/>
              </w:rPr>
            </w:pPr>
          </w:p>
          <w:p w:rsidR="00853264">
            <w:pPr>
              <w:bidi w:val="0"/>
              <w:jc w:val="center"/>
              <w:rPr>
                <w:rFonts w:ascii="Arial Narrow" w:hAnsi="Arial Narrow"/>
                <w:sz w:val="22"/>
                <w:szCs w:val="22"/>
              </w:rPr>
            </w:pPr>
          </w:p>
          <w:p w:rsidR="00853264">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17C7">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8B60BE">
            <w:pPr>
              <w:bidi w:val="0"/>
              <w:jc w:val="center"/>
              <w:rPr>
                <w:rFonts w:ascii="Arial Narrow" w:hAnsi="Arial Narrow"/>
                <w:sz w:val="22"/>
                <w:szCs w:val="22"/>
              </w:rPr>
            </w:pPr>
          </w:p>
          <w:p w:rsidR="008F5AE2">
            <w:pPr>
              <w:bidi w:val="0"/>
              <w:jc w:val="center"/>
              <w:rPr>
                <w:rFonts w:ascii="Arial Narrow" w:hAnsi="Arial Narrow"/>
                <w:sz w:val="22"/>
                <w:szCs w:val="22"/>
              </w:rPr>
            </w:pPr>
          </w:p>
          <w:p w:rsidR="008F17C7" w:rsidRPr="00505033">
            <w:pPr>
              <w:bidi w:val="0"/>
              <w:jc w:val="center"/>
              <w:rPr>
                <w:rFonts w:ascii="Arial Narrow" w:hAnsi="Arial Narrow"/>
                <w:b/>
                <w:sz w:val="22"/>
                <w:szCs w:val="22"/>
              </w:rPr>
            </w:pPr>
            <w:r w:rsidR="00505033">
              <w:rPr>
                <w:rFonts w:ascii="Arial Narrow" w:hAnsi="Arial Narrow"/>
                <w:sz w:val="22"/>
                <w:szCs w:val="22"/>
              </w:rPr>
              <w:t xml:space="preserve">595/2003 a </w:t>
            </w:r>
            <w:r w:rsidRPr="00505033" w:rsidR="00505033">
              <w:rPr>
                <w:rFonts w:ascii="Arial Narrow" w:hAnsi="Arial Narrow"/>
                <w:b/>
                <w:sz w:val="22"/>
                <w:szCs w:val="22"/>
              </w:rPr>
              <w:t>n</w:t>
            </w:r>
            <w:r w:rsidRPr="00505033" w:rsidR="008F5AE2">
              <w:rPr>
                <w:rFonts w:ascii="Arial Narrow" w:hAnsi="Arial Narrow"/>
                <w:b/>
                <w:sz w:val="22"/>
                <w:szCs w:val="22"/>
              </w:rPr>
              <w:t>ávrh zákona</w:t>
            </w:r>
            <w:r w:rsidRPr="00505033" w:rsidR="00505033">
              <w:rPr>
                <w:rFonts w:ascii="Arial Narrow" w:hAnsi="Arial Narrow"/>
                <w:b/>
                <w:sz w:val="22"/>
                <w:szCs w:val="22"/>
              </w:rPr>
              <w:t xml:space="preserve"> čl.I</w:t>
            </w:r>
          </w:p>
          <w:p w:rsidR="008F17C7" w:rsidRPr="00505033">
            <w:pPr>
              <w:bidi w:val="0"/>
              <w:jc w:val="center"/>
              <w:rPr>
                <w:rFonts w:ascii="Arial Narrow" w:hAnsi="Arial Narrow"/>
                <w:b/>
                <w:sz w:val="22"/>
                <w:szCs w:val="22"/>
              </w:rPr>
            </w:pPr>
          </w:p>
          <w:p w:rsidR="008F17C7">
            <w:pPr>
              <w:bidi w:val="0"/>
              <w:jc w:val="center"/>
              <w:rPr>
                <w:rFonts w:ascii="Arial Narrow" w:hAnsi="Arial Narrow"/>
                <w:sz w:val="22"/>
                <w:szCs w:val="22"/>
              </w:rPr>
            </w:pPr>
          </w:p>
          <w:p w:rsidR="008F17C7">
            <w:pPr>
              <w:bidi w:val="0"/>
              <w:jc w:val="center"/>
              <w:rPr>
                <w:rFonts w:ascii="Arial Narrow" w:hAnsi="Arial Narrow"/>
                <w:sz w:val="22"/>
                <w:szCs w:val="22"/>
              </w:rPr>
            </w:pPr>
          </w:p>
          <w:p w:rsidR="008F17C7">
            <w:pPr>
              <w:bidi w:val="0"/>
              <w:jc w:val="center"/>
              <w:rPr>
                <w:rFonts w:ascii="Arial Narrow" w:hAnsi="Arial Narrow"/>
                <w:sz w:val="22"/>
                <w:szCs w:val="22"/>
              </w:rPr>
            </w:pPr>
          </w:p>
          <w:p w:rsidR="008F17C7">
            <w:pPr>
              <w:bidi w:val="0"/>
              <w:jc w:val="center"/>
              <w:rPr>
                <w:rFonts w:ascii="Arial Narrow" w:hAnsi="Arial Narrow"/>
                <w:sz w:val="22"/>
                <w:szCs w:val="22"/>
              </w:rPr>
            </w:pPr>
          </w:p>
          <w:p w:rsidR="008F17C7">
            <w:pPr>
              <w:bidi w:val="0"/>
              <w:jc w:val="center"/>
              <w:rPr>
                <w:rFonts w:ascii="Arial Narrow" w:hAnsi="Arial Narrow"/>
                <w:sz w:val="22"/>
                <w:szCs w:val="22"/>
              </w:rPr>
            </w:pPr>
          </w:p>
          <w:p w:rsidR="008F17C7">
            <w:pPr>
              <w:bidi w:val="0"/>
              <w:jc w:val="center"/>
              <w:rPr>
                <w:rFonts w:ascii="Arial Narrow" w:hAnsi="Arial Narrow"/>
                <w:sz w:val="22"/>
                <w:szCs w:val="22"/>
              </w:rPr>
            </w:pPr>
          </w:p>
          <w:p w:rsidR="008F5AE2">
            <w:pPr>
              <w:bidi w:val="0"/>
              <w:jc w:val="center"/>
              <w:rPr>
                <w:rFonts w:ascii="Arial Narrow" w:hAnsi="Arial Narrow"/>
                <w:sz w:val="22"/>
                <w:szCs w:val="22"/>
              </w:rPr>
            </w:pPr>
          </w:p>
          <w:p w:rsidR="008F5AE2">
            <w:pPr>
              <w:bidi w:val="0"/>
              <w:jc w:val="center"/>
              <w:rPr>
                <w:rFonts w:ascii="Arial Narrow" w:hAnsi="Arial Narrow"/>
                <w:sz w:val="22"/>
                <w:szCs w:val="22"/>
              </w:rPr>
            </w:pPr>
          </w:p>
          <w:p w:rsidR="00A571F1">
            <w:pPr>
              <w:bidi w:val="0"/>
              <w:jc w:val="center"/>
              <w:rPr>
                <w:rFonts w:ascii="Arial Narrow" w:hAnsi="Arial Narrow"/>
                <w:sz w:val="22"/>
                <w:szCs w:val="22"/>
              </w:rPr>
            </w:pPr>
          </w:p>
          <w:p w:rsidR="00A571F1">
            <w:pPr>
              <w:bidi w:val="0"/>
              <w:jc w:val="center"/>
              <w:rPr>
                <w:rFonts w:ascii="Arial Narrow" w:hAnsi="Arial Narrow"/>
                <w:sz w:val="22"/>
                <w:szCs w:val="22"/>
              </w:rPr>
            </w:pPr>
          </w:p>
          <w:p w:rsidR="00A571F1">
            <w:pPr>
              <w:bidi w:val="0"/>
              <w:jc w:val="center"/>
              <w:rPr>
                <w:rFonts w:ascii="Arial Narrow" w:hAnsi="Arial Narrow"/>
                <w:sz w:val="22"/>
                <w:szCs w:val="22"/>
              </w:rPr>
            </w:pPr>
          </w:p>
          <w:p w:rsidR="00A571F1">
            <w:pPr>
              <w:bidi w:val="0"/>
              <w:jc w:val="center"/>
              <w:rPr>
                <w:rFonts w:ascii="Arial Narrow" w:hAnsi="Arial Narrow"/>
                <w:sz w:val="22"/>
                <w:szCs w:val="22"/>
              </w:rPr>
            </w:pPr>
          </w:p>
          <w:p w:rsidR="00A571F1">
            <w:pPr>
              <w:bidi w:val="0"/>
              <w:jc w:val="center"/>
              <w:rPr>
                <w:rFonts w:ascii="Arial Narrow" w:hAnsi="Arial Narrow"/>
                <w:sz w:val="22"/>
                <w:szCs w:val="22"/>
              </w:rPr>
            </w:pPr>
          </w:p>
          <w:p w:rsidR="00A571F1">
            <w:pPr>
              <w:bidi w:val="0"/>
              <w:jc w:val="center"/>
              <w:rPr>
                <w:rFonts w:ascii="Arial Narrow" w:hAnsi="Arial Narrow"/>
                <w:sz w:val="22"/>
                <w:szCs w:val="22"/>
              </w:rPr>
            </w:pPr>
          </w:p>
          <w:p w:rsidR="00A571F1">
            <w:pPr>
              <w:bidi w:val="0"/>
              <w:jc w:val="center"/>
              <w:rPr>
                <w:rFonts w:ascii="Arial Narrow" w:hAnsi="Arial Narrow"/>
                <w:sz w:val="22"/>
                <w:szCs w:val="22"/>
              </w:rPr>
            </w:pPr>
          </w:p>
          <w:p w:rsidR="00A571F1">
            <w:pPr>
              <w:bidi w:val="0"/>
              <w:jc w:val="center"/>
              <w:rPr>
                <w:rFonts w:ascii="Arial Narrow" w:hAnsi="Arial Narrow"/>
                <w:sz w:val="22"/>
                <w:szCs w:val="22"/>
              </w:rPr>
            </w:pPr>
          </w:p>
          <w:p w:rsidR="00A571F1">
            <w:pPr>
              <w:bidi w:val="0"/>
              <w:jc w:val="center"/>
              <w:rPr>
                <w:rFonts w:ascii="Arial Narrow" w:hAnsi="Arial Narrow"/>
                <w:sz w:val="22"/>
                <w:szCs w:val="22"/>
              </w:rPr>
            </w:pPr>
          </w:p>
          <w:p w:rsidR="00A571F1">
            <w:pPr>
              <w:bidi w:val="0"/>
              <w:jc w:val="center"/>
              <w:rPr>
                <w:rFonts w:ascii="Arial Narrow" w:hAnsi="Arial Narrow"/>
                <w:sz w:val="22"/>
                <w:szCs w:val="22"/>
              </w:rPr>
            </w:pPr>
          </w:p>
          <w:p w:rsidR="008F17C7">
            <w:pPr>
              <w:bidi w:val="0"/>
              <w:jc w:val="center"/>
              <w:rPr>
                <w:rFonts w:ascii="Arial Narrow" w:hAnsi="Arial Narrow"/>
                <w:sz w:val="22"/>
                <w:szCs w:val="22"/>
              </w:rPr>
            </w:pPr>
          </w:p>
          <w:p w:rsidR="008F17C7">
            <w:pPr>
              <w:bidi w:val="0"/>
              <w:jc w:val="center"/>
              <w:rPr>
                <w:rFonts w:ascii="Arial Narrow" w:hAnsi="Arial Narrow"/>
                <w:sz w:val="22"/>
                <w:szCs w:val="22"/>
              </w:rPr>
            </w:pPr>
          </w:p>
          <w:p w:rsidR="00257C53" w:rsidRPr="0057670A">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F17C7" w:rsidP="004577EC">
            <w:pPr>
              <w:bidi w:val="0"/>
              <w:jc w:val="center"/>
              <w:rPr>
                <w:rFonts w:ascii="Arial Narrow" w:hAnsi="Arial Narrow"/>
                <w:sz w:val="22"/>
                <w:szCs w:val="22"/>
              </w:rPr>
            </w:pPr>
            <w:r w:rsidR="000E19C2">
              <w:rPr>
                <w:rFonts w:ascii="Arial Narrow" w:hAnsi="Arial Narrow"/>
                <w:sz w:val="22"/>
                <w:szCs w:val="22"/>
              </w:rPr>
              <w:t>§ 22 ods.7</w:t>
            </w:r>
          </w:p>
          <w:p w:rsidR="008F17C7"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p>
          <w:p w:rsidR="00853264" w:rsidP="004577EC">
            <w:pPr>
              <w:bidi w:val="0"/>
              <w:jc w:val="center"/>
              <w:rPr>
                <w:rFonts w:ascii="Arial Narrow" w:hAnsi="Arial Narrow"/>
                <w:sz w:val="22"/>
                <w:szCs w:val="22"/>
              </w:rPr>
            </w:pPr>
          </w:p>
          <w:p w:rsidR="00853264" w:rsidP="004577EC">
            <w:pPr>
              <w:bidi w:val="0"/>
              <w:jc w:val="center"/>
              <w:rPr>
                <w:rFonts w:ascii="Arial Narrow" w:hAnsi="Arial Narrow"/>
                <w:sz w:val="22"/>
                <w:szCs w:val="22"/>
              </w:rPr>
            </w:pPr>
          </w:p>
          <w:p w:rsidR="00853264"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r>
              <w:rPr>
                <w:rFonts w:ascii="Arial Narrow" w:hAnsi="Arial Narrow"/>
                <w:sz w:val="22"/>
                <w:szCs w:val="22"/>
              </w:rPr>
              <w:t>§ 49a</w:t>
            </w:r>
            <w:r w:rsidR="00853264">
              <w:rPr>
                <w:rFonts w:ascii="Arial Narrow" w:hAnsi="Arial Narrow"/>
                <w:sz w:val="22"/>
                <w:szCs w:val="22"/>
              </w:rPr>
              <w:t xml:space="preserve"> ods. 7</w:t>
            </w:r>
          </w:p>
          <w:p w:rsidR="008F17C7"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DC2DD1" w:rsidP="004577EC">
            <w:pPr>
              <w:bidi w:val="0"/>
              <w:jc w:val="center"/>
              <w:rPr>
                <w:rFonts w:ascii="Arial Narrow" w:hAnsi="Arial Narrow"/>
                <w:sz w:val="22"/>
                <w:szCs w:val="22"/>
              </w:rPr>
            </w:pPr>
          </w:p>
          <w:p w:rsidR="008F5AE2" w:rsidP="004577EC">
            <w:pPr>
              <w:bidi w:val="0"/>
              <w:jc w:val="center"/>
              <w:rPr>
                <w:rFonts w:ascii="Arial Narrow" w:hAnsi="Arial Narrow"/>
                <w:sz w:val="22"/>
                <w:szCs w:val="22"/>
              </w:rPr>
            </w:pPr>
          </w:p>
          <w:p w:rsidR="008F5AE2" w:rsidRPr="00DC2DD1" w:rsidP="004577EC">
            <w:pPr>
              <w:bidi w:val="0"/>
              <w:jc w:val="center"/>
              <w:rPr>
                <w:rFonts w:ascii="Arial Narrow" w:hAnsi="Arial Narrow"/>
                <w:sz w:val="18"/>
                <w:szCs w:val="18"/>
              </w:rPr>
            </w:pPr>
            <w:r w:rsidRPr="00DC2DD1" w:rsidR="00DC2DD1">
              <w:rPr>
                <w:rFonts w:ascii="Arial Narrow" w:hAnsi="Arial Narrow"/>
                <w:sz w:val="18"/>
                <w:szCs w:val="18"/>
              </w:rPr>
              <w:t>Nadväzne</w:t>
            </w:r>
          </w:p>
          <w:p w:rsidR="008F17C7" w:rsidRPr="00DC2DD1" w:rsidP="004577EC">
            <w:pPr>
              <w:bidi w:val="0"/>
              <w:jc w:val="center"/>
              <w:rPr>
                <w:rFonts w:ascii="Arial Narrow" w:hAnsi="Arial Narrow"/>
                <w:sz w:val="18"/>
                <w:szCs w:val="18"/>
              </w:rPr>
            </w:pPr>
            <w:r w:rsidR="00DC2DD1">
              <w:rPr>
                <w:rFonts w:ascii="Arial Narrow" w:hAnsi="Arial Narrow"/>
                <w:sz w:val="18"/>
                <w:szCs w:val="18"/>
              </w:rPr>
              <w:t>v</w:t>
            </w:r>
            <w:r w:rsidRPr="00DC2DD1" w:rsidR="008F5AE2">
              <w:rPr>
                <w:rFonts w:ascii="Arial Narrow" w:hAnsi="Arial Narrow"/>
                <w:sz w:val="18"/>
                <w:szCs w:val="18"/>
              </w:rPr>
              <w:t>ypustenie príloh zákona</w:t>
            </w:r>
          </w:p>
          <w:p w:rsidR="00DC2DD1" w:rsidP="008F5AE2">
            <w:pPr>
              <w:bidi w:val="0"/>
              <w:rPr>
                <w:rFonts w:ascii="Arial Narrow" w:hAnsi="Arial Narrow"/>
                <w:sz w:val="22"/>
                <w:szCs w:val="22"/>
              </w:rPr>
            </w:pPr>
          </w:p>
          <w:p w:rsidR="00FD68A5"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r>
              <w:rPr>
                <w:rFonts w:ascii="Arial Narrow" w:hAnsi="Arial Narrow"/>
                <w:sz w:val="22"/>
                <w:szCs w:val="22"/>
              </w:rPr>
              <w:t xml:space="preserve">§ 45 ods. </w:t>
            </w:r>
            <w:r w:rsidR="008F5AE2">
              <w:rPr>
                <w:rFonts w:ascii="Arial Narrow" w:hAnsi="Arial Narrow"/>
                <w:sz w:val="22"/>
                <w:szCs w:val="22"/>
              </w:rPr>
              <w:t>4</w:t>
            </w:r>
          </w:p>
          <w:p w:rsidR="008F17C7"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p>
          <w:p w:rsidR="008F17C7" w:rsidP="004577EC">
            <w:pPr>
              <w:bidi w:val="0"/>
              <w:jc w:val="center"/>
              <w:rPr>
                <w:rFonts w:ascii="Arial Narrow" w:hAnsi="Arial Narrow"/>
                <w:sz w:val="22"/>
                <w:szCs w:val="22"/>
              </w:rPr>
            </w:pPr>
          </w:p>
          <w:p w:rsidR="008F17C7" w:rsidRPr="0057670A" w:rsidP="004577EC">
            <w:pPr>
              <w:bidi w:val="0"/>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53264" w:rsidRPr="00853264" w:rsidP="00853264">
            <w:pPr>
              <w:shd w:val="clear" w:color="auto" w:fill="FFFFFF"/>
              <w:autoSpaceDE/>
              <w:autoSpaceDN/>
              <w:bidi w:val="0"/>
              <w:spacing w:line="231" w:lineRule="atLeast"/>
              <w:jc w:val="both"/>
              <w:rPr>
                <w:rFonts w:ascii="Arial Narrow" w:hAnsi="Arial Narrow" w:cs="Segoe UI"/>
                <w:sz w:val="22"/>
                <w:szCs w:val="22"/>
              </w:rPr>
            </w:pPr>
            <w:r w:rsidRPr="00853264">
              <w:rPr>
                <w:rFonts w:ascii="Arial Narrow" w:hAnsi="Arial Narrow" w:cs="Segoe UI"/>
                <w:sz w:val="22"/>
                <w:szCs w:val="22"/>
              </w:rPr>
              <w:t>(7) Automatická výmena informácií medzi príslušným orgánom Slovenskej republiky a príslušným orgánom členského štátu podľa tohto zákona má prednosť pred automatickou výmenou informácií podľa osobitného predpisu.</w:t>
            </w:r>
            <w:hyperlink r:id="rId5" w:anchor="poznamky.poznamka-15" w:tooltip="Odkaz na predpis alebo ustanovenie" w:history="1">
              <w:r w:rsidRPr="00853264">
                <w:rPr>
                  <w:rStyle w:val="Hyperlink"/>
                  <w:rFonts w:ascii="Arial Narrow" w:hAnsi="Arial Narrow" w:cs="Segoe UI"/>
                  <w:i/>
                  <w:iCs/>
                  <w:color w:val="auto"/>
                  <w:sz w:val="22"/>
                  <w:szCs w:val="22"/>
                  <w:vertAlign w:val="superscript"/>
                </w:rPr>
                <w:t>15</w:t>
              </w:r>
              <w:r w:rsidRPr="00853264">
                <w:rPr>
                  <w:rStyle w:val="Hyperlink"/>
                  <w:rFonts w:ascii="Arial Narrow" w:hAnsi="Arial Narrow" w:cs="Segoe UI"/>
                  <w:i/>
                  <w:iCs/>
                  <w:color w:val="auto"/>
                  <w:sz w:val="22"/>
                  <w:szCs w:val="22"/>
                </w:rPr>
                <w:t>)</w:t>
              </w:r>
            </w:hyperlink>
          </w:p>
          <w:p w:rsidR="00A9063F" w:rsidP="00A17024">
            <w:pPr>
              <w:pStyle w:val="BodyText2"/>
              <w:bidi w:val="0"/>
              <w:spacing w:line="240" w:lineRule="exact"/>
              <w:jc w:val="left"/>
              <w:rPr>
                <w:rFonts w:ascii="Arial Narrow" w:hAnsi="Arial Narrow"/>
                <w:sz w:val="22"/>
                <w:szCs w:val="22"/>
              </w:rPr>
            </w:pPr>
          </w:p>
          <w:p w:rsidR="00853264" w:rsidP="00A17024">
            <w:pPr>
              <w:pStyle w:val="BodyText2"/>
              <w:bidi w:val="0"/>
              <w:spacing w:line="240" w:lineRule="exact"/>
              <w:jc w:val="left"/>
              <w:rPr>
                <w:rFonts w:ascii="Arial Narrow" w:hAnsi="Arial Narrow"/>
                <w:sz w:val="22"/>
                <w:szCs w:val="22"/>
              </w:rPr>
            </w:pPr>
          </w:p>
          <w:p w:rsidR="00853264" w:rsidP="00A17024">
            <w:pPr>
              <w:pStyle w:val="BodyText2"/>
              <w:bidi w:val="0"/>
              <w:spacing w:line="240" w:lineRule="exact"/>
              <w:jc w:val="left"/>
              <w:rPr>
                <w:rFonts w:ascii="Arial Narrow" w:hAnsi="Arial Narrow"/>
                <w:sz w:val="22"/>
                <w:szCs w:val="22"/>
              </w:rPr>
            </w:pPr>
          </w:p>
          <w:p w:rsidR="00853264" w:rsidP="00A17024">
            <w:pPr>
              <w:pStyle w:val="BodyText2"/>
              <w:bidi w:val="0"/>
              <w:spacing w:line="240" w:lineRule="exact"/>
              <w:jc w:val="left"/>
              <w:rPr>
                <w:rFonts w:ascii="Arial Narrow" w:hAnsi="Arial Narrow"/>
                <w:sz w:val="22"/>
                <w:szCs w:val="22"/>
              </w:rPr>
            </w:pPr>
          </w:p>
          <w:p w:rsidR="008F5AE2" w:rsidP="008F5AE2">
            <w:pPr>
              <w:pStyle w:val="ListParagraph"/>
              <w:bidi w:val="0"/>
              <w:spacing w:after="160" w:line="259" w:lineRule="auto"/>
              <w:ind w:left="0"/>
              <w:jc w:val="both"/>
              <w:rPr>
                <w:rFonts w:ascii="Arial Narrow" w:hAnsi="Arial Narrow"/>
              </w:rPr>
            </w:pPr>
            <w:r w:rsidRPr="00395945">
              <w:rPr>
                <w:rFonts w:ascii="Arial Narrow" w:hAnsi="Arial Narrow"/>
              </w:rPr>
              <w:t>V § 49a ods. 7 sa vypúšťajú slová „</w:t>
            </w:r>
            <w:r w:rsidRPr="00395945">
              <w:rPr>
                <w:rFonts w:ascii="Arial Narrow" w:hAnsi="Arial Narrow" w:cs="Segoe UI"/>
                <w:shd w:val="clear" w:color="auto" w:fill="FFFFFF"/>
              </w:rPr>
              <w:t>Fyzická osoba alebo prá</w:t>
            </w:r>
            <w:r w:rsidRPr="003D7A2E">
              <w:rPr>
                <w:rFonts w:ascii="Arial Narrow" w:hAnsi="Arial Narrow" w:cs="Segoe UI"/>
                <w:shd w:val="clear" w:color="auto" w:fill="FFFFFF"/>
              </w:rPr>
              <w:t>vnická osoba vrátane stálej prevádzkarne, ktorá vypláca, poukazuje alebo pripisuje úrokový príjem (ďalej len „vyplácajúci zástupca“) fyzickej osobe, ktorá je daňovníkom členského štátu Európskej únie, závislého územia uvedeného v</w:t>
            </w:r>
            <w:r w:rsidRPr="003D7A2E">
              <w:rPr>
                <w:rStyle w:val="apple-converted-space"/>
                <w:rFonts w:ascii="Arial Narrow" w:hAnsi="Arial Narrow" w:cs="Segoe UI"/>
                <w:shd w:val="clear" w:color="auto" w:fill="FFFFFF"/>
              </w:rPr>
              <w:t> </w:t>
            </w:r>
            <w:hyperlink r:id="rId6" w:anchor="prilohy.priloha-priloha_c_4_k_zakonu_c_595_2003_z_z.oznacenie" w:tooltip="Odkaz na predpis alebo ustanovenie" w:history="1">
              <w:r w:rsidRPr="003D7A2E">
                <w:rPr>
                  <w:rStyle w:val="Hyperlink"/>
                  <w:rFonts w:ascii="Arial Narrow" w:hAnsi="Arial Narrow" w:cs="Segoe UI"/>
                  <w:iCs/>
                  <w:color w:val="auto"/>
                  <w:shd w:val="clear" w:color="auto" w:fill="FFFFFF"/>
                </w:rPr>
                <w:t>prílohe č. 4</w:t>
              </w:r>
            </w:hyperlink>
            <w:r w:rsidRPr="003D7A2E">
              <w:rPr>
                <w:rStyle w:val="apple-converted-space"/>
                <w:rFonts w:ascii="Arial Narrow" w:hAnsi="Arial Narrow" w:cs="Segoe UI"/>
                <w:shd w:val="clear" w:color="auto" w:fill="FFFFFF"/>
              </w:rPr>
              <w:t> </w:t>
            </w:r>
            <w:r w:rsidRPr="003D7A2E">
              <w:rPr>
                <w:rFonts w:ascii="Arial Narrow" w:hAnsi="Arial Narrow" w:cs="Segoe UI"/>
                <w:shd w:val="clear" w:color="auto" w:fill="FFFFFF"/>
              </w:rPr>
              <w:t>alebo územia tretieho štátu uvedeného v</w:t>
            </w:r>
            <w:r w:rsidRPr="003D7A2E">
              <w:rPr>
                <w:rStyle w:val="apple-converted-space"/>
                <w:rFonts w:ascii="Arial Narrow" w:hAnsi="Arial Narrow" w:cs="Segoe UI"/>
                <w:shd w:val="clear" w:color="auto" w:fill="FFFFFF"/>
              </w:rPr>
              <w:t> </w:t>
            </w:r>
            <w:hyperlink r:id="rId6" w:anchor="prilohy.priloha-priloha_c_5_k_zakonu_c_595_2003_z_z.oznacenie" w:tooltip="Odkaz na predpis alebo ustanovenie" w:history="1">
              <w:r w:rsidRPr="003D7A2E">
                <w:rPr>
                  <w:rStyle w:val="Hyperlink"/>
                  <w:rFonts w:ascii="Arial Narrow" w:hAnsi="Arial Narrow" w:cs="Segoe UI"/>
                  <w:iCs/>
                  <w:color w:val="auto"/>
                  <w:shd w:val="clear" w:color="auto" w:fill="FFFFFF"/>
                </w:rPr>
                <w:t>prílohe č. 5</w:t>
              </w:r>
            </w:hyperlink>
            <w:r w:rsidRPr="003D7A2E">
              <w:rPr>
                <w:rStyle w:val="apple-converted-space"/>
                <w:rFonts w:ascii="Arial Narrow" w:hAnsi="Arial Narrow" w:cs="Segoe UI"/>
                <w:shd w:val="clear" w:color="auto" w:fill="FFFFFF"/>
              </w:rPr>
              <w:t> </w:t>
            </w:r>
            <w:r w:rsidRPr="003D7A2E">
              <w:rPr>
                <w:rFonts w:ascii="Arial Narrow" w:hAnsi="Arial Narrow" w:cs="Segoe UI"/>
                <w:shd w:val="clear" w:color="auto" w:fill="FFFFFF"/>
              </w:rPr>
              <w:t>a ktorá je konečným príjemcom tohto príjmu, je povinná oznámiť každoročne do 31. marca po uplynutí kalendárneho roka správcovi dane na tlačive, ktorého vzor určí finančné riaditeľstvo, meno, priezvisko, trvalý pobyt tejto fyzickej osoby a jej daňové identifikačné číslo pridelené v štáte, v ktorom je daňovníkom s neobmedzenou daňovou povinnosťou, alebo ak jej daňové identifikačné číslo nebolo pridelené, dátum, miesto narodenia a sumu tohto príjmu za predchádzajúci kalendárny rok. Ak vyplácajúci zástupca vypláca, poukazuje alebo pripisuje úrokový príjem osobe, ktorá nie je právnickou osobou, osobou podliehajúcou zdaneniu príjmov z podnikateľskej činnosti a ani subjektom kolektívneho investovania, pričom je daňovníkom členského štátu Európskej únie, závislého územia uvedeného v</w:t>
            </w:r>
            <w:r w:rsidRPr="003D7A2E">
              <w:rPr>
                <w:rStyle w:val="apple-converted-space"/>
                <w:rFonts w:ascii="Arial Narrow" w:hAnsi="Arial Narrow" w:cs="Segoe UI"/>
                <w:shd w:val="clear" w:color="auto" w:fill="FFFFFF"/>
              </w:rPr>
              <w:t> </w:t>
            </w:r>
            <w:hyperlink r:id="rId6" w:anchor="prilohy.priloha-priloha_c_4_k_zakonu_c_595_2003_z_z.oznacenie" w:tooltip="Odkaz na predpis alebo ustanovenie" w:history="1">
              <w:r w:rsidRPr="003D7A2E">
                <w:rPr>
                  <w:rStyle w:val="Hyperlink"/>
                  <w:rFonts w:ascii="Arial Narrow" w:hAnsi="Arial Narrow" w:cs="Segoe UI"/>
                  <w:iCs/>
                  <w:color w:val="auto"/>
                  <w:shd w:val="clear" w:color="auto" w:fill="FFFFFF"/>
                </w:rPr>
                <w:t>prílohe č. 4</w:t>
              </w:r>
            </w:hyperlink>
            <w:r w:rsidRPr="003D7A2E">
              <w:rPr>
                <w:rStyle w:val="apple-converted-space"/>
                <w:rFonts w:ascii="Arial Narrow" w:hAnsi="Arial Narrow" w:cs="Segoe UI"/>
                <w:shd w:val="clear" w:color="auto" w:fill="FFFFFF"/>
              </w:rPr>
              <w:t> </w:t>
            </w:r>
            <w:r w:rsidRPr="003D7A2E">
              <w:rPr>
                <w:rFonts w:ascii="Arial Narrow" w:hAnsi="Arial Narrow" w:cs="Segoe UI"/>
                <w:shd w:val="clear" w:color="auto" w:fill="FFFFFF"/>
              </w:rPr>
              <w:t>alebo územia tretieho štátu uvedeného v</w:t>
            </w:r>
            <w:r w:rsidRPr="003D7A2E">
              <w:rPr>
                <w:rStyle w:val="apple-converted-space"/>
                <w:rFonts w:ascii="Arial Narrow" w:hAnsi="Arial Narrow" w:cs="Segoe UI"/>
                <w:shd w:val="clear" w:color="auto" w:fill="FFFFFF"/>
              </w:rPr>
              <w:t> </w:t>
            </w:r>
            <w:hyperlink r:id="rId6" w:anchor="prilohy.priloha-priloha_c_5_k_zakonu_c_595_2003_z_z.oznacenie" w:tooltip="Odkaz na predpis alebo ustanovenie" w:history="1">
              <w:r w:rsidRPr="003D7A2E">
                <w:rPr>
                  <w:rStyle w:val="Hyperlink"/>
                  <w:rFonts w:ascii="Arial Narrow" w:hAnsi="Arial Narrow" w:cs="Segoe UI"/>
                  <w:iCs/>
                  <w:color w:val="auto"/>
                  <w:shd w:val="clear" w:color="auto" w:fill="FFFFFF"/>
                </w:rPr>
                <w:t>prílohe č. 5</w:t>
              </w:r>
            </w:hyperlink>
            <w:r w:rsidRPr="003D7A2E">
              <w:rPr>
                <w:rStyle w:val="apple-converted-space"/>
                <w:rFonts w:ascii="Arial Narrow" w:hAnsi="Arial Narrow" w:cs="Segoe UI"/>
                <w:shd w:val="clear" w:color="auto" w:fill="FFFFFF"/>
              </w:rPr>
              <w:t> </w:t>
            </w:r>
            <w:r w:rsidRPr="003D7A2E">
              <w:rPr>
                <w:rFonts w:ascii="Arial Narrow" w:hAnsi="Arial Narrow" w:cs="Segoe UI"/>
                <w:shd w:val="clear" w:color="auto" w:fill="FFFFFF"/>
              </w:rPr>
              <w:t>a nie je konečným príjemcom úrokového príjmu, je povinný oznámiť každoročne do 31. marca po uplynutí kalendárneho roka správcovi dane adresu tejto osoby a sumu úrokového príjmu. Ak bol úrokový príjem pripísaný na účet fyzickej osoby zriadený v banke alebo v pobočke zahraničnej banky,</w:t>
            </w:r>
            <w:hyperlink r:id="rId6" w:anchor="poznamky.poznamka-94" w:tooltip="Odkaz na predpis alebo ustanovenie" w:history="1">
              <w:r w:rsidRPr="003D7A2E">
                <w:rPr>
                  <w:rStyle w:val="Hyperlink"/>
                  <w:rFonts w:ascii="Arial Narrow" w:hAnsi="Arial Narrow" w:cs="Segoe UI"/>
                  <w:iCs/>
                  <w:color w:val="auto"/>
                  <w:shd w:val="clear" w:color="auto" w:fill="FFFFFF"/>
                  <w:vertAlign w:val="superscript"/>
                </w:rPr>
                <w:t>94</w:t>
              </w:r>
              <w:r w:rsidRPr="003D7A2E">
                <w:rPr>
                  <w:rStyle w:val="Hyperlink"/>
                  <w:rFonts w:ascii="Arial Narrow" w:hAnsi="Arial Narrow" w:cs="Segoe UI"/>
                  <w:iCs/>
                  <w:color w:val="auto"/>
                  <w:shd w:val="clear" w:color="auto" w:fill="FFFFFF"/>
                </w:rPr>
                <w:t>)</w:t>
              </w:r>
            </w:hyperlink>
            <w:r w:rsidRPr="003D7A2E">
              <w:rPr>
                <w:rStyle w:val="apple-converted-space"/>
                <w:rFonts w:ascii="Arial Narrow" w:hAnsi="Arial Narrow" w:cs="Segoe UI"/>
                <w:shd w:val="clear" w:color="auto" w:fill="FFFFFF"/>
              </w:rPr>
              <w:t> </w:t>
            </w:r>
            <w:r w:rsidRPr="003D7A2E">
              <w:rPr>
                <w:rFonts w:ascii="Arial Narrow" w:hAnsi="Arial Narrow" w:cs="Segoe UI"/>
                <w:shd w:val="clear" w:color="auto" w:fill="FFFFFF"/>
              </w:rPr>
              <w:t>v oznámení sa uvedie aj číslo tohto účtu a názov banky alebo pobočky zahraničnej banky;</w:t>
            </w:r>
            <w:hyperlink r:id="rId6" w:anchor="poznamky.poznamka-94" w:tooltip="Odkaz na predpis alebo ustanovenie" w:history="1">
              <w:r w:rsidRPr="003D7A2E">
                <w:rPr>
                  <w:rStyle w:val="Hyperlink"/>
                  <w:rFonts w:ascii="Arial Narrow" w:hAnsi="Arial Narrow" w:cs="Segoe UI"/>
                  <w:iCs/>
                  <w:color w:val="auto"/>
                  <w:shd w:val="clear" w:color="auto" w:fill="FFFFFF"/>
                  <w:vertAlign w:val="superscript"/>
                </w:rPr>
                <w:t>94</w:t>
              </w:r>
              <w:r w:rsidRPr="003D7A2E">
                <w:rPr>
                  <w:rStyle w:val="Hyperlink"/>
                  <w:rFonts w:ascii="Arial Narrow" w:hAnsi="Arial Narrow" w:cs="Segoe UI"/>
                  <w:iCs/>
                  <w:color w:val="auto"/>
                  <w:shd w:val="clear" w:color="auto" w:fill="FFFFFF"/>
                </w:rPr>
                <w:t>)</w:t>
              </w:r>
            </w:hyperlink>
            <w:r w:rsidRPr="003D7A2E">
              <w:rPr>
                <w:rStyle w:val="apple-converted-space"/>
                <w:rFonts w:ascii="Arial Narrow" w:hAnsi="Arial Narrow" w:cs="Segoe UI"/>
                <w:shd w:val="clear" w:color="auto" w:fill="FFFFFF"/>
              </w:rPr>
              <w:t> </w:t>
            </w:r>
            <w:r w:rsidRPr="003D7A2E">
              <w:rPr>
                <w:rFonts w:ascii="Arial Narrow" w:hAnsi="Arial Narrow" w:cs="Segoe UI"/>
                <w:shd w:val="clear" w:color="auto" w:fill="FFFFFF"/>
              </w:rPr>
              <w:t>ak úrokový príjem nebol pripísaný na účet fyzicke</w:t>
            </w:r>
            <w:r w:rsidRPr="00395945">
              <w:rPr>
                <w:rFonts w:ascii="Arial Narrow" w:hAnsi="Arial Narrow" w:cs="Segoe UI"/>
                <w:shd w:val="clear" w:color="auto" w:fill="FFFFFF"/>
              </w:rPr>
              <w:t>j osoby, v oznámení sa uvedie spôsob jeho poukázania alebo pripísania</w:t>
            </w:r>
            <w:r w:rsidRPr="00395945">
              <w:rPr>
                <w:rStyle w:val="apple-converted-space"/>
                <w:rFonts w:ascii="Arial Narrow" w:hAnsi="Arial Narrow" w:cs="Segoe UI"/>
                <w:shd w:val="clear" w:color="auto" w:fill="FFFFFF"/>
              </w:rPr>
              <w:t> </w:t>
            </w:r>
            <w:r w:rsidRPr="00395945">
              <w:rPr>
                <w:rFonts w:ascii="Arial Narrow" w:hAnsi="Arial Narrow"/>
              </w:rPr>
              <w:t>.“.</w:t>
            </w:r>
          </w:p>
          <w:p w:rsidR="008F5AE2" w:rsidP="008F5AE2">
            <w:pPr>
              <w:pStyle w:val="ListParagraph"/>
              <w:bidi w:val="0"/>
              <w:spacing w:after="160" w:line="259" w:lineRule="auto"/>
              <w:ind w:left="0"/>
              <w:rPr>
                <w:rFonts w:ascii="Arial Narrow" w:hAnsi="Arial Narrow"/>
              </w:rPr>
            </w:pPr>
            <w:r>
              <w:rPr>
                <w:rFonts w:ascii="Arial Narrow" w:hAnsi="Arial Narrow"/>
              </w:rPr>
              <w:t>P</w:t>
            </w:r>
            <w:r w:rsidRPr="00D7251E">
              <w:rPr>
                <w:rFonts w:ascii="Arial Narrow" w:hAnsi="Arial Narrow"/>
              </w:rPr>
              <w:t xml:space="preserve">ríloha č. 3, </w:t>
            </w:r>
            <w:r>
              <w:rPr>
                <w:rFonts w:ascii="Arial Narrow" w:hAnsi="Arial Narrow"/>
              </w:rPr>
              <w:t xml:space="preserve">príloha </w:t>
            </w:r>
            <w:r w:rsidRPr="00D7251E">
              <w:rPr>
                <w:rFonts w:ascii="Arial Narrow" w:hAnsi="Arial Narrow"/>
              </w:rPr>
              <w:t>č. 4 a</w:t>
            </w:r>
            <w:r>
              <w:rPr>
                <w:rFonts w:ascii="Arial Narrow" w:hAnsi="Arial Narrow"/>
              </w:rPr>
              <w:t xml:space="preserve"> príloha </w:t>
            </w:r>
            <w:r w:rsidRPr="00D7251E">
              <w:rPr>
                <w:rFonts w:ascii="Arial Narrow" w:hAnsi="Arial Narrow"/>
              </w:rPr>
              <w:t>č. 5</w:t>
            </w:r>
            <w:r>
              <w:rPr>
                <w:rFonts w:ascii="Arial Narrow" w:hAnsi="Arial Narrow"/>
              </w:rPr>
              <w:t xml:space="preserve"> sa vypúšťajú.</w:t>
            </w:r>
          </w:p>
          <w:p w:rsidR="008F5AE2" w:rsidP="008F5AE2">
            <w:pPr>
              <w:pStyle w:val="ListParagraph"/>
              <w:bidi w:val="0"/>
              <w:spacing w:after="160" w:line="259" w:lineRule="auto"/>
              <w:ind w:left="0"/>
              <w:jc w:val="both"/>
              <w:rPr>
                <w:rFonts w:ascii="Arial Narrow" w:hAnsi="Arial Narrow"/>
              </w:rPr>
            </w:pPr>
          </w:p>
          <w:p w:rsidR="008F5AE2" w:rsidP="00A17024">
            <w:pPr>
              <w:pStyle w:val="BodyText2"/>
              <w:bidi w:val="0"/>
              <w:spacing w:line="240" w:lineRule="exact"/>
              <w:jc w:val="left"/>
              <w:rPr>
                <w:rFonts w:ascii="Arial Narrow" w:hAnsi="Arial Narrow"/>
                <w:sz w:val="22"/>
                <w:szCs w:val="22"/>
              </w:rPr>
            </w:pPr>
          </w:p>
          <w:p w:rsidR="00A571F1" w:rsidRPr="00A571F1" w:rsidP="00A571F1">
            <w:pPr>
              <w:shd w:val="clear" w:color="auto" w:fill="FFFFFF"/>
              <w:autoSpaceDE/>
              <w:autoSpaceDN/>
              <w:bidi w:val="0"/>
              <w:spacing w:line="231" w:lineRule="atLeast"/>
              <w:jc w:val="both"/>
              <w:rPr>
                <w:rFonts w:ascii="Arial Narrow" w:hAnsi="Arial Narrow" w:cs="Segoe UI"/>
                <w:sz w:val="22"/>
                <w:szCs w:val="22"/>
              </w:rPr>
            </w:pPr>
            <w:r w:rsidRPr="00A571F1">
              <w:rPr>
                <w:rFonts w:ascii="Arial Narrow" w:hAnsi="Arial Narrow" w:cs="Segoe UI"/>
                <w:sz w:val="22"/>
                <w:szCs w:val="22"/>
              </w:rPr>
              <w:t>(4) Ak daňovníkovi, ktorý je fyzickou osobou s neobmedzenou daňovou povinnosťou, fyzická osoba alebo právnická osoba vrátane stálej prevádzkarne, vyplatila, poukázala alebo pripísala úrokový príjem(</w:t>
            </w:r>
            <w:hyperlink r:id="rId6" w:anchor="paragraf-49a.odsek-7" w:tooltip="Odkaz na predpis alebo ustanovenie" w:history="1">
              <w:r w:rsidRPr="00A571F1">
                <w:rPr>
                  <w:rStyle w:val="Hyperlink"/>
                  <w:rFonts w:ascii="Arial Narrow" w:hAnsi="Arial Narrow" w:cs="Segoe UI"/>
                  <w:i/>
                  <w:iCs/>
                  <w:color w:val="auto"/>
                  <w:sz w:val="22"/>
                  <w:szCs w:val="22"/>
                </w:rPr>
                <w:t>§ 49a ods. 7</w:t>
              </w:r>
            </w:hyperlink>
            <w:r w:rsidRPr="00A571F1">
              <w:rPr>
                <w:rFonts w:ascii="Arial Narrow" w:hAnsi="Arial Narrow" w:cs="Segoe UI"/>
                <w:sz w:val="22"/>
                <w:szCs w:val="22"/>
              </w:rPr>
              <w:t>) v štátoch a závislých územiach podľa</w:t>
            </w:r>
            <w:r w:rsidRPr="00A571F1">
              <w:rPr>
                <w:rStyle w:val="apple-converted-space"/>
                <w:rFonts w:ascii="Arial Narrow" w:hAnsi="Arial Narrow" w:cs="Segoe UI"/>
                <w:sz w:val="22"/>
                <w:szCs w:val="22"/>
              </w:rPr>
              <w:t> </w:t>
            </w:r>
            <w:r w:rsidRPr="00A571F1">
              <w:rPr>
                <w:rStyle w:val="apple-converted-space"/>
                <w:rFonts w:ascii="Arial Narrow" w:hAnsi="Arial Narrow" w:cs="Segoe UI"/>
                <w:b/>
                <w:sz w:val="22"/>
                <w:szCs w:val="22"/>
              </w:rPr>
              <w:t>zoznamu uverejneného na webovom sídle Ministerstva financií Slovenskej republiky</w:t>
            </w:r>
            <w:r w:rsidRPr="00A571F1">
              <w:rPr>
                <w:rStyle w:val="apple-converted-space"/>
                <w:rFonts w:ascii="Arial Narrow" w:hAnsi="Arial Narrow" w:cs="Segoe UI"/>
                <w:sz w:val="22"/>
                <w:szCs w:val="22"/>
              </w:rPr>
              <w:t> </w:t>
            </w:r>
            <w:r w:rsidRPr="00A571F1">
              <w:rPr>
                <w:rFonts w:ascii="Arial Narrow" w:hAnsi="Arial Narrow" w:cs="Segoe UI"/>
                <w:sz w:val="22"/>
                <w:szCs w:val="22"/>
              </w:rPr>
              <w:t>a preukázateľne zrazila daň z tohto úrokového príjmu v súlade s právne záväzným aktom Európskej únie upravujúcim zdaňovanie príjmov fyzických osôb z úspor v podobe výplat úrokov, započíta sa táto daň na úhradu dane do výšky, v ktorej môže byť zrazená podľa tohto zákona. Ak takto zrazená daň fyzickou osobou alebo právnickou osobou vrátane stálej prevádzkarne z úrokového príjmu je vyššia ako celková daňová povinnosť daňovníka, rozdiel sa považuje za daňový preplatok.</w:t>
            </w:r>
            <w:hyperlink r:id="rId6" w:anchor="poznamky.poznamka-126" w:tooltip="Odkaz na predpis alebo ustanovenie" w:history="1">
              <w:r w:rsidRPr="00A571F1">
                <w:rPr>
                  <w:rStyle w:val="Hyperlink"/>
                  <w:rFonts w:ascii="Arial Narrow" w:hAnsi="Arial Narrow" w:cs="Segoe UI"/>
                  <w:i/>
                  <w:iCs/>
                  <w:color w:val="auto"/>
                  <w:sz w:val="22"/>
                  <w:szCs w:val="22"/>
                  <w:vertAlign w:val="superscript"/>
                </w:rPr>
                <w:t>126</w:t>
              </w:r>
              <w:r w:rsidRPr="00A571F1">
                <w:rPr>
                  <w:rStyle w:val="Hyperlink"/>
                  <w:rFonts w:ascii="Arial Narrow" w:hAnsi="Arial Narrow" w:cs="Segoe UI"/>
                  <w:i/>
                  <w:iCs/>
                  <w:color w:val="auto"/>
                  <w:sz w:val="22"/>
                  <w:szCs w:val="22"/>
                </w:rPr>
                <w:t>)</w:t>
              </w:r>
            </w:hyperlink>
            <w:r w:rsidRPr="00A571F1">
              <w:rPr>
                <w:rStyle w:val="apple-converted-space"/>
                <w:rFonts w:ascii="Arial Narrow" w:hAnsi="Arial Narrow" w:cs="Segoe UI"/>
                <w:sz w:val="22"/>
                <w:szCs w:val="22"/>
              </w:rPr>
              <w:t> </w:t>
            </w:r>
            <w:r w:rsidRPr="00A571F1">
              <w:rPr>
                <w:rFonts w:ascii="Arial Narrow" w:hAnsi="Arial Narrow" w:cs="Segoe UI"/>
                <w:sz w:val="22"/>
                <w:szCs w:val="22"/>
              </w:rPr>
              <w:t>Ak bola daňovníkovi súčasne zrazená z úrokového príjmu plynúceho zo zdrojov v zahraničí aj daň podľa zmluvy o zamedzení dvojitého zdanenia alebo daňovej legislatívy štátu, v ktorom je zdroj tohto príjmu, postupuje v tomto prípade pri zamedzení dvojitého zdanenia podľa odsekov 1 až 3.</w:t>
            </w: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P="00A17024">
            <w:pPr>
              <w:pStyle w:val="BodyText2"/>
              <w:bidi w:val="0"/>
              <w:spacing w:line="240" w:lineRule="exact"/>
              <w:jc w:val="left"/>
              <w:rPr>
                <w:rFonts w:ascii="Arial Narrow" w:hAnsi="Arial Narrow"/>
                <w:sz w:val="22"/>
                <w:szCs w:val="22"/>
              </w:rPr>
            </w:pPr>
          </w:p>
          <w:p w:rsidR="008F5AE2" w:rsidRPr="0057670A" w:rsidP="00A17024">
            <w:pPr>
              <w:pStyle w:val="BodyText2"/>
              <w:bidi w:val="0"/>
              <w:spacing w:line="240" w:lineRule="exact"/>
              <w:jc w:val="left"/>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jc w:val="center"/>
              <w:rPr>
                <w:rFonts w:ascii="Arial Narrow" w:hAnsi="Arial Narrow"/>
                <w:sz w:val="22"/>
                <w:szCs w:val="22"/>
              </w:rPr>
            </w:pPr>
            <w:r w:rsidRPr="0057670A" w:rsidR="00DB0A4C">
              <w:rPr>
                <w:rFonts w:ascii="Arial Narrow" w:hAnsi="Arial Narrow"/>
                <w:sz w:val="22"/>
                <w:szCs w:val="22"/>
              </w:rPr>
              <w:t>Ú</w:t>
            </w: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rsidRPr="0057670A">
            <w:pPr>
              <w:bidi w:val="0"/>
              <w:jc w:val="center"/>
              <w:rPr>
                <w:rFonts w:ascii="Arial Narrow" w:hAnsi="Arial Narrow"/>
                <w:sz w:val="22"/>
                <w:szCs w:val="22"/>
              </w:rPr>
            </w:pPr>
          </w:p>
          <w:p w:rsidR="00A95E8B">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505033">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pPr>
              <w:bidi w:val="0"/>
              <w:jc w:val="center"/>
              <w:rPr>
                <w:rFonts w:ascii="Arial Narrow" w:hAnsi="Arial Narrow"/>
                <w:sz w:val="22"/>
                <w:szCs w:val="22"/>
              </w:rPr>
            </w:pPr>
          </w:p>
          <w:p w:rsidR="00276170" w:rsidRPr="0057670A">
            <w:pPr>
              <w:bidi w:val="0"/>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rPr>
                <w:rFonts w:ascii="Arial Narrow" w:hAnsi="Arial Narrow"/>
                <w:b w:val="0"/>
                <w:bCs w:val="0"/>
                <w:sz w:val="22"/>
                <w:szCs w:val="22"/>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P="00E858FF">
            <w:pPr>
              <w:bidi w:val="0"/>
              <w:rPr>
                <w:rFonts w:ascii="Times New Roman" w:hAnsi="Times New Roman"/>
              </w:rPr>
            </w:pPr>
          </w:p>
          <w:p w:rsidR="00E858FF" w:rsidRPr="00DC2DD1" w:rsidP="00E858FF">
            <w:pPr>
              <w:pStyle w:val="BodyText2"/>
              <w:bidi w:val="0"/>
              <w:spacing w:line="240" w:lineRule="exact"/>
              <w:jc w:val="left"/>
              <w:rPr>
                <w:rFonts w:ascii="Arial Narrow" w:hAnsi="Arial Narrow"/>
                <w:i/>
                <w:sz w:val="22"/>
                <w:szCs w:val="22"/>
              </w:rPr>
            </w:pPr>
            <w:r w:rsidRPr="00DB5288">
              <w:rPr>
                <w:rFonts w:ascii="Arial Narrow" w:hAnsi="Arial Narrow"/>
                <w:i/>
                <w:sz w:val="22"/>
                <w:szCs w:val="22"/>
              </w:rPr>
              <w:t xml:space="preserve">V rámci novely zákona </w:t>
            </w:r>
            <w:r w:rsidRPr="00DB5288" w:rsidR="008E5D07">
              <w:rPr>
                <w:rFonts w:ascii="Arial Narrow" w:hAnsi="Arial Narrow"/>
                <w:i/>
                <w:sz w:val="22"/>
                <w:szCs w:val="22"/>
              </w:rPr>
              <w:t xml:space="preserve">č. </w:t>
            </w:r>
            <w:r w:rsidRPr="00DB5288">
              <w:rPr>
                <w:rFonts w:ascii="Arial Narrow" w:hAnsi="Arial Narrow"/>
                <w:i/>
                <w:sz w:val="22"/>
                <w:szCs w:val="22"/>
              </w:rPr>
              <w:t>442/2012 sa vypúšťa povinnosť pre príslušný orgán SR každoročne do 30.6. poskytovať informáciu príslušným orgánom členských štátov o vyplatenom, poukázanom a pripísanom úrokovom príjme. § 8 sa nahrádza novým paragrafom.</w:t>
            </w:r>
          </w:p>
          <w:p w:rsidR="00E858FF" w:rsidP="00E858FF">
            <w:pPr>
              <w:bidi w:val="0"/>
              <w:rPr>
                <w:rFonts w:ascii="Times New Roman" w:hAnsi="Times New Roman"/>
              </w:rPr>
            </w:pPr>
          </w:p>
          <w:p w:rsidR="00E858FF" w:rsidP="00E858FF">
            <w:pPr>
              <w:bidi w:val="0"/>
              <w:rPr>
                <w:rFonts w:ascii="Times New Roman" w:hAnsi="Times New Roman"/>
              </w:rPr>
            </w:pPr>
          </w:p>
          <w:p w:rsidR="00E858FF" w:rsidRPr="00E858FF" w:rsidP="00E858FF">
            <w:pPr>
              <w:bidi w:val="0"/>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7670A" w:rsidP="00A95E8B">
            <w:pPr>
              <w:bidi w:val="0"/>
              <w:jc w:val="center"/>
              <w:rPr>
                <w:rFonts w:ascii="Arial Narrow" w:hAnsi="Arial Narrow"/>
                <w:sz w:val="22"/>
                <w:szCs w:val="22"/>
              </w:rPr>
            </w:pPr>
            <w:r w:rsidRPr="0057670A" w:rsidR="002E1D16">
              <w:rPr>
                <w:rFonts w:ascii="Arial Narrow" w:hAnsi="Arial Narrow"/>
                <w:sz w:val="22"/>
                <w:szCs w:val="22"/>
              </w:rPr>
              <w:t xml:space="preserve">Čl. </w:t>
            </w:r>
            <w:r w:rsidRPr="0057670A" w:rsidR="00A95E8B">
              <w:rPr>
                <w:rFonts w:ascii="Arial Narrow" w:hAnsi="Arial Narrow"/>
                <w:sz w:val="22"/>
                <w:szCs w:val="22"/>
              </w:rPr>
              <w:t>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D15EEF" w:rsidP="00A95E8B">
            <w:pPr>
              <w:pStyle w:val="Normlny"/>
              <w:bidi w:val="0"/>
              <w:jc w:val="both"/>
              <w:rPr>
                <w:rFonts w:ascii="Arial Narrow" w:hAnsi="Arial Narrow"/>
                <w:sz w:val="22"/>
                <w:szCs w:val="22"/>
              </w:rPr>
            </w:pPr>
            <w:r w:rsidRPr="00D15EEF" w:rsidR="00802EE3">
              <w:rPr>
                <w:rFonts w:ascii="Arial Narrow" w:hAnsi="Arial Narrow"/>
                <w:color w:val="000000"/>
                <w:sz w:val="22"/>
                <w:szCs w:val="22"/>
              </w:rPr>
              <w:t>Táto smernica nadobúda účinnosť dvadsiatym dňom po jej uverejnení v </w:t>
            </w:r>
            <w:r w:rsidRPr="00D15EEF" w:rsidR="00802EE3">
              <w:rPr>
                <w:rStyle w:val="italic"/>
                <w:rFonts w:ascii="Arial Narrow" w:hAnsi="Arial Narrow"/>
                <w:iCs/>
                <w:color w:val="000000"/>
                <w:sz w:val="22"/>
                <w:szCs w:val="22"/>
              </w:rPr>
              <w:t>Úradnom vestníku Európskej únie</w:t>
            </w:r>
            <w:r w:rsidRPr="00D15EEF" w:rsidR="00802EE3">
              <w:rPr>
                <w:rFonts w:ascii="Arial Narrow" w:hAnsi="Arial Narrow"/>
                <w:color w:val="000000"/>
                <w:sz w:val="22"/>
                <w:szCs w:val="22"/>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7670A">
            <w:pPr>
              <w:bidi w:val="0"/>
              <w:jc w:val="center"/>
              <w:rPr>
                <w:rFonts w:ascii="Arial Narrow" w:hAnsi="Arial Narrow"/>
                <w:sz w:val="22"/>
                <w:szCs w:val="22"/>
              </w:rPr>
            </w:pPr>
            <w:r w:rsidR="00276170">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DB0A4C">
            <w:pPr>
              <w:bidi w:val="0"/>
              <w:jc w:val="center"/>
              <w:rPr>
                <w:rFonts w:ascii="Arial Narrow" w:hAnsi="Arial Narrow"/>
                <w:b/>
                <w:sz w:val="22"/>
                <w:szCs w:val="22"/>
              </w:rPr>
            </w:pPr>
            <w:r w:rsidR="00276170">
              <w:rPr>
                <w:rFonts w:ascii="Arial Narrow" w:hAnsi="Arial Narrow"/>
                <w:b/>
                <w:sz w:val="22"/>
                <w:szCs w:val="22"/>
              </w:rPr>
              <w:t>Návrh zákona čl.III</w:t>
            </w:r>
          </w:p>
          <w:p w:rsidR="00276170">
            <w:pPr>
              <w:bidi w:val="0"/>
              <w:jc w:val="center"/>
              <w:rPr>
                <w:rFonts w:ascii="Arial Narrow" w:hAnsi="Arial Narrow"/>
                <w:b/>
                <w:sz w:val="22"/>
                <w:szCs w:val="22"/>
              </w:rPr>
            </w:pPr>
          </w:p>
          <w:p w:rsidR="00276170">
            <w:pPr>
              <w:bidi w:val="0"/>
              <w:jc w:val="center"/>
              <w:rPr>
                <w:rFonts w:ascii="Arial Narrow" w:hAnsi="Arial Narrow"/>
                <w:b/>
                <w:sz w:val="22"/>
                <w:szCs w:val="22"/>
              </w:rPr>
            </w:pPr>
          </w:p>
          <w:p w:rsidR="00276170">
            <w:pPr>
              <w:bidi w:val="0"/>
              <w:jc w:val="center"/>
              <w:rPr>
                <w:rFonts w:ascii="Arial Narrow" w:hAnsi="Arial Narrow"/>
                <w:b/>
                <w:sz w:val="22"/>
                <w:szCs w:val="22"/>
              </w:rPr>
            </w:pPr>
          </w:p>
          <w:p w:rsidR="00276170">
            <w:pPr>
              <w:bidi w:val="0"/>
              <w:jc w:val="center"/>
              <w:rPr>
                <w:rFonts w:ascii="Arial Narrow" w:hAnsi="Arial Narrow"/>
                <w:b/>
                <w:sz w:val="22"/>
                <w:szCs w:val="22"/>
              </w:rPr>
            </w:pPr>
          </w:p>
          <w:p w:rsidR="00276170">
            <w:pPr>
              <w:bidi w:val="0"/>
              <w:jc w:val="center"/>
              <w:rPr>
                <w:rFonts w:ascii="Arial Narrow" w:hAnsi="Arial Narrow"/>
                <w:b/>
                <w:sz w:val="22"/>
                <w:szCs w:val="22"/>
              </w:rPr>
            </w:pPr>
          </w:p>
          <w:p w:rsidR="00276170">
            <w:pPr>
              <w:bidi w:val="0"/>
              <w:jc w:val="center"/>
              <w:rPr>
                <w:rFonts w:ascii="Arial Narrow" w:hAnsi="Arial Narrow"/>
                <w:b/>
                <w:sz w:val="22"/>
                <w:szCs w:val="22"/>
              </w:rPr>
            </w:pPr>
          </w:p>
          <w:p w:rsidR="00276170" w:rsidRPr="0057670A">
            <w:pPr>
              <w:bidi w:val="0"/>
              <w:jc w:val="center"/>
              <w:rPr>
                <w:rFonts w:ascii="Arial Narrow" w:hAnsi="Arial Narrow"/>
                <w:b/>
                <w:sz w:val="22"/>
                <w:szCs w:val="22"/>
              </w:rPr>
            </w:pPr>
            <w:r>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57670A" w:rsidP="004577EC">
            <w:pPr>
              <w:pStyle w:val="Normlny"/>
              <w:bidi w:val="0"/>
              <w:jc w:val="center"/>
              <w:rPr>
                <w:rFonts w:ascii="Arial Narrow" w:hAnsi="Arial Narrow"/>
                <w:sz w:val="22"/>
                <w:szCs w:val="22"/>
              </w:rPr>
            </w:pPr>
          </w:p>
          <w:p w:rsidR="00D84D43" w:rsidRPr="0057670A" w:rsidP="004577EC">
            <w:pPr>
              <w:pStyle w:val="Normlny"/>
              <w:bidi w:val="0"/>
              <w:jc w:val="center"/>
              <w:rPr>
                <w:rFonts w:ascii="Arial Narrow" w:hAnsi="Arial Narrow"/>
                <w:sz w:val="22"/>
                <w:szCs w:val="22"/>
              </w:rPr>
            </w:pPr>
          </w:p>
          <w:p w:rsidR="00D84D43" w:rsidRPr="0057670A" w:rsidP="004577EC">
            <w:pPr>
              <w:pStyle w:val="Normlny"/>
              <w:bidi w:val="0"/>
              <w:jc w:val="center"/>
              <w:rPr>
                <w:rFonts w:ascii="Arial Narrow" w:hAnsi="Arial Narrow"/>
                <w:sz w:val="22"/>
                <w:szCs w:val="22"/>
              </w:rPr>
            </w:pPr>
          </w:p>
          <w:p w:rsidR="00DB0A4C" w:rsidRPr="0057670A" w:rsidP="004577EC">
            <w:pPr>
              <w:pStyle w:val="Normlny"/>
              <w:bidi w:val="0"/>
              <w:jc w:val="center"/>
              <w:rPr>
                <w:rFonts w:ascii="Arial Narrow" w:hAnsi="Arial Narrow"/>
                <w:sz w:val="22"/>
                <w:szCs w:val="22"/>
              </w:rPr>
            </w:pPr>
          </w:p>
          <w:p w:rsidR="00DB0A4C" w:rsidP="00A95E8B">
            <w:pPr>
              <w:pStyle w:val="Normlny"/>
              <w:bidi w:val="0"/>
              <w:jc w:val="center"/>
              <w:rPr>
                <w:rFonts w:ascii="Arial Narrow" w:hAnsi="Arial Narrow"/>
                <w:sz w:val="22"/>
                <w:szCs w:val="22"/>
              </w:rPr>
            </w:pPr>
          </w:p>
          <w:p w:rsidR="00276170" w:rsidP="00A95E8B">
            <w:pPr>
              <w:pStyle w:val="Normlny"/>
              <w:bidi w:val="0"/>
              <w:jc w:val="center"/>
              <w:rPr>
                <w:rFonts w:ascii="Arial Narrow" w:hAnsi="Arial Narrow"/>
                <w:sz w:val="22"/>
                <w:szCs w:val="22"/>
              </w:rPr>
            </w:pPr>
          </w:p>
          <w:p w:rsidR="00276170" w:rsidP="00A95E8B">
            <w:pPr>
              <w:pStyle w:val="Normlny"/>
              <w:bidi w:val="0"/>
              <w:jc w:val="center"/>
              <w:rPr>
                <w:rFonts w:ascii="Arial Narrow" w:hAnsi="Arial Narrow"/>
                <w:sz w:val="22"/>
                <w:szCs w:val="22"/>
              </w:rPr>
            </w:pPr>
          </w:p>
          <w:p w:rsidR="00276170" w:rsidP="00A95E8B">
            <w:pPr>
              <w:pStyle w:val="Normlny"/>
              <w:bidi w:val="0"/>
              <w:jc w:val="center"/>
              <w:rPr>
                <w:rFonts w:ascii="Arial Narrow" w:hAnsi="Arial Narrow"/>
                <w:sz w:val="22"/>
                <w:szCs w:val="22"/>
              </w:rPr>
            </w:pPr>
          </w:p>
          <w:p w:rsidR="00276170" w:rsidP="00A95E8B">
            <w:pPr>
              <w:pStyle w:val="Normlny"/>
              <w:bidi w:val="0"/>
              <w:jc w:val="center"/>
              <w:rPr>
                <w:rFonts w:ascii="Arial Narrow" w:hAnsi="Arial Narrow"/>
                <w:sz w:val="22"/>
                <w:szCs w:val="22"/>
              </w:rPr>
            </w:pPr>
          </w:p>
          <w:p w:rsidR="00276170" w:rsidP="00A95E8B">
            <w:pPr>
              <w:pStyle w:val="Normlny"/>
              <w:bidi w:val="0"/>
              <w:jc w:val="center"/>
              <w:rPr>
                <w:rFonts w:ascii="Arial Narrow" w:hAnsi="Arial Narrow"/>
                <w:sz w:val="22"/>
                <w:szCs w:val="22"/>
              </w:rPr>
            </w:pPr>
            <w:r>
              <w:rPr>
                <w:rFonts w:ascii="Arial Narrow" w:hAnsi="Arial Narrow"/>
                <w:sz w:val="22"/>
                <w:szCs w:val="22"/>
              </w:rPr>
              <w:t xml:space="preserve">Príloha č. 2 </w:t>
            </w:r>
          </w:p>
          <w:p w:rsidR="00276170" w:rsidRPr="0057670A" w:rsidP="00A95E8B">
            <w:pPr>
              <w:pStyle w:val="Normlny"/>
              <w:bidi w:val="0"/>
              <w:jc w:val="center"/>
              <w:rPr>
                <w:rFonts w:ascii="Arial Narrow" w:hAnsi="Arial Narrow"/>
                <w:sz w:val="22"/>
                <w:szCs w:val="22"/>
              </w:rPr>
            </w:pPr>
            <w:r>
              <w:rPr>
                <w:rFonts w:ascii="Arial Narrow" w:hAnsi="Arial Narrow"/>
                <w:sz w:val="22"/>
                <w:szCs w:val="22"/>
              </w:rPr>
              <w:t>bod 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76170" w:rsidRPr="00276170" w:rsidP="00276170">
            <w:pPr>
              <w:bidi w:val="0"/>
              <w:jc w:val="both"/>
              <w:rPr>
                <w:rFonts w:ascii="Arial Narrow" w:hAnsi="Arial Narrow"/>
                <w:b/>
              </w:rPr>
            </w:pPr>
            <w:r w:rsidRPr="0057670A" w:rsidR="00DB0A4C">
              <w:rPr>
                <w:rFonts w:ascii="Arial Narrow" w:hAnsi="Arial Narrow"/>
                <w:b/>
                <w:sz w:val="22"/>
                <w:szCs w:val="22"/>
              </w:rPr>
              <w:t>Tento zákon nadobúda účinnosť 1. januára 201</w:t>
            </w:r>
            <w:r w:rsidR="00D15EEF">
              <w:rPr>
                <w:rFonts w:ascii="Arial Narrow" w:hAnsi="Arial Narrow"/>
                <w:b/>
                <w:sz w:val="22"/>
                <w:szCs w:val="22"/>
              </w:rPr>
              <w:t>7</w:t>
            </w:r>
            <w:r w:rsidRPr="000D27C6">
              <w:rPr>
                <w:rFonts w:ascii="Arial Narrow" w:hAnsi="Arial Narrow"/>
              </w:rPr>
              <w:t xml:space="preserve"> </w:t>
            </w:r>
            <w:r w:rsidRPr="00276170">
              <w:rPr>
                <w:rFonts w:ascii="Arial Narrow" w:hAnsi="Arial Narrow"/>
                <w:b/>
              </w:rPr>
              <w:t xml:space="preserve">okrem čl. I § 2 písm. ac) v bode 4, bodov 5 až 8, § 15 písm. a) a písm. b) druhého bodu v bode 9, bodu 10, bodov 23 až 27, bodu 31 a § 52zj v bode 32 a čl. II, ktoré nadobúdajú účinnosť 1. januára 2018. </w:t>
            </w:r>
          </w:p>
          <w:p w:rsidR="00DB0A4C" w:rsidRPr="0057670A" w:rsidP="00DB0A4C">
            <w:pPr>
              <w:bidi w:val="0"/>
              <w:jc w:val="both"/>
              <w:rPr>
                <w:rFonts w:ascii="Arial Narrow" w:hAnsi="Arial Narrow"/>
                <w:b/>
                <w:sz w:val="22"/>
                <w:szCs w:val="22"/>
              </w:rPr>
            </w:pPr>
            <w:r w:rsidRPr="0057670A">
              <w:rPr>
                <w:rFonts w:ascii="Arial Narrow" w:hAnsi="Arial Narrow"/>
                <w:b/>
                <w:sz w:val="22"/>
                <w:szCs w:val="22"/>
              </w:rPr>
              <w:t xml:space="preserve"> </w:t>
            </w:r>
          </w:p>
          <w:p w:rsidR="00DB0A4C" w:rsidRPr="0057670A" w:rsidP="004577EC">
            <w:pPr>
              <w:tabs>
                <w:tab w:val="left" w:pos="1425"/>
              </w:tabs>
              <w:bidi w:val="0"/>
              <w:rPr>
                <w:rFonts w:ascii="Arial Narrow" w:hAnsi="Arial Narrow"/>
                <w:sz w:val="22"/>
                <w:szCs w:val="22"/>
              </w:rPr>
            </w:pPr>
          </w:p>
          <w:p w:rsidR="00DB0A4C" w:rsidRPr="00276170" w:rsidP="004577EC">
            <w:pPr>
              <w:tabs>
                <w:tab w:val="left" w:pos="1425"/>
              </w:tabs>
              <w:bidi w:val="0"/>
              <w:rPr>
                <w:rFonts w:ascii="Arial Narrow" w:hAnsi="Arial Narrow"/>
                <w:sz w:val="22"/>
                <w:szCs w:val="22"/>
              </w:rPr>
            </w:pPr>
            <w:r w:rsidRPr="00276170">
              <w:rPr>
                <w:rFonts w:ascii="Arial Narrow" w:hAnsi="Arial Narrow"/>
                <w:sz w:val="22"/>
                <w:szCs w:val="22"/>
              </w:rPr>
              <w:t>Zoznam preberaných právne záväzných aktov Európskej únie</w:t>
            </w:r>
          </w:p>
          <w:p w:rsidR="00A9063F" w:rsidRPr="00276170" w:rsidP="00DB5288">
            <w:pPr>
              <w:tabs>
                <w:tab w:val="left" w:pos="1425"/>
              </w:tabs>
              <w:bidi w:val="0"/>
              <w:jc w:val="both"/>
              <w:rPr>
                <w:rFonts w:ascii="Arial Narrow" w:hAnsi="Arial Narrow"/>
                <w:sz w:val="22"/>
                <w:szCs w:val="22"/>
                <w:lang w:eastAsia="en-US"/>
              </w:rPr>
            </w:pPr>
            <w:r w:rsidRPr="00276170" w:rsidR="00276170">
              <w:rPr>
                <w:rStyle w:val="Strong"/>
                <w:rFonts w:ascii="Arial Narrow" w:hAnsi="Arial Narrow" w:cs="Lucida Sans Unicode"/>
                <w:bCs/>
                <w:sz w:val="22"/>
                <w:szCs w:val="22"/>
                <w:bdr w:val="nil"/>
                <w:shd w:val="clear" w:color="auto" w:fill="FFFFFF"/>
              </w:rPr>
              <w:t>8. Smernica Rady (EÚ) 2015/2060 z 10. novembra 2015, ktorou sa zrušuje smernica 2003/48/ES o zdaňovaní príjmu z úspor v podobe výplaty úrokov (</w:t>
            </w:r>
            <w:r w:rsidRPr="00276170" w:rsidR="00276170">
              <w:rPr>
                <w:rFonts w:ascii="Arial Narrow" w:hAnsi="Arial Narrow" w:cs="Lucida Sans Unicode"/>
                <w:b/>
                <w:iCs/>
                <w:sz w:val="22"/>
                <w:szCs w:val="22"/>
              </w:rPr>
              <w:t>Ú. v. EÚ L 301, 18.11.2015).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7670A">
            <w:pPr>
              <w:bidi w:val="0"/>
              <w:jc w:val="center"/>
              <w:rPr>
                <w:rFonts w:ascii="Arial Narrow" w:hAnsi="Arial Narrow"/>
                <w:sz w:val="22"/>
                <w:szCs w:val="22"/>
              </w:rPr>
            </w:pPr>
            <w:r w:rsidRPr="0057670A" w:rsidR="00A95E8B">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57670A">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5E8B" w:rsidRPr="0057670A" w:rsidP="00A95E8B">
            <w:pPr>
              <w:bidi w:val="0"/>
              <w:jc w:val="center"/>
              <w:rPr>
                <w:rFonts w:ascii="Arial Narrow" w:hAnsi="Arial Narrow"/>
                <w:sz w:val="22"/>
                <w:szCs w:val="22"/>
              </w:rPr>
            </w:pPr>
            <w:r w:rsidRPr="0057670A">
              <w:rPr>
                <w:rFonts w:ascii="Arial Narrow" w:hAnsi="Arial Narrow"/>
                <w:sz w:val="22"/>
                <w:szCs w:val="22"/>
              </w:rPr>
              <w:t>čl. 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5E8B" w:rsidRPr="00D15EEF" w:rsidP="00A95E8B">
            <w:pPr>
              <w:bidi w:val="0"/>
              <w:jc w:val="both"/>
              <w:rPr>
                <w:rFonts w:ascii="Arial Narrow" w:hAnsi="Arial Narrow"/>
                <w:sz w:val="22"/>
                <w:szCs w:val="22"/>
              </w:rPr>
            </w:pPr>
            <w:r w:rsidRPr="00D15EEF" w:rsidR="00802EE3">
              <w:rPr>
                <w:rFonts w:ascii="Arial Narrow" w:hAnsi="Arial Narrow"/>
                <w:color w:val="000000"/>
                <w:sz w:val="22"/>
                <w:szCs w:val="22"/>
              </w:rPr>
              <w:t>Táto smernica je určená členským štátom.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5E8B" w:rsidRPr="0057670A">
            <w:pPr>
              <w:bidi w:val="0"/>
              <w:jc w:val="center"/>
              <w:rPr>
                <w:rFonts w:ascii="Arial Narrow" w:hAnsi="Arial Narrow"/>
                <w:sz w:val="22"/>
                <w:szCs w:val="22"/>
              </w:rPr>
            </w:pPr>
            <w:r w:rsidRPr="0057670A">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5E8B" w:rsidRPr="0057670A">
            <w:pPr>
              <w:bidi w:val="0"/>
              <w:jc w:val="center"/>
              <w:rPr>
                <w:rFonts w:ascii="Arial Narrow" w:hAnsi="Arial Narrow"/>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5E8B" w:rsidRPr="0057670A" w:rsidP="004577EC">
            <w:pPr>
              <w:pStyle w:val="Normlny"/>
              <w:bidi w:val="0"/>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5E8B" w:rsidRPr="0057670A" w:rsidP="00DB0A4C">
            <w:pPr>
              <w:bidi w:val="0"/>
              <w:jc w:val="both"/>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5E8B" w:rsidRPr="0057670A">
            <w:pPr>
              <w:bidi w:val="0"/>
              <w:jc w:val="center"/>
              <w:rPr>
                <w:rFonts w:ascii="Arial Narrow" w:hAnsi="Arial Narrow"/>
                <w:sz w:val="22"/>
                <w:szCs w:val="22"/>
              </w:rPr>
            </w:pPr>
            <w:r w:rsidRPr="0057670A">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5E8B" w:rsidRPr="0057670A">
            <w:pPr>
              <w:pStyle w:val="Heading1"/>
              <w:bidi w:val="0"/>
              <w:rPr>
                <w:rFonts w:ascii="Arial Narrow" w:hAnsi="Arial Narrow"/>
                <w:b w:val="0"/>
                <w:bCs w:val="0"/>
                <w:sz w:val="22"/>
                <w:szCs w:val="22"/>
              </w:rPr>
            </w:pPr>
          </w:p>
        </w:tc>
      </w:tr>
    </w:tbl>
    <w:p w:rsidR="008C54C3" w:rsidRPr="0057670A">
      <w:pPr>
        <w:autoSpaceDE/>
        <w:autoSpaceDN/>
        <w:bidi w:val="0"/>
        <w:rPr>
          <w:rFonts w:ascii="Arial Narrow" w:hAnsi="Arial Narrow"/>
          <w:sz w:val="22"/>
          <w:szCs w:val="22"/>
        </w:rPr>
      </w:pPr>
    </w:p>
    <w:p w:rsidR="008C54C3" w:rsidRPr="0057670A">
      <w:pPr>
        <w:autoSpaceDE/>
        <w:autoSpaceDN/>
        <w:bidi w:val="0"/>
        <w:rPr>
          <w:rFonts w:ascii="Arial Narrow" w:hAnsi="Arial Narrow"/>
          <w:sz w:val="22"/>
          <w:szCs w:val="22"/>
        </w:rPr>
      </w:pPr>
      <w:r w:rsidRPr="0057670A">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57670A">
            <w:pPr>
              <w:pStyle w:val="Normlny"/>
              <w:autoSpaceDE/>
              <w:autoSpaceDN/>
              <w:bidi w:val="0"/>
              <w:spacing w:after="60"/>
              <w:rPr>
                <w:rFonts w:ascii="Arial Narrow" w:hAnsi="Arial Narrow"/>
                <w:sz w:val="22"/>
                <w:szCs w:val="22"/>
                <w:lang w:eastAsia="sk-SK"/>
              </w:rPr>
            </w:pPr>
            <w:r w:rsidRPr="0057670A">
              <w:rPr>
                <w:rFonts w:ascii="Arial Narrow" w:hAnsi="Arial Narrow"/>
                <w:sz w:val="22"/>
                <w:szCs w:val="22"/>
                <w:lang w:eastAsia="sk-SK"/>
              </w:rPr>
              <w:t>V stĺpci (1):</w:t>
            </w:r>
          </w:p>
          <w:p w:rsidR="008C54C3" w:rsidRPr="0057670A">
            <w:pPr>
              <w:autoSpaceDE/>
              <w:autoSpaceDN/>
              <w:bidi w:val="0"/>
              <w:rPr>
                <w:rFonts w:ascii="Arial Narrow" w:hAnsi="Arial Narrow"/>
                <w:sz w:val="22"/>
                <w:szCs w:val="22"/>
              </w:rPr>
            </w:pPr>
            <w:r w:rsidRPr="0057670A">
              <w:rPr>
                <w:rFonts w:ascii="Arial Narrow" w:hAnsi="Arial Narrow"/>
                <w:sz w:val="22"/>
                <w:szCs w:val="22"/>
              </w:rPr>
              <w:t>Č – článok</w:t>
            </w:r>
          </w:p>
          <w:p w:rsidR="008C54C3" w:rsidRPr="0057670A">
            <w:pPr>
              <w:autoSpaceDE/>
              <w:autoSpaceDN/>
              <w:bidi w:val="0"/>
              <w:rPr>
                <w:rFonts w:ascii="Arial Narrow" w:hAnsi="Arial Narrow"/>
                <w:sz w:val="22"/>
                <w:szCs w:val="22"/>
              </w:rPr>
            </w:pPr>
            <w:r w:rsidRPr="0057670A">
              <w:rPr>
                <w:rFonts w:ascii="Arial Narrow" w:hAnsi="Arial Narrow"/>
                <w:sz w:val="22"/>
                <w:szCs w:val="22"/>
              </w:rPr>
              <w:t>O – odsek</w:t>
            </w:r>
          </w:p>
          <w:p w:rsidR="008C54C3" w:rsidRPr="0057670A">
            <w:pPr>
              <w:autoSpaceDE/>
              <w:autoSpaceDN/>
              <w:bidi w:val="0"/>
              <w:rPr>
                <w:rFonts w:ascii="Arial Narrow" w:hAnsi="Arial Narrow"/>
                <w:sz w:val="22"/>
                <w:szCs w:val="22"/>
              </w:rPr>
            </w:pPr>
            <w:r w:rsidRPr="0057670A">
              <w:rPr>
                <w:rFonts w:ascii="Arial Narrow" w:hAnsi="Arial Narrow"/>
                <w:sz w:val="22"/>
                <w:szCs w:val="22"/>
              </w:rPr>
              <w:t>V – veta</w:t>
            </w:r>
          </w:p>
          <w:p w:rsidR="008C54C3" w:rsidRPr="0057670A">
            <w:pPr>
              <w:autoSpaceDE/>
              <w:autoSpaceDN/>
              <w:bidi w:val="0"/>
              <w:rPr>
                <w:rFonts w:ascii="Arial Narrow" w:hAnsi="Arial Narrow"/>
                <w:sz w:val="22"/>
                <w:szCs w:val="22"/>
              </w:rPr>
            </w:pPr>
            <w:r w:rsidRPr="0057670A">
              <w:rPr>
                <w:rFonts w:ascii="Arial Narrow" w:hAnsi="Arial Narrow"/>
                <w:sz w:val="22"/>
                <w:szCs w:val="22"/>
              </w:rPr>
              <w:t xml:space="preserve">P – </w:t>
            </w:r>
            <w:r w:rsidRPr="0057670A" w:rsidR="00DA0F6C">
              <w:rPr>
                <w:rFonts w:ascii="Arial Narrow" w:hAnsi="Arial Narrow"/>
                <w:sz w:val="22"/>
                <w:szCs w:val="22"/>
              </w:rPr>
              <w:t>číslo</w:t>
            </w:r>
            <w:r w:rsidRPr="0057670A">
              <w:rPr>
                <w:rFonts w:ascii="Arial Narrow" w:hAnsi="Arial Narrow"/>
                <w:sz w:val="22"/>
                <w:szCs w:val="22"/>
              </w:rPr>
              <w:t xml:space="preserve"> (</w:t>
            </w:r>
            <w:r w:rsidRPr="0057670A" w:rsidR="00DA0F6C">
              <w:rPr>
                <w:rFonts w:ascii="Arial Narrow" w:hAnsi="Arial Narrow"/>
                <w:sz w:val="22"/>
                <w:szCs w:val="22"/>
              </w:rPr>
              <w:t>písmeno</w:t>
            </w:r>
            <w:r w:rsidRPr="0057670A">
              <w:rPr>
                <w:rFonts w:ascii="Arial Narrow" w:hAnsi="Arial Narrow"/>
                <w:sz w:val="22"/>
                <w:szCs w:val="22"/>
              </w:rPr>
              <w:t>)</w:t>
            </w:r>
          </w:p>
          <w:p w:rsidR="008C54C3" w:rsidRPr="0057670A">
            <w:pPr>
              <w:autoSpaceDE/>
              <w:autoSpaceDN/>
              <w:bidi w:val="0"/>
              <w:rPr>
                <w:rFonts w:ascii="Arial Narrow" w:hAnsi="Arial Narrow"/>
                <w:sz w:val="22"/>
                <w:szCs w:val="22"/>
              </w:rPr>
            </w:pPr>
          </w:p>
        </w:tc>
        <w:tc>
          <w:tcPr>
            <w:tcW w:w="3780" w:type="dxa"/>
            <w:tcBorders>
              <w:top w:val="nil"/>
              <w:left w:val="nil"/>
              <w:bottom w:val="nil"/>
              <w:right w:val="nil"/>
            </w:tcBorders>
            <w:textDirection w:val="lrTb"/>
            <w:vAlign w:val="top"/>
          </w:tcPr>
          <w:p w:rsidR="008C54C3" w:rsidRPr="0057670A">
            <w:pPr>
              <w:pStyle w:val="Normlny"/>
              <w:autoSpaceDE/>
              <w:autoSpaceDN/>
              <w:bidi w:val="0"/>
              <w:spacing w:after="60"/>
              <w:rPr>
                <w:rFonts w:ascii="Arial Narrow" w:hAnsi="Arial Narrow"/>
                <w:sz w:val="22"/>
                <w:szCs w:val="22"/>
                <w:lang w:eastAsia="sk-SK"/>
              </w:rPr>
            </w:pPr>
            <w:r w:rsidRPr="0057670A">
              <w:rPr>
                <w:rFonts w:ascii="Arial Narrow" w:hAnsi="Arial Narrow"/>
                <w:sz w:val="22"/>
                <w:szCs w:val="22"/>
                <w:lang w:eastAsia="sk-SK"/>
              </w:rPr>
              <w:t>V stĺpci (3):</w:t>
            </w:r>
          </w:p>
          <w:p w:rsidR="008C54C3" w:rsidRPr="0057670A">
            <w:pPr>
              <w:autoSpaceDE/>
              <w:autoSpaceDN/>
              <w:bidi w:val="0"/>
              <w:rPr>
                <w:rFonts w:ascii="Arial Narrow" w:hAnsi="Arial Narrow"/>
                <w:sz w:val="22"/>
                <w:szCs w:val="22"/>
              </w:rPr>
            </w:pPr>
            <w:r w:rsidRPr="0057670A">
              <w:rPr>
                <w:rFonts w:ascii="Arial Narrow" w:hAnsi="Arial Narrow"/>
                <w:sz w:val="22"/>
                <w:szCs w:val="22"/>
              </w:rPr>
              <w:t>N – bežná transpozícia</w:t>
            </w:r>
          </w:p>
          <w:p w:rsidR="008C54C3" w:rsidRPr="0057670A">
            <w:pPr>
              <w:autoSpaceDE/>
              <w:autoSpaceDN/>
              <w:bidi w:val="0"/>
              <w:rPr>
                <w:rFonts w:ascii="Arial Narrow" w:hAnsi="Arial Narrow"/>
                <w:sz w:val="22"/>
                <w:szCs w:val="22"/>
              </w:rPr>
            </w:pPr>
            <w:r w:rsidRPr="0057670A">
              <w:rPr>
                <w:rFonts w:ascii="Arial Narrow" w:hAnsi="Arial Narrow"/>
                <w:sz w:val="22"/>
                <w:szCs w:val="22"/>
              </w:rPr>
              <w:t>O – transpozícia s možnosťou voľby</w:t>
            </w:r>
          </w:p>
          <w:p w:rsidR="008C54C3" w:rsidRPr="0057670A">
            <w:pPr>
              <w:autoSpaceDE/>
              <w:autoSpaceDN/>
              <w:bidi w:val="0"/>
              <w:rPr>
                <w:rFonts w:ascii="Arial Narrow" w:hAnsi="Arial Narrow"/>
                <w:sz w:val="22"/>
                <w:szCs w:val="22"/>
              </w:rPr>
            </w:pPr>
            <w:r w:rsidRPr="0057670A">
              <w:rPr>
                <w:rFonts w:ascii="Arial Narrow" w:hAnsi="Arial Narrow"/>
                <w:sz w:val="22"/>
                <w:szCs w:val="22"/>
              </w:rPr>
              <w:t>D – transpozícia podľa úvahy (dobrovoľná)</w:t>
            </w:r>
          </w:p>
          <w:p w:rsidR="008C54C3" w:rsidRPr="0057670A">
            <w:pPr>
              <w:autoSpaceDE/>
              <w:autoSpaceDN/>
              <w:bidi w:val="0"/>
              <w:rPr>
                <w:rFonts w:ascii="Arial Narrow" w:hAnsi="Arial Narrow"/>
                <w:sz w:val="22"/>
                <w:szCs w:val="22"/>
              </w:rPr>
            </w:pPr>
            <w:r w:rsidRPr="0057670A">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57670A">
            <w:pPr>
              <w:pStyle w:val="Normlny"/>
              <w:autoSpaceDE/>
              <w:autoSpaceDN/>
              <w:bidi w:val="0"/>
              <w:spacing w:after="60"/>
              <w:rPr>
                <w:rFonts w:ascii="Arial Narrow" w:hAnsi="Arial Narrow"/>
                <w:sz w:val="22"/>
                <w:szCs w:val="22"/>
                <w:lang w:eastAsia="sk-SK"/>
              </w:rPr>
            </w:pPr>
            <w:r w:rsidRPr="0057670A">
              <w:rPr>
                <w:rFonts w:ascii="Arial Narrow" w:hAnsi="Arial Narrow"/>
                <w:sz w:val="22"/>
                <w:szCs w:val="22"/>
                <w:lang w:eastAsia="sk-SK"/>
              </w:rPr>
              <w:t>V stĺpci (5):</w:t>
            </w:r>
          </w:p>
          <w:p w:rsidR="008C54C3" w:rsidRPr="0057670A">
            <w:pPr>
              <w:autoSpaceDE/>
              <w:autoSpaceDN/>
              <w:bidi w:val="0"/>
              <w:rPr>
                <w:rFonts w:ascii="Arial Narrow" w:hAnsi="Arial Narrow"/>
                <w:sz w:val="22"/>
                <w:szCs w:val="22"/>
              </w:rPr>
            </w:pPr>
            <w:r w:rsidRPr="0057670A">
              <w:rPr>
                <w:rFonts w:ascii="Arial Narrow" w:hAnsi="Arial Narrow"/>
                <w:sz w:val="22"/>
                <w:szCs w:val="22"/>
              </w:rPr>
              <w:t>Č – článok</w:t>
            </w:r>
          </w:p>
          <w:p w:rsidR="008C54C3" w:rsidRPr="0057670A">
            <w:pPr>
              <w:autoSpaceDE/>
              <w:autoSpaceDN/>
              <w:bidi w:val="0"/>
              <w:rPr>
                <w:rFonts w:ascii="Arial Narrow" w:hAnsi="Arial Narrow"/>
                <w:sz w:val="22"/>
                <w:szCs w:val="22"/>
              </w:rPr>
            </w:pPr>
            <w:r w:rsidRPr="0057670A">
              <w:rPr>
                <w:rFonts w:ascii="Arial Narrow" w:hAnsi="Arial Narrow"/>
                <w:sz w:val="22"/>
                <w:szCs w:val="22"/>
              </w:rPr>
              <w:t>§ – paragraf</w:t>
            </w:r>
          </w:p>
          <w:p w:rsidR="008C54C3" w:rsidRPr="0057670A">
            <w:pPr>
              <w:autoSpaceDE/>
              <w:autoSpaceDN/>
              <w:bidi w:val="0"/>
              <w:rPr>
                <w:rFonts w:ascii="Arial Narrow" w:hAnsi="Arial Narrow"/>
                <w:sz w:val="22"/>
                <w:szCs w:val="22"/>
              </w:rPr>
            </w:pPr>
            <w:r w:rsidRPr="0057670A">
              <w:rPr>
                <w:rFonts w:ascii="Arial Narrow" w:hAnsi="Arial Narrow"/>
                <w:sz w:val="22"/>
                <w:szCs w:val="22"/>
              </w:rPr>
              <w:t>O – odsek</w:t>
            </w:r>
          </w:p>
          <w:p w:rsidR="008C54C3" w:rsidRPr="0057670A">
            <w:pPr>
              <w:autoSpaceDE/>
              <w:autoSpaceDN/>
              <w:bidi w:val="0"/>
              <w:rPr>
                <w:rFonts w:ascii="Arial Narrow" w:hAnsi="Arial Narrow"/>
                <w:sz w:val="22"/>
                <w:szCs w:val="22"/>
              </w:rPr>
            </w:pPr>
            <w:r w:rsidRPr="0057670A">
              <w:rPr>
                <w:rFonts w:ascii="Arial Narrow" w:hAnsi="Arial Narrow"/>
                <w:sz w:val="22"/>
                <w:szCs w:val="22"/>
              </w:rPr>
              <w:t>V – veta</w:t>
            </w:r>
          </w:p>
          <w:p w:rsidR="008C54C3" w:rsidRPr="0057670A">
            <w:pPr>
              <w:autoSpaceDE/>
              <w:autoSpaceDN/>
              <w:bidi w:val="0"/>
              <w:rPr>
                <w:rFonts w:ascii="Arial Narrow" w:hAnsi="Arial Narrow"/>
                <w:sz w:val="22"/>
                <w:szCs w:val="22"/>
              </w:rPr>
            </w:pPr>
            <w:r w:rsidRPr="0057670A">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57670A">
            <w:pPr>
              <w:pStyle w:val="Normlny"/>
              <w:autoSpaceDE/>
              <w:autoSpaceDN/>
              <w:bidi w:val="0"/>
              <w:spacing w:after="60"/>
              <w:rPr>
                <w:rFonts w:ascii="Arial Narrow" w:hAnsi="Arial Narrow"/>
                <w:sz w:val="22"/>
                <w:szCs w:val="22"/>
                <w:lang w:eastAsia="sk-SK"/>
              </w:rPr>
            </w:pPr>
            <w:r w:rsidRPr="0057670A">
              <w:rPr>
                <w:rFonts w:ascii="Arial Narrow" w:hAnsi="Arial Narrow"/>
                <w:sz w:val="22"/>
                <w:szCs w:val="22"/>
                <w:lang w:eastAsia="sk-SK"/>
              </w:rPr>
              <w:t>V stĺpci (7):</w:t>
            </w:r>
          </w:p>
          <w:p w:rsidR="008C54C3" w:rsidRPr="0057670A" w:rsidP="008C54C3">
            <w:pPr>
              <w:autoSpaceDE/>
              <w:autoSpaceDN/>
              <w:bidi w:val="0"/>
              <w:ind w:left="290" w:hanging="290"/>
              <w:rPr>
                <w:rFonts w:ascii="Arial Narrow" w:hAnsi="Arial Narrow"/>
                <w:sz w:val="22"/>
                <w:szCs w:val="22"/>
              </w:rPr>
            </w:pPr>
            <w:r w:rsidRPr="0057670A">
              <w:rPr>
                <w:rFonts w:ascii="Arial Narrow" w:hAnsi="Arial Narrow"/>
                <w:sz w:val="22"/>
                <w:szCs w:val="22"/>
              </w:rPr>
              <w:t>Ú – úplná zhoda (ak bolo ustanovenie smernice prebraté v celom rozsahu, správne, v príslušnej form</w:t>
            </w:r>
            <w:r w:rsidRPr="0057670A" w:rsidR="00391DC5">
              <w:rPr>
                <w:rFonts w:ascii="Arial Narrow" w:hAnsi="Arial Narrow"/>
                <w:sz w:val="22"/>
                <w:szCs w:val="22"/>
              </w:rPr>
              <w:t>e</w:t>
            </w:r>
            <w:r w:rsidRPr="0057670A">
              <w:rPr>
                <w:rFonts w:ascii="Arial Narrow" w:hAnsi="Arial Narrow"/>
                <w:sz w:val="22"/>
                <w:szCs w:val="22"/>
              </w:rPr>
              <w:t>, so zabezpečenou inštitucionálnou</w:t>
            </w:r>
            <w:r w:rsidRPr="0057670A" w:rsidR="000C2E53">
              <w:rPr>
                <w:rFonts w:ascii="Arial Narrow" w:hAnsi="Arial Narrow"/>
                <w:sz w:val="22"/>
                <w:szCs w:val="22"/>
              </w:rPr>
              <w:t xml:space="preserve"> </w:t>
            </w:r>
            <w:r w:rsidRPr="0057670A">
              <w:rPr>
                <w:rFonts w:ascii="Arial Narrow" w:hAnsi="Arial Narrow"/>
                <w:sz w:val="22"/>
                <w:szCs w:val="22"/>
              </w:rPr>
              <w:t xml:space="preserve"> </w:t>
            </w:r>
            <w:r w:rsidRPr="0057670A" w:rsidR="000C2E53">
              <w:rPr>
                <w:rFonts w:ascii="Arial Narrow" w:hAnsi="Arial Narrow"/>
                <w:sz w:val="22"/>
                <w:szCs w:val="22"/>
              </w:rPr>
              <w:t>i</w:t>
            </w:r>
            <w:r w:rsidRPr="0057670A">
              <w:rPr>
                <w:rFonts w:ascii="Arial Narrow" w:hAnsi="Arial Narrow"/>
                <w:sz w:val="22"/>
                <w:szCs w:val="22"/>
              </w:rPr>
              <w:t>nfraštruktúrou, s príslušnými sankciami a vo vzájomnej súvislosti)</w:t>
            </w:r>
          </w:p>
          <w:p w:rsidR="008C54C3" w:rsidRPr="0057670A">
            <w:pPr>
              <w:autoSpaceDE/>
              <w:autoSpaceDN/>
              <w:bidi w:val="0"/>
              <w:rPr>
                <w:rFonts w:ascii="Arial Narrow" w:hAnsi="Arial Narrow"/>
                <w:sz w:val="22"/>
                <w:szCs w:val="22"/>
              </w:rPr>
            </w:pPr>
            <w:r w:rsidRPr="0057670A">
              <w:rPr>
                <w:rFonts w:ascii="Arial Narrow" w:hAnsi="Arial Narrow"/>
                <w:sz w:val="22"/>
                <w:szCs w:val="22"/>
              </w:rPr>
              <w:t>Č – čiastočná zhoda (ak minimálne jedna z podmienok úplnej zhody nie je splnená)</w:t>
            </w:r>
          </w:p>
          <w:p w:rsidR="008C54C3" w:rsidRPr="0057670A">
            <w:pPr>
              <w:pStyle w:val="BodyTextIndent2"/>
              <w:bidi w:val="0"/>
              <w:rPr>
                <w:rFonts w:ascii="Arial Narrow" w:hAnsi="Arial Narrow"/>
                <w:sz w:val="22"/>
                <w:szCs w:val="22"/>
              </w:rPr>
            </w:pPr>
            <w:r w:rsidRPr="0057670A">
              <w:rPr>
                <w:rFonts w:ascii="Arial Narrow" w:hAnsi="Arial Narrow"/>
                <w:sz w:val="22"/>
                <w:szCs w:val="22"/>
              </w:rPr>
              <w:t>Ž – žiadna zhoda (ak nebola dosiahnutá ani úplná ani čiast. zhoda alebo k prebratiu dôjde v budúcnosti)</w:t>
            </w:r>
          </w:p>
          <w:p w:rsidR="008C54C3" w:rsidRPr="0057670A">
            <w:pPr>
              <w:autoSpaceDE/>
              <w:autoSpaceDN/>
              <w:bidi w:val="0"/>
              <w:ind w:left="290" w:hanging="290"/>
              <w:rPr>
                <w:rFonts w:ascii="Arial Narrow" w:hAnsi="Arial Narrow"/>
                <w:sz w:val="22"/>
                <w:szCs w:val="22"/>
              </w:rPr>
            </w:pPr>
            <w:r w:rsidRPr="0057670A">
              <w:rPr>
                <w:rFonts w:ascii="Arial Narrow" w:hAnsi="Arial Narrow"/>
                <w:sz w:val="22"/>
                <w:szCs w:val="22"/>
              </w:rPr>
              <w:t>n.a. – neaplikovateľnosť (ak sa ustanovenie smernice netýka SR alebo nie je potrebné ho prebrať)</w:t>
            </w:r>
          </w:p>
        </w:tc>
      </w:tr>
    </w:tbl>
    <w:p w:rsidR="008C54C3" w:rsidRPr="0057670A">
      <w:pPr>
        <w:pStyle w:val="Header"/>
        <w:tabs>
          <w:tab w:val="clear" w:pos="4536"/>
          <w:tab w:val="clear" w:pos="9072"/>
        </w:tabs>
        <w:autoSpaceDE/>
        <w:autoSpaceDN/>
        <w:bidi w:val="0"/>
        <w:rPr>
          <w:rFonts w:ascii="Arial Narrow" w:hAnsi="Arial Narrow"/>
          <w:sz w:val="22"/>
          <w:szCs w:val="22"/>
        </w:rPr>
      </w:pPr>
    </w:p>
    <w:sectPr>
      <w:footerReference w:type="default" r:id="rId7"/>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Arial Narrow">
    <w:altName w:val="Century Gothic"/>
    <w:panose1 w:val="00000000000000000000"/>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Lucida Sans Unicode">
    <w:panose1 w:val="00000000000000000000"/>
    <w:charset w:val="EE"/>
    <w:family w:val="swiss"/>
    <w:pitch w:val="variable"/>
    <w:sig w:usb0="00000000" w:usb1="00000000" w:usb2="00000000" w:usb3="00000000" w:csb0="000000B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E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731AF">
      <w:rPr>
        <w:rFonts w:ascii="Times New Roman" w:hAnsi="Times New Roman"/>
        <w:noProof/>
      </w:rPr>
      <w:t>4</w:t>
    </w:r>
    <w:r>
      <w:rP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21654E33"/>
    <w:multiLevelType w:val="hybridMultilevel"/>
    <w:tmpl w:val="95AA01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8">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C6A5376"/>
    <w:multiLevelType w:val="hybridMultilevel"/>
    <w:tmpl w:val="DC461D9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4757978"/>
    <w:multiLevelType w:val="hybridMultilevel"/>
    <w:tmpl w:val="5E0200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3"/>
    <w:lvlOverride w:ilvl="0">
      <w:startOverride w:val="3"/>
    </w:lvlOverride>
  </w:num>
  <w:num w:numId="3">
    <w:abstractNumId w:val="7"/>
  </w:num>
  <w:num w:numId="4">
    <w:abstractNumId w:val="7"/>
    <w:lvlOverride w:ilvl="0">
      <w:startOverride w:val="2"/>
    </w:lvlOverride>
  </w:num>
  <w:num w:numId="5">
    <w:abstractNumId w:val="4"/>
  </w:num>
  <w:num w:numId="6">
    <w:abstractNumId w:val="4"/>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9"/>
  </w:num>
  <w:num w:numId="16">
    <w:abstractNumId w:val="10"/>
  </w:num>
  <w:num w:numId="17">
    <w:abstractNumId w:val="1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C1703"/>
    <w:rsid w:val="000C2E53"/>
    <w:rsid w:val="000D27C6"/>
    <w:rsid w:val="000E19C2"/>
    <w:rsid w:val="00127033"/>
    <w:rsid w:val="00153B33"/>
    <w:rsid w:val="001761D1"/>
    <w:rsid w:val="001A03DB"/>
    <w:rsid w:val="001E2EF8"/>
    <w:rsid w:val="0021136B"/>
    <w:rsid w:val="00217BF4"/>
    <w:rsid w:val="0024217D"/>
    <w:rsid w:val="00250B73"/>
    <w:rsid w:val="00257C53"/>
    <w:rsid w:val="0026333C"/>
    <w:rsid w:val="00270E65"/>
    <w:rsid w:val="00276170"/>
    <w:rsid w:val="0029618A"/>
    <w:rsid w:val="002D6E94"/>
    <w:rsid w:val="002E1D16"/>
    <w:rsid w:val="00331AF7"/>
    <w:rsid w:val="00336C29"/>
    <w:rsid w:val="00377C6D"/>
    <w:rsid w:val="00391DC5"/>
    <w:rsid w:val="00395945"/>
    <w:rsid w:val="003C0FC5"/>
    <w:rsid w:val="003D7A2E"/>
    <w:rsid w:val="003E7B78"/>
    <w:rsid w:val="00424270"/>
    <w:rsid w:val="00440A2A"/>
    <w:rsid w:val="004577EC"/>
    <w:rsid w:val="004D71B7"/>
    <w:rsid w:val="00505033"/>
    <w:rsid w:val="005170A9"/>
    <w:rsid w:val="00520955"/>
    <w:rsid w:val="00540301"/>
    <w:rsid w:val="005602B7"/>
    <w:rsid w:val="0057670A"/>
    <w:rsid w:val="005947B8"/>
    <w:rsid w:val="005E147F"/>
    <w:rsid w:val="0062067B"/>
    <w:rsid w:val="006405E0"/>
    <w:rsid w:val="0064397E"/>
    <w:rsid w:val="006731AF"/>
    <w:rsid w:val="00683A6B"/>
    <w:rsid w:val="006E689D"/>
    <w:rsid w:val="0078287E"/>
    <w:rsid w:val="007B3222"/>
    <w:rsid w:val="007B4231"/>
    <w:rsid w:val="007D58B7"/>
    <w:rsid w:val="007F0FE8"/>
    <w:rsid w:val="007F1436"/>
    <w:rsid w:val="00802EE3"/>
    <w:rsid w:val="00853264"/>
    <w:rsid w:val="008A5161"/>
    <w:rsid w:val="008B60BE"/>
    <w:rsid w:val="008C54C3"/>
    <w:rsid w:val="008E5D07"/>
    <w:rsid w:val="008F17C7"/>
    <w:rsid w:val="008F51B2"/>
    <w:rsid w:val="008F5AE2"/>
    <w:rsid w:val="0091636B"/>
    <w:rsid w:val="009612CE"/>
    <w:rsid w:val="009826E3"/>
    <w:rsid w:val="009A5B80"/>
    <w:rsid w:val="009E5497"/>
    <w:rsid w:val="00A17024"/>
    <w:rsid w:val="00A2554E"/>
    <w:rsid w:val="00A30A6C"/>
    <w:rsid w:val="00A571F1"/>
    <w:rsid w:val="00A80854"/>
    <w:rsid w:val="00A85039"/>
    <w:rsid w:val="00A9063F"/>
    <w:rsid w:val="00A91B17"/>
    <w:rsid w:val="00A95E8B"/>
    <w:rsid w:val="00AC42C0"/>
    <w:rsid w:val="00B234D2"/>
    <w:rsid w:val="00B40E16"/>
    <w:rsid w:val="00B64B09"/>
    <w:rsid w:val="00B73960"/>
    <w:rsid w:val="00C139A5"/>
    <w:rsid w:val="00C21CEF"/>
    <w:rsid w:val="00C34EF5"/>
    <w:rsid w:val="00CA479C"/>
    <w:rsid w:val="00CB2E5D"/>
    <w:rsid w:val="00D15EEF"/>
    <w:rsid w:val="00D22A7B"/>
    <w:rsid w:val="00D7251E"/>
    <w:rsid w:val="00D84D43"/>
    <w:rsid w:val="00DA0F6C"/>
    <w:rsid w:val="00DB0A4C"/>
    <w:rsid w:val="00DB512D"/>
    <w:rsid w:val="00DB5288"/>
    <w:rsid w:val="00DC2DD1"/>
    <w:rsid w:val="00DD1983"/>
    <w:rsid w:val="00DE0F85"/>
    <w:rsid w:val="00E77641"/>
    <w:rsid w:val="00E858FF"/>
    <w:rsid w:val="00EA4E1D"/>
    <w:rsid w:val="00EE7DD6"/>
    <w:rsid w:val="00EF08EE"/>
    <w:rsid w:val="00F047A8"/>
    <w:rsid w:val="00F4080C"/>
    <w:rsid w:val="00F41EF7"/>
    <w:rsid w:val="00FC64A2"/>
    <w:rsid w:val="00FD68A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aliases w:val="Odsek zoznamu2,body"/>
    <w:basedOn w:val="Normal"/>
    <w:link w:val="OdsekzoznamuChar"/>
    <w:uiPriority w:val="34"/>
    <w:qFormat/>
    <w:rsid w:val="00331AF7"/>
    <w:pPr>
      <w:autoSpaceDE/>
      <w:autoSpaceDN/>
      <w:spacing w:after="200" w:line="276" w:lineRule="auto"/>
      <w:ind w:left="720"/>
      <w:contextualSpacing/>
      <w:jc w:val="left"/>
    </w:pPr>
    <w:rPr>
      <w:rFonts w:ascii="Calibri" w:hAnsi="Calibri"/>
      <w:sz w:val="22"/>
      <w:szCs w:val="20"/>
      <w:lang w:eastAsia="en-US"/>
    </w:rPr>
  </w:style>
  <w:style w:type="character" w:customStyle="1" w:styleId="OdsekzoznamuChar">
    <w:name w:val="Odsek zoznamu Char"/>
    <w:aliases w:val="Odsek zoznamu2 Char,body Char"/>
    <w:link w:val="ListParagraph"/>
    <w:uiPriority w:val="34"/>
    <w:locked/>
    <w:rsid w:val="00331AF7"/>
    <w:rPr>
      <w:rFonts w:ascii="Calibri" w:hAnsi="Calibri" w:cs="Calibri"/>
      <w:sz w:val="20"/>
      <w:lang w:val="x-none" w:eastAsia="en-US"/>
    </w:rPr>
  </w:style>
  <w:style w:type="character" w:styleId="Hyperlink">
    <w:name w:val="Hyperlink"/>
    <w:basedOn w:val="DefaultParagraphFont"/>
    <w:uiPriority w:val="99"/>
    <w:unhideWhenUsed/>
    <w:rsid w:val="00DB0A4C"/>
    <w:rPr>
      <w:rFonts w:cs="Times New Roman"/>
      <w:color w:val="0000FF"/>
      <w:u w:val="single"/>
      <w:rtl w:val="0"/>
      <w:cs w:val="0"/>
    </w:rPr>
  </w:style>
  <w:style w:type="paragraph" w:styleId="BalloonText">
    <w:name w:val="Balloon Text"/>
    <w:basedOn w:val="Normal"/>
    <w:link w:val="TextbublinyChar"/>
    <w:uiPriority w:val="99"/>
    <w:rsid w:val="00A30A6C"/>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A30A6C"/>
    <w:rPr>
      <w:rFonts w:ascii="Segoe UI" w:hAnsi="Segoe UI" w:cs="Times New Roman"/>
      <w:sz w:val="18"/>
      <w:rtl w:val="0"/>
      <w:cs w:val="0"/>
    </w:rPr>
  </w:style>
  <w:style w:type="character" w:customStyle="1" w:styleId="super">
    <w:name w:val="super"/>
    <w:rsid w:val="00802EE3"/>
    <w:rPr>
      <w:sz w:val="17"/>
      <w:vertAlign w:val="superscript"/>
    </w:rPr>
  </w:style>
  <w:style w:type="character" w:customStyle="1" w:styleId="italic">
    <w:name w:val="italic"/>
    <w:rsid w:val="00802EE3"/>
    <w:rPr>
      <w:i/>
    </w:rPr>
  </w:style>
  <w:style w:type="character" w:customStyle="1" w:styleId="apple-converted-space">
    <w:name w:val="apple-converted-space"/>
    <w:rsid w:val="00B234D2"/>
  </w:style>
  <w:style w:type="character" w:styleId="Strong">
    <w:name w:val="Strong"/>
    <w:basedOn w:val="DefaultParagraphFont"/>
    <w:uiPriority w:val="22"/>
    <w:qFormat/>
    <w:rsid w:val="00276170"/>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legal-content/SK/TXT/HTML/?uri=CELEX:32015L2060&amp;qid=1464697075649&amp;from=SK" TargetMode="External" /><Relationship Id="rId5" Type="http://schemas.openxmlformats.org/officeDocument/2006/relationships/hyperlink" Target="https://www.slov-lex.sk/pravne-predpisy/SK/ZZ/2015/359/20160101" TargetMode="External" /><Relationship Id="rId6" Type="http://schemas.openxmlformats.org/officeDocument/2006/relationships/hyperlink" Target="https://www.slov-lex.sk/pravne-predpisy/SK/ZZ/2003/595/20160318"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1615</Words>
  <Characters>9207</Characters>
  <Application>Microsoft Office Word</Application>
  <DocSecurity>0</DocSecurity>
  <Lines>0</Lines>
  <Paragraphs>0</Paragraphs>
  <ScaleCrop>false</ScaleCrop>
  <Company>ÚV SR</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Vidova Michaela</cp:lastModifiedBy>
  <cp:revision>2</cp:revision>
  <cp:lastPrinted>2016-07-08T07:18:00Z</cp:lastPrinted>
  <dcterms:created xsi:type="dcterms:W3CDTF">2016-07-08T07:19:00Z</dcterms:created>
  <dcterms:modified xsi:type="dcterms:W3CDTF">2016-07-08T07:19:00Z</dcterms:modified>
</cp:coreProperties>
</file>