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7127" w:rsidRPr="007F0E59" w:rsidP="00597127">
      <w:pPr>
        <w:bidi w:val="0"/>
        <w:spacing w:before="100" w:beforeAutospacing="1" w:after="100" w:afterAutospacing="1"/>
        <w:rPr>
          <w:rFonts w:ascii="Times New Roman" w:hAnsi="Times New Roman"/>
          <w:b/>
        </w:rPr>
      </w:pPr>
      <w:r w:rsidRPr="007F0E59">
        <w:rPr>
          <w:rFonts w:ascii="Times New Roman" w:hAnsi="Times New Roman"/>
        </w:rPr>
        <w:t xml:space="preserve">                                                    </w:t>
      </w:r>
      <w:r w:rsidRPr="007F0E59">
        <w:rPr>
          <w:rFonts w:ascii="Times New Roman" w:hAnsi="Times New Roman"/>
          <w:b/>
        </w:rPr>
        <w:t>Dôvodová správa</w:t>
      </w:r>
    </w:p>
    <w:p w:rsidR="00597127" w:rsidP="00597127">
      <w:pPr>
        <w:numPr>
          <w:numId w:val="1"/>
        </w:numPr>
        <w:bidi w:val="0"/>
        <w:spacing w:before="100" w:beforeAutospacing="1" w:after="100" w:afterAutospacing="1"/>
        <w:jc w:val="both"/>
        <w:rPr>
          <w:rFonts w:ascii="Times New Roman" w:hAnsi="Times New Roman"/>
          <w:b/>
        </w:rPr>
      </w:pPr>
      <w:r w:rsidRPr="007F0E59">
        <w:rPr>
          <w:rFonts w:ascii="Times New Roman" w:hAnsi="Times New Roman"/>
          <w:b/>
        </w:rPr>
        <w:t>Všeobecná časť</w:t>
      </w:r>
    </w:p>
    <w:p w:rsidR="004806B9" w:rsidRPr="004806B9" w:rsidP="00597127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4806B9">
        <w:rPr>
          <w:rFonts w:ascii="Times New Roman" w:hAnsi="Times New Roman"/>
        </w:rPr>
        <w:t>Predložený návrh zákona, ktorým sa mení a dopĺňa zákon č. 523/2004 Z. z. o rozpočtových pravidlách verejnej správy a o zmene a doplnení niektorých zákonov v znení neskorších predpisov predkladá na rokovanie Národnej rady Slovenskej republiky skupina poslancov Národnej rady Slovenskej republiky.</w:t>
      </w:r>
    </w:p>
    <w:p w:rsidR="00597127" w:rsidP="00597127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4806B9">
        <w:rPr>
          <w:rFonts w:ascii="Times New Roman" w:hAnsi="Times New Roman"/>
        </w:rPr>
        <w:t xml:space="preserve">Na zabezpečenie </w:t>
      </w:r>
      <w:r w:rsidRPr="004806B9" w:rsidR="00C03488">
        <w:rPr>
          <w:rFonts w:ascii="Times New Roman" w:hAnsi="Times New Roman"/>
        </w:rPr>
        <w:t xml:space="preserve">udržateľného verejného dlhu slúžia </w:t>
      </w:r>
      <w:r w:rsidRPr="004806B9" w:rsidR="003E72FB">
        <w:rPr>
          <w:rFonts w:ascii="Times New Roman" w:hAnsi="Times New Roman"/>
        </w:rPr>
        <w:t xml:space="preserve">podľa platnej legislatívy najmä </w:t>
      </w:r>
      <w:r w:rsidRPr="004806B9" w:rsidR="00C03488">
        <w:rPr>
          <w:rFonts w:ascii="Times New Roman" w:hAnsi="Times New Roman"/>
        </w:rPr>
        <w:t>dva nástroje – ústavný zákon č. 493/2011 Z. z. o rozpočtovej zodpovednosti a limit výdavkov štátneho rozpočtu určený v § 1 a § 2 každoročne predkladaného zákona</w:t>
      </w:r>
      <w:r w:rsidR="00C03488">
        <w:rPr>
          <w:rFonts w:ascii="Times New Roman" w:hAnsi="Times New Roman"/>
        </w:rPr>
        <w:t xml:space="preserve"> o štátnom rozpočte.</w:t>
      </w:r>
    </w:p>
    <w:p w:rsidR="00C03488" w:rsidP="00597127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Kým zákon o rozpočtovej zodpovednosti stanovuje hranice verejného dlhu, ktorých prekročenie automaticky spúšťa uplatňovanie sankcií, a teda riadi celé verejné financie, opatrenia v zákone o štátnom rozpočte </w:t>
      </w:r>
      <w:r w:rsidR="0005433D">
        <w:rPr>
          <w:rFonts w:ascii="Times New Roman" w:hAnsi="Times New Roman"/>
        </w:rPr>
        <w:t>slúžia</w:t>
      </w:r>
      <w:r w:rsidR="004A3147">
        <w:rPr>
          <w:rFonts w:ascii="Times New Roman" w:hAnsi="Times New Roman"/>
        </w:rPr>
        <w:t xml:space="preserve"> len pre štátny rozpočet a len v rámci daného rozpočtového roka, bez previazania na predchádzajúce roky.</w:t>
      </w:r>
    </w:p>
    <w:p w:rsidR="00C03488" w:rsidP="00597127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Súčasná legislatívna úprava limitov výdavkov štátneho rozpočtu je z hľadiska svojho cieľa – vytvoriť záväzný rámec pre výdavky na verejné služby a zabezpečiť udržateľnosť verejných financií – nepostačujúca z </w:t>
      </w:r>
      <w:r w:rsidR="004A3147">
        <w:rPr>
          <w:rFonts w:ascii="Times New Roman" w:hAnsi="Times New Roman"/>
        </w:rPr>
        <w:t>troch</w:t>
      </w:r>
      <w:r>
        <w:rPr>
          <w:rFonts w:ascii="Times New Roman" w:hAnsi="Times New Roman"/>
        </w:rPr>
        <w:t xml:space="preserve"> dôvodov, a to možnosti obchádzania stanovených limitov</w:t>
      </w:r>
      <w:r w:rsidR="004A3147">
        <w:rPr>
          <w:rFonts w:ascii="Times New Roman" w:hAnsi="Times New Roman"/>
        </w:rPr>
        <w:t>, chýbajúceho previazania stanovených limitov medzi rokmi</w:t>
      </w:r>
      <w:r>
        <w:rPr>
          <w:rFonts w:ascii="Times New Roman" w:hAnsi="Times New Roman"/>
        </w:rPr>
        <w:t xml:space="preserve"> a nedostatočných sankcií.</w:t>
      </w:r>
    </w:p>
    <w:p w:rsidR="00C03488" w:rsidP="00597127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Zákon o štátnom rozpočte v § 2 stanovuje limit pre výdavky na úrovni 101 </w:t>
      </w:r>
      <w:r>
        <w:rPr>
          <w:rFonts w:ascii="Times New Roman" w:hAnsi="Times New Roman"/>
          <w:lang w:val="en-US"/>
        </w:rPr>
        <w:t xml:space="preserve">% </w:t>
      </w:r>
      <w:r w:rsidR="00CD3D41">
        <w:rPr>
          <w:rFonts w:ascii="Times New Roman" w:hAnsi="Times New Roman"/>
        </w:rPr>
        <w:t xml:space="preserve">rozpočtovaných výdavkov, pričom 100 </w:t>
      </w:r>
      <w:r w:rsidR="00CD3D41">
        <w:rPr>
          <w:rFonts w:ascii="Times New Roman" w:hAnsi="Times New Roman"/>
          <w:lang w:val="en-US"/>
        </w:rPr>
        <w:t xml:space="preserve">% </w:t>
      </w:r>
      <w:r w:rsidR="00CD3D41">
        <w:rPr>
          <w:rFonts w:ascii="Times New Roman" w:hAnsi="Times New Roman"/>
        </w:rPr>
        <w:t xml:space="preserve">výdavkov je možné prekročiť iba v prípade dodatočných príjmov štátneho rozpočtu, teda bez navýšenia nominálneho schodku </w:t>
      </w:r>
      <w:r w:rsidR="003416DE">
        <w:rPr>
          <w:rFonts w:ascii="Times New Roman" w:hAnsi="Times New Roman"/>
        </w:rPr>
        <w:t xml:space="preserve"> alebo zníženia nominálneho prebytku </w:t>
      </w:r>
      <w:r w:rsidR="00CD3D41">
        <w:rPr>
          <w:rFonts w:ascii="Times New Roman" w:hAnsi="Times New Roman"/>
        </w:rPr>
        <w:t>definovaného v § 1 zákona. Príjmy štátneho rozpočtu pozostávajú z daňových a nedaňových príjmov a transferov a grantov, výdavky pozostávajú z výdavkov na jednotlivé rozpočtové kapitoly a v prílohe 3 zákona o štátnom rozpočte sa ďalej delia na prostriedky z rozpočtov EÚ, výdavky na spolufinancovanie projektov hradených z týchto prostriedkov a ostatné výdavky.</w:t>
      </w:r>
    </w:p>
    <w:p w:rsidR="00C13086" w:rsidP="00597127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="00BC4C6C">
        <w:rPr>
          <w:rFonts w:ascii="Times New Roman" w:hAnsi="Times New Roman"/>
        </w:rPr>
        <w:t xml:space="preserve">Kapitola všeobecná pokladničná správa a prostriedky z rozpočtov </w:t>
      </w:r>
      <w:r w:rsidR="00290F0F">
        <w:rPr>
          <w:rFonts w:ascii="Times New Roman" w:hAnsi="Times New Roman"/>
        </w:rPr>
        <w:t>EÚ vrátane spolufinancovania však u</w:t>
      </w:r>
      <w:r w:rsidR="00BC4C6C">
        <w:rPr>
          <w:rFonts w:ascii="Times New Roman" w:hAnsi="Times New Roman"/>
        </w:rPr>
        <w:t xml:space="preserve">možňujú prekročiť výdavky ostatných kapitol aj nad úroveň 101 </w:t>
      </w:r>
      <w:r w:rsidR="00BC4C6C">
        <w:rPr>
          <w:rFonts w:ascii="Times New Roman" w:hAnsi="Times New Roman"/>
          <w:lang w:val="en-US"/>
        </w:rPr>
        <w:t xml:space="preserve">%, </w:t>
      </w:r>
      <w:r w:rsidR="00BC4C6C">
        <w:rPr>
          <w:rFonts w:ascii="Times New Roman" w:hAnsi="Times New Roman"/>
        </w:rPr>
        <w:t xml:space="preserve">čím strácajú celkové výdavky, celkové príjmy a schodok štátneho rozpočtu, definované v </w:t>
      </w:r>
      <w:r w:rsidR="00BC4C6C">
        <w:rPr>
          <w:rFonts w:ascii="Times New Roman" w:hAnsi="Times New Roman"/>
          <w:lang w:val="en-US"/>
        </w:rPr>
        <w:t xml:space="preserve">§ 1 </w:t>
      </w:r>
      <w:r w:rsidR="00BC4C6C">
        <w:rPr>
          <w:rFonts w:ascii="Times New Roman" w:hAnsi="Times New Roman"/>
        </w:rPr>
        <w:t xml:space="preserve">zákona o štátnom rozpočte, svoju záväznosť. </w:t>
      </w:r>
    </w:p>
    <w:p w:rsidR="00C13086" w:rsidP="00C13086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="00BC4C6C">
        <w:rPr>
          <w:rFonts w:ascii="Times New Roman" w:hAnsi="Times New Roman"/>
        </w:rPr>
        <w:t>Kapitola všeobecná pokladničná správa totiž obsahuje také toky financií, označené ako výdavky, ktoré nie sú záväzné a neslúžia na úhradu verejných služieb. Ide napríklad o rezervy pre prípad neočakávaných udalostí alebo transfery subjektom verejnej správy mimo štátneho rozpočtu, ktoré sa však typicky neuskutočňujú alebo uskutočňujú vo výrazne menšom objeme</w:t>
      </w:r>
      <w:r>
        <w:rPr>
          <w:rFonts w:ascii="Times New Roman" w:hAnsi="Times New Roman"/>
        </w:rPr>
        <w:t>. Nevyužitie týchto rezerv na svoj účel preto každoročne umožňuje výrazne navýšiť výdavky všetkých ostatných kapitol bez navýšenia celkových výdavkov štátneho rozpočtu, a teda poru</w:t>
      </w:r>
      <w:r w:rsidR="00DE0DFD">
        <w:rPr>
          <w:rFonts w:ascii="Times New Roman" w:hAnsi="Times New Roman"/>
        </w:rPr>
        <w:t>š</w:t>
      </w:r>
      <w:r>
        <w:rPr>
          <w:rFonts w:ascii="Times New Roman" w:hAnsi="Times New Roman"/>
        </w:rPr>
        <w:t xml:space="preserve">enia limitu. Navyše, všeobecná pokladničná správa obsahuje aj ďalšie také toky, ktoré nesúvisia </w:t>
      </w:r>
      <w:r w:rsidR="008D0AD6">
        <w:rPr>
          <w:rFonts w:ascii="Times New Roman" w:hAnsi="Times New Roman"/>
        </w:rPr>
        <w:t xml:space="preserve">priamo </w:t>
      </w:r>
      <w:r>
        <w:rPr>
          <w:rFonts w:ascii="Times New Roman" w:hAnsi="Times New Roman"/>
        </w:rPr>
        <w:t>s </w:t>
      </w:r>
      <w:r w:rsidR="00783952">
        <w:rPr>
          <w:rFonts w:ascii="Times New Roman" w:hAnsi="Times New Roman"/>
        </w:rPr>
        <w:t>výkonom</w:t>
      </w:r>
      <w:r>
        <w:rPr>
          <w:rFonts w:ascii="Times New Roman" w:hAnsi="Times New Roman"/>
        </w:rPr>
        <w:t xml:space="preserve"> verejných služieb a nie je možné priamo riadiť ich objem, napríklad obsluha štátneho dlhu. Takisto nižšie čerpanie prostriedkov z rozpočtov EÚ dáva priestor na nárast ostatných výdavkov, a naopak, celkový limit na výdavky obmedzuje možnosť lepšieho čerpania týchto prostriedkov, než určuje rozpočet.</w:t>
      </w:r>
    </w:p>
    <w:p w:rsidR="004A61AF" w:rsidP="00C13086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preto zavádza nové záväzné a nezáväzné ukazovatele pre tie kapitoly príjmov a výdavkov štátneho rozpočtu, ktoré priamo súvisia so zabezpečovaním verejných služieb a nie je možné nesymetricky presunúť časť príjmov alebo výdavkov mimo štátny rozpočet.</w:t>
      </w:r>
      <w:r w:rsidR="00D41904">
        <w:rPr>
          <w:rFonts w:ascii="Times New Roman" w:hAnsi="Times New Roman"/>
        </w:rPr>
        <w:t xml:space="preserve"> Tieto ukazovatele sú navrhované</w:t>
      </w:r>
      <w:r w:rsidR="008B146C">
        <w:rPr>
          <w:rFonts w:ascii="Times New Roman" w:hAnsi="Times New Roman"/>
        </w:rPr>
        <w:t xml:space="preserve"> tak</w:t>
      </w:r>
      <w:r w:rsidR="00D41904">
        <w:rPr>
          <w:rFonts w:ascii="Times New Roman" w:hAnsi="Times New Roman"/>
        </w:rPr>
        <w:t xml:space="preserve"> v rámci daného rozpočtového roku, ako aj </w:t>
      </w:r>
      <w:r w:rsidR="008B146C">
        <w:rPr>
          <w:rFonts w:ascii="Times New Roman" w:hAnsi="Times New Roman"/>
        </w:rPr>
        <w:t>na základe ich hodnôt za predchádzajúce roky, aby bol zabezpečený aj limit medziročného rastu výdavkov.</w:t>
      </w:r>
    </w:p>
    <w:p w:rsidR="00C13086" w:rsidP="009A29C2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Porušenie pravidiel rozpočtového procesu verejnej správy určených v § 15 - § 18 zákona č. 523</w:t>
      </w:r>
      <w:r w:rsidRPr="004E2E07">
        <w:rPr>
          <w:rFonts w:ascii="Times New Roman" w:hAnsi="Times New Roman"/>
        </w:rPr>
        <w:t>/200</w:t>
      </w:r>
      <w:r>
        <w:rPr>
          <w:rFonts w:ascii="Times New Roman" w:hAnsi="Times New Roman"/>
        </w:rPr>
        <w:t>4</w:t>
      </w:r>
      <w:r w:rsidRPr="004E2E07">
        <w:rPr>
          <w:rFonts w:ascii="Times New Roman" w:hAnsi="Times New Roman"/>
        </w:rPr>
        <w:t xml:space="preserve"> Z. z. </w:t>
      </w:r>
      <w:r w:rsidRPr="007F0E59">
        <w:rPr>
          <w:rFonts w:ascii="Times New Roman" w:hAnsi="Times New Roman"/>
        </w:rPr>
        <w:t xml:space="preserve">o </w:t>
      </w:r>
      <w:r w:rsidRPr="003B7ED9">
        <w:rPr>
          <w:rFonts w:ascii="Times New Roman" w:hAnsi="Times New Roman"/>
        </w:rPr>
        <w:t>rozpočtových pravidlách verejnej správy</w:t>
      </w:r>
      <w:r w:rsidRPr="007F0E59">
        <w:rPr>
          <w:rFonts w:ascii="Times New Roman" w:hAnsi="Times New Roman"/>
        </w:rPr>
        <w:t xml:space="preserve"> a o zmene a doplnení niektorých zákonov</w:t>
      </w:r>
      <w:r>
        <w:rPr>
          <w:rFonts w:ascii="Times New Roman" w:hAnsi="Times New Roman"/>
        </w:rPr>
        <w:t xml:space="preserve"> sa podľa § 31 ods. 6 zákona sankcionuje pokutou od 200 do 3 300 eur </w:t>
      </w:r>
      <w:r w:rsidRPr="00C13086">
        <w:rPr>
          <w:rFonts w:ascii="Times New Roman" w:hAnsi="Times New Roman"/>
        </w:rPr>
        <w:t>v závislosti od závažnosti porušenia finančnej disciplíny a dĺ</w:t>
      </w:r>
      <w:r>
        <w:rPr>
          <w:rFonts w:ascii="Times New Roman" w:hAnsi="Times New Roman"/>
        </w:rPr>
        <w:t>žky trvania protiprávneho stavu, čo je pre zabezpečenie záväznosti príjmov, výdavkov a schodku štátneho rozpočtu</w:t>
      </w:r>
      <w:r w:rsidR="009A29C2">
        <w:rPr>
          <w:rFonts w:ascii="Times New Roman" w:hAnsi="Times New Roman"/>
        </w:rPr>
        <w:t xml:space="preserve"> nepostačujúce.</w:t>
      </w:r>
    </w:p>
    <w:p w:rsidR="009A29C2" w:rsidRPr="00BC4C6C" w:rsidP="009A29C2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</w:t>
      </w:r>
      <w:r w:rsidR="004A61AF">
        <w:rPr>
          <w:rFonts w:ascii="Times New Roman" w:hAnsi="Times New Roman"/>
        </w:rPr>
        <w:t xml:space="preserve">preto </w:t>
      </w:r>
      <w:r>
        <w:rPr>
          <w:rFonts w:ascii="Times New Roman" w:hAnsi="Times New Roman"/>
        </w:rPr>
        <w:t xml:space="preserve">zavádza </w:t>
      </w:r>
      <w:r w:rsidR="000B3CE8">
        <w:rPr>
          <w:rFonts w:ascii="Times New Roman" w:hAnsi="Times New Roman"/>
        </w:rPr>
        <w:t xml:space="preserve">také </w:t>
      </w:r>
      <w:r>
        <w:rPr>
          <w:rFonts w:ascii="Times New Roman" w:hAnsi="Times New Roman"/>
        </w:rPr>
        <w:t>sankcie za nedodržanie nezáväzných ukazovateľov, ktoré motivujú zlepšovanie hospodárenia štátneho rozpočtu a zároveň zvyšujú transparentnosť pri riešení jeho nepriaznivého stavu.</w:t>
      </w:r>
    </w:p>
    <w:p w:rsidR="00597127" w:rsidRPr="007F0E59" w:rsidP="00597127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7F0E59">
        <w:rPr>
          <w:rFonts w:ascii="Times New Roman" w:hAnsi="Times New Roman"/>
        </w:rPr>
        <w:t xml:space="preserve">Návrh zákona je v súlade s Ústavou Slovenskej republiky, zákonmi a ostatnými všeobecne záväznými právnymi predpismi, ako aj s medzinárodnými zmluvami, ktorými je Slovenská republika viazaná. </w:t>
      </w:r>
    </w:p>
    <w:p w:rsidR="00597127" w:rsidRPr="007F0E59" w:rsidP="00597127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7F0E59">
        <w:rPr>
          <w:rFonts w:ascii="Times New Roman" w:hAnsi="Times New Roman"/>
        </w:rPr>
        <w:t>Predložený návrh zákona</w:t>
      </w:r>
      <w:r>
        <w:rPr>
          <w:rFonts w:ascii="Times New Roman" w:hAnsi="Times New Roman"/>
        </w:rPr>
        <w:t xml:space="preserve"> bude mať pozitívny vplyv </w:t>
      </w:r>
      <w:r w:rsidRPr="007F0E59">
        <w:rPr>
          <w:rFonts w:ascii="Times New Roman" w:hAnsi="Times New Roman"/>
        </w:rPr>
        <w:t>na verejné financie a nemá negatívny vplyv na životné prostredie, na zamestnanosť, podnikateľské prostredie a informatizáciu spoločnosti.</w:t>
      </w:r>
    </w:p>
    <w:p w:rsidR="00597127">
      <w:pPr>
        <w:bidi w:val="0"/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597127" w:rsidRPr="007F0E59" w:rsidP="00597127">
      <w:pPr>
        <w:bidi w:val="0"/>
        <w:spacing w:before="100" w:beforeAutospacing="1" w:after="100" w:afterAutospacing="1"/>
        <w:rPr>
          <w:rFonts w:ascii="Times New Roman" w:hAnsi="Times New Roman"/>
          <w:b/>
        </w:rPr>
      </w:pPr>
      <w:r w:rsidRPr="007F0E59">
        <w:rPr>
          <w:rFonts w:ascii="Times New Roman" w:hAnsi="Times New Roman"/>
          <w:b/>
        </w:rPr>
        <w:t xml:space="preserve">B. Osobitná časť </w:t>
      </w:r>
    </w:p>
    <w:p w:rsidR="00597127" w:rsidRPr="004E2E07" w:rsidP="00597127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b/>
        </w:rPr>
      </w:pPr>
      <w:r w:rsidRPr="004E2E07">
        <w:rPr>
          <w:rFonts w:ascii="Times New Roman" w:hAnsi="Times New Roman"/>
          <w:b/>
        </w:rPr>
        <w:t>K čl. I</w:t>
      </w:r>
    </w:p>
    <w:p w:rsidR="00597127" w:rsidRPr="004E2E07" w:rsidP="00597127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Novelou zákona č. 523</w:t>
      </w:r>
      <w:r w:rsidRPr="004E2E07">
        <w:rPr>
          <w:rFonts w:ascii="Times New Roman" w:hAnsi="Times New Roman"/>
        </w:rPr>
        <w:t>/200</w:t>
      </w:r>
      <w:r>
        <w:rPr>
          <w:rFonts w:ascii="Times New Roman" w:hAnsi="Times New Roman"/>
        </w:rPr>
        <w:t>4</w:t>
      </w:r>
      <w:r w:rsidRPr="004E2E07">
        <w:rPr>
          <w:rFonts w:ascii="Times New Roman" w:hAnsi="Times New Roman"/>
        </w:rPr>
        <w:t xml:space="preserve"> Z. z. </w:t>
      </w:r>
      <w:r w:rsidRPr="007F0E59">
        <w:rPr>
          <w:rFonts w:ascii="Times New Roman" w:hAnsi="Times New Roman"/>
        </w:rPr>
        <w:t xml:space="preserve">o </w:t>
      </w:r>
      <w:r w:rsidRPr="003B7ED9">
        <w:rPr>
          <w:rFonts w:ascii="Times New Roman" w:hAnsi="Times New Roman"/>
        </w:rPr>
        <w:t>rozpočtových pravidlách verejnej správy</w:t>
      </w:r>
      <w:r w:rsidRPr="007F0E59">
        <w:rPr>
          <w:rFonts w:ascii="Times New Roman" w:hAnsi="Times New Roman"/>
        </w:rPr>
        <w:t xml:space="preserve"> a o zmene a doplnení niektorých zákonov</w:t>
      </w:r>
      <w:r>
        <w:rPr>
          <w:rFonts w:ascii="Times New Roman" w:hAnsi="Times New Roman"/>
        </w:rPr>
        <w:t xml:space="preserve"> sa navrhujú nové ukazovatele hospodárenia štátneho rozpočtu vrátane mechanizmu ich výpočtu a kontroly dodržiavania. </w:t>
      </w:r>
    </w:p>
    <w:p w:rsidR="00597127" w:rsidRPr="00E67C0E" w:rsidP="00597127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b/>
        </w:rPr>
      </w:pPr>
      <w:r w:rsidRPr="004E2E07">
        <w:rPr>
          <w:rFonts w:ascii="Times New Roman" w:hAnsi="Times New Roman"/>
          <w:b/>
        </w:rPr>
        <w:t>K čl. II</w:t>
      </w:r>
      <w:r w:rsidRPr="00E67C0E">
        <w:rPr>
          <w:rFonts w:ascii="Times New Roman" w:hAnsi="Times New Roman"/>
          <w:b/>
        </w:rPr>
        <w:t xml:space="preserve"> </w:t>
      </w:r>
    </w:p>
    <w:p w:rsidR="00597127" w:rsidRPr="007F0E59" w:rsidP="00597127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7F0E59">
        <w:rPr>
          <w:rFonts w:ascii="Times New Roman" w:hAnsi="Times New Roman"/>
        </w:rPr>
        <w:t>Ustanovuje sa účinnosť návrhu zákona tak, aby termínovo napĺňala všetky lehoty procesu prerokúvania a schvaľovania zákonov Národnou radou Slovenskej republiky ako aj lehoty dané prezidentovi Slovenskej republiky na podpis schváleného zákona.</w:t>
      </w:r>
    </w:p>
    <w:p w:rsidR="00597127" w:rsidRPr="007F0E59" w:rsidP="00597127">
      <w:pPr>
        <w:bidi w:val="0"/>
        <w:spacing w:before="100" w:beforeAutospacing="1" w:after="100" w:afterAutospacing="1"/>
        <w:rPr>
          <w:rFonts w:ascii="Times New Roman" w:hAnsi="Times New Roman"/>
        </w:rPr>
      </w:pPr>
    </w:p>
    <w:p w:rsidR="00597127" w:rsidRPr="007F0E59" w:rsidP="00597127">
      <w:pPr>
        <w:bidi w:val="0"/>
        <w:spacing w:before="100" w:beforeAutospacing="1" w:after="100" w:afterAutospacing="1"/>
        <w:rPr>
          <w:rFonts w:ascii="Times New Roman" w:hAnsi="Times New Roman"/>
        </w:rPr>
      </w:pPr>
    </w:p>
    <w:p w:rsidR="00597127" w:rsidRPr="00914B6E" w:rsidP="00597127">
      <w:pPr>
        <w:bidi w:val="0"/>
        <w:rPr>
          <w:rFonts w:ascii="Times New Roman" w:hAnsi="Times New Roman"/>
        </w:rPr>
      </w:pPr>
    </w:p>
    <w:p w:rsidR="005C26FD">
      <w:pPr>
        <w:bidi w:val="0"/>
        <w:rPr>
          <w:rFonts w:ascii="Times New Roman" w:hAnsi="Times New Roman"/>
        </w:rPr>
      </w:pPr>
    </w:p>
    <w:sectPr w:rsidSect="00914B6E">
      <w:footerReference w:type="default" r:id="rId4"/>
      <w:pgSz w:w="11907" w:h="16840"/>
      <w:pgMar w:top="1418" w:right="1418" w:bottom="1418" w:left="1418" w:header="709" w:footer="709" w:gutter="0"/>
      <w:lnNumType w:distance="0"/>
      <w:cols w:space="708"/>
      <w:bidi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B6E">
    <w:pPr>
      <w:pStyle w:val="Footer"/>
      <w:bidi w:val="0"/>
      <w:jc w:val="right"/>
    </w:pPr>
  </w:p>
  <w:p w:rsidR="00914B6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97127"/>
    <w:rsid w:val="0005433D"/>
    <w:rsid w:val="000B3CE8"/>
    <w:rsid w:val="001D0A9C"/>
    <w:rsid w:val="00290F0F"/>
    <w:rsid w:val="003416DE"/>
    <w:rsid w:val="00397DD7"/>
    <w:rsid w:val="003B7ED9"/>
    <w:rsid w:val="003E72FB"/>
    <w:rsid w:val="00477228"/>
    <w:rsid w:val="004806B9"/>
    <w:rsid w:val="004A3147"/>
    <w:rsid w:val="004A61AF"/>
    <w:rsid w:val="004E2E07"/>
    <w:rsid w:val="00597127"/>
    <w:rsid w:val="005A41DF"/>
    <w:rsid w:val="005C26FD"/>
    <w:rsid w:val="00783952"/>
    <w:rsid w:val="007C78BB"/>
    <w:rsid w:val="007F0E59"/>
    <w:rsid w:val="00867AFD"/>
    <w:rsid w:val="00872E00"/>
    <w:rsid w:val="008B146C"/>
    <w:rsid w:val="008D0AD6"/>
    <w:rsid w:val="009148E9"/>
    <w:rsid w:val="00914B6E"/>
    <w:rsid w:val="009A29C2"/>
    <w:rsid w:val="00BB13ED"/>
    <w:rsid w:val="00BC4C6C"/>
    <w:rsid w:val="00C03488"/>
    <w:rsid w:val="00C13086"/>
    <w:rsid w:val="00CA2364"/>
    <w:rsid w:val="00CD3D41"/>
    <w:rsid w:val="00D41904"/>
    <w:rsid w:val="00D72929"/>
    <w:rsid w:val="00DC701A"/>
    <w:rsid w:val="00DE0DFD"/>
    <w:rsid w:val="00E67C0E"/>
    <w:rsid w:val="00FB0140"/>
    <w:rsid w:val="00FD48D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12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597127"/>
    <w:pPr>
      <w:tabs>
        <w:tab w:val="center" w:pos="4536"/>
        <w:tab w:val="right" w:pos="9072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sid w:val="00597127"/>
    <w:rPr>
      <w:rFonts w:ascii="Calibri" w:eastAsia="Calibri" w:hAnsi="Calibri" w:cs="Times New Roman"/>
      <w:rtl w:val="0"/>
      <w:cs w:val="0"/>
      <w:lang w:val="x-none" w:eastAsia="x-none"/>
    </w:rPr>
  </w:style>
  <w:style w:type="paragraph" w:styleId="BodyText">
    <w:name w:val="Body Text"/>
    <w:basedOn w:val="Normal"/>
    <w:link w:val="ZkladntextChar"/>
    <w:uiPriority w:val="99"/>
    <w:unhideWhenUsed/>
    <w:rsid w:val="00597127"/>
    <w:pPr>
      <w:widowControl w:val="0"/>
      <w:autoSpaceDE w:val="0"/>
      <w:autoSpaceDN w:val="0"/>
      <w:adjustRightInd w:val="0"/>
      <w:jc w:val="left"/>
    </w:pPr>
    <w:rPr>
      <w:sz w:val="28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97127"/>
    <w:rPr>
      <w:rFonts w:ascii="Times New Roman" w:hAnsi="Times New Roman" w:cs="Times New Roman"/>
      <w:sz w:val="24"/>
      <w:szCs w:val="24"/>
      <w:rtl w:val="0"/>
      <w:cs w:val="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774</Words>
  <Characters>4417</Characters>
  <Application>Microsoft Office Word</Application>
  <DocSecurity>0</DocSecurity>
  <Lines>0</Lines>
  <Paragraphs>0</Paragraphs>
  <ScaleCrop>false</ScaleCrop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Klátik</dc:creator>
  <cp:lastModifiedBy>uzivatel</cp:lastModifiedBy>
  <cp:revision>2</cp:revision>
  <dcterms:created xsi:type="dcterms:W3CDTF">2016-09-23T11:20:00Z</dcterms:created>
  <dcterms:modified xsi:type="dcterms:W3CDTF">2016-09-23T11:20:00Z</dcterms:modified>
</cp:coreProperties>
</file>