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62336" w:rsidRPr="00F62336" w:rsidP="001026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62336" w:rsidRPr="00F62336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62336" w:rsidRPr="00F62336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F62336" w:rsidRPr="00F62336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F623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MPSVR SR, OP LZ </w:t>
            </w:r>
            <w:r w:rsidR="00BF222E">
              <w:rPr>
                <w:rFonts w:ascii="Times New Roman" w:hAnsi="Times New Roman"/>
                <w:sz w:val="24"/>
                <w:szCs w:val="24"/>
                <w:lang w:eastAsia="sk-SK"/>
              </w:rPr>
              <w:t>(06G1S01)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BF222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1026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2 955 882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62336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2 250 000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705 882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705 882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705 882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705 882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8008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MPR</w:t>
            </w:r>
            <w:r w:rsidR="0080082B">
              <w:rPr>
                <w:rFonts w:ascii="Times New Roman" w:hAnsi="Times New Roman"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SR, IROP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DA2033"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1026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7 096 865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10264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="000A185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5 682 335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5 682 335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5 682 335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5 682 335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1 414 530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1 414 530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1 414 530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DA2033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DA2033" w:rsidR="00DA203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1 414 530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lrTb"/>
            <w:vAlign w:val="center"/>
          </w:tcPr>
          <w:p w:rsidR="0010264C" w:rsidRPr="007D5748" w:rsidP="0067171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4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A2033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A2033" w:rsidRPr="00F62336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A2033" w:rsidRPr="00F62336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A2033" w:rsidRPr="00F62336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A2033" w:rsidRPr="00F62336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10 052 747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F6233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MPSVR SR, OP ĽZ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2 955 882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80082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         MPR</w:t>
            </w:r>
            <w:r w:rsidR="0080082B">
              <w:rPr>
                <w:rFonts w:ascii="Times New Roman" w:hAnsi="Times New Roman"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SR, IROP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A2033" w:rsidRPr="007D5748" w:rsidP="00DA2033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7 096 865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10264C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bookmarkEnd w:id="0"/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P="009B1B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="00213D80">
        <w:rPr>
          <w:rFonts w:ascii="Times New Roman" w:hAnsi="Times New Roman"/>
          <w:bCs/>
          <w:sz w:val="24"/>
          <w:szCs w:val="24"/>
          <w:lang w:eastAsia="sk-SK"/>
        </w:rPr>
        <w:t>Finan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čné  prostriedky na podporu vytvorenia priestorových podmienok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ako aj podporu plnenia kvalifikačných predpokladov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 u 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zamestnancov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 poskytovateľa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>sociáln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ych 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 xml:space="preserve"> služ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ie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 xml:space="preserve">b na </w:t>
      </w:r>
      <w:r w:rsidR="00480D6B">
        <w:rPr>
          <w:rFonts w:ascii="Times New Roman" w:hAnsi="Times New Roman"/>
          <w:bCs/>
          <w:sz w:val="24"/>
          <w:szCs w:val="24"/>
          <w:lang w:eastAsia="sk-SK"/>
        </w:rPr>
        <w:t xml:space="preserve">podporu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zosúlaďovania rodinného života a pracovného života 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>sú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 xml:space="preserve"> zabezpečené tak 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z finančných prostriedkov M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>inisterstva pôdohospodárstva a rozvoja vidieka SR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 xml:space="preserve">v rámci 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>Integrovan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 xml:space="preserve">ého 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>regionáln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eho op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>eračn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ého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 xml:space="preserve"> program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u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>, ako aj Ministerstva práce, sociálnych vecí a rodiny Slovenskej republiky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 xml:space="preserve">v rámci 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>Operačn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ého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 xml:space="preserve"> program</w:t>
      </w:r>
      <w:r w:rsidR="000A1850">
        <w:rPr>
          <w:rFonts w:ascii="Times New Roman" w:hAnsi="Times New Roman"/>
          <w:bCs/>
          <w:sz w:val="24"/>
          <w:szCs w:val="24"/>
          <w:lang w:eastAsia="sk-SK"/>
        </w:rPr>
        <w:t>u</w:t>
      </w:r>
      <w:r w:rsidR="00F26540">
        <w:rPr>
          <w:rFonts w:ascii="Times New Roman" w:hAnsi="Times New Roman"/>
          <w:bCs/>
          <w:sz w:val="24"/>
          <w:szCs w:val="24"/>
          <w:lang w:eastAsia="sk-SK"/>
        </w:rPr>
        <w:t xml:space="preserve"> Ľudské zdroje</w:t>
      </w:r>
      <w:r w:rsidR="00213D80">
        <w:rPr>
          <w:rFonts w:ascii="Times New Roman" w:hAnsi="Times New Roman"/>
          <w:bCs/>
          <w:sz w:val="24"/>
          <w:szCs w:val="24"/>
          <w:lang w:eastAsia="sk-SK"/>
        </w:rPr>
        <w:t xml:space="preserve">. Rozpočtové prostriedky alokované za účelom rozvoja služieb starostlivosti o deti do troch rokov sú v rámci programového obdobia 2014-2020 vo výške 40 210 988 Eur, z toho v rámci Ministerstva pôdohospodárstva a rozvoja vidieka SR v objeme 28 387 459 Eur a v objeme 11 823 529 Eur v rámci Ministerstva práce, sociálnych vecí a rodiny Slovenskej republiky. </w:t>
      </w:r>
    </w:p>
    <w:p w:rsidR="00437C31" w:rsidP="009B1B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9B1B4B" w:rsidP="009B1B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Zriaďovateľská pôsobnosť k zariadeni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>am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starostlivosti o deti do 3 rokov veku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 dieťaťa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bude fakultatívna, a to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v pôsobnosti obce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 aj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VÚC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. Poskytovateľmi služby na podporu zosúlaďovania rodinného života a pracovného života v zariadení starostlivosti o deti do troch rokov veku dieťaťa budú aj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neverejn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>í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poskytovate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lia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sociálnej služby, </w:t>
      </w:r>
      <w:r w:rsidR="00504CDA">
        <w:rPr>
          <w:rFonts w:ascii="Times New Roman" w:hAnsi="Times New Roman"/>
          <w:bCs/>
          <w:sz w:val="24"/>
          <w:szCs w:val="24"/>
          <w:lang w:eastAsia="sk-SK"/>
        </w:rPr>
        <w:t xml:space="preserve"> a to s rôznou právnou formou- s cieľom dosiahnuť zisk (poskytovanie tejto sociálnej služby bude podnikaním podľa osobitných predpisov- napr. Živnostenský zákon, Obchodný zákonník) aj na neziskovej báze (napr. nezisková organizácia). Financovanie tejto sociálnej služby bude realizované v súlade s § 71 ods. 1 a 2 zákona o sociálnych službách. 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 xml:space="preserve">Na krytie prevádzkových nákladov poskytovateľov tejto sociálnej služby bude použitý najmä príjem z úhrad za poskytovanú sociálnu službu od prijímateľov tejto sociálnej služby. Na tento účel poskytuje štát rodičom- platiteľom úhrady za sociálnu službu-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príspevok na starostlivosť o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dieťa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 xml:space="preserve">, a to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vo výške 280 Eur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>/ mesiac, ktorý  má byť použitý práve na úhradu nákladov spojených so starostlivosťou o dieťa u formalizovaného poskytovateľa tejto starostlivosti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. Spolufinancovanie </w:t>
      </w:r>
      <w:r w:rsidRPr="00173930" w:rsidR="00173930">
        <w:rPr>
          <w:rFonts w:ascii="Times New Roman" w:hAnsi="Times New Roman"/>
          <w:bCs/>
          <w:sz w:val="24"/>
          <w:szCs w:val="24"/>
          <w:lang w:eastAsia="sk-SK"/>
        </w:rPr>
        <w:t xml:space="preserve">služby na podporu zosúlaďovania rodinného života a pracovného života v zariadení starostlivosti o deti do troch rokov veku dieťaťa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 xml:space="preserve"> verejného rozpočtu môže byť vo vzťahu k neverejným poskytovateľom tejto sociálnej služby realizované aj poskytovaním finančného príspevku na prevádzku poskytovanej sociálnej služby podľa § 77 zákona o sociálnych službách, a to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 ob</w:t>
      </w:r>
      <w:r w:rsidR="00173930">
        <w:rPr>
          <w:rFonts w:ascii="Times New Roman" w:hAnsi="Times New Roman"/>
          <w:bCs/>
          <w:sz w:val="24"/>
          <w:szCs w:val="24"/>
          <w:lang w:eastAsia="sk-SK"/>
        </w:rPr>
        <w:t xml:space="preserve">cou alebo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> VÚC</w:t>
      </w:r>
      <w:r w:rsidR="00D612A9">
        <w:rPr>
          <w:rFonts w:ascii="Times New Roman" w:hAnsi="Times New Roman"/>
          <w:bCs/>
          <w:sz w:val="24"/>
          <w:szCs w:val="24"/>
          <w:lang w:eastAsia="sk-SK"/>
        </w:rPr>
        <w:t>, avšak len fakultatívne (nie obligatórne)</w:t>
      </w:r>
      <w:r w:rsidR="00333F8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612A9">
        <w:rPr>
          <w:rFonts w:ascii="Times New Roman" w:hAnsi="Times New Roman"/>
          <w:bCs/>
          <w:sz w:val="24"/>
          <w:szCs w:val="24"/>
          <w:lang w:eastAsia="sk-SK"/>
        </w:rPr>
        <w:t>- § 80 písm. g) a m) a § 81 písm. g) a m) zákona o sociálnych službách v spojení s bodom 31 (doplnok § 75 ods. 7)</w:t>
      </w:r>
      <w:r w:rsidR="001455E8">
        <w:rPr>
          <w:rFonts w:ascii="Times New Roman" w:hAnsi="Times New Roman"/>
          <w:bCs/>
          <w:sz w:val="24"/>
          <w:szCs w:val="24"/>
          <w:lang w:eastAsia="sk-SK"/>
        </w:rPr>
        <w:t xml:space="preserve"> vládneho </w:t>
      </w:r>
      <w:r w:rsidR="00D612A9">
        <w:rPr>
          <w:rFonts w:ascii="Times New Roman" w:hAnsi="Times New Roman"/>
          <w:bCs/>
          <w:sz w:val="24"/>
          <w:szCs w:val="24"/>
          <w:lang w:eastAsia="sk-SK"/>
        </w:rPr>
        <w:t xml:space="preserve"> návrhu.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S ohľadom na uvedené, teda fakultatívnosť podpory z verejných zdrojov, ale aj 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príjmy z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úhrad 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za poskytovanú sociálnu službu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od prijímateľov sociálnej služby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s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 ich 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 xml:space="preserve">existujúcou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podporou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 zo strany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 xml:space="preserve"> štátu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 (príspevok na starostlivosť o dieťa),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, nie je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 xml:space="preserve"> pri 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 krytí 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>prevádzkových nákladoch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predpokladaný 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 xml:space="preserve">kvantifikovateľný vplyv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>na rozpočt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>obcí</w:t>
      </w:r>
      <w:r w:rsidR="009F5CD8">
        <w:rPr>
          <w:rFonts w:ascii="Times New Roman" w:hAnsi="Times New Roman"/>
          <w:bCs/>
          <w:sz w:val="24"/>
          <w:szCs w:val="24"/>
          <w:lang w:eastAsia="sk-SK"/>
        </w:rPr>
        <w:t>, resp.</w:t>
      </w:r>
      <w:r w:rsidR="00C6379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 xml:space="preserve">vyšších územných celkov. Zároveň je potrebné konštatovať, že viaceré obce prevádzkujú zo svojich rozpočtov zariadenia s podobným zameraním, ako upravuje </w:t>
      </w:r>
      <w:r w:rsidR="001455E8">
        <w:rPr>
          <w:rFonts w:ascii="Times New Roman" w:hAnsi="Times New Roman"/>
          <w:bCs/>
          <w:sz w:val="24"/>
          <w:szCs w:val="24"/>
          <w:lang w:eastAsia="sk-SK"/>
        </w:rPr>
        <w:t xml:space="preserve">vládny 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>návrh z</w:t>
      </w:r>
      <w:r w:rsidR="00480D6B">
        <w:rPr>
          <w:rFonts w:ascii="Times New Roman" w:hAnsi="Times New Roman"/>
          <w:bCs/>
          <w:sz w:val="24"/>
          <w:szCs w:val="24"/>
          <w:lang w:eastAsia="sk-SK"/>
        </w:rPr>
        <w:t>á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>kona</w:t>
      </w:r>
      <w:r w:rsidR="00480D6B">
        <w:rPr>
          <w:rFonts w:ascii="Times New Roman" w:hAnsi="Times New Roman"/>
          <w:bCs/>
          <w:sz w:val="24"/>
          <w:szCs w:val="24"/>
          <w:lang w:eastAsia="sk-SK"/>
        </w:rPr>
        <w:t>, spolu s finančným zabezpečením ich prevádzky aj v súčasnosti, a ich poskytovaním v právnom režime navrhovanej právnej úpravy nepôjde o dodatočné rozpočtové dôsledky.</w:t>
      </w:r>
      <w:r w:rsidR="005030C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B92EC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7A0186" w:rsidR="00437C3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437C31" w:rsidRPr="007A0186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A333D" w:rsidRPr="003E251D" w:rsidP="00E97705">
      <w:pPr>
        <w:autoSpaceDE w:val="0"/>
        <w:autoSpaceDN w:val="0"/>
        <w:bidi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7705">
        <w:rPr>
          <w:rFonts w:ascii="Times New Roman" w:hAnsi="Times New Roman"/>
          <w:sz w:val="24"/>
          <w:szCs w:val="24"/>
        </w:rPr>
        <w:t xml:space="preserve">V rámci právnej úpravy sociálnych služieb sa novo vymedzí zameranie sociálnych služieb aj na podporu zosúlaďovania rodinného života a pracovného života. Ako sociálna služba podľa zákona </w:t>
      </w:r>
      <w:r w:rsidR="000F3180">
        <w:t>č</w:t>
      </w:r>
      <w:r w:rsidRPr="00E97705" w:rsidR="000F3180">
        <w:rPr>
          <w:rFonts w:ascii="Times New Roman" w:hAnsi="Times New Roman"/>
        </w:rPr>
        <w:t xml:space="preserve">. </w:t>
      </w:r>
      <w:r w:rsidRPr="00E97705" w:rsidR="00E97705">
        <w:rPr>
          <w:rFonts w:ascii="Times New Roman" w:hAnsi="Times New Roman"/>
          <w:sz w:val="24"/>
          <w:szCs w:val="24"/>
        </w:rPr>
        <w:t xml:space="preserve">448/2008 Z. z. o sociálnych službách   a o zmene a doplnení zákona 455/1991 Zb. o živnostenskom podnikaní (živnostenský zákon) v znení neskorších predpisov </w:t>
      </w:r>
      <w:r w:rsidRPr="003E251D">
        <w:rPr>
          <w:rFonts w:ascii="Times New Roman" w:hAnsi="Times New Roman"/>
          <w:sz w:val="24"/>
          <w:szCs w:val="24"/>
        </w:rPr>
        <w:t xml:space="preserve">sa poskytuje starostlivosť o dieťa do troch rokov veku, alebo do šiestich rokov veku, ak ide o dieťa s dlhodobo nepriaznivým zdravotným stavom najmä v čase, keď rodič alebo iná osoba, ktorá má toto dieťa zverené do osobnej starostlivosti, vykonáva zárobkovú činnosť alebo študuje na strednej škole alebo vysokej škole alebo sa pripravuje na trh práce a vykonáva činnosti súvisiace so vstupom na trh práce a z tohto dôvodu nemôže poskytovať osobnú starostlivosť dieťaťu.  </w:t>
      </w:r>
    </w:p>
    <w:p w:rsidR="00FA333D" w:rsidRPr="003E251D" w:rsidP="00FA333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33D" w:rsidRPr="003E251D" w:rsidP="00FA33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 xml:space="preserve">Nakoľko </w:t>
      </w:r>
      <w:r w:rsidR="00DB3B80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>n</w:t>
      </w:r>
      <w:r w:rsidRPr="003E251D">
        <w:rPr>
          <w:rFonts w:ascii="Times New Roman" w:hAnsi="Times New Roman"/>
          <w:sz w:val="24"/>
          <w:szCs w:val="24"/>
        </w:rPr>
        <w:t xml:space="preserve">ávrh novely zákona ustanovuje povinnosť právnických a fyzických osôb, ktoré k 31. decembru 2016 poskytujú za úhradu opatrovanie detí v rozsahu ustanovenom pre službu na podporu zosúlaďovania rodinného života a pracovného života podľa § 32a ods. </w:t>
      </w:r>
      <w:r w:rsidR="000F3180">
        <w:rPr>
          <w:rFonts w:ascii="Times New Roman" w:hAnsi="Times New Roman"/>
          <w:sz w:val="24"/>
          <w:szCs w:val="24"/>
        </w:rPr>
        <w:t>1 písm. b)</w:t>
      </w:r>
      <w:r w:rsidRPr="003E251D">
        <w:rPr>
          <w:rFonts w:ascii="Times New Roman" w:hAnsi="Times New Roman"/>
          <w:sz w:val="24"/>
          <w:szCs w:val="24"/>
        </w:rPr>
        <w:t xml:space="preserve"> a podľa § 32b zákona účinného od 1. januára 2017, a ktoré budú túto činnosť vykonávať aj po 31. decembri 2016, požiadať do 31. decembra 2017 o zápis do registra poskytovateľov sociálnych služieb podľa zákona o sociálnych službách</w:t>
      </w:r>
      <w:r>
        <w:rPr>
          <w:rFonts w:ascii="Times New Roman" w:hAnsi="Times New Roman"/>
          <w:sz w:val="24"/>
          <w:szCs w:val="24"/>
        </w:rPr>
        <w:t>, vzniká týmto subjektom povinnosť uhr</w:t>
      </w:r>
      <w:r w:rsidR="000F3180">
        <w:rPr>
          <w:rFonts w:ascii="Times New Roman" w:hAnsi="Times New Roman"/>
          <w:sz w:val="24"/>
          <w:szCs w:val="24"/>
        </w:rPr>
        <w:t>adiť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správny poplatok za zápis do registra poskytovateľov sociálnych služieb pre poskytovateľov, ktorí poskytujú sociálnu službu s cieľom dosiahnutia zisku ( sociálna služba je podnikaním)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 xml:space="preserve">vo výške 66 eur v súlade s položkou 34a zákona Národnej rady SR č. 145/1995 Z. z. o správnych poplatkoch v znení neskorších predpisov. Vzhľadom k tomu, </w:t>
      </w:r>
      <w:r w:rsidR="000F3180">
        <w:rPr>
          <w:rFonts w:ascii="Times New Roman" w:hAnsi="Times New Roman"/>
          <w:sz w:val="24"/>
          <w:szCs w:val="24"/>
        </w:rPr>
        <w:t xml:space="preserve">dôjde k zvýšeniu </w:t>
      </w:r>
      <w:r w:rsidRPr="003E251D">
        <w:rPr>
          <w:rFonts w:ascii="Times New Roman" w:hAnsi="Times New Roman"/>
          <w:sz w:val="24"/>
          <w:szCs w:val="24"/>
        </w:rPr>
        <w:t xml:space="preserve"> príjmom vyšších územných celkov</w:t>
      </w:r>
      <w:r w:rsidR="000F3180">
        <w:rPr>
          <w:rFonts w:ascii="Times New Roman" w:hAnsi="Times New Roman"/>
          <w:sz w:val="24"/>
          <w:szCs w:val="24"/>
        </w:rPr>
        <w:t xml:space="preserve"> z uvedeného titulu</w:t>
      </w:r>
      <w:r w:rsidRPr="003E251D">
        <w:rPr>
          <w:rFonts w:ascii="Times New Roman" w:hAnsi="Times New Roman"/>
          <w:sz w:val="24"/>
          <w:szCs w:val="24"/>
        </w:rPr>
        <w:t>. Nakoľko verejn</w:t>
      </w:r>
      <w:r w:rsidR="000F3180">
        <w:rPr>
          <w:rFonts w:ascii="Times New Roman" w:hAnsi="Times New Roman"/>
          <w:sz w:val="24"/>
          <w:szCs w:val="24"/>
        </w:rPr>
        <w:t>í</w:t>
      </w:r>
      <w:r w:rsidRPr="003E251D">
        <w:rPr>
          <w:rFonts w:ascii="Times New Roman" w:hAnsi="Times New Roman"/>
          <w:sz w:val="24"/>
          <w:szCs w:val="24"/>
        </w:rPr>
        <w:t xml:space="preserve"> poskytovate</w:t>
      </w:r>
      <w:r w:rsidR="000F3180">
        <w:rPr>
          <w:rFonts w:ascii="Times New Roman" w:hAnsi="Times New Roman"/>
          <w:sz w:val="24"/>
          <w:szCs w:val="24"/>
        </w:rPr>
        <w:t>lia i neverejní poskytovatelia, ktorí neposkytujú sociálnu službu s cieľom dosiahnutia zisku</w:t>
      </w:r>
      <w:r w:rsidR="00480D6B">
        <w:rPr>
          <w:rFonts w:ascii="Times New Roman" w:hAnsi="Times New Roman"/>
          <w:sz w:val="24"/>
          <w:szCs w:val="24"/>
        </w:rPr>
        <w:t>,</w:t>
      </w:r>
      <w:r w:rsidR="000F3180">
        <w:rPr>
          <w:rFonts w:ascii="Times New Roman" w:hAnsi="Times New Roman"/>
          <w:sz w:val="24"/>
          <w:szCs w:val="24"/>
        </w:rPr>
        <w:t xml:space="preserve">  napr.</w:t>
      </w:r>
      <w:r w:rsidR="002E585C">
        <w:rPr>
          <w:rFonts w:ascii="Times New Roman" w:hAnsi="Times New Roman"/>
          <w:sz w:val="24"/>
          <w:szCs w:val="24"/>
        </w:rPr>
        <w:t xml:space="preserve"> s </w:t>
      </w:r>
      <w:r w:rsidR="000F3180">
        <w:rPr>
          <w:rFonts w:ascii="Times New Roman" w:hAnsi="Times New Roman"/>
          <w:sz w:val="24"/>
          <w:szCs w:val="24"/>
        </w:rPr>
        <w:t xml:space="preserve"> právn</w:t>
      </w:r>
      <w:r w:rsidR="002E585C">
        <w:rPr>
          <w:rFonts w:ascii="Times New Roman" w:hAnsi="Times New Roman"/>
          <w:sz w:val="24"/>
          <w:szCs w:val="24"/>
        </w:rPr>
        <w:t>ou</w:t>
      </w:r>
      <w:r w:rsidR="000F3180">
        <w:rPr>
          <w:rFonts w:ascii="Times New Roman" w:hAnsi="Times New Roman"/>
          <w:sz w:val="24"/>
          <w:szCs w:val="24"/>
        </w:rPr>
        <w:t xml:space="preserve"> form</w:t>
      </w:r>
      <w:r w:rsidR="002E585C">
        <w:rPr>
          <w:rFonts w:ascii="Times New Roman" w:hAnsi="Times New Roman"/>
          <w:sz w:val="24"/>
          <w:szCs w:val="24"/>
        </w:rPr>
        <w:t>ou</w:t>
      </w:r>
      <w:r w:rsidR="000F3180">
        <w:rPr>
          <w:rFonts w:ascii="Times New Roman" w:hAnsi="Times New Roman"/>
          <w:sz w:val="24"/>
          <w:szCs w:val="24"/>
        </w:rPr>
        <w:t xml:space="preserve"> </w:t>
      </w:r>
      <w:r w:rsidR="007A54AE">
        <w:rPr>
          <w:rFonts w:ascii="Times New Roman" w:hAnsi="Times New Roman"/>
          <w:sz w:val="24"/>
          <w:szCs w:val="24"/>
        </w:rPr>
        <w:t xml:space="preserve"> neziskov</w:t>
      </w:r>
      <w:r w:rsidR="002E585C">
        <w:rPr>
          <w:rFonts w:ascii="Times New Roman" w:hAnsi="Times New Roman"/>
          <w:sz w:val="24"/>
          <w:szCs w:val="24"/>
        </w:rPr>
        <w:t>ej</w:t>
      </w:r>
      <w:r w:rsidR="007A54AE">
        <w:rPr>
          <w:rFonts w:ascii="Times New Roman" w:hAnsi="Times New Roman"/>
          <w:sz w:val="24"/>
          <w:szCs w:val="24"/>
        </w:rPr>
        <w:t xml:space="preserve"> organizácie</w:t>
      </w:r>
      <w:r w:rsidR="005030C0">
        <w:rPr>
          <w:rFonts w:ascii="Times New Roman" w:hAnsi="Times New Roman"/>
          <w:sz w:val="24"/>
          <w:szCs w:val="24"/>
        </w:rPr>
        <w:t>)</w:t>
      </w:r>
      <w:r w:rsidR="007A54AE">
        <w:rPr>
          <w:rFonts w:ascii="Times New Roman" w:hAnsi="Times New Roman"/>
          <w:sz w:val="24"/>
          <w:szCs w:val="24"/>
        </w:rPr>
        <w:t xml:space="preserve">,  </w:t>
      </w:r>
      <w:r w:rsidRPr="003E251D">
        <w:rPr>
          <w:rFonts w:ascii="Times New Roman" w:hAnsi="Times New Roman"/>
          <w:sz w:val="24"/>
          <w:szCs w:val="24"/>
        </w:rPr>
        <w:t xml:space="preserve">sú od poplatku oslobodení, </w:t>
      </w:r>
      <w:r w:rsidR="005030C0">
        <w:rPr>
          <w:rFonts w:ascii="Times New Roman" w:hAnsi="Times New Roman"/>
          <w:sz w:val="24"/>
          <w:szCs w:val="24"/>
        </w:rPr>
        <w:t xml:space="preserve">registrácia takéhoto poskytovateľa sociálnej služby </w:t>
      </w:r>
      <w:r w:rsidR="0052454B">
        <w:rPr>
          <w:rFonts w:ascii="Times New Roman" w:hAnsi="Times New Roman"/>
          <w:sz w:val="24"/>
          <w:szCs w:val="24"/>
        </w:rPr>
        <w:t>ne</w:t>
      </w:r>
      <w:r w:rsidRPr="003E251D">
        <w:rPr>
          <w:rFonts w:ascii="Times New Roman" w:hAnsi="Times New Roman"/>
          <w:sz w:val="24"/>
          <w:szCs w:val="24"/>
        </w:rPr>
        <w:t xml:space="preserve">bude to znamenať </w:t>
      </w:r>
      <w:r w:rsidR="0052454B">
        <w:rPr>
          <w:rFonts w:ascii="Times New Roman" w:hAnsi="Times New Roman"/>
          <w:sz w:val="24"/>
          <w:szCs w:val="24"/>
        </w:rPr>
        <w:t>nárast</w:t>
      </w:r>
      <w:r w:rsidR="002E585C">
        <w:rPr>
          <w:rFonts w:ascii="Times New Roman" w:hAnsi="Times New Roman"/>
          <w:sz w:val="24"/>
          <w:szCs w:val="24"/>
        </w:rPr>
        <w:t xml:space="preserve"> výdavkov obcí, </w:t>
      </w:r>
      <w:r w:rsidR="005030C0">
        <w:rPr>
          <w:rFonts w:ascii="Times New Roman" w:hAnsi="Times New Roman"/>
          <w:sz w:val="24"/>
          <w:szCs w:val="24"/>
        </w:rPr>
        <w:t xml:space="preserve"> a ani</w:t>
      </w:r>
      <w:r w:rsidR="002E585C">
        <w:rPr>
          <w:rFonts w:ascii="Times New Roman" w:hAnsi="Times New Roman"/>
          <w:sz w:val="24"/>
          <w:szCs w:val="24"/>
        </w:rPr>
        <w:t xml:space="preserve"> súvisiac</w:t>
      </w:r>
      <w:r w:rsidR="005030C0">
        <w:rPr>
          <w:rFonts w:ascii="Times New Roman" w:hAnsi="Times New Roman"/>
          <w:sz w:val="24"/>
          <w:szCs w:val="24"/>
        </w:rPr>
        <w:t>i</w:t>
      </w:r>
      <w:r w:rsidR="002E585C">
        <w:rPr>
          <w:rFonts w:ascii="Times New Roman" w:hAnsi="Times New Roman"/>
          <w:sz w:val="24"/>
          <w:szCs w:val="24"/>
        </w:rPr>
        <w:t xml:space="preserve"> nárast príjmov vyšších územných celkov zo zaplatených správnych poplatkov za registráciu.</w:t>
      </w:r>
      <w:r w:rsidR="0052454B">
        <w:rPr>
          <w:rFonts w:ascii="Times New Roman" w:hAnsi="Times New Roman"/>
          <w:sz w:val="24"/>
          <w:szCs w:val="24"/>
        </w:rPr>
        <w:t xml:space="preserve"> </w:t>
      </w:r>
      <w:r w:rsidR="000A1850">
        <w:rPr>
          <w:rFonts w:ascii="Times New Roman" w:hAnsi="Times New Roman"/>
          <w:sz w:val="24"/>
          <w:szCs w:val="24"/>
        </w:rPr>
        <w:t xml:space="preserve">Počet </w:t>
      </w:r>
      <w:r w:rsidR="00CE377B">
        <w:rPr>
          <w:rFonts w:ascii="Times New Roman" w:hAnsi="Times New Roman"/>
          <w:sz w:val="24"/>
          <w:szCs w:val="24"/>
        </w:rPr>
        <w:t xml:space="preserve">detí, </w:t>
      </w:r>
      <w:r w:rsidR="000A1850">
        <w:rPr>
          <w:rFonts w:ascii="Times New Roman" w:hAnsi="Times New Roman"/>
          <w:sz w:val="24"/>
          <w:szCs w:val="24"/>
        </w:rPr>
        <w:t>na ktoré je vyplácaný príspevok na starostlivosť je v súčasnosti 3</w:t>
      </w:r>
      <w:r w:rsidR="00C518C5">
        <w:rPr>
          <w:rFonts w:ascii="Times New Roman" w:hAnsi="Times New Roman"/>
          <w:sz w:val="24"/>
          <w:szCs w:val="24"/>
        </w:rPr>
        <w:t xml:space="preserve"> </w:t>
      </w:r>
      <w:r w:rsidR="00C846A6">
        <w:rPr>
          <w:rFonts w:ascii="Times New Roman" w:hAnsi="Times New Roman"/>
          <w:sz w:val="24"/>
          <w:szCs w:val="24"/>
        </w:rPr>
        <w:t>428</w:t>
      </w:r>
      <w:r w:rsidR="002E585C">
        <w:rPr>
          <w:rFonts w:ascii="Times New Roman" w:hAnsi="Times New Roman"/>
          <w:sz w:val="24"/>
          <w:szCs w:val="24"/>
        </w:rPr>
        <w:t>, z</w:t>
      </w:r>
      <w:r w:rsidR="00C846A6">
        <w:rPr>
          <w:rFonts w:ascii="Times New Roman" w:hAnsi="Times New Roman"/>
          <w:sz w:val="24"/>
          <w:szCs w:val="24"/>
        </w:rPr>
        <w:t> </w:t>
      </w:r>
      <w:r w:rsidR="002E585C">
        <w:rPr>
          <w:rFonts w:ascii="Times New Roman" w:hAnsi="Times New Roman"/>
          <w:sz w:val="24"/>
          <w:szCs w:val="24"/>
        </w:rPr>
        <w:t>toho</w:t>
      </w:r>
      <w:r w:rsidR="00C846A6">
        <w:rPr>
          <w:rFonts w:ascii="Times New Roman" w:hAnsi="Times New Roman"/>
          <w:sz w:val="24"/>
          <w:szCs w:val="24"/>
        </w:rPr>
        <w:t xml:space="preserve">  formalizovaná starostlivosť o dieťa</w:t>
      </w:r>
      <w:r w:rsidRPr="00C846A6" w:rsidR="00C846A6">
        <w:t xml:space="preserve"> </w:t>
      </w:r>
      <w:r w:rsidRPr="00C846A6" w:rsidR="00C846A6">
        <w:rPr>
          <w:rFonts w:ascii="Times New Roman" w:hAnsi="Times New Roman"/>
          <w:sz w:val="24"/>
          <w:szCs w:val="24"/>
        </w:rPr>
        <w:t>za účelom dosiahnutia zisku s právnou formou živnostníka</w:t>
      </w:r>
      <w:r w:rsidR="00C846A6">
        <w:rPr>
          <w:rFonts w:ascii="Times New Roman" w:hAnsi="Times New Roman"/>
          <w:sz w:val="24"/>
          <w:szCs w:val="24"/>
        </w:rPr>
        <w:t xml:space="preserve"> je  v zariadeniach poskytovaná</w:t>
      </w:r>
      <w:r w:rsidR="002E585C">
        <w:rPr>
          <w:rFonts w:ascii="Times New Roman" w:hAnsi="Times New Roman"/>
          <w:sz w:val="24"/>
          <w:szCs w:val="24"/>
        </w:rPr>
        <w:t xml:space="preserve"> 236</w:t>
      </w:r>
      <w:r w:rsidR="00C846A6">
        <w:rPr>
          <w:rFonts w:ascii="Times New Roman" w:hAnsi="Times New Roman"/>
          <w:sz w:val="24"/>
          <w:szCs w:val="24"/>
        </w:rPr>
        <w:t>7</w:t>
      </w:r>
      <w:r w:rsidR="002E585C">
        <w:rPr>
          <w:rFonts w:ascii="Times New Roman" w:hAnsi="Times New Roman"/>
          <w:sz w:val="24"/>
          <w:szCs w:val="24"/>
        </w:rPr>
        <w:t xml:space="preserve"> deťom</w:t>
      </w:r>
      <w:r w:rsidR="00C846A6">
        <w:rPr>
          <w:rFonts w:ascii="Times New Roman" w:hAnsi="Times New Roman"/>
          <w:sz w:val="24"/>
          <w:szCs w:val="24"/>
        </w:rPr>
        <w:t xml:space="preserve"> a 330 deťom</w:t>
      </w:r>
      <w:r w:rsidR="002E585C">
        <w:rPr>
          <w:rFonts w:ascii="Times New Roman" w:hAnsi="Times New Roman"/>
          <w:sz w:val="24"/>
          <w:szCs w:val="24"/>
        </w:rPr>
        <w:t xml:space="preserve"> je poskytovaná</w:t>
      </w:r>
      <w:r w:rsidR="00C846A6">
        <w:rPr>
          <w:rFonts w:ascii="Times New Roman" w:hAnsi="Times New Roman"/>
          <w:sz w:val="24"/>
          <w:szCs w:val="24"/>
        </w:rPr>
        <w:t xml:space="preserve"> v domácnosti. Za východiskového predpokladu priemerného počtu detí v jednom zariadení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="00C846A6">
        <w:rPr>
          <w:rFonts w:ascii="Times New Roman" w:hAnsi="Times New Roman"/>
          <w:sz w:val="24"/>
          <w:szCs w:val="24"/>
        </w:rPr>
        <w:t>- 15 detí teda ide o cca 158 poskytovateľov</w:t>
      </w:r>
      <w:r w:rsidR="002E585C">
        <w:rPr>
          <w:rFonts w:ascii="Times New Roman" w:hAnsi="Times New Roman"/>
          <w:sz w:val="24"/>
          <w:szCs w:val="24"/>
        </w:rPr>
        <w:t xml:space="preserve"> v</w:t>
      </w:r>
      <w:r w:rsidR="00C846A6">
        <w:rPr>
          <w:rFonts w:ascii="Times New Roman" w:hAnsi="Times New Roman"/>
          <w:sz w:val="24"/>
          <w:szCs w:val="24"/>
        </w:rPr>
        <w:t> </w:t>
      </w:r>
      <w:r w:rsidR="002E585C">
        <w:rPr>
          <w:rFonts w:ascii="Times New Roman" w:hAnsi="Times New Roman"/>
          <w:sz w:val="24"/>
          <w:szCs w:val="24"/>
        </w:rPr>
        <w:t>zariadeniach</w:t>
      </w:r>
      <w:r w:rsidR="00C846A6">
        <w:rPr>
          <w:rFonts w:ascii="Times New Roman" w:hAnsi="Times New Roman"/>
          <w:sz w:val="24"/>
          <w:szCs w:val="24"/>
        </w:rPr>
        <w:t>,</w:t>
      </w:r>
      <w:r w:rsidRPr="00C846A6" w:rsidR="00C846A6">
        <w:t xml:space="preserve"> </w:t>
      </w:r>
      <w:r w:rsidRPr="00C846A6" w:rsidR="00C846A6">
        <w:rPr>
          <w:rFonts w:ascii="Times New Roman" w:hAnsi="Times New Roman"/>
          <w:sz w:val="24"/>
          <w:szCs w:val="24"/>
        </w:rPr>
        <w:t>ktorí budú podliehať registrácii a súvisiacej povinnosti zaplatenia správneho poplatku.</w:t>
      </w:r>
      <w:r w:rsidR="00C846A6">
        <w:rPr>
          <w:rFonts w:ascii="Times New Roman" w:hAnsi="Times New Roman"/>
          <w:sz w:val="24"/>
          <w:szCs w:val="24"/>
        </w:rPr>
        <w:t xml:space="preserve"> Za východiskového predpokladu poskytovania starostlivosti v domácnosti trom deťom na jednu opatrovateľku, ide v prípade starostlivosti o deti v domácnosti, o cca 110 poskytovateľov, ktorí budú podliehať registrácii a súvisiacej povinnosti zaplatenia správneho poplatku. </w:t>
      </w:r>
      <w:r w:rsidR="005030C0">
        <w:rPr>
          <w:rFonts w:ascii="Times New Roman" w:hAnsi="Times New Roman"/>
          <w:sz w:val="24"/>
          <w:szCs w:val="24"/>
        </w:rPr>
        <w:t xml:space="preserve"> Ak by sa teda aj vychádzalo z predpokladu, že všetky subjekty sa rozhodnú zaregistrovať ako poskytovatelia sociálnej služby s cieľom dosiahnuť zisk</w:t>
      </w:r>
      <w:r w:rsidR="00C846A6">
        <w:rPr>
          <w:rFonts w:ascii="Times New Roman" w:hAnsi="Times New Roman"/>
          <w:sz w:val="24"/>
          <w:szCs w:val="24"/>
        </w:rPr>
        <w:t xml:space="preserve"> i</w:t>
      </w:r>
      <w:r w:rsidR="005030C0">
        <w:rPr>
          <w:rFonts w:ascii="Times New Roman" w:hAnsi="Times New Roman"/>
          <w:sz w:val="24"/>
          <w:szCs w:val="24"/>
        </w:rPr>
        <w:t>šlo by</w:t>
      </w:r>
      <w:r w:rsidR="00C846A6">
        <w:rPr>
          <w:rFonts w:ascii="Times New Roman" w:hAnsi="Times New Roman"/>
          <w:sz w:val="24"/>
          <w:szCs w:val="24"/>
        </w:rPr>
        <w:t xml:space="preserve"> o cca 268 poskytovateľov, ktorí budú podliehať v roku 2017 povinnosti zaplatenia správneho poplatku za registráciu vo výške 66 euro</w:t>
      </w:r>
      <w:r w:rsidR="00F31A34">
        <w:rPr>
          <w:rFonts w:ascii="Times New Roman" w:hAnsi="Times New Roman"/>
          <w:sz w:val="24"/>
          <w:szCs w:val="24"/>
        </w:rPr>
        <w:t>, čo predstavuje vplyv na zvýšenie príjmov vyšších územných celkov  zo zaplatených správnych poplatkov v roku 2017 v sume 17 688 eur, čo možno považovať za rozpočtovo nevýznamnú príjmovú položku.</w:t>
      </w:r>
      <w:r w:rsidR="00CE377B">
        <w:rPr>
          <w:rFonts w:ascii="Times New Roman" w:hAnsi="Times New Roman"/>
          <w:sz w:val="24"/>
          <w:szCs w:val="24"/>
        </w:rPr>
        <w:t xml:space="preserve">  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Povinnosť plnenia personálneho štandardu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 xml:space="preserve">- maximálneho počtu prijímateľov sociálnej služby na jedného zamestnanca a minimálny percentuálny podiel odborných zamestnancov na celkovom počte zamestnancov podľa prílohy č. 1 k zákonu o sociálnych službách  v zariadeniach starostlivosti o deti do troch rokov veku dieťaťa </w:t>
      </w:r>
      <w:r w:rsidR="00AA1AC3">
        <w:rPr>
          <w:rFonts w:ascii="Times New Roman" w:hAnsi="Times New Roman"/>
          <w:sz w:val="24"/>
          <w:szCs w:val="24"/>
        </w:rPr>
        <w:t>5</w:t>
      </w:r>
      <w:r w:rsidRPr="003E251D">
        <w:rPr>
          <w:rFonts w:ascii="Times New Roman" w:hAnsi="Times New Roman"/>
          <w:sz w:val="24"/>
          <w:szCs w:val="24"/>
        </w:rPr>
        <w:t xml:space="preserve">,0/ </w:t>
      </w:r>
      <w:r w:rsidR="00AA1AC3">
        <w:rPr>
          <w:rFonts w:ascii="Times New Roman" w:hAnsi="Times New Roman"/>
          <w:sz w:val="24"/>
          <w:szCs w:val="24"/>
        </w:rPr>
        <w:t>75</w:t>
      </w:r>
      <w:r w:rsidRPr="003E251D">
        <w:rPr>
          <w:rFonts w:ascii="Times New Roman" w:hAnsi="Times New Roman"/>
          <w:sz w:val="24"/>
          <w:szCs w:val="24"/>
        </w:rPr>
        <w:t xml:space="preserve"> % -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 xml:space="preserve">u poskytovateľov opatrovania detí  k 31. decembru 2016 odklad splnenia tejto povinnosti do 31. decembra 2017  </w:t>
      </w:r>
    </w:p>
    <w:p w:rsidR="00FA333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- poskytovanie starostlivosti o dieťa  opatrovateľom  najviac  trom deťom  pri poskytovaní  služby na podporu zosúlaďovania rodinného života a pracovného života terénnou formou sociálnej služby alebo ambulantnou sociá</w:t>
      </w:r>
      <w:r>
        <w:rPr>
          <w:rFonts w:ascii="Times New Roman" w:hAnsi="Times New Roman"/>
          <w:sz w:val="24"/>
          <w:szCs w:val="24"/>
        </w:rPr>
        <w:t xml:space="preserve">lnou službou mimo zariadenia </w:t>
      </w:r>
      <w:r w:rsidRPr="003E251D">
        <w:rPr>
          <w:rFonts w:ascii="Times New Roman" w:hAnsi="Times New Roman"/>
          <w:sz w:val="24"/>
          <w:szCs w:val="24"/>
        </w:rPr>
        <w:t xml:space="preserve"> 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 súčasnosti je registrovaných 52 verejných poskytovateľov sociálnych služieb v dennom stacionári s počtom miest 803. </w:t>
      </w:r>
      <w:r w:rsidR="00E36047">
        <w:rPr>
          <w:rFonts w:ascii="Times New Roman" w:hAnsi="Times New Roman"/>
          <w:sz w:val="24"/>
          <w:szCs w:val="24"/>
        </w:rPr>
        <w:t xml:space="preserve">Na rozpočty obcí nebude mať zavedenia personálneho normatívu žiaden ekonomický </w:t>
      </w:r>
      <w:r w:rsidR="002F2D41">
        <w:rPr>
          <w:rFonts w:ascii="Times New Roman" w:hAnsi="Times New Roman"/>
          <w:sz w:val="24"/>
          <w:szCs w:val="24"/>
        </w:rPr>
        <w:t>vplyv</w:t>
      </w:r>
      <w:r w:rsidR="005C2160">
        <w:rPr>
          <w:rFonts w:ascii="Times New Roman" w:hAnsi="Times New Roman"/>
          <w:sz w:val="24"/>
          <w:szCs w:val="24"/>
        </w:rPr>
        <w:t>. Zavedenie personálneho normatívu by nemal</w:t>
      </w:r>
      <w:r w:rsidR="002F2D41">
        <w:rPr>
          <w:rFonts w:ascii="Times New Roman" w:hAnsi="Times New Roman"/>
          <w:sz w:val="24"/>
          <w:szCs w:val="24"/>
        </w:rPr>
        <w:t>o</w:t>
      </w:r>
      <w:r w:rsidR="005C2160">
        <w:rPr>
          <w:rFonts w:ascii="Times New Roman" w:hAnsi="Times New Roman"/>
          <w:sz w:val="24"/>
          <w:szCs w:val="24"/>
        </w:rPr>
        <w:t xml:space="preserve"> znamenať </w:t>
      </w:r>
      <w:r w:rsidR="00E36047">
        <w:rPr>
          <w:rFonts w:ascii="Times New Roman" w:hAnsi="Times New Roman"/>
          <w:sz w:val="24"/>
          <w:szCs w:val="24"/>
        </w:rPr>
        <w:t xml:space="preserve"> zvýšenie doterajšieho počtu zamestnancov v týchto zariadeniach sociálnych služieb</w:t>
      </w:r>
      <w:r w:rsidR="005C2160">
        <w:rPr>
          <w:rFonts w:ascii="Times New Roman" w:hAnsi="Times New Roman"/>
          <w:sz w:val="24"/>
          <w:szCs w:val="24"/>
        </w:rPr>
        <w:t xml:space="preserve">, </w:t>
      </w:r>
      <w:r w:rsidR="002F2D41">
        <w:rPr>
          <w:rFonts w:ascii="Times New Roman" w:hAnsi="Times New Roman"/>
          <w:sz w:val="24"/>
          <w:szCs w:val="24"/>
        </w:rPr>
        <w:t xml:space="preserve">nakoľko </w:t>
      </w:r>
      <w:r w:rsidR="005C2160">
        <w:rPr>
          <w:rFonts w:ascii="Times New Roman" w:hAnsi="Times New Roman"/>
          <w:sz w:val="24"/>
          <w:szCs w:val="24"/>
        </w:rPr>
        <w:t>ekonomicky oprávnené náklady na túto sociálnu službu sú</w:t>
      </w:r>
      <w:r w:rsidR="002F2D41">
        <w:rPr>
          <w:rFonts w:ascii="Times New Roman" w:hAnsi="Times New Roman"/>
          <w:sz w:val="24"/>
          <w:szCs w:val="24"/>
        </w:rPr>
        <w:t xml:space="preserve"> spolufinancované </w:t>
      </w:r>
      <w:r w:rsidR="005C2160">
        <w:rPr>
          <w:rFonts w:ascii="Times New Roman" w:hAnsi="Times New Roman"/>
          <w:sz w:val="24"/>
          <w:szCs w:val="24"/>
        </w:rPr>
        <w:t xml:space="preserve"> z rozpočtovej kapitoly MPSVR SR poskytovan</w:t>
      </w:r>
      <w:r w:rsidR="002F2D41">
        <w:rPr>
          <w:rFonts w:ascii="Times New Roman" w:hAnsi="Times New Roman"/>
          <w:sz w:val="24"/>
          <w:szCs w:val="24"/>
        </w:rPr>
        <w:t>ím</w:t>
      </w:r>
      <w:r w:rsidR="005C2160">
        <w:rPr>
          <w:rFonts w:ascii="Times New Roman" w:hAnsi="Times New Roman"/>
          <w:sz w:val="24"/>
          <w:szCs w:val="24"/>
        </w:rPr>
        <w:t xml:space="preserve"> finančn</w:t>
      </w:r>
      <w:r w:rsidR="002F2D41">
        <w:rPr>
          <w:rFonts w:ascii="Times New Roman" w:hAnsi="Times New Roman"/>
          <w:sz w:val="24"/>
          <w:szCs w:val="24"/>
        </w:rPr>
        <w:t>ého príspevku podľa § 71 ods. 6 a s poukazom na prílohu č. 4 k  zákonu o sociálnych službách v rozsahu, ktorý umožňuje pokrytie týchto nákladov.</w:t>
      </w:r>
      <w:r w:rsidR="005C2160">
        <w:rPr>
          <w:rFonts w:ascii="Times New Roman" w:hAnsi="Times New Roman"/>
          <w:sz w:val="24"/>
          <w:szCs w:val="24"/>
        </w:rPr>
        <w:t xml:space="preserve">   </w:t>
      </w:r>
      <w:r w:rsidR="00E36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Povinnosť plnenia kvalifikačných predpokladov u opatrovateľov detí u poskytovateľov opatrovania detí  k 31. decembru 2016 odklad splnenia tejto povinnosti do 31. decembra 2019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-</w:t>
      </w:r>
      <w:r w:rsidR="00DB3B80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táto povinnosť je spojená aj s prípadnými nárokmi na finančné zabezpečenie absolvovania akreditovaného kurzu opatrovania detí do troch rokov veku -</w:t>
      </w:r>
      <w:r w:rsidR="00333F83">
        <w:rPr>
          <w:rFonts w:ascii="Times New Roman" w:hAnsi="Times New Roman"/>
          <w:sz w:val="24"/>
          <w:szCs w:val="24"/>
        </w:rPr>
        <w:t xml:space="preserve"> z</w:t>
      </w:r>
      <w:r w:rsidRPr="003E251D">
        <w:rPr>
          <w:rFonts w:ascii="Times New Roman" w:hAnsi="Times New Roman"/>
          <w:sz w:val="24"/>
          <w:szCs w:val="24"/>
        </w:rPr>
        <w:t>ávisí od konkrétneho skutkového stavu plnenia kvalifikačných predpokladov personálneho zabezpečenia u konkrétneho poskytovateľa</w:t>
      </w:r>
      <w:r w:rsidR="002F2D41">
        <w:rPr>
          <w:rFonts w:ascii="Times New Roman" w:hAnsi="Times New Roman"/>
          <w:sz w:val="24"/>
          <w:szCs w:val="24"/>
        </w:rPr>
        <w:t xml:space="preserve">, pričom náklady na absolvovanie tohto kurzu sa predpokladajú vo výške cca 250 eur/ osoba </w:t>
      </w:r>
      <w:r w:rsidR="002450B2">
        <w:rPr>
          <w:rFonts w:ascii="Times New Roman" w:hAnsi="Times New Roman"/>
          <w:sz w:val="24"/>
          <w:szCs w:val="24"/>
        </w:rPr>
        <w:t xml:space="preserve">– s ohľadom na neexistenciu informácií o počtoch či kvalifikačných  predpokladoch zamestnancov existujúcich zariadení so zameraním na starostlivosť o takého deti  </w:t>
      </w:r>
      <w:r w:rsidRPr="003E251D">
        <w:rPr>
          <w:rFonts w:ascii="Times New Roman" w:hAnsi="Times New Roman"/>
          <w:sz w:val="24"/>
          <w:szCs w:val="24"/>
          <w:u w:val="single"/>
        </w:rPr>
        <w:t>nie je možné kvantifikovať</w:t>
      </w:r>
      <w:r w:rsidR="002450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0D6B">
        <w:rPr>
          <w:rFonts w:ascii="Times New Roman" w:hAnsi="Times New Roman"/>
          <w:sz w:val="24"/>
          <w:szCs w:val="24"/>
          <w:u w:val="single"/>
        </w:rPr>
        <w:t>vplyvy</w:t>
      </w:r>
      <w:r w:rsidRPr="003E251D">
        <w:rPr>
          <w:rFonts w:ascii="Times New Roman" w:hAnsi="Times New Roman"/>
          <w:sz w:val="24"/>
          <w:szCs w:val="24"/>
          <w:u w:val="single"/>
        </w:rPr>
        <w:t>.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Požiadavka debarierizácie objektov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- plnenia všeobecných technických požiadaviek na výstavbu a všeobecných technických požiadaviek na stavby užívané fyzickými osobami s obmedzenou schopnosťou pohybu a</w:t>
      </w:r>
      <w:r w:rsidR="00333F83">
        <w:rPr>
          <w:rFonts w:ascii="Times New Roman" w:hAnsi="Times New Roman"/>
          <w:sz w:val="24"/>
          <w:szCs w:val="24"/>
        </w:rPr>
        <w:t> </w:t>
      </w:r>
      <w:r w:rsidRPr="003E251D">
        <w:rPr>
          <w:rFonts w:ascii="Times New Roman" w:hAnsi="Times New Roman"/>
          <w:sz w:val="24"/>
          <w:szCs w:val="24"/>
        </w:rPr>
        <w:t>orientácie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- u poskytovateľov opatrovania detí  v zariadeniach  k 31. decembru 2016 táto povinnosť vznikne do 31. decembra 2017</w:t>
      </w:r>
    </w:p>
    <w:p w:rsidR="00FA333D" w:rsidRPr="003E251D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-</w:t>
      </w:r>
      <w:r w:rsidR="00DB3B80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táto povinnosť je spojená aj s prípadnými nárokmi na finančné zabezpečenie realizácie debarierizácie objektu -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 xml:space="preserve">závisí od konkrétneho skutkového stavu plnenia podmienok debarierizácie prevádzkovaných objektov u konkrétneho poskytovateľa  a rozsahu potrebných stavebnotechnických úprav- </w:t>
      </w:r>
      <w:r w:rsidR="00480D6B">
        <w:rPr>
          <w:rFonts w:ascii="Times New Roman" w:hAnsi="Times New Roman"/>
          <w:sz w:val="24"/>
          <w:szCs w:val="24"/>
        </w:rPr>
        <w:t xml:space="preserve">vplyvy </w:t>
      </w:r>
      <w:r w:rsidR="002450B2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  <w:u w:val="single"/>
        </w:rPr>
        <w:t>nie je možné kvantifikovať</w:t>
      </w:r>
      <w:r w:rsidR="00C6379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3E251D">
        <w:rPr>
          <w:rFonts w:ascii="Times New Roman" w:hAnsi="Times New Roman"/>
          <w:sz w:val="24"/>
          <w:szCs w:val="24"/>
        </w:rPr>
        <w:t>V zariadení starostlivosti o deti do troch rokov veku dieťaťa povinnosť splnenia požiadavky na priestorové vnútorné a vonkajšie usporiadanie, funkčné členenie, vybavenie zariadenia, prevádzku zariadenia, režim dňa, režim stravovania a pitný režim a náležitosti prevádzkového poriadku- hygienické požiadavky.</w:t>
      </w:r>
    </w:p>
    <w:p w:rsidR="00FA333D" w:rsidRPr="00C63791" w:rsidP="00FA333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E251D">
        <w:rPr>
          <w:rFonts w:ascii="Times New Roman" w:hAnsi="Times New Roman"/>
          <w:sz w:val="24"/>
          <w:szCs w:val="24"/>
        </w:rPr>
        <w:t>-</w:t>
      </w:r>
      <w:r w:rsidR="00DB3B80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táto povinnosť je spojená aj s prípadnými nárokmi na finančné zabezpečenie súladu skutkového stavu s požiadavkami hygieny -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>závisí od konkrétneho skutkového stavu plnenia podmienok hygieny u konkrétneho poskytovateľa  a rozsahu potrebných stavebnotechnických úprav</w:t>
      </w:r>
      <w:r w:rsidR="002F2D41">
        <w:rPr>
          <w:rFonts w:ascii="Times New Roman" w:hAnsi="Times New Roman"/>
          <w:sz w:val="24"/>
          <w:szCs w:val="24"/>
        </w:rPr>
        <w:t xml:space="preserve"> a</w:t>
      </w:r>
      <w:r w:rsidR="00E72281">
        <w:rPr>
          <w:rFonts w:ascii="Times New Roman" w:hAnsi="Times New Roman"/>
          <w:sz w:val="24"/>
          <w:szCs w:val="24"/>
        </w:rPr>
        <w:t> </w:t>
      </w:r>
      <w:r w:rsidR="002F2D41">
        <w:rPr>
          <w:rFonts w:ascii="Times New Roman" w:hAnsi="Times New Roman"/>
          <w:sz w:val="24"/>
          <w:szCs w:val="24"/>
        </w:rPr>
        <w:t>ob</w:t>
      </w:r>
      <w:r w:rsidR="00E72281">
        <w:rPr>
          <w:rFonts w:ascii="Times New Roman" w:hAnsi="Times New Roman"/>
          <w:sz w:val="24"/>
          <w:szCs w:val="24"/>
        </w:rPr>
        <w:t>starania potrebného  materiálno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="00E72281">
        <w:rPr>
          <w:rFonts w:ascii="Times New Roman" w:hAnsi="Times New Roman"/>
          <w:sz w:val="24"/>
          <w:szCs w:val="24"/>
        </w:rPr>
        <w:t>- technického vybavenia</w:t>
      </w:r>
      <w:r w:rsidR="00333F83">
        <w:rPr>
          <w:rFonts w:ascii="Times New Roman" w:hAnsi="Times New Roman"/>
          <w:sz w:val="24"/>
          <w:szCs w:val="24"/>
        </w:rPr>
        <w:t xml:space="preserve"> </w:t>
      </w:r>
      <w:r w:rsidRPr="003E251D">
        <w:rPr>
          <w:rFonts w:ascii="Times New Roman" w:hAnsi="Times New Roman"/>
          <w:sz w:val="24"/>
          <w:szCs w:val="24"/>
        </w:rPr>
        <w:t xml:space="preserve">- </w:t>
      </w:r>
      <w:r w:rsidRPr="003E251D">
        <w:rPr>
          <w:rFonts w:ascii="Times New Roman" w:hAnsi="Times New Roman"/>
          <w:sz w:val="24"/>
          <w:szCs w:val="24"/>
          <w:u w:val="single"/>
        </w:rPr>
        <w:t>nie je možné kvantifikovať</w:t>
      </w:r>
      <w:r w:rsidR="002450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63791" w:rsidR="00732054">
        <w:rPr>
          <w:rFonts w:ascii="Times New Roman" w:hAnsi="Times New Roman"/>
          <w:sz w:val="24"/>
          <w:szCs w:val="24"/>
        </w:rPr>
        <w:t>existujúce zariadenia však hygienické požiadavky na prevádzku zariadenia museli splniť</w:t>
      </w:r>
      <w:r w:rsidRPr="00C63791">
        <w:rPr>
          <w:rFonts w:ascii="Times New Roman" w:hAnsi="Times New Roman"/>
          <w:sz w:val="24"/>
          <w:szCs w:val="24"/>
        </w:rPr>
        <w:t>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2C076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FA333D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9D240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Počet zariadení starostlivosti o</w:t>
            </w: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dieťa</w:t>
            </w: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do troch rokov veku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F26540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Kapacita podporených zariadení starostlivosti o dieťa do troch rokov veku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D762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="009D2403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420</w:t>
            </w:r>
          </w:p>
        </w:tc>
      </w:tr>
    </w:tbl>
    <w:p w:rsid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2403" w:rsidP="009D24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Tak ako je uvedené aj v operačných programoch; Integrovaný regionálny operačný program a Operačný program ľudské zdroje, predpokladá sa vybudovanie 90 zariadení služieb starostlivosti o deti (82 – MRR; 8 – VRR) s kapacitou 1800 pre deti do troch rokov veku (1640 – MRR; 160 – VRR). Alokovaný objem finančných prostriedkov za týmto účelom tvorí 40 210 988 Eur. V rámci Integrovaného regionálneho operačného programu sú alokované finančné prostriedky v objeme 28 387</w:t>
      </w:r>
      <w:r w:rsidR="00092693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459</w:t>
      </w:r>
      <w:r w:rsidR="00092693">
        <w:rPr>
          <w:rFonts w:ascii="Times New Roman" w:hAnsi="Times New Roman"/>
          <w:sz w:val="24"/>
          <w:szCs w:val="24"/>
          <w:lang w:eastAsia="sk-SK"/>
        </w:rPr>
        <w:t xml:space="preserve"> Eur a 11 823 529 Eur v rámci Operačného programu Ľudské zdroje. Podrobnejší rozpis aj vrátane ich rozdelenia podľa viac a menej rozvi</w:t>
      </w:r>
      <w:r w:rsidR="001D43D7">
        <w:rPr>
          <w:rFonts w:ascii="Times New Roman" w:hAnsi="Times New Roman"/>
          <w:sz w:val="24"/>
          <w:szCs w:val="24"/>
          <w:lang w:eastAsia="sk-SK"/>
        </w:rPr>
        <w:t>nutého regiónu je uvedený v tabuľke nižšie.</w:t>
      </w:r>
    </w:p>
    <w:p w:rsidR="001D43D7" w:rsidP="009D24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D43D7" w:rsidP="001D43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Sumy sú uvedené v Eurách</w:t>
      </w:r>
    </w:p>
    <w:tbl>
      <w:tblPr>
        <w:tblStyle w:val="TableNormal"/>
        <w:tblW w:w="82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"/>
        <w:gridCol w:w="2268"/>
        <w:gridCol w:w="1843"/>
        <w:gridCol w:w="1701"/>
        <w:gridCol w:w="1559"/>
      </w:tblGrid>
      <w:tr>
        <w:tblPrEx>
          <w:tblW w:w="823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VRR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MRR</w:t>
            </w:r>
          </w:p>
        </w:tc>
      </w:tr>
      <w:tr>
        <w:tblPrEx>
          <w:tblW w:w="823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OP LZ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Bez spolufinancovania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9 000 000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7 500 000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1 500 000</w:t>
            </w:r>
          </w:p>
        </w:tc>
      </w:tr>
      <w:tr>
        <w:tblPrEx>
          <w:tblW w:w="823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So spolufinancovaním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11 823 529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8 823 529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3 000 000</w:t>
            </w:r>
          </w:p>
        </w:tc>
      </w:tr>
      <w:tr>
        <w:tblPrEx>
          <w:tblW w:w="823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IROP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Bez spolufinancovania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22 729 340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20 729 340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2 000 000</w:t>
            </w:r>
          </w:p>
        </w:tc>
      </w:tr>
      <w:tr>
        <w:tblPrEx>
          <w:tblW w:w="823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So spolufinancovaním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28 387 459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24 387 459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4 000 000</w:t>
            </w:r>
          </w:p>
        </w:tc>
      </w:tr>
      <w:tr>
        <w:tblPrEx>
          <w:tblW w:w="823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40 210 988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33 210 988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D43D7" w:rsidRPr="001D43D7" w:rsidP="001D43D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sk-SK"/>
              </w:rPr>
            </w:pPr>
            <w:r w:rsidRPr="001D43D7">
              <w:rPr>
                <w:rFonts w:ascii="Calibri" w:hAnsi="Calibri" w:cs="Calibri"/>
                <w:color w:val="000000"/>
                <w:lang w:eastAsia="sk-SK"/>
              </w:rPr>
              <w:t>7 000 000</w:t>
            </w:r>
          </w:p>
        </w:tc>
      </w:tr>
    </w:tbl>
    <w:p w:rsidR="001D43D7" w:rsidP="009D24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2403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76224" w:rsidP="00AF24C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prípade vybudovania zariadení starostlivosti o deti do troch rokov veku sa vychádzalo</w:t>
      </w:r>
      <w:r w:rsidR="00E72281">
        <w:rPr>
          <w:rFonts w:ascii="Times New Roman" w:hAnsi="Times New Roman"/>
          <w:sz w:val="24"/>
          <w:szCs w:val="24"/>
          <w:lang w:eastAsia="sk-SK"/>
        </w:rPr>
        <w:t xml:space="preserve"> z predpokladu</w:t>
      </w:r>
      <w:r w:rsidR="00AF24CC">
        <w:rPr>
          <w:rFonts w:ascii="Times New Roman" w:hAnsi="Times New Roman"/>
          <w:sz w:val="24"/>
          <w:szCs w:val="24"/>
          <w:lang w:eastAsia="sk-SK"/>
        </w:rPr>
        <w:t>, že do roku 2020 bude v rámci jednotlivých regiónov vybudovaných cca 90 takýchto zariadení s tým, že v rámci viac rozvinutého regiónu pôjde o 8 zariadení a v rámci menej rozvinutého regiónu pôjde o 82 zariadení. Maximálna kapacita  zariaden</w:t>
      </w:r>
      <w:r w:rsidR="00893025">
        <w:rPr>
          <w:rFonts w:ascii="Times New Roman" w:hAnsi="Times New Roman"/>
          <w:sz w:val="24"/>
          <w:szCs w:val="24"/>
          <w:lang w:eastAsia="sk-SK"/>
        </w:rPr>
        <w:t>í</w:t>
      </w:r>
      <w:r w:rsidR="00E72281">
        <w:rPr>
          <w:rFonts w:ascii="Times New Roman" w:hAnsi="Times New Roman"/>
          <w:sz w:val="24"/>
          <w:szCs w:val="24"/>
          <w:lang w:eastAsia="sk-SK"/>
        </w:rPr>
        <w:t xml:space="preserve">, ktorá má byť podmienkou možnosti </w:t>
      </w:r>
      <w:r w:rsidR="00893025">
        <w:rPr>
          <w:rFonts w:ascii="Times New Roman" w:hAnsi="Times New Roman"/>
          <w:sz w:val="24"/>
          <w:szCs w:val="24"/>
          <w:lang w:eastAsia="sk-SK"/>
        </w:rPr>
        <w:t xml:space="preserve"> finančne</w:t>
      </w:r>
      <w:r w:rsidR="00E72281">
        <w:rPr>
          <w:rFonts w:ascii="Times New Roman" w:hAnsi="Times New Roman"/>
          <w:sz w:val="24"/>
          <w:szCs w:val="24"/>
          <w:lang w:eastAsia="sk-SK"/>
        </w:rPr>
        <w:t>j</w:t>
      </w:r>
      <w:r w:rsidR="00893025">
        <w:rPr>
          <w:rFonts w:ascii="Times New Roman" w:hAnsi="Times New Roman"/>
          <w:sz w:val="24"/>
          <w:szCs w:val="24"/>
          <w:lang w:eastAsia="sk-SK"/>
        </w:rPr>
        <w:t xml:space="preserve"> podpor</w:t>
      </w:r>
      <w:r w:rsidR="00E72281">
        <w:rPr>
          <w:rFonts w:ascii="Times New Roman" w:hAnsi="Times New Roman"/>
          <w:sz w:val="24"/>
          <w:szCs w:val="24"/>
          <w:lang w:eastAsia="sk-SK"/>
        </w:rPr>
        <w:t>y</w:t>
      </w:r>
      <w:r w:rsidR="00893025">
        <w:rPr>
          <w:rFonts w:ascii="Times New Roman" w:hAnsi="Times New Roman"/>
          <w:sz w:val="24"/>
          <w:szCs w:val="24"/>
          <w:lang w:eastAsia="sk-SK"/>
        </w:rPr>
        <w:t xml:space="preserve"> zo štrukturálnych fondov EU </w:t>
      </w:r>
      <w:r w:rsidR="00AF24CC">
        <w:rPr>
          <w:rFonts w:ascii="Times New Roman" w:hAnsi="Times New Roman"/>
          <w:sz w:val="24"/>
          <w:szCs w:val="24"/>
          <w:lang w:eastAsia="sk-SK"/>
        </w:rPr>
        <w:t>je 20 detí do troch rokov</w:t>
      </w:r>
      <w:r w:rsidR="00E72281">
        <w:rPr>
          <w:rFonts w:ascii="Times New Roman" w:hAnsi="Times New Roman"/>
          <w:sz w:val="24"/>
          <w:szCs w:val="24"/>
          <w:lang w:eastAsia="sk-SK"/>
        </w:rPr>
        <w:t xml:space="preserve"> na jedno zariadenie</w:t>
      </w:r>
      <w:r w:rsidR="00AF24CC">
        <w:rPr>
          <w:rFonts w:ascii="Times New Roman" w:hAnsi="Times New Roman"/>
          <w:sz w:val="24"/>
          <w:szCs w:val="24"/>
          <w:lang w:eastAsia="sk-SK"/>
        </w:rPr>
        <w:t>, t. j. maximálna kapacit</w:t>
      </w:r>
      <w:r w:rsidR="00893025">
        <w:rPr>
          <w:rFonts w:ascii="Times New Roman" w:hAnsi="Times New Roman"/>
          <w:sz w:val="24"/>
          <w:szCs w:val="24"/>
          <w:lang w:eastAsia="sk-SK"/>
        </w:rPr>
        <w:t>a pre 90 zariadení je 1800 detí, v</w:t>
      </w:r>
      <w:r w:rsidR="00AF24CC">
        <w:rPr>
          <w:rFonts w:ascii="Times New Roman" w:hAnsi="Times New Roman"/>
          <w:sz w:val="24"/>
          <w:szCs w:val="24"/>
          <w:lang w:eastAsia="sk-SK"/>
        </w:rPr>
        <w:t>zh</w:t>
      </w:r>
      <w:r w:rsidR="00893025">
        <w:rPr>
          <w:rFonts w:ascii="Times New Roman" w:hAnsi="Times New Roman"/>
          <w:sz w:val="24"/>
          <w:szCs w:val="24"/>
          <w:lang w:eastAsia="sk-SK"/>
        </w:rPr>
        <w:t>ľadom na to, že v tomto prípade</w:t>
      </w:r>
      <w:r w:rsidR="00AF24CC">
        <w:rPr>
          <w:rFonts w:ascii="Times New Roman" w:hAnsi="Times New Roman"/>
          <w:sz w:val="24"/>
          <w:szCs w:val="24"/>
          <w:lang w:eastAsia="sk-SK"/>
        </w:rPr>
        <w:t xml:space="preserve"> môže ísť o rôzne výšky investícií, nakoľko ide o kapitálové výdavky, či už pôjde o zakúpenie budovy, alebo rekonštrukcia objektu atď. </w:t>
      </w:r>
    </w:p>
    <w:p w:rsidR="00893025" w:rsidP="00AF24C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333F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="00AF24CC">
        <w:rPr>
          <w:rFonts w:ascii="Times New Roman" w:hAnsi="Times New Roman"/>
          <w:sz w:val="24"/>
          <w:szCs w:val="24"/>
          <w:lang w:eastAsia="sk-SK"/>
        </w:rPr>
        <w:t>V prípade zabezpečenia rozvoja služieb</w:t>
      </w:r>
      <w:r w:rsidR="00893025">
        <w:rPr>
          <w:rFonts w:ascii="Times New Roman" w:hAnsi="Times New Roman"/>
          <w:sz w:val="24"/>
          <w:szCs w:val="24"/>
          <w:lang w:eastAsia="sk-SK"/>
        </w:rPr>
        <w:t xml:space="preserve"> na podporu rodiny s deťmi</w:t>
      </w:r>
      <w:r w:rsidR="00AF24CC">
        <w:rPr>
          <w:rFonts w:ascii="Times New Roman" w:hAnsi="Times New Roman"/>
          <w:sz w:val="24"/>
          <w:szCs w:val="24"/>
          <w:lang w:eastAsia="sk-SK"/>
        </w:rPr>
        <w:t xml:space="preserve"> prostredníctvom finančných prostriedkov v rámci OP Ľudské zdroje táto alokácia sa tiež odvíja od počtu zariadení </w:t>
      </w:r>
      <w:r w:rsidR="00893025">
        <w:rPr>
          <w:rFonts w:ascii="Times New Roman" w:hAnsi="Times New Roman"/>
          <w:sz w:val="24"/>
          <w:szCs w:val="24"/>
          <w:lang w:eastAsia="sk-SK"/>
        </w:rPr>
        <w:t>starostlivosti o deti do troch rokov veku</w:t>
      </w:r>
      <w:r w:rsidR="00E72281">
        <w:rPr>
          <w:rFonts w:ascii="Times New Roman" w:hAnsi="Times New Roman"/>
          <w:sz w:val="24"/>
          <w:szCs w:val="24"/>
          <w:lang w:eastAsia="sk-SK"/>
        </w:rPr>
        <w:t>, ako aj od požiadaviek na rozvoj ľudských zdrojov u existujúcich poskytovateľov sociálnych služieb na podporu zosúlaďovania rodinného života a pracovného života.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Sect="00DA20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C076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P="00C518C5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4 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53480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453480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AE250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2 955 882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1F7C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F7CEC" w:rsidRPr="007D5748" w:rsidP="001F7CE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F7CEC" w:rsidRPr="007D5748" w:rsidP="0080082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MPR</w:t>
            </w:r>
            <w:r w:rsidR="0080082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503" w:rsidRPr="007D5748" w:rsidP="00AE250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503" w:rsidRPr="007D5748" w:rsidP="00AE250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7 096 865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503" w:rsidRPr="007D5748" w:rsidP="00AE250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7 096 865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503" w:rsidRPr="007D5748" w:rsidP="00AE250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7 096 865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2503" w:rsidRPr="007D5748" w:rsidP="00AE250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7 096 865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E2503" w:rsidRPr="007D5748" w:rsidP="00AE250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F7CEC" w:rsidRPr="007D5748" w:rsidP="00DA203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F7CEC" w:rsidRPr="007D5748" w:rsidP="00DA2033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2C0761" w:rsidRPr="007D5748" w:rsidP="002C07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2C0761" w:rsidRPr="007D5748" w:rsidP="002C0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CB3623" w:rsidP="001F7CEC">
      <w:pPr>
        <w:bidi w:val="0"/>
        <w:spacing w:after="0" w:line="240" w:lineRule="auto"/>
        <w:jc w:val="center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455E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F5CD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9F5CD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9F5CD8" w:rsidRPr="00EB59C8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D8" w:rsidRPr="000A15AE" w:rsidP="0067171B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0D9"/>
    <w:multiLevelType w:val="hybridMultilevel"/>
    <w:tmpl w:val="E7B6CE3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12E3"/>
    <w:multiLevelType w:val="hybridMultilevel"/>
    <w:tmpl w:val="EDB84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3708"/>
    <w:rsid w:val="00006153"/>
    <w:rsid w:val="00035EB6"/>
    <w:rsid w:val="00057135"/>
    <w:rsid w:val="00092693"/>
    <w:rsid w:val="000A15AE"/>
    <w:rsid w:val="000A1850"/>
    <w:rsid w:val="000F3180"/>
    <w:rsid w:val="0010264C"/>
    <w:rsid w:val="001127A8"/>
    <w:rsid w:val="001455E8"/>
    <w:rsid w:val="00170D2B"/>
    <w:rsid w:val="00173930"/>
    <w:rsid w:val="001D43D7"/>
    <w:rsid w:val="001F7CEC"/>
    <w:rsid w:val="00200898"/>
    <w:rsid w:val="00212894"/>
    <w:rsid w:val="00213D80"/>
    <w:rsid w:val="0024067A"/>
    <w:rsid w:val="002450B2"/>
    <w:rsid w:val="002520CD"/>
    <w:rsid w:val="002521F3"/>
    <w:rsid w:val="0029622C"/>
    <w:rsid w:val="002C0761"/>
    <w:rsid w:val="002D6065"/>
    <w:rsid w:val="002E585C"/>
    <w:rsid w:val="002F2D41"/>
    <w:rsid w:val="00317B90"/>
    <w:rsid w:val="00326E1E"/>
    <w:rsid w:val="003325CF"/>
    <w:rsid w:val="00333F83"/>
    <w:rsid w:val="00371782"/>
    <w:rsid w:val="003E251D"/>
    <w:rsid w:val="00437C31"/>
    <w:rsid w:val="00453480"/>
    <w:rsid w:val="00460F6A"/>
    <w:rsid w:val="00480D6B"/>
    <w:rsid w:val="00487203"/>
    <w:rsid w:val="004D4411"/>
    <w:rsid w:val="004F15AB"/>
    <w:rsid w:val="005005EC"/>
    <w:rsid w:val="005030C0"/>
    <w:rsid w:val="00504CDA"/>
    <w:rsid w:val="00513625"/>
    <w:rsid w:val="0052454B"/>
    <w:rsid w:val="005B2F79"/>
    <w:rsid w:val="005C2160"/>
    <w:rsid w:val="006453CC"/>
    <w:rsid w:val="00646E56"/>
    <w:rsid w:val="00663446"/>
    <w:rsid w:val="0067171B"/>
    <w:rsid w:val="007057B5"/>
    <w:rsid w:val="007246BD"/>
    <w:rsid w:val="00732054"/>
    <w:rsid w:val="00740E1C"/>
    <w:rsid w:val="0074117F"/>
    <w:rsid w:val="00783CCF"/>
    <w:rsid w:val="007A0186"/>
    <w:rsid w:val="007A54AE"/>
    <w:rsid w:val="007A763E"/>
    <w:rsid w:val="007D5748"/>
    <w:rsid w:val="007F4426"/>
    <w:rsid w:val="0080082B"/>
    <w:rsid w:val="008863FE"/>
    <w:rsid w:val="00893025"/>
    <w:rsid w:val="008D339D"/>
    <w:rsid w:val="008E2736"/>
    <w:rsid w:val="008E5D8F"/>
    <w:rsid w:val="009706B7"/>
    <w:rsid w:val="00972789"/>
    <w:rsid w:val="009B1B4B"/>
    <w:rsid w:val="009D2403"/>
    <w:rsid w:val="009E33AE"/>
    <w:rsid w:val="009F5CD8"/>
    <w:rsid w:val="00AA1AC3"/>
    <w:rsid w:val="00AC612D"/>
    <w:rsid w:val="00AD0061"/>
    <w:rsid w:val="00AE2503"/>
    <w:rsid w:val="00AE3F71"/>
    <w:rsid w:val="00AF24CC"/>
    <w:rsid w:val="00B00026"/>
    <w:rsid w:val="00B37C64"/>
    <w:rsid w:val="00B505FE"/>
    <w:rsid w:val="00B5535C"/>
    <w:rsid w:val="00B92ECB"/>
    <w:rsid w:val="00BB43BE"/>
    <w:rsid w:val="00BB6567"/>
    <w:rsid w:val="00BF222E"/>
    <w:rsid w:val="00C15212"/>
    <w:rsid w:val="00C518C5"/>
    <w:rsid w:val="00C51FD4"/>
    <w:rsid w:val="00C55017"/>
    <w:rsid w:val="00C63791"/>
    <w:rsid w:val="00C846A6"/>
    <w:rsid w:val="00CA47AB"/>
    <w:rsid w:val="00CB3623"/>
    <w:rsid w:val="00CB3AE0"/>
    <w:rsid w:val="00CE299A"/>
    <w:rsid w:val="00CE377B"/>
    <w:rsid w:val="00D20F0E"/>
    <w:rsid w:val="00D300A6"/>
    <w:rsid w:val="00D612A9"/>
    <w:rsid w:val="00D63E94"/>
    <w:rsid w:val="00D66425"/>
    <w:rsid w:val="00D76224"/>
    <w:rsid w:val="00D82048"/>
    <w:rsid w:val="00DA2033"/>
    <w:rsid w:val="00DB3B80"/>
    <w:rsid w:val="00DE087B"/>
    <w:rsid w:val="00DE5BF1"/>
    <w:rsid w:val="00DF5F2A"/>
    <w:rsid w:val="00E01735"/>
    <w:rsid w:val="00E07CE9"/>
    <w:rsid w:val="00E36047"/>
    <w:rsid w:val="00E72281"/>
    <w:rsid w:val="00E963A3"/>
    <w:rsid w:val="00E97705"/>
    <w:rsid w:val="00EA1E90"/>
    <w:rsid w:val="00EB59C8"/>
    <w:rsid w:val="00EB6817"/>
    <w:rsid w:val="00ED1B42"/>
    <w:rsid w:val="00F26540"/>
    <w:rsid w:val="00F31A34"/>
    <w:rsid w:val="00F37360"/>
    <w:rsid w:val="00F40136"/>
    <w:rsid w:val="00F62336"/>
    <w:rsid w:val="00F951B2"/>
    <w:rsid w:val="00FA33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213D8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">
    <w:name w:val="Body Text"/>
    <w:basedOn w:val="Normal"/>
    <w:link w:val="ZkladntextChar"/>
    <w:uiPriority w:val="99"/>
    <w:rsid w:val="00453480"/>
    <w:pPr>
      <w:spacing w:after="0" w:line="240" w:lineRule="auto"/>
      <w:jc w:val="left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53480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97705"/>
    <w:pPr>
      <w:ind w:left="720"/>
      <w:contextualSpacing/>
      <w:jc w:val="left"/>
    </w:pPr>
    <w:rPr>
      <w:rFonts w:eastAsiaTheme="minorEastAsia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9</Pages>
  <Words>2818</Words>
  <Characters>16063</Characters>
  <Application>Microsoft Office Word</Application>
  <DocSecurity>0</DocSecurity>
  <Lines>0</Lines>
  <Paragraphs>0</Paragraphs>
  <ScaleCrop>false</ScaleCrop>
  <Company>MH SR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5</cp:revision>
  <cp:lastPrinted>2016-08-03T09:47:00Z</cp:lastPrinted>
  <dcterms:created xsi:type="dcterms:W3CDTF">2016-09-12T07:16:00Z</dcterms:created>
  <dcterms:modified xsi:type="dcterms:W3CDTF">2016-09-21T10:50:00Z</dcterms:modified>
</cp:coreProperties>
</file>