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3501A1" w:rsidRPr="00BF3078"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rPr>
            </w:pPr>
          </w:p>
          <w:p w:rsidR="009D288D" w:rsidRPr="009D288D" w:rsidP="009D288D">
            <w:pPr>
              <w:autoSpaceDE w:val="0"/>
              <w:autoSpaceDN w:val="0"/>
              <w:bidi w:val="0"/>
              <w:adjustRightInd w:val="0"/>
              <w:jc w:val="both"/>
              <w:rPr>
                <w:rFonts w:ascii="Times New Roman" w:hAnsi="Times New Roman"/>
                <w:sz w:val="24"/>
                <w:szCs w:val="24"/>
              </w:rPr>
            </w:pPr>
            <w:r w:rsidR="00051E2F">
              <w:rPr>
                <w:rFonts w:ascii="Times New Roman" w:hAnsi="Times New Roman"/>
                <w:sz w:val="24"/>
                <w:szCs w:val="24"/>
                <w:lang w:eastAsia="en-US"/>
              </w:rPr>
              <w:t>Vládny n</w:t>
            </w:r>
            <w:r w:rsidRPr="009D288D" w:rsidR="00FA264A">
              <w:rPr>
                <w:rFonts w:ascii="Times New Roman" w:hAnsi="Times New Roman"/>
                <w:sz w:val="24"/>
                <w:szCs w:val="24"/>
                <w:lang w:eastAsia="en-US"/>
              </w:rPr>
              <w:t xml:space="preserve">ávrh zákona, ktorým sa mení a dopĺňa </w:t>
            </w:r>
            <w:r w:rsidRPr="009D288D">
              <w:rPr>
                <w:rFonts w:ascii="Times New Roman" w:hAnsi="Times New Roman"/>
                <w:sz w:val="24"/>
                <w:szCs w:val="24"/>
              </w:rPr>
              <w:t xml:space="preserve">zákon č. 448/2008 Z. z. o sociálnych službách   a o zmene a doplnení zákona 455/1991 Zb. o živnostenskom podnikaní (živnostenský zákon) v znení neskorších predpisov v znení neskorších predpisov a ktorým sa mení zákon </w:t>
            </w:r>
            <w:r w:rsidR="007D6880">
              <w:rPr>
                <w:rFonts w:ascii="Times New Roman" w:hAnsi="Times New Roman"/>
                <w:sz w:val="24"/>
                <w:szCs w:val="24"/>
              </w:rPr>
              <w:t xml:space="preserve"> </w:t>
            </w:r>
            <w:r w:rsidRPr="009D288D">
              <w:rPr>
                <w:rFonts w:ascii="Times New Roman" w:hAnsi="Times New Roman"/>
                <w:sz w:val="24"/>
                <w:szCs w:val="24"/>
              </w:rPr>
              <w:t>č. 355/2007 Z. z. o ochrane, podpore a rozvoji verejného zdravia a o zmene a doplnení niektorých zákonov v znení neskorších predpisov</w:t>
            </w:r>
          </w:p>
          <w:p w:rsidR="003501A1" w:rsidRPr="00A179AE" w:rsidP="009D288D">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A834D6">
            <w:pPr>
              <w:bidi w:val="0"/>
              <w:rPr>
                <w:rFonts w:ascii="Times New Roman" w:hAnsi="Times New Roman"/>
              </w:rPr>
            </w:pPr>
            <w:r w:rsidRPr="00D6222C" w:rsidR="00FA264A">
              <w:rPr>
                <w:rFonts w:ascii="Times New Roman" w:hAnsi="Times New Roman"/>
                <w:sz w:val="24"/>
                <w:szCs w:val="24"/>
                <w:lang w:eastAsia="en-US"/>
              </w:rPr>
              <w:t>M</w:t>
            </w:r>
            <w:r w:rsidRPr="00D6222C" w:rsidR="00A834D6">
              <w:rPr>
                <w:rFonts w:ascii="Times New Roman" w:hAnsi="Times New Roman"/>
                <w:sz w:val="24"/>
                <w:szCs w:val="24"/>
                <w:lang w:eastAsia="en-US"/>
              </w:rPr>
              <w:t xml:space="preserve">inisterstvo práce,  sociálnych vecí a rodiny </w:t>
            </w:r>
            <w:r w:rsidRPr="00D6222C" w:rsidR="00FA264A">
              <w:rPr>
                <w:rFonts w:ascii="Times New Roman" w:hAnsi="Times New Roman"/>
                <w:sz w:val="24"/>
                <w:szCs w:val="24"/>
                <w:lang w:eastAsia="en-US"/>
              </w:rPr>
              <w:t>SR</w:t>
            </w:r>
            <w:r w:rsidR="00FA264A">
              <w:rPr>
                <w:rFonts w:ascii="Times New Roman" w:hAnsi="Times New Roman"/>
              </w:rPr>
              <w:t xml:space="preserve"> </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7B71A4">
            <w:pPr>
              <w:pStyle w:val="ListParagraph"/>
              <w:bidi w:val="0"/>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63020A">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V prípade transpozície uveďte zoznam transponovaných predpisov:</w:t>
            </w:r>
          </w:p>
          <w:p w:rsidR="003501A1" w:rsidRPr="00A179AE" w:rsidP="007B71A4">
            <w:pPr>
              <w:bidi w:val="0"/>
              <w:rPr>
                <w:rFonts w:ascii="Times New Roman" w:hAnsi="Times New Roman"/>
              </w:rPr>
            </w:pPr>
          </w:p>
          <w:p w:rsidR="003501A1" w:rsidRPr="00A179AE" w:rsidP="007B71A4">
            <w:pPr>
              <w:bidi w:val="0"/>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A179AE" w:rsidP="001C5EDD">
            <w:pPr>
              <w:bidi w:val="0"/>
              <w:rPr>
                <w:rFonts w:ascii="Times New Roman" w:hAnsi="Times New Roman"/>
                <w:i/>
              </w:rPr>
            </w:pPr>
            <w:r w:rsidR="001C5EDD">
              <w:rPr>
                <w:rFonts w:ascii="Times New Roman" w:hAnsi="Times New Roman"/>
                <w:i/>
              </w:rPr>
              <w:t>19</w:t>
            </w:r>
            <w:r w:rsidR="002431D0">
              <w:rPr>
                <w:rFonts w:ascii="Times New Roman" w:hAnsi="Times New Roman"/>
                <w:i/>
              </w:rPr>
              <w:t>.7</w:t>
            </w:r>
            <w:r w:rsidR="002D4931">
              <w:rPr>
                <w:rFonts w:ascii="Times New Roman" w:hAnsi="Times New Roman"/>
                <w:i/>
              </w:rPr>
              <w:t>.</w:t>
            </w:r>
            <w:r w:rsidR="002431D0">
              <w:rPr>
                <w:rFonts w:ascii="Times New Roman" w:hAnsi="Times New Roman"/>
                <w:i/>
              </w:rPr>
              <w:t>-</w:t>
            </w:r>
            <w:r w:rsidR="002D4931">
              <w:rPr>
                <w:rFonts w:ascii="Times New Roman" w:hAnsi="Times New Roman"/>
                <w:i/>
              </w:rPr>
              <w:t xml:space="preserve"> </w:t>
            </w:r>
            <w:r w:rsidR="001C5EDD">
              <w:rPr>
                <w:rFonts w:ascii="Times New Roman" w:hAnsi="Times New Roman"/>
                <w:i/>
              </w:rPr>
              <w:t>2</w:t>
            </w:r>
            <w:r w:rsidR="002431D0">
              <w:rPr>
                <w:rFonts w:ascii="Times New Roman" w:hAnsi="Times New Roman"/>
                <w:i/>
              </w:rPr>
              <w:t>.8.2016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Predpokladaný termín predloženia na MPK</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2431D0" w:rsidRPr="00A179AE" w:rsidP="00001951">
            <w:pPr>
              <w:bidi w:val="0"/>
              <w:rPr>
                <w:rFonts w:ascii="Times New Roman" w:hAnsi="Times New Roman"/>
                <w:i/>
              </w:rPr>
            </w:pPr>
            <w:r w:rsidR="00001951">
              <w:rPr>
                <w:rFonts w:ascii="Times New Roman" w:hAnsi="Times New Roman"/>
                <w:i/>
              </w:rPr>
              <w:t>5</w:t>
            </w:r>
            <w:r>
              <w:rPr>
                <w:rFonts w:ascii="Times New Roman" w:hAnsi="Times New Roman"/>
                <w:i/>
              </w:rPr>
              <w:t>.8. - 2</w:t>
            </w:r>
            <w:r w:rsidR="00001951">
              <w:rPr>
                <w:rFonts w:ascii="Times New Roman" w:hAnsi="Times New Roman"/>
                <w:i/>
              </w:rPr>
              <w:t>6</w:t>
            </w:r>
            <w:r>
              <w:rPr>
                <w:rFonts w:ascii="Times New Roman" w:hAnsi="Times New Roman"/>
                <w:i/>
              </w:rPr>
              <w:t>.8.2016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Predpokladaný termín predloženia na Rokovanie vlády SR</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i/>
              </w:rPr>
            </w:pPr>
            <w:r w:rsidR="002431D0">
              <w:rPr>
                <w:rFonts w:ascii="Times New Roman" w:hAnsi="Times New Roman"/>
                <w:i/>
              </w:rPr>
              <w:t>19.9.2016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Defin</w:t>
            </w:r>
            <w:r w:rsidR="00AC2477">
              <w:rPr>
                <w:rFonts w:ascii="Times New Roman" w:hAnsi="Times New Roman"/>
                <w:b/>
              </w:rPr>
              <w:t>ovanie</w:t>
            </w:r>
            <w:r w:rsidRPr="00A179AE">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New Roman" w:hAnsi="Times New Roman"/>
                <w:i/>
              </w:rPr>
            </w:pPr>
            <w:r w:rsidRPr="00A179AE">
              <w:rPr>
                <w:rFonts w:ascii="Times New Roman" w:hAnsi="Times New Roman"/>
                <w:i/>
              </w:rPr>
              <w:t>Uveďte základné problémy, na ktoré navrhovaná regulácia reaguje.</w:t>
            </w:r>
            <w:r w:rsidR="00EA00C8">
              <w:rPr>
                <w:rFonts w:ascii="Times New Roman" w:hAnsi="Times New Roman"/>
                <w:i/>
              </w:rPr>
              <w:t xml:space="preserve"> </w:t>
            </w:r>
          </w:p>
          <w:p w:rsidR="00EA00C8" w:rsidRPr="00A179AE" w:rsidP="007B71A4">
            <w:pPr>
              <w:bidi w:val="0"/>
              <w:rPr>
                <w:rFonts w:ascii="Times New Roman" w:hAnsi="Times New Roman"/>
                <w:i/>
              </w:rPr>
            </w:pPr>
          </w:p>
          <w:p w:rsidR="009B233A" w:rsidRPr="009D288D" w:rsidP="009D288D">
            <w:pPr>
              <w:autoSpaceDE w:val="0"/>
              <w:autoSpaceDN w:val="0"/>
              <w:bidi w:val="0"/>
              <w:adjustRightInd w:val="0"/>
              <w:jc w:val="both"/>
              <w:rPr>
                <w:rFonts w:ascii="Times New Roman" w:hAnsi="Times New Roman"/>
                <w:sz w:val="24"/>
                <w:szCs w:val="24"/>
              </w:rPr>
            </w:pPr>
            <w:r w:rsidRPr="009D288D">
              <w:rPr>
                <w:rFonts w:ascii="Times New Roman" w:hAnsi="Times New Roman"/>
                <w:sz w:val="24"/>
                <w:szCs w:val="24"/>
              </w:rPr>
              <w:t xml:space="preserve">V rámci právnej úpravy sociálnych služieb sa novo vymedzí zameranie sociálnych služieb aj na podporu zosúlaďovania rodinného života a pracovného života. Ako sociálna služba podľa zákona č. </w:t>
            </w:r>
            <w:r w:rsidRPr="009D288D" w:rsidR="009D288D">
              <w:rPr>
                <w:rFonts w:ascii="Times New Roman" w:hAnsi="Times New Roman"/>
                <w:sz w:val="24"/>
                <w:szCs w:val="24"/>
              </w:rPr>
              <w:t xml:space="preserve">448/2008 Z. z. o sociálnych službách   a o zmene a doplnení zákona 455/1991 Zb. o živnostenskom podnikaní (živnostenský zákon) v znení neskorších predpisov v znení neskorších predpisov </w:t>
            </w:r>
            <w:r w:rsidRPr="009D288D">
              <w:rPr>
                <w:rFonts w:ascii="Times New Roman" w:hAnsi="Times New Roman"/>
                <w:sz w:val="24"/>
                <w:szCs w:val="24"/>
              </w:rPr>
              <w:t>sa poskytuje starostlivosť o dieťa do troch rokov veku, alebo do šiestich rokov veku, ak ide o dieťa s dlhodobo nepriaznivým zdravotným stavom najmä v čase, keď rodič alebo iná osoba, ktorá má toto dieťa zverené do osobnej starostlivosti, vykonáva zárobkovú činnosť alebo študuje na strednej škole alebo vysokej škole alebo sa pripravuje na trh práce a vykonáva činnosti súvisiace so vstupom na trh práce a z tohto dôvodu nemôže poskytovať osobnú starostlivosť dieťaťu.  Služb</w:t>
            </w:r>
            <w:r w:rsidRPr="009D288D" w:rsidR="002431D0">
              <w:rPr>
                <w:rFonts w:ascii="Times New Roman" w:hAnsi="Times New Roman"/>
                <w:sz w:val="24"/>
                <w:szCs w:val="24"/>
              </w:rPr>
              <w:t>a</w:t>
            </w:r>
            <w:r w:rsidRPr="009D288D">
              <w:rPr>
                <w:rFonts w:ascii="Times New Roman" w:hAnsi="Times New Roman"/>
                <w:sz w:val="24"/>
                <w:szCs w:val="24"/>
              </w:rPr>
              <w:t xml:space="preserve"> starostlivosti o dieťa </w:t>
            </w:r>
            <w:r w:rsidRPr="009D288D" w:rsidR="00EC6BA9">
              <w:rPr>
                <w:rFonts w:ascii="Times New Roman" w:hAnsi="Times New Roman"/>
                <w:sz w:val="24"/>
                <w:szCs w:val="24"/>
              </w:rPr>
              <w:t xml:space="preserve">sa bude poskytovať </w:t>
            </w:r>
            <w:r w:rsidRPr="009D288D">
              <w:rPr>
                <w:rFonts w:ascii="Times New Roman" w:hAnsi="Times New Roman"/>
                <w:sz w:val="24"/>
                <w:szCs w:val="24"/>
              </w:rPr>
              <w:t>terénnou formou (opatrovateľ detí poskytujúci starostlivosť o dieťa v domácom prostredí dieťaťa, alebo ambulantnou formou sociálnej služby (opatrovateľ detí poskytujúci starostlivosť o deti vo svojom domácom prostredí, alebo v zariadení starostlivosti o</w:t>
            </w:r>
            <w:r w:rsidRPr="009D288D" w:rsidR="00945844">
              <w:rPr>
                <w:rFonts w:ascii="Times New Roman" w:hAnsi="Times New Roman"/>
                <w:sz w:val="24"/>
                <w:szCs w:val="24"/>
              </w:rPr>
              <w:t> </w:t>
            </w:r>
            <w:r w:rsidRPr="009D288D">
              <w:rPr>
                <w:rFonts w:ascii="Times New Roman" w:hAnsi="Times New Roman"/>
                <w:sz w:val="24"/>
                <w:szCs w:val="24"/>
              </w:rPr>
              <w:t>deti</w:t>
            </w:r>
            <w:r w:rsidRPr="009D288D" w:rsidR="00945844">
              <w:rPr>
                <w:rFonts w:ascii="Times New Roman" w:hAnsi="Times New Roman"/>
                <w:sz w:val="24"/>
                <w:szCs w:val="24"/>
              </w:rPr>
              <w:t xml:space="preserve"> do troch rokov veku dieťaťa</w:t>
            </w:r>
            <w:r w:rsidRPr="009D288D">
              <w:rPr>
                <w:rFonts w:ascii="Times New Roman" w:hAnsi="Times New Roman"/>
                <w:sz w:val="24"/>
                <w:szCs w:val="24"/>
              </w:rPr>
              <w:t xml:space="preserve">). </w:t>
            </w:r>
          </w:p>
          <w:p w:rsidR="00EA00C8" w:rsidP="009B233A">
            <w:pPr>
              <w:autoSpaceDE w:val="0"/>
              <w:autoSpaceDN w:val="0"/>
              <w:bidi w:val="0"/>
              <w:ind w:firstLine="708"/>
              <w:jc w:val="both"/>
              <w:rPr>
                <w:rFonts w:ascii="Times New Roman" w:hAnsi="Times New Roman"/>
                <w:sz w:val="24"/>
                <w:szCs w:val="24"/>
                <w:lang w:eastAsia="en-US"/>
              </w:rPr>
            </w:pPr>
          </w:p>
          <w:p w:rsidR="00EA00C8" w:rsidP="00EA00C8">
            <w:pPr>
              <w:autoSpaceDE w:val="0"/>
              <w:autoSpaceDN w:val="0"/>
              <w:bidi w:val="0"/>
              <w:jc w:val="both"/>
              <w:rPr>
                <w:rFonts w:ascii="Times New Roman" w:hAnsi="Times New Roman"/>
                <w:sz w:val="24"/>
                <w:szCs w:val="24"/>
                <w:lang w:eastAsia="en-US"/>
              </w:rPr>
            </w:pPr>
            <w:r w:rsidRPr="00EA00C8">
              <w:rPr>
                <w:rFonts w:ascii="Times New Roman" w:hAnsi="Times New Roman"/>
                <w:sz w:val="24"/>
                <w:szCs w:val="24"/>
                <w:lang w:eastAsia="en-US"/>
              </w:rPr>
              <w:t xml:space="preserve">V záujme odstránenia problémov interpretačnej a aplikačnej praxe </w:t>
            </w:r>
            <w:r>
              <w:rPr>
                <w:rFonts w:ascii="Times New Roman" w:hAnsi="Times New Roman"/>
                <w:sz w:val="24"/>
                <w:szCs w:val="24"/>
                <w:lang w:eastAsia="en-US"/>
              </w:rPr>
              <w:t xml:space="preserve">sa navrhujú </w:t>
            </w:r>
            <w:r w:rsidRPr="00EA00C8">
              <w:rPr>
                <w:rFonts w:ascii="Times New Roman" w:hAnsi="Times New Roman"/>
                <w:sz w:val="24"/>
                <w:szCs w:val="24"/>
                <w:lang w:eastAsia="en-US"/>
              </w:rPr>
              <w:t>prijať zmeny a doplnenia na zabezpečenie účelnosti a efektívnosti spolufinancovania denných stacionárov zo štátneho rozpočtu prostredníctvom rozpočtovej kapitoly MPSVR SR.</w:t>
            </w:r>
          </w:p>
          <w:p w:rsidR="00BB3D47" w:rsidP="00EA00C8">
            <w:pPr>
              <w:autoSpaceDE w:val="0"/>
              <w:autoSpaceDN w:val="0"/>
              <w:bidi w:val="0"/>
              <w:jc w:val="both"/>
              <w:rPr>
                <w:rFonts w:ascii="Times New Roman" w:hAnsi="Times New Roman"/>
                <w:sz w:val="24"/>
                <w:szCs w:val="24"/>
                <w:lang w:eastAsia="en-US"/>
              </w:rPr>
            </w:pPr>
          </w:p>
          <w:p w:rsidR="00BB3D47" w:rsidRPr="00D6222C" w:rsidP="00EA00C8">
            <w:pPr>
              <w:autoSpaceDE w:val="0"/>
              <w:autoSpaceDN w:val="0"/>
              <w:bidi w:val="0"/>
              <w:jc w:val="both"/>
              <w:rPr>
                <w:rFonts w:ascii="Times New Roman" w:hAnsi="Times New Roman"/>
                <w:sz w:val="24"/>
                <w:szCs w:val="24"/>
                <w:lang w:eastAsia="en-US"/>
              </w:rPr>
            </w:pPr>
          </w:p>
          <w:p w:rsidR="003501A1" w:rsidRPr="00A179AE" w:rsidP="007B71A4">
            <w:pPr>
              <w:bidi w:val="0"/>
              <w:rPr>
                <w:rFonts w:ascii="Times New Roman" w:hAnsi="Times New Roman"/>
                <w:b/>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New Roman" w:hAnsi="Times New Roman"/>
                <w:i/>
              </w:rPr>
            </w:pPr>
            <w:r w:rsidRPr="00A179AE">
              <w:rPr>
                <w:rFonts w:ascii="Times New Roman" w:hAnsi="Times New Roman"/>
                <w:i/>
              </w:rPr>
              <w:t>Uveďte hlavné ciele navrhovaného predpisu (aký výsledný stav chcete reguláciou dosiahnuť).</w:t>
            </w:r>
          </w:p>
          <w:p w:rsidR="00EA00C8" w:rsidP="00EA00C8">
            <w:pPr>
              <w:bidi w:val="0"/>
              <w:jc w:val="both"/>
              <w:rPr>
                <w:rFonts w:ascii="Times New Roman" w:hAnsi="Times New Roman"/>
                <w:i/>
              </w:rPr>
            </w:pPr>
          </w:p>
          <w:p w:rsidR="00EC6BA9" w:rsidP="00EA00C8">
            <w:pPr>
              <w:bidi w:val="0"/>
              <w:jc w:val="both"/>
              <w:rPr>
                <w:rFonts w:ascii="Times New Roman" w:hAnsi="Times New Roman"/>
                <w:sz w:val="24"/>
                <w:szCs w:val="24"/>
                <w:lang w:eastAsia="en-US"/>
              </w:rPr>
            </w:pPr>
            <w:r w:rsidR="00EA00C8">
              <w:rPr>
                <w:rFonts w:ascii="Times New Roman" w:hAnsi="Times New Roman"/>
                <w:sz w:val="24"/>
                <w:szCs w:val="24"/>
                <w:lang w:eastAsia="en-US"/>
              </w:rPr>
              <w:t xml:space="preserve"> </w:t>
            </w:r>
            <w:r w:rsidRPr="00EC6BA9" w:rsidR="009B233A">
              <w:rPr>
                <w:rFonts w:ascii="Times New Roman" w:hAnsi="Times New Roman"/>
                <w:sz w:val="24"/>
                <w:szCs w:val="24"/>
                <w:lang w:eastAsia="en-US"/>
              </w:rPr>
              <w:t xml:space="preserve">Z hľadiska doterajšieho skutkového stavu je starostlivosť  </w:t>
            </w:r>
            <w:r>
              <w:rPr>
                <w:rFonts w:ascii="Times New Roman" w:hAnsi="Times New Roman"/>
                <w:sz w:val="24"/>
                <w:szCs w:val="24"/>
                <w:lang w:eastAsia="en-US"/>
              </w:rPr>
              <w:t xml:space="preserve">o deti poskytovaná v zariadeniach starostlivosti o deti, alebo fyzickou osobou poskytujúcou starostlivosť o dieťa bez právnej regulácie a sú realizované spravidla na základe živnostenského oprávnenia. </w:t>
            </w:r>
          </w:p>
          <w:p w:rsidR="003501A1" w:rsidP="00EA00C8">
            <w:pPr>
              <w:bidi w:val="0"/>
              <w:jc w:val="both"/>
              <w:rPr>
                <w:rFonts w:ascii="Times New Roman" w:hAnsi="Times New Roman"/>
                <w:sz w:val="24"/>
                <w:szCs w:val="24"/>
                <w:lang w:eastAsia="en-US"/>
              </w:rPr>
            </w:pPr>
            <w:r w:rsidRPr="00EC6BA9" w:rsidR="009B233A">
              <w:rPr>
                <w:rFonts w:ascii="Times New Roman" w:hAnsi="Times New Roman"/>
                <w:sz w:val="24"/>
                <w:szCs w:val="24"/>
                <w:lang w:eastAsia="en-US"/>
              </w:rPr>
              <w:t>V systéme sociálnych služieb sa týmto novo regulujú</w:t>
            </w:r>
            <w:r w:rsidR="00945844">
              <w:rPr>
                <w:rFonts w:ascii="Times New Roman" w:hAnsi="Times New Roman"/>
                <w:sz w:val="24"/>
                <w:szCs w:val="24"/>
                <w:lang w:eastAsia="en-US"/>
              </w:rPr>
              <w:t xml:space="preserve"> tieto služby, a to najmä z hľadiska vzniku oprávnenia na ich poskytovanie  </w:t>
            </w:r>
            <w:r w:rsidRPr="00EC6BA9" w:rsidR="009B233A">
              <w:rPr>
                <w:rFonts w:ascii="Times New Roman" w:hAnsi="Times New Roman"/>
                <w:sz w:val="24"/>
                <w:szCs w:val="24"/>
                <w:lang w:eastAsia="en-US"/>
              </w:rPr>
              <w:t xml:space="preserve"> zápis</w:t>
            </w:r>
            <w:r w:rsidR="00945844">
              <w:rPr>
                <w:rFonts w:ascii="Times New Roman" w:hAnsi="Times New Roman"/>
                <w:sz w:val="24"/>
                <w:szCs w:val="24"/>
                <w:lang w:eastAsia="en-US"/>
              </w:rPr>
              <w:t>om</w:t>
            </w:r>
            <w:r w:rsidRPr="00EC6BA9" w:rsidR="009B233A">
              <w:rPr>
                <w:rFonts w:ascii="Times New Roman" w:hAnsi="Times New Roman"/>
                <w:sz w:val="24"/>
                <w:szCs w:val="24"/>
                <w:lang w:eastAsia="en-US"/>
              </w:rPr>
              <w:t xml:space="preserve"> do registra poskytovateľov sociálnych služieb</w:t>
            </w:r>
            <w:r w:rsidR="00945844">
              <w:rPr>
                <w:rFonts w:ascii="Times New Roman" w:hAnsi="Times New Roman"/>
                <w:sz w:val="24"/>
                <w:szCs w:val="24"/>
                <w:lang w:eastAsia="en-US"/>
              </w:rPr>
              <w:t>, po splnení právnych podmienok,</w:t>
            </w:r>
            <w:r w:rsidRPr="00EC6BA9" w:rsidR="009B233A">
              <w:rPr>
                <w:rFonts w:ascii="Times New Roman" w:hAnsi="Times New Roman"/>
                <w:sz w:val="24"/>
                <w:szCs w:val="24"/>
                <w:lang w:eastAsia="en-US"/>
              </w:rPr>
              <w:t xml:space="preserve"> na príslušnom vyššom územnom celku, preukázani</w:t>
            </w:r>
            <w:r w:rsidR="00945844">
              <w:rPr>
                <w:rFonts w:ascii="Times New Roman" w:hAnsi="Times New Roman"/>
                <w:sz w:val="24"/>
                <w:szCs w:val="24"/>
                <w:lang w:eastAsia="en-US"/>
              </w:rPr>
              <w:t>a</w:t>
            </w:r>
            <w:r w:rsidRPr="00EC6BA9" w:rsidR="009B233A">
              <w:rPr>
                <w:rFonts w:ascii="Times New Roman" w:hAnsi="Times New Roman"/>
                <w:sz w:val="24"/>
                <w:szCs w:val="24"/>
                <w:lang w:eastAsia="en-US"/>
              </w:rPr>
              <w:t xml:space="preserve"> priestorových a hygienických podmienok,</w:t>
            </w:r>
            <w:r w:rsidR="00945844">
              <w:rPr>
                <w:rFonts w:ascii="Times New Roman" w:hAnsi="Times New Roman"/>
                <w:sz w:val="24"/>
                <w:szCs w:val="24"/>
                <w:lang w:eastAsia="en-US"/>
              </w:rPr>
              <w:t xml:space="preserve"> plnenia</w:t>
            </w:r>
            <w:r w:rsidRPr="00EC6BA9" w:rsidR="009B233A">
              <w:rPr>
                <w:rFonts w:ascii="Times New Roman" w:hAnsi="Times New Roman"/>
                <w:sz w:val="24"/>
                <w:szCs w:val="24"/>
                <w:lang w:eastAsia="en-US"/>
              </w:rPr>
              <w:t xml:space="preserve"> kvalifikačn</w:t>
            </w:r>
            <w:r w:rsidR="00945844">
              <w:rPr>
                <w:rFonts w:ascii="Times New Roman" w:hAnsi="Times New Roman"/>
                <w:sz w:val="24"/>
                <w:szCs w:val="24"/>
                <w:lang w:eastAsia="en-US"/>
              </w:rPr>
              <w:t>ých</w:t>
            </w:r>
            <w:r w:rsidRPr="00EC6BA9" w:rsidR="009B233A">
              <w:rPr>
                <w:rFonts w:ascii="Times New Roman" w:hAnsi="Times New Roman"/>
                <w:sz w:val="24"/>
                <w:szCs w:val="24"/>
                <w:lang w:eastAsia="en-US"/>
              </w:rPr>
              <w:t xml:space="preserve"> predpoklad</w:t>
            </w:r>
            <w:r w:rsidR="00945844">
              <w:rPr>
                <w:rFonts w:ascii="Times New Roman" w:hAnsi="Times New Roman"/>
                <w:sz w:val="24"/>
                <w:szCs w:val="24"/>
                <w:lang w:eastAsia="en-US"/>
              </w:rPr>
              <w:t>ov</w:t>
            </w:r>
            <w:r w:rsidRPr="00EC6BA9" w:rsidR="009B233A">
              <w:rPr>
                <w:rFonts w:ascii="Times New Roman" w:hAnsi="Times New Roman"/>
                <w:sz w:val="24"/>
                <w:szCs w:val="24"/>
                <w:lang w:eastAsia="en-US"/>
              </w:rPr>
              <w:t>, personáln</w:t>
            </w:r>
            <w:r w:rsidR="00945844">
              <w:rPr>
                <w:rFonts w:ascii="Times New Roman" w:hAnsi="Times New Roman"/>
                <w:sz w:val="24"/>
                <w:szCs w:val="24"/>
                <w:lang w:eastAsia="en-US"/>
              </w:rPr>
              <w:t>ych</w:t>
            </w:r>
            <w:r w:rsidRPr="00EC6BA9" w:rsidR="009B233A">
              <w:rPr>
                <w:rFonts w:ascii="Times New Roman" w:hAnsi="Times New Roman"/>
                <w:sz w:val="24"/>
                <w:szCs w:val="24"/>
                <w:lang w:eastAsia="en-US"/>
              </w:rPr>
              <w:t xml:space="preserve"> štandard</w:t>
            </w:r>
            <w:r w:rsidR="00945844">
              <w:rPr>
                <w:rFonts w:ascii="Times New Roman" w:hAnsi="Times New Roman"/>
                <w:sz w:val="24"/>
                <w:szCs w:val="24"/>
                <w:lang w:eastAsia="en-US"/>
              </w:rPr>
              <w:t>ov</w:t>
            </w:r>
            <w:r w:rsidRPr="00EC6BA9" w:rsidR="009B233A">
              <w:rPr>
                <w:rFonts w:ascii="Times New Roman" w:hAnsi="Times New Roman"/>
                <w:sz w:val="24"/>
                <w:szCs w:val="24"/>
                <w:lang w:eastAsia="en-US"/>
              </w:rPr>
              <w:t>, vecn</w:t>
            </w:r>
            <w:r w:rsidR="00945844">
              <w:rPr>
                <w:rFonts w:ascii="Times New Roman" w:hAnsi="Times New Roman"/>
                <w:sz w:val="24"/>
                <w:szCs w:val="24"/>
                <w:lang w:eastAsia="en-US"/>
              </w:rPr>
              <w:t>ého</w:t>
            </w:r>
            <w:r w:rsidRPr="00EC6BA9" w:rsidR="009B233A">
              <w:rPr>
                <w:rFonts w:ascii="Times New Roman" w:hAnsi="Times New Roman"/>
                <w:sz w:val="24"/>
                <w:szCs w:val="24"/>
                <w:lang w:eastAsia="en-US"/>
              </w:rPr>
              <w:t xml:space="preserve"> rozsah</w:t>
            </w:r>
            <w:r w:rsidR="00945844">
              <w:rPr>
                <w:rFonts w:ascii="Times New Roman" w:hAnsi="Times New Roman"/>
                <w:sz w:val="24"/>
                <w:szCs w:val="24"/>
                <w:lang w:eastAsia="en-US"/>
              </w:rPr>
              <w:t>u</w:t>
            </w:r>
            <w:r w:rsidRPr="00EC6BA9" w:rsidR="009B233A">
              <w:rPr>
                <w:rFonts w:ascii="Times New Roman" w:hAnsi="Times New Roman"/>
                <w:sz w:val="24"/>
                <w:szCs w:val="24"/>
                <w:lang w:eastAsia="en-US"/>
              </w:rPr>
              <w:t xml:space="preserve"> poskytovaných odborných činností, obslužných činností a ďalších činností a spôsob</w:t>
            </w:r>
            <w:r w:rsidR="00945844">
              <w:rPr>
                <w:rFonts w:ascii="Times New Roman" w:hAnsi="Times New Roman"/>
                <w:sz w:val="24"/>
                <w:szCs w:val="24"/>
                <w:lang w:eastAsia="en-US"/>
              </w:rPr>
              <w:t>u</w:t>
            </w:r>
            <w:r w:rsidRPr="00EC6BA9" w:rsidR="009B233A">
              <w:rPr>
                <w:rFonts w:ascii="Times New Roman" w:hAnsi="Times New Roman"/>
                <w:sz w:val="24"/>
                <w:szCs w:val="24"/>
                <w:lang w:eastAsia="en-US"/>
              </w:rPr>
              <w:t xml:space="preserve"> ich vykonávania, a to v záujme ochrany dieťaťa, so súvisiacim zabezpečením  kvality poskytovanej starostlivosti a dohľadu nad jej poskytovaním  zo strany príslušných orgánov.</w:t>
            </w:r>
            <w:r w:rsidR="00EC6BA9">
              <w:rPr>
                <w:rFonts w:ascii="Times New Roman" w:hAnsi="Times New Roman"/>
                <w:sz w:val="24"/>
                <w:szCs w:val="24"/>
                <w:lang w:eastAsia="en-US"/>
              </w:rPr>
              <w:t xml:space="preserve"> Navrhovanou právnou úpravou sa docieli aby činnosť existujúcich zariadení, novovzniknutých zariadení a</w:t>
            </w:r>
            <w:r w:rsidR="00945844">
              <w:rPr>
                <w:rFonts w:ascii="Times New Roman" w:hAnsi="Times New Roman"/>
                <w:sz w:val="24"/>
                <w:szCs w:val="24"/>
                <w:lang w:eastAsia="en-US"/>
              </w:rPr>
              <w:t xml:space="preserve"> podmienky </w:t>
            </w:r>
            <w:r w:rsidR="00EC6BA9">
              <w:rPr>
                <w:rFonts w:ascii="Times New Roman" w:hAnsi="Times New Roman"/>
                <w:sz w:val="24"/>
                <w:szCs w:val="24"/>
                <w:lang w:eastAsia="en-US"/>
              </w:rPr>
              <w:t> poskytova</w:t>
            </w:r>
            <w:r w:rsidR="00945844">
              <w:rPr>
                <w:rFonts w:ascii="Times New Roman" w:hAnsi="Times New Roman"/>
                <w:sz w:val="24"/>
                <w:szCs w:val="24"/>
                <w:lang w:eastAsia="en-US"/>
              </w:rPr>
              <w:t>nia</w:t>
            </w:r>
            <w:r w:rsidR="00EC6BA9">
              <w:rPr>
                <w:rFonts w:ascii="Times New Roman" w:hAnsi="Times New Roman"/>
                <w:sz w:val="24"/>
                <w:szCs w:val="24"/>
                <w:lang w:eastAsia="en-US"/>
              </w:rPr>
              <w:t xml:space="preserve"> starostlivosti bol</w:t>
            </w:r>
            <w:r w:rsidR="00945844">
              <w:rPr>
                <w:rFonts w:ascii="Times New Roman" w:hAnsi="Times New Roman"/>
                <w:sz w:val="24"/>
                <w:szCs w:val="24"/>
                <w:lang w:eastAsia="en-US"/>
              </w:rPr>
              <w:t>i</w:t>
            </w:r>
            <w:r w:rsidR="00EC6BA9">
              <w:rPr>
                <w:rFonts w:ascii="Times New Roman" w:hAnsi="Times New Roman"/>
                <w:sz w:val="24"/>
                <w:szCs w:val="24"/>
                <w:lang w:eastAsia="en-US"/>
              </w:rPr>
              <w:t xml:space="preserve"> v súlade so zákonom. </w:t>
            </w:r>
          </w:p>
          <w:p w:rsidR="00EA00C8" w:rsidP="00EA00C8">
            <w:pPr>
              <w:bidi w:val="0"/>
              <w:jc w:val="both"/>
              <w:rPr>
                <w:rFonts w:ascii="Times New Roman" w:hAnsi="Times New Roman"/>
                <w:sz w:val="24"/>
                <w:szCs w:val="24"/>
                <w:lang w:eastAsia="en-US"/>
              </w:rPr>
            </w:pPr>
          </w:p>
          <w:p w:rsidR="00EA00C8" w:rsidRPr="00EA00C8" w:rsidP="00EA00C8">
            <w:pPr>
              <w:bidi w:val="0"/>
              <w:jc w:val="both"/>
              <w:rPr>
                <w:rFonts w:ascii="Times New Roman" w:hAnsi="Times New Roman"/>
                <w:sz w:val="24"/>
                <w:szCs w:val="24"/>
                <w:lang w:eastAsia="en-US"/>
              </w:rPr>
            </w:pPr>
            <w:r w:rsidR="00E16452">
              <w:rPr>
                <w:rFonts w:ascii="Times New Roman" w:hAnsi="Times New Roman"/>
                <w:sz w:val="24"/>
                <w:szCs w:val="24"/>
                <w:lang w:eastAsia="en-US"/>
              </w:rPr>
              <w:t xml:space="preserve">Navrhovanou právnou úpravou sa </w:t>
            </w:r>
            <w:r w:rsidRPr="00EA00C8">
              <w:rPr>
                <w:rFonts w:ascii="Times New Roman" w:hAnsi="Times New Roman"/>
                <w:sz w:val="24"/>
                <w:szCs w:val="24"/>
                <w:lang w:eastAsia="en-US"/>
              </w:rPr>
              <w:t>novo ustanov</w:t>
            </w:r>
            <w:r w:rsidR="00E16452">
              <w:rPr>
                <w:rFonts w:ascii="Times New Roman" w:hAnsi="Times New Roman"/>
                <w:sz w:val="24"/>
                <w:szCs w:val="24"/>
                <w:lang w:eastAsia="en-US"/>
              </w:rPr>
              <w:t xml:space="preserve">uje </w:t>
            </w:r>
            <w:r w:rsidRPr="00EA00C8">
              <w:rPr>
                <w:rFonts w:ascii="Times New Roman" w:hAnsi="Times New Roman"/>
                <w:sz w:val="24"/>
                <w:szCs w:val="24"/>
                <w:lang w:eastAsia="en-US"/>
              </w:rPr>
              <w:t>povinnosť pre poskytovateľov sociálnej služby v dennom stacionári dodržiavať maximálny počet prijímateľov sociálnej služby na jedného zamestnanca a minimálny percentuálny podiel odborných zamestnancov na celkovom počte zamestnancov, a to doplnením prílohy č. 1 k zákonu o sociálnych službách.  Zároveň</w:t>
            </w:r>
            <w:r w:rsidR="00E16452">
              <w:rPr>
                <w:rFonts w:ascii="Times New Roman" w:hAnsi="Times New Roman"/>
                <w:sz w:val="24"/>
                <w:szCs w:val="24"/>
                <w:lang w:eastAsia="en-US"/>
              </w:rPr>
              <w:t xml:space="preserve"> sa </w:t>
            </w:r>
            <w:r w:rsidRPr="00EA00C8">
              <w:rPr>
                <w:rFonts w:ascii="Times New Roman" w:hAnsi="Times New Roman"/>
                <w:sz w:val="24"/>
                <w:szCs w:val="24"/>
                <w:lang w:eastAsia="en-US"/>
              </w:rPr>
              <w:t>preciz</w:t>
            </w:r>
            <w:r w:rsidR="00E16452">
              <w:rPr>
                <w:rFonts w:ascii="Times New Roman" w:hAnsi="Times New Roman"/>
                <w:sz w:val="24"/>
                <w:szCs w:val="24"/>
                <w:lang w:eastAsia="en-US"/>
              </w:rPr>
              <w:t>uje právna</w:t>
            </w:r>
            <w:r w:rsidRPr="00EA00C8">
              <w:rPr>
                <w:rFonts w:ascii="Times New Roman" w:hAnsi="Times New Roman"/>
                <w:sz w:val="24"/>
                <w:szCs w:val="24"/>
                <w:lang w:eastAsia="en-US"/>
              </w:rPr>
              <w:t xml:space="preserve"> úprav</w:t>
            </w:r>
            <w:r w:rsidR="00E16452">
              <w:rPr>
                <w:rFonts w:ascii="Times New Roman" w:hAnsi="Times New Roman"/>
                <w:sz w:val="24"/>
                <w:szCs w:val="24"/>
                <w:lang w:eastAsia="en-US"/>
              </w:rPr>
              <w:t>a</w:t>
            </w:r>
            <w:r w:rsidRPr="00EA00C8">
              <w:rPr>
                <w:rFonts w:ascii="Times New Roman" w:hAnsi="Times New Roman"/>
                <w:sz w:val="24"/>
                <w:szCs w:val="24"/>
                <w:lang w:eastAsia="en-US"/>
              </w:rPr>
              <w:t xml:space="preserve"> týk</w:t>
            </w:r>
            <w:r w:rsidR="00E16452">
              <w:rPr>
                <w:rFonts w:ascii="Times New Roman" w:hAnsi="Times New Roman"/>
                <w:sz w:val="24"/>
                <w:szCs w:val="24"/>
                <w:lang w:eastAsia="en-US"/>
              </w:rPr>
              <w:t>ajúca</w:t>
            </w:r>
            <w:r w:rsidRPr="00EA00C8">
              <w:rPr>
                <w:rFonts w:ascii="Times New Roman" w:hAnsi="Times New Roman"/>
                <w:sz w:val="24"/>
                <w:szCs w:val="24"/>
                <w:lang w:eastAsia="en-US"/>
              </w:rPr>
              <w:t xml:space="preserve"> sa neobsadeného miesta v dennom stacionári na účely zúčtovania a vrátenia finančných príspevkov</w:t>
            </w:r>
            <w:r w:rsidR="00945844">
              <w:rPr>
                <w:rFonts w:ascii="Times New Roman" w:hAnsi="Times New Roman"/>
                <w:sz w:val="24"/>
                <w:szCs w:val="24"/>
                <w:lang w:eastAsia="en-US"/>
              </w:rPr>
              <w:t xml:space="preserve"> a upravuje sa osobný rozsah na poskytovanie sociálnej služby v dennom stacionári- o podmienku najmenej III stupňa odkázanosti fyzickej osoby na pomoc inej fyzickej osoby pri sebaobsluhe.</w:t>
            </w:r>
            <w:r w:rsidRPr="00EA00C8">
              <w:rPr>
                <w:rFonts w:ascii="Times New Roman" w:hAnsi="Times New Roman"/>
                <w:sz w:val="24"/>
                <w:szCs w:val="24"/>
                <w:lang w:eastAsia="en-US"/>
              </w:rPr>
              <w:t xml:space="preserve"> </w:t>
            </w:r>
          </w:p>
          <w:p w:rsidR="00EA00C8" w:rsidRPr="00A179AE" w:rsidP="00EA00C8">
            <w:pPr>
              <w:bidi w:val="0"/>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New Roman" w:hAnsi="Times New Roman"/>
                <w:i/>
              </w:rPr>
            </w:pPr>
            <w:r w:rsidRPr="00A179AE">
              <w:rPr>
                <w:rFonts w:ascii="Times New Roman" w:hAnsi="Times New Roman"/>
                <w:i/>
              </w:rPr>
              <w:t>Uveďte subjekty, ktorých sa zmeny návrhu dotknú priamo aj nepriamo:</w:t>
            </w:r>
          </w:p>
          <w:p w:rsidR="00D6222C" w:rsidP="007B71A4">
            <w:pPr>
              <w:bidi w:val="0"/>
              <w:rPr>
                <w:rFonts w:ascii="Times New Roman" w:hAnsi="Times New Roman"/>
                <w:i/>
              </w:rPr>
            </w:pPr>
          </w:p>
          <w:p w:rsidR="00D6222C" w:rsidRPr="00EA00C8" w:rsidP="009B233A">
            <w:pPr>
              <w:bidi w:val="0"/>
              <w:rPr>
                <w:rFonts w:ascii="Times New Roman" w:hAnsi="Times New Roman"/>
                <w:sz w:val="24"/>
                <w:szCs w:val="24"/>
                <w:lang w:eastAsia="en-US"/>
              </w:rPr>
            </w:pPr>
            <w:r w:rsidRPr="00EA00C8" w:rsidR="009B233A">
              <w:rPr>
                <w:rFonts w:ascii="Times New Roman" w:hAnsi="Times New Roman"/>
                <w:sz w:val="24"/>
                <w:szCs w:val="24"/>
                <w:lang w:eastAsia="en-US"/>
              </w:rPr>
              <w:t>Subjekty, ktorých sa predkladan</w:t>
            </w:r>
            <w:r w:rsidRPr="00EA00C8">
              <w:rPr>
                <w:rFonts w:ascii="Times New Roman" w:hAnsi="Times New Roman"/>
                <w:sz w:val="24"/>
                <w:szCs w:val="24"/>
                <w:lang w:eastAsia="en-US"/>
              </w:rPr>
              <w:t>ý</w:t>
            </w:r>
            <w:r w:rsidRPr="00EA00C8" w:rsidR="009B233A">
              <w:rPr>
                <w:rFonts w:ascii="Times New Roman" w:hAnsi="Times New Roman"/>
                <w:sz w:val="24"/>
                <w:szCs w:val="24"/>
                <w:lang w:eastAsia="en-US"/>
              </w:rPr>
              <w:t xml:space="preserve"> </w:t>
            </w:r>
            <w:r w:rsidR="00B54B43">
              <w:rPr>
                <w:rFonts w:ascii="Times New Roman" w:hAnsi="Times New Roman"/>
                <w:sz w:val="24"/>
                <w:szCs w:val="24"/>
                <w:lang w:eastAsia="en-US"/>
              </w:rPr>
              <w:t xml:space="preserve">vládny </w:t>
            </w:r>
            <w:r w:rsidRPr="00EA00C8" w:rsidR="009B233A">
              <w:rPr>
                <w:rFonts w:ascii="Times New Roman" w:hAnsi="Times New Roman"/>
                <w:sz w:val="24"/>
                <w:szCs w:val="24"/>
                <w:lang w:eastAsia="en-US"/>
              </w:rPr>
              <w:t>návrh priamo do</w:t>
            </w:r>
            <w:r w:rsidRPr="00EA00C8">
              <w:rPr>
                <w:rFonts w:ascii="Times New Roman" w:hAnsi="Times New Roman"/>
                <w:sz w:val="24"/>
                <w:szCs w:val="24"/>
                <w:lang w:eastAsia="en-US"/>
              </w:rPr>
              <w:t>tkne:</w:t>
            </w:r>
          </w:p>
          <w:p w:rsidR="00D6222C" w:rsidRPr="00EA00C8" w:rsidP="009B233A">
            <w:pPr>
              <w:bidi w:val="0"/>
              <w:rPr>
                <w:rFonts w:ascii="Times New Roman" w:hAnsi="Times New Roman"/>
                <w:sz w:val="24"/>
                <w:szCs w:val="24"/>
                <w:lang w:eastAsia="en-US"/>
              </w:rPr>
            </w:pPr>
            <w:r w:rsidRPr="00EA00C8" w:rsidR="009B233A">
              <w:rPr>
                <w:rFonts w:ascii="Times New Roman" w:hAnsi="Times New Roman"/>
                <w:sz w:val="24"/>
                <w:szCs w:val="24"/>
                <w:lang w:eastAsia="en-US"/>
              </w:rPr>
              <w:t xml:space="preserve"> </w:t>
            </w:r>
          </w:p>
          <w:p w:rsidR="009B233A" w:rsidRPr="00EA00C8" w:rsidP="00D6222C">
            <w:pPr>
              <w:pStyle w:val="ListParagraph"/>
              <w:numPr>
                <w:numId w:val="2"/>
              </w:numPr>
              <w:bidi w:val="0"/>
              <w:rPr>
                <w:rFonts w:ascii="Times New Roman" w:hAnsi="Times New Roman"/>
                <w:sz w:val="24"/>
                <w:szCs w:val="24"/>
              </w:rPr>
            </w:pPr>
            <w:r w:rsidR="00945844">
              <w:rPr>
                <w:rFonts w:ascii="Times New Roman" w:hAnsi="Times New Roman"/>
                <w:sz w:val="24"/>
                <w:szCs w:val="24"/>
              </w:rPr>
              <w:t xml:space="preserve">prevádzkovatelia </w:t>
            </w:r>
            <w:r w:rsidRPr="00EA00C8" w:rsidR="00EA00C8">
              <w:rPr>
                <w:rFonts w:ascii="Times New Roman" w:hAnsi="Times New Roman"/>
                <w:sz w:val="24"/>
                <w:szCs w:val="24"/>
              </w:rPr>
              <w:t>e</w:t>
            </w:r>
            <w:r w:rsidRPr="00EA00C8">
              <w:rPr>
                <w:rFonts w:ascii="Times New Roman" w:hAnsi="Times New Roman"/>
                <w:sz w:val="24"/>
                <w:szCs w:val="24"/>
              </w:rPr>
              <w:t>xistujúc</w:t>
            </w:r>
            <w:r w:rsidR="00945844">
              <w:rPr>
                <w:rFonts w:ascii="Times New Roman" w:hAnsi="Times New Roman"/>
                <w:sz w:val="24"/>
                <w:szCs w:val="24"/>
              </w:rPr>
              <w:t>ich</w:t>
            </w:r>
            <w:r w:rsidRPr="00EA00C8">
              <w:rPr>
                <w:rFonts w:ascii="Times New Roman" w:hAnsi="Times New Roman"/>
                <w:sz w:val="24"/>
                <w:szCs w:val="24"/>
              </w:rPr>
              <w:t xml:space="preserve"> zariaden</w:t>
            </w:r>
            <w:r w:rsidR="00945844">
              <w:rPr>
                <w:rFonts w:ascii="Times New Roman" w:hAnsi="Times New Roman"/>
                <w:sz w:val="24"/>
                <w:szCs w:val="24"/>
              </w:rPr>
              <w:t>í</w:t>
            </w:r>
            <w:r w:rsidRPr="00EA00C8">
              <w:rPr>
                <w:rFonts w:ascii="Times New Roman" w:hAnsi="Times New Roman"/>
                <w:sz w:val="24"/>
                <w:szCs w:val="24"/>
              </w:rPr>
              <w:t xml:space="preserve"> starostlivosti o deti do troch rokov veku,  </w:t>
            </w:r>
          </w:p>
          <w:p w:rsidR="009B233A" w:rsidRPr="00EA00C8" w:rsidP="009B233A">
            <w:pPr>
              <w:pStyle w:val="ListParagraph"/>
              <w:numPr>
                <w:numId w:val="2"/>
              </w:numPr>
              <w:bidi w:val="0"/>
              <w:rPr>
                <w:rFonts w:ascii="Times New Roman" w:hAnsi="Times New Roman"/>
                <w:sz w:val="24"/>
                <w:szCs w:val="24"/>
              </w:rPr>
            </w:pPr>
            <w:r w:rsidRPr="00EA00C8">
              <w:rPr>
                <w:rFonts w:ascii="Times New Roman" w:hAnsi="Times New Roman"/>
                <w:sz w:val="24"/>
                <w:szCs w:val="24"/>
              </w:rPr>
              <w:t xml:space="preserve">fyzické osoby poskytujúce starostlivosť o deti </w:t>
            </w:r>
            <w:r w:rsidR="00945844">
              <w:rPr>
                <w:rFonts w:ascii="Times New Roman" w:hAnsi="Times New Roman"/>
                <w:sz w:val="24"/>
                <w:szCs w:val="24"/>
              </w:rPr>
              <w:t xml:space="preserve"> v domácnosti </w:t>
            </w:r>
            <w:r w:rsidRPr="00EA00C8">
              <w:rPr>
                <w:rFonts w:ascii="Times New Roman" w:hAnsi="Times New Roman"/>
                <w:sz w:val="24"/>
                <w:szCs w:val="24"/>
              </w:rPr>
              <w:t xml:space="preserve">na základe živnostenského oprávnenia </w:t>
            </w:r>
          </w:p>
          <w:p w:rsidR="00D6222C" w:rsidRPr="00EA00C8" w:rsidP="00D6222C">
            <w:pPr>
              <w:pStyle w:val="ListParagraph"/>
              <w:numPr>
                <w:numId w:val="2"/>
              </w:numPr>
              <w:bidi w:val="0"/>
              <w:rPr>
                <w:rFonts w:ascii="Times New Roman" w:hAnsi="Times New Roman"/>
                <w:sz w:val="24"/>
                <w:szCs w:val="24"/>
              </w:rPr>
            </w:pPr>
            <w:r w:rsidRPr="00EA00C8">
              <w:rPr>
                <w:rFonts w:ascii="Times New Roman" w:hAnsi="Times New Roman"/>
                <w:sz w:val="24"/>
                <w:szCs w:val="24"/>
              </w:rPr>
              <w:t xml:space="preserve">novovzniknuté zariadenia starostlivosti o deti po účinnosti novely zákona </w:t>
            </w:r>
          </w:p>
          <w:p w:rsidR="00EA00C8" w:rsidRPr="00EA00C8" w:rsidP="00D6222C">
            <w:pPr>
              <w:pStyle w:val="ListParagraph"/>
              <w:numPr>
                <w:numId w:val="2"/>
              </w:numPr>
              <w:bidi w:val="0"/>
              <w:rPr>
                <w:rFonts w:ascii="Times New Roman" w:hAnsi="Times New Roman"/>
                <w:sz w:val="24"/>
                <w:szCs w:val="24"/>
              </w:rPr>
            </w:pPr>
            <w:r w:rsidR="00945844">
              <w:rPr>
                <w:rFonts w:ascii="Times New Roman" w:hAnsi="Times New Roman"/>
                <w:sz w:val="24"/>
                <w:szCs w:val="24"/>
              </w:rPr>
              <w:t>poskytovatelia sociálnej služby v dennom</w:t>
            </w:r>
            <w:r w:rsidRPr="00EA00C8">
              <w:rPr>
                <w:rFonts w:ascii="Times New Roman" w:hAnsi="Times New Roman"/>
                <w:sz w:val="24"/>
                <w:szCs w:val="24"/>
              </w:rPr>
              <w:t xml:space="preserve"> stacionár</w:t>
            </w:r>
            <w:r w:rsidR="00945844">
              <w:rPr>
                <w:rFonts w:ascii="Times New Roman" w:hAnsi="Times New Roman"/>
                <w:sz w:val="24"/>
                <w:szCs w:val="24"/>
              </w:rPr>
              <w:t>i</w:t>
            </w:r>
          </w:p>
          <w:p w:rsidR="003501A1" w:rsidRPr="00A179AE" w:rsidP="007B71A4">
            <w:pPr>
              <w:bidi w:val="0"/>
              <w:rPr>
                <w:rFonts w:ascii="Times New Roman" w:hAnsi="Times New Roman"/>
                <w:i/>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Aké alternatívne riešenia boli posudzované?</w:t>
            </w:r>
          </w:p>
          <w:p w:rsidR="003501A1" w:rsidP="007B71A4">
            <w:pPr>
              <w:bidi w:val="0"/>
              <w:rPr>
                <w:rFonts w:ascii="Times New Roman" w:hAnsi="Times New Roman"/>
                <w:i/>
              </w:rPr>
            </w:pPr>
            <w:r w:rsidRPr="00A179AE">
              <w:rPr>
                <w:rFonts w:ascii="Times New Roman" w:hAnsi="Times New Roman"/>
                <w:i/>
              </w:rPr>
              <w:t>Uveďte, aké alternatívne spôsoby na odstránenie definovaného problému boli identifikované a posudzované.</w:t>
            </w:r>
          </w:p>
          <w:p w:rsidR="00EA00C8" w:rsidP="007B71A4">
            <w:pPr>
              <w:bidi w:val="0"/>
              <w:rPr>
                <w:rFonts w:ascii="Times New Roman" w:hAnsi="Times New Roman"/>
                <w:i/>
              </w:rPr>
            </w:pPr>
          </w:p>
          <w:p w:rsidR="00EA00C8" w:rsidP="00171124">
            <w:pPr>
              <w:bidi w:val="0"/>
              <w:rPr>
                <w:rFonts w:ascii="Times New Roman" w:hAnsi="Times New Roman"/>
                <w:sz w:val="24"/>
                <w:szCs w:val="24"/>
              </w:rPr>
            </w:pPr>
            <w:r w:rsidRPr="00171124" w:rsidR="00171124">
              <w:rPr>
                <w:rFonts w:ascii="Times New Roman" w:hAnsi="Times New Roman"/>
                <w:sz w:val="24"/>
                <w:szCs w:val="24"/>
              </w:rPr>
              <w:t xml:space="preserve">Žiadne </w:t>
            </w:r>
          </w:p>
          <w:p w:rsidR="00171124" w:rsidRPr="00171124" w:rsidP="00171124">
            <w:pPr>
              <w:bidi w:val="0"/>
              <w:rPr>
                <w:rFonts w:ascii="Times New Roman" w:hAnsi="Times New Roman"/>
                <w:i/>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A179AE" w:rsidP="007B71A4">
            <w:pPr>
              <w:bidi w:val="0"/>
              <w:jc w:val="center"/>
              <w:rPr>
                <w:rFonts w:ascii="Times New Roman" w:hAnsi="Times New Roman"/>
              </w:rPr>
            </w:pPr>
            <w:r w:rsidR="00D13B6F">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A179AE" w:rsidP="007B71A4">
            <w:pPr>
              <w:bidi w:val="0"/>
              <w:jc w:val="center"/>
              <w:rPr>
                <w:rFonts w:ascii="Times New Roman" w:hAnsi="Times New Roman"/>
              </w:rPr>
            </w:pPr>
            <w:r w:rsidR="00D6222C">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Ak áno, uveďte ktoré oblasti budú nimi upravené, resp. ktorých vykonávacích predpisov sa zmena dotkne:</w:t>
            </w:r>
          </w:p>
          <w:p w:rsidR="003501A1" w:rsidP="007B71A4">
            <w:pPr>
              <w:bidi w:val="0"/>
              <w:rPr>
                <w:rFonts w:ascii="Times New Roman" w:hAnsi="Times New Roman"/>
              </w:rPr>
            </w:pPr>
          </w:p>
          <w:p w:rsidR="00427F0F"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P="007B71A4">
            <w:pPr>
              <w:bidi w:val="0"/>
              <w:rPr>
                <w:rFonts w:ascii="Times New Roman" w:hAnsi="Times New Roman"/>
                <w:i/>
              </w:rPr>
            </w:pPr>
            <w:r w:rsidRPr="00A179AE">
              <w:rPr>
                <w:rFonts w:ascii="Times New Roman" w:hAnsi="Times New Roman"/>
                <w:i/>
              </w:rPr>
              <w:t>Uveďte, v ktorých ustanoveniach ide národná právna úprava nad rámec minimálnych požiadaviek EÚ spolu s odôvodnením.</w:t>
            </w:r>
          </w:p>
          <w:p w:rsidR="00427F0F" w:rsidRPr="00A179AE" w:rsidP="007B71A4">
            <w:pPr>
              <w:bidi w:val="0"/>
              <w:rPr>
                <w:rFonts w:ascii="Times New Roman" w:hAnsi="Times New Roman"/>
                <w:i/>
              </w:rPr>
            </w:pPr>
            <w:r w:rsidRPr="00427F0F">
              <w:rPr>
                <w:rFonts w:ascii="Times New Roman" w:hAnsi="Times New Roman"/>
                <w:sz w:val="24"/>
                <w:szCs w:val="24"/>
                <w:lang w:eastAsia="en-US"/>
              </w:rPr>
              <w:t>Nevzťahuje sa</w:t>
            </w:r>
            <w:r>
              <w:rPr>
                <w:rFonts w:ascii="Times New Roman" w:hAnsi="Times New Roman"/>
                <w:i/>
              </w:rPr>
              <w:t>.</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A179AE" w:rsidP="007B71A4">
            <w:pPr>
              <w:bidi w:val="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95098">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Preskúmanie účelnosti</w:t>
            </w:r>
            <w:r w:rsidR="00F62771">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termín, kedy by malo dôjsť k preskúmaniu účinnosti a účelnosti navrhovaného predpisu.</w:t>
            </w:r>
          </w:p>
          <w:p w:rsidR="003501A1" w:rsidP="007B71A4">
            <w:pPr>
              <w:bidi w:val="0"/>
              <w:rPr>
                <w:rFonts w:ascii="Times New Roman" w:hAnsi="Times New Roman"/>
                <w:i/>
              </w:rPr>
            </w:pPr>
            <w:r w:rsidRPr="00A179AE">
              <w:rPr>
                <w:rFonts w:ascii="Times New Roman" w:hAnsi="Times New Roman"/>
                <w:i/>
              </w:rPr>
              <w:t>Uveďte kritériá, na základe ktorých bude preskúmanie vykonané.</w:t>
            </w:r>
          </w:p>
          <w:p w:rsidR="00427F0F" w:rsidP="007B71A4">
            <w:pPr>
              <w:bidi w:val="0"/>
              <w:rPr>
                <w:rFonts w:ascii="Times New Roman" w:hAnsi="Times New Roman"/>
                <w:i/>
              </w:rPr>
            </w:pPr>
          </w:p>
          <w:p w:rsidR="003501A1" w:rsidRPr="00A179AE" w:rsidP="00427F0F">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F6F1F" w:rsidP="004C60B8">
            <w:pPr>
              <w:bidi w:val="0"/>
              <w:ind w:left="142" w:hanging="142"/>
              <w:rPr>
                <w:rFonts w:ascii="Times New Roman" w:hAnsi="Times New Roman"/>
              </w:rPr>
            </w:pPr>
          </w:p>
          <w:p w:rsidR="00D13B6F" w:rsidP="004C60B8">
            <w:pPr>
              <w:bidi w:val="0"/>
              <w:ind w:left="142" w:hanging="142"/>
              <w:rPr>
                <w:rFonts w:ascii="Times New Roman" w:hAnsi="Times New Roman"/>
              </w:rPr>
            </w:pPr>
          </w:p>
          <w:p w:rsidR="00F62771" w:rsidP="004C60B8">
            <w:pPr>
              <w:bidi w:val="0"/>
              <w:ind w:left="142" w:hanging="142"/>
              <w:rPr>
                <w:rFonts w:ascii="Times New Roman" w:hAnsi="Times New Roman"/>
              </w:rPr>
            </w:pPr>
            <w:r>
              <w:rPr>
                <w:rFonts w:ascii="Times New Roman" w:hAnsi="Times New Roman"/>
              </w:rPr>
              <w:t xml:space="preserve">* </w:t>
            </w:r>
            <w:r w:rsidR="004C60B8">
              <w:rPr>
                <w:rFonts w:ascii="Times New Roman" w:hAnsi="Times New Roman"/>
              </w:rPr>
              <w:t xml:space="preserve">vyplniť iba v prípade, </w:t>
            </w:r>
            <w:r w:rsidRPr="004C60B8" w:rsidR="004C60B8">
              <w:rPr>
                <w:rFonts w:ascii="Times New Roman" w:hAnsi="Times New Roman"/>
              </w:rPr>
              <w:t>ak</w:t>
            </w:r>
            <w:r w:rsidRPr="004C60B8">
              <w:rPr>
                <w:rFonts w:ascii="Times New Roman" w:hAnsi="Times New Roman"/>
              </w:rPr>
              <w:t xml:space="preserve"> </w:t>
            </w:r>
            <w:r w:rsidRPr="004C60B8" w:rsidR="004C60B8">
              <w:rPr>
                <w:rFonts w:ascii="Times New Roman" w:hAnsi="Times New Roman"/>
              </w:rPr>
              <w:t xml:space="preserve">materiál </w:t>
            </w:r>
            <w:r w:rsidRPr="004C60B8">
              <w:rPr>
                <w:rFonts w:ascii="Times New Roman" w:hAnsi="Times New Roman"/>
              </w:rPr>
              <w:t xml:space="preserve">nie je </w:t>
            </w:r>
            <w:r w:rsidRPr="004C60B8" w:rsidR="004C60B8">
              <w:rPr>
                <w:rFonts w:ascii="Times New Roman" w:hAnsi="Times New Roman"/>
              </w:rPr>
              <w:t>zahrnutý do Plánu práce vlády Slovenskej republiky alebo Plán</w:t>
            </w:r>
            <w:r w:rsidR="004C60B8">
              <w:rPr>
                <w:rFonts w:ascii="Times New Roman" w:hAnsi="Times New Roman"/>
              </w:rPr>
              <w:t>u</w:t>
            </w:r>
            <w:r w:rsidRPr="004C60B8" w:rsidR="004C60B8">
              <w:rPr>
                <w:rFonts w:ascii="Times New Roman" w:hAnsi="Times New Roman"/>
              </w:rPr>
              <w:t xml:space="preserve"> </w:t>
            </w:r>
            <w:r w:rsidR="004C60B8">
              <w:rPr>
                <w:rFonts w:ascii="Times New Roman" w:hAnsi="Times New Roman"/>
              </w:rPr>
              <w:t xml:space="preserve">       </w:t>
            </w:r>
            <w:r w:rsidRPr="004C60B8" w:rsidR="004C60B8">
              <w:rPr>
                <w:rFonts w:ascii="Times New Roman" w:hAnsi="Times New Roman"/>
              </w:rPr>
              <w:t>legislatívnych úloh vlády Slovenskej republiky.</w:t>
            </w:r>
            <w:r>
              <w:rPr>
                <w:rFonts w:ascii="Times New Roman" w:hAnsi="Times New Roman"/>
              </w:rPr>
              <w:t xml:space="preserve"> </w:t>
            </w:r>
          </w:p>
          <w:p w:rsidR="003501A1" w:rsidRPr="00A179AE" w:rsidP="00F22831">
            <w:pPr>
              <w:bidi w:val="0"/>
              <w:rPr>
                <w:rFonts w:ascii="Times New Roman" w:hAnsi="Times New Roman"/>
              </w:rPr>
            </w:pPr>
            <w:r w:rsidR="00F62771">
              <w:rPr>
                <w:rFonts w:ascii="Times New Roman" w:hAnsi="Times New Roman"/>
              </w:rPr>
              <w:t>*</w:t>
            </w:r>
            <w:r w:rsidR="00F22831">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RPr="00A179AE"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7B71A4">
            <w:pPr>
              <w:bidi w:val="0"/>
              <w:rPr>
                <w:rFonts w:ascii="Times New Roman" w:hAnsi="Times New Roman"/>
                <w:b/>
              </w:rPr>
            </w:pPr>
            <w:r w:rsidRPr="00A179A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D05916">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D05916">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b/>
              </w:rPr>
            </w:pPr>
            <w:r w:rsidR="00D05916">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rPr>
            </w:pPr>
            <w:r w:rsidR="00D05916">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00D05916">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D05916">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D05916">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D05916">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A179AE" w:rsidP="007B71A4">
            <w:pPr>
              <w:bidi w:val="0"/>
              <w:jc w:val="center"/>
              <w:rPr>
                <w:rFonts w:ascii="Times New Roman" w:hAnsi="Times New Roman"/>
              </w:rPr>
            </w:pPr>
            <w:r w:rsidR="00D05916">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00D05916">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00D05916">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427F0F">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427F0F">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427F0F">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653ADA" w:rsidP="00B83402">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653ADA" w:rsidP="00B83402">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653ADA" w:rsidP="00B83402">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653ADA" w:rsidP="00B83402">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A1559" w:rsidRPr="009634B3" w:rsidP="00B83402">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00945844">
              <w:rPr>
                <w:rFonts w:ascii="MS Gothic" w:eastAsia="MS Gothic" w:hAnsi="MS Gothic" w:hint="eastAsia"/>
                <w:b/>
              </w:rPr>
              <w:t>☒</w:t>
            </w:r>
          </w:p>
        </w:tc>
        <w:tc>
          <w:tcPr>
            <w:tcW w:w="1281" w:type="dxa"/>
            <w:tcBorders>
              <w:top w:val="nil"/>
              <w:left w:val="nil"/>
              <w:bottom w:val="nil"/>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00945844">
              <w:rPr>
                <w:rFonts w:ascii="MS Gothic" w:eastAsia="MS Gothic" w:hAnsi="MS Gothic" w:hint="eastAsia"/>
                <w:b/>
              </w:rPr>
              <w:t>☐</w:t>
            </w:r>
          </w:p>
        </w:tc>
        <w:tc>
          <w:tcPr>
            <w:tcW w:w="1133" w:type="dxa"/>
            <w:tcBorders>
              <w:top w:val="nil"/>
              <w:left w:val="nil"/>
              <w:bottom w:val="nil"/>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A1559" w:rsidRPr="009634B3" w:rsidP="00B83402">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00427F0F">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bl>
    <w:p w:rsidR="003501A1" w:rsidRPr="00A179AE"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F6F1F" w:rsidRPr="00A179AE" w:rsidP="004F6F1F">
            <w:pPr>
              <w:bidi w:val="0"/>
              <w:rPr>
                <w:rFonts w:ascii="Times New Roman" w:hAnsi="Times New Roman"/>
                <w:i/>
              </w:rPr>
            </w:pPr>
            <w:r w:rsidRPr="00A179AE">
              <w:rPr>
                <w:rFonts w:ascii="Times New Roman" w:hAnsi="Times New Roman"/>
                <w:i/>
              </w:rPr>
              <w:t>V prípade potreby uveďte doplňujúce informácie k návrhu.</w:t>
            </w:r>
          </w:p>
          <w:p w:rsidR="004F6F1F" w:rsidRPr="00A179AE" w:rsidP="004F6F1F">
            <w:pPr>
              <w:pStyle w:val="ListParagraph"/>
              <w:bidi w:val="0"/>
              <w:spacing w:after="0" w:line="240" w:lineRule="auto"/>
              <w:ind w:left="426"/>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pPr>
              <w:bidi w:val="0"/>
              <w:rPr>
                <w:rFonts w:ascii="Times New Roman" w:hAnsi="Times New Roman"/>
                <w:i/>
              </w:rPr>
            </w:pPr>
            <w:r w:rsidR="00D13B6F">
              <w:rPr>
                <w:rFonts w:ascii="Times New Roman" w:hAnsi="Times New Roman"/>
                <w:i/>
              </w:rPr>
              <w:t>Uveďte</w:t>
            </w:r>
            <w:r w:rsidRPr="00D13B6F" w:rsidR="00D13B6F">
              <w:rPr>
                <w:rFonts w:ascii="Times New Roman" w:hAnsi="Times New Roman"/>
                <w:i/>
              </w:rPr>
              <w:t xml:space="preserve"> údaje na kontaktnú osobu, ktorú je možné kontaktovať v súvislosti s posúdením vybraných vplyvov</w:t>
            </w:r>
          </w:p>
          <w:p w:rsidR="00A203D0">
            <w:pPr>
              <w:bidi w:val="0"/>
              <w:rPr>
                <w:rFonts w:ascii="Times New Roman" w:hAnsi="Times New Roman"/>
                <w:i/>
              </w:rPr>
            </w:pPr>
          </w:p>
          <w:p w:rsidR="00301C30" w:rsidP="00301C30">
            <w:pPr>
              <w:bidi w:val="0"/>
              <w:rPr>
                <w:rFonts w:ascii="Times New Roman" w:hAnsi="Times New Roman"/>
              </w:rPr>
            </w:pPr>
            <w:r w:rsidRPr="00A203D0">
              <w:rPr>
                <w:rFonts w:ascii="Times New Roman" w:hAnsi="Times New Roman"/>
                <w:sz w:val="24"/>
                <w:szCs w:val="24"/>
                <w:lang w:eastAsia="en-US"/>
              </w:rPr>
              <w:t xml:space="preserve">Mgr. Peter Szabo, riaditeľ </w:t>
            </w:r>
            <w:r w:rsidR="00C05774">
              <w:rPr>
                <w:rFonts w:ascii="Times New Roman" w:hAnsi="Times New Roman"/>
                <w:sz w:val="24"/>
                <w:szCs w:val="24"/>
                <w:lang w:eastAsia="en-US"/>
              </w:rPr>
              <w:t>o</w:t>
            </w:r>
            <w:r w:rsidRPr="00A203D0">
              <w:rPr>
                <w:rFonts w:ascii="Times New Roman" w:hAnsi="Times New Roman"/>
                <w:sz w:val="24"/>
                <w:szCs w:val="24"/>
                <w:lang w:eastAsia="en-US"/>
              </w:rPr>
              <w:t>dboru sociálnych služieb, Ministerstvo práce, sociálnych vecí a rodiny SR, peter.szabo@employment.gov.sk</w:t>
            </w:r>
            <w:r w:rsidRPr="00A203D0">
              <w:rPr>
                <w:rFonts w:ascii="Times New Roman" w:hAnsi="Times New Roman"/>
              </w:rPr>
              <w:t xml:space="preserve"> </w:t>
            </w:r>
          </w:p>
          <w:p w:rsidR="00A203D0" w:rsidRPr="00A203D0" w:rsidP="00301C30">
            <w:pPr>
              <w:bidi w:val="0"/>
              <w:rPr>
                <w:rFonts w:ascii="Times New Roman" w:hAnsi="Times New Roman"/>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zdroje</w:t>
            </w:r>
            <w:r w:rsidR="00EB59E3">
              <w:rPr>
                <w:rFonts w:ascii="Times New Roman" w:hAnsi="Times New Roman"/>
                <w:i/>
              </w:rPr>
              <w:t xml:space="preserve"> </w:t>
            </w:r>
            <w:r w:rsidR="00D75D35">
              <w:rPr>
                <w:rFonts w:ascii="Times New Roman" w:hAnsi="Times New Roman"/>
                <w:i/>
              </w:rPr>
              <w:t>(štatistiky, prieskumy, spoluprácu s odborníkmi a iné)</w:t>
            </w:r>
            <w:r w:rsidRPr="00A179AE">
              <w:rPr>
                <w:rFonts w:ascii="Times New Roman" w:hAnsi="Times New Roman"/>
                <w:i/>
              </w:rPr>
              <w:t>, z ktorých ste pri vypracovávaní doložky, príp. analýz vplyvov vychádzali.</w:t>
            </w:r>
          </w:p>
          <w:p w:rsidR="003501A1" w:rsidP="007B71A4">
            <w:pPr>
              <w:bidi w:val="0"/>
              <w:rPr>
                <w:rFonts w:ascii="Times New Roman" w:hAnsi="Times New Roman"/>
                <w:i/>
              </w:rPr>
            </w:pPr>
          </w:p>
          <w:p w:rsidR="003501A1" w:rsidRPr="00A179AE" w:rsidP="005C75E0">
            <w:pPr>
              <w:bidi w:val="0"/>
              <w:jc w:val="both"/>
              <w:rPr>
                <w:rFonts w:ascii="Times New Roman" w:hAnsi="Times New Roman"/>
                <w:b/>
              </w:rPr>
            </w:pPr>
            <w:r w:rsidRPr="006B28D9" w:rsidR="006B28D9">
              <w:rPr>
                <w:rFonts w:ascii="Times New Roman" w:hAnsi="Times New Roman"/>
                <w:sz w:val="24"/>
                <w:szCs w:val="24"/>
                <w:lang w:eastAsia="en-US"/>
              </w:rPr>
              <w:t>Podľa zisťovania EU SILC 201</w:t>
            </w:r>
            <w:r w:rsidR="00AE7EB5">
              <w:rPr>
                <w:rFonts w:ascii="Times New Roman" w:hAnsi="Times New Roman"/>
                <w:sz w:val="24"/>
                <w:szCs w:val="24"/>
                <w:lang w:eastAsia="en-US"/>
              </w:rPr>
              <w:t>4</w:t>
            </w:r>
            <w:r w:rsidRPr="006B28D9" w:rsidR="006B28D9">
              <w:rPr>
                <w:rFonts w:ascii="Times New Roman" w:hAnsi="Times New Roman"/>
                <w:sz w:val="24"/>
                <w:szCs w:val="24"/>
                <w:lang w:eastAsia="en-US"/>
              </w:rPr>
              <w:t xml:space="preserve"> je Slovenská republika v oblasti formálnej starostlivosti o deti do troch rokov veku pod priemerom  EU28 (2</w:t>
            </w:r>
            <w:r w:rsidR="00AE7EB5">
              <w:rPr>
                <w:rFonts w:ascii="Times New Roman" w:hAnsi="Times New Roman"/>
                <w:sz w:val="24"/>
                <w:szCs w:val="24"/>
                <w:lang w:eastAsia="en-US"/>
              </w:rPr>
              <w:t>8</w:t>
            </w:r>
            <w:r w:rsidR="00BB3D47">
              <w:rPr>
                <w:rFonts w:ascii="Times New Roman" w:hAnsi="Times New Roman"/>
                <w:sz w:val="24"/>
                <w:szCs w:val="24"/>
                <w:lang w:eastAsia="en-US"/>
              </w:rPr>
              <w:t xml:space="preserve"> </w:t>
            </w:r>
            <w:r w:rsidRPr="006B28D9" w:rsidR="006B28D9">
              <w:rPr>
                <w:rFonts w:ascii="Times New Roman" w:hAnsi="Times New Roman"/>
                <w:sz w:val="24"/>
                <w:szCs w:val="24"/>
                <w:lang w:eastAsia="en-US"/>
              </w:rPr>
              <w:t xml:space="preserve">%). Na základe tohto zisťovania je formálna starostlivosť o dieťa vykonávaná  pre </w:t>
            </w:r>
            <w:r w:rsidR="005C75E0">
              <w:rPr>
                <w:rFonts w:ascii="Times New Roman" w:hAnsi="Times New Roman"/>
                <w:sz w:val="24"/>
                <w:szCs w:val="24"/>
                <w:lang w:eastAsia="en-US"/>
              </w:rPr>
              <w:t>6</w:t>
            </w:r>
            <w:r w:rsidR="00BB3D47">
              <w:rPr>
                <w:rFonts w:ascii="Times New Roman" w:hAnsi="Times New Roman"/>
                <w:sz w:val="24"/>
                <w:szCs w:val="24"/>
                <w:lang w:eastAsia="en-US"/>
              </w:rPr>
              <w:t xml:space="preserve"> </w:t>
            </w:r>
            <w:r w:rsidRPr="006B28D9" w:rsidR="006B28D9">
              <w:rPr>
                <w:rFonts w:ascii="Times New Roman" w:hAnsi="Times New Roman"/>
                <w:sz w:val="24"/>
                <w:szCs w:val="24"/>
                <w:lang w:eastAsia="en-US"/>
              </w:rPr>
              <w:t xml:space="preserve">% detí do troch rokov veku.  </w:t>
            </w:r>
            <w:r w:rsidR="00AE7EB5">
              <w:rPr>
                <w:rFonts w:ascii="Times New Roman" w:hAnsi="Times New Roman"/>
                <w:sz w:val="24"/>
                <w:szCs w:val="24"/>
                <w:lang w:eastAsia="en-US"/>
              </w:rPr>
              <w:t xml:space="preserve">Na základe medziročného porovnania, došlo k nárastu o 2 percentuálne body. </w:t>
            </w:r>
            <w:r w:rsidRPr="006B28D9" w:rsidR="006B28D9">
              <w:rPr>
                <w:rFonts w:ascii="Times New Roman" w:hAnsi="Times New Roman"/>
                <w:sz w:val="24"/>
                <w:szCs w:val="24"/>
                <w:lang w:eastAsia="en-US"/>
              </w:rPr>
              <w:t>V prípade inej starostlivosti o dieťa do troch rokov veku je starostlivosť poskytovaná 2</w:t>
            </w:r>
            <w:r w:rsidR="00AE7EB5">
              <w:rPr>
                <w:rFonts w:ascii="Times New Roman" w:hAnsi="Times New Roman"/>
                <w:sz w:val="24"/>
                <w:szCs w:val="24"/>
                <w:lang w:eastAsia="en-US"/>
              </w:rPr>
              <w:t>8</w:t>
            </w:r>
            <w:r w:rsidR="00BB3D47">
              <w:rPr>
                <w:rFonts w:ascii="Times New Roman" w:hAnsi="Times New Roman"/>
                <w:sz w:val="24"/>
                <w:szCs w:val="24"/>
                <w:lang w:eastAsia="en-US"/>
              </w:rPr>
              <w:t xml:space="preserve"> </w:t>
            </w:r>
            <w:r w:rsidRPr="006B28D9" w:rsidR="006B28D9">
              <w:rPr>
                <w:rFonts w:ascii="Times New Roman" w:hAnsi="Times New Roman"/>
                <w:sz w:val="24"/>
                <w:szCs w:val="24"/>
                <w:lang w:eastAsia="en-US"/>
              </w:rPr>
              <w:t>% detí v danej vekovej skupine (EU28, 30</w:t>
            </w:r>
            <w:r w:rsidR="00BB3D47">
              <w:rPr>
                <w:rFonts w:ascii="Times New Roman" w:hAnsi="Times New Roman"/>
                <w:sz w:val="24"/>
                <w:szCs w:val="24"/>
                <w:lang w:eastAsia="en-US"/>
              </w:rPr>
              <w:t xml:space="preserve"> </w:t>
            </w:r>
            <w:r w:rsidRPr="006B28D9" w:rsidR="006B28D9">
              <w:rPr>
                <w:rFonts w:ascii="Times New Roman" w:hAnsi="Times New Roman"/>
                <w:sz w:val="24"/>
                <w:szCs w:val="24"/>
                <w:lang w:eastAsia="en-US"/>
              </w:rPr>
              <w:t xml:space="preserve">%). Na Slovensku je starostlivosť o dieťa do troch rokov veku najčastejšie zabezpečovaná osobne zo strany rodičov dieťaťa, čo sa týka </w:t>
            </w:r>
            <w:r w:rsidR="00AE7EB5">
              <w:rPr>
                <w:rFonts w:ascii="Times New Roman" w:hAnsi="Times New Roman"/>
                <w:sz w:val="24"/>
                <w:szCs w:val="24"/>
                <w:lang w:eastAsia="en-US"/>
              </w:rPr>
              <w:t>68</w:t>
            </w:r>
            <w:r w:rsidR="00BB3D47">
              <w:rPr>
                <w:rFonts w:ascii="Times New Roman" w:hAnsi="Times New Roman"/>
                <w:sz w:val="24"/>
                <w:szCs w:val="24"/>
                <w:lang w:eastAsia="en-US"/>
              </w:rPr>
              <w:t xml:space="preserve"> </w:t>
            </w:r>
            <w:r w:rsidRPr="006B28D9" w:rsidR="006B28D9">
              <w:rPr>
                <w:rFonts w:ascii="Times New Roman" w:hAnsi="Times New Roman"/>
                <w:sz w:val="24"/>
                <w:szCs w:val="24"/>
                <w:lang w:eastAsia="en-US"/>
              </w:rPr>
              <w:t>% detí v danej vekovej skupine. V porovnaní s krajinami EÚ28 (50</w:t>
            </w:r>
            <w:r w:rsidR="00BB3D47">
              <w:rPr>
                <w:rFonts w:ascii="Times New Roman" w:hAnsi="Times New Roman"/>
                <w:sz w:val="24"/>
                <w:szCs w:val="24"/>
                <w:lang w:eastAsia="en-US"/>
              </w:rPr>
              <w:t xml:space="preserve"> </w:t>
            </w:r>
            <w:r w:rsidRPr="006B28D9" w:rsidR="006B28D9">
              <w:rPr>
                <w:rFonts w:ascii="Times New Roman" w:hAnsi="Times New Roman"/>
                <w:sz w:val="24"/>
                <w:szCs w:val="24"/>
                <w:lang w:eastAsia="en-US"/>
              </w:rPr>
              <w:t>%) Slovenská republika prekračuje priemer.</w:t>
            </w:r>
            <w:r w:rsidR="006B28D9">
              <w:rPr>
                <w:rFonts w:ascii="Times New Roman" w:hAnsi="Times New Roman"/>
              </w:rPr>
              <w:t xml:space="preserve">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22AA8" w:rsidRPr="00822AA8" w:rsidP="00822AA8">
            <w:pPr>
              <w:bidi w:val="0"/>
              <w:rPr>
                <w:rFonts w:ascii="Times New Roman" w:hAnsi="Times New Roman"/>
                <w:i/>
              </w:rPr>
            </w:pPr>
            <w:r w:rsidRPr="00A179AE" w:rsidR="003501A1">
              <w:rPr>
                <w:rFonts w:ascii="Times New Roman" w:hAnsi="Times New Roman"/>
                <w:i/>
              </w:rPr>
              <w:t xml:space="preserve">Uveďte stanovisko </w:t>
            </w:r>
            <w:r w:rsidR="003501A1">
              <w:rPr>
                <w:rFonts w:ascii="Times New Roman" w:hAnsi="Times New Roman"/>
                <w:i/>
              </w:rPr>
              <w:t>Komisie pre posudzovanie vybraných vplyvov</w:t>
            </w:r>
            <w:r w:rsidRPr="00A179AE" w:rsidR="003501A1">
              <w:rPr>
                <w:rFonts w:ascii="Times New Roman" w:hAnsi="Times New Roman"/>
                <w:i/>
              </w:rPr>
              <w:t>, ktoré Vám bolo zaslané v rámci predbežného pripomienkového konania</w:t>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
                <w:bCs/>
                <w:sz w:val="24"/>
                <w:szCs w:val="24"/>
              </w:rPr>
              <w:t>P</w:t>
            </w:r>
            <w:r w:rsidRPr="00822AA8">
              <w:rPr>
                <w:rFonts w:ascii="Times New Roman" w:hAnsi="Times New Roman"/>
                <w:b/>
                <w:sz w:val="24"/>
                <w:szCs w:val="24"/>
              </w:rPr>
              <w:t>r</w:t>
            </w:r>
            <w:r w:rsidRPr="00822AA8">
              <w:rPr>
                <w:rFonts w:ascii="Times New Roman" w:hAnsi="Times New Roman"/>
                <w:b/>
                <w:bCs/>
                <w:sz w:val="24"/>
                <w:szCs w:val="24"/>
              </w:rPr>
              <w:t>ipomienky a návrhy zm</w:t>
            </w:r>
            <w:r w:rsidRPr="00822AA8">
              <w:rPr>
                <w:rFonts w:ascii="Times New Roman" w:hAnsi="Times New Roman"/>
                <w:b/>
                <w:sz w:val="24"/>
                <w:szCs w:val="24"/>
              </w:rPr>
              <w:t>ie</w:t>
            </w:r>
            <w:r w:rsidRPr="00822AA8">
              <w:rPr>
                <w:rFonts w:ascii="Times New Roman" w:hAnsi="Times New Roman"/>
                <w:b/>
                <w:bCs/>
                <w:sz w:val="24"/>
                <w:szCs w:val="24"/>
              </w:rPr>
              <w:t xml:space="preserve">n: </w:t>
            </w:r>
            <w:r w:rsidRPr="00822AA8">
              <w:rPr>
                <w:rFonts w:ascii="Times New Roman" w:hAnsi="Times New Roman"/>
                <w:bCs/>
                <w:sz w:val="24"/>
                <w:szCs w:val="24"/>
              </w:rPr>
              <w:t>Komisia uplatňuje k materiálu nasledovné pripomienky a odporúčania.</w:t>
            </w:r>
          </w:p>
          <w:p w:rsidR="00BB3D47" w:rsidP="00822AA8">
            <w:pPr>
              <w:tabs>
                <w:tab w:val="center" w:pos="6379"/>
              </w:tabs>
              <w:bidi w:val="0"/>
              <w:ind w:right="-2"/>
              <w:jc w:val="both"/>
              <w:rPr>
                <w:rFonts w:ascii="Times New Roman" w:hAnsi="Times New Roman"/>
                <w:b/>
                <w:bCs/>
                <w:sz w:val="24"/>
                <w:szCs w:val="24"/>
              </w:rPr>
            </w:pPr>
          </w:p>
          <w:p w:rsidR="00822AA8" w:rsidRPr="00822AA8" w:rsidP="00822AA8">
            <w:pPr>
              <w:tabs>
                <w:tab w:val="center" w:pos="6379"/>
              </w:tabs>
              <w:bidi w:val="0"/>
              <w:ind w:right="-2"/>
              <w:jc w:val="both"/>
              <w:rPr>
                <w:rFonts w:ascii="Times New Roman" w:hAnsi="Times New Roman"/>
                <w:b/>
                <w:bCs/>
                <w:sz w:val="24"/>
                <w:szCs w:val="24"/>
              </w:rPr>
            </w:pPr>
            <w:r w:rsidRPr="00822AA8">
              <w:rPr>
                <w:rFonts w:ascii="Times New Roman" w:hAnsi="Times New Roman"/>
                <w:b/>
                <w:bCs/>
                <w:sz w:val="24"/>
                <w:szCs w:val="24"/>
              </w:rPr>
              <w:t>K analýze vplyvov na rozpočet verejnej správy</w:t>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Cs/>
                <w:sz w:val="24"/>
                <w:szCs w:val="24"/>
              </w:rPr>
              <w:t xml:space="preserve">V analýze vplyvov na rozpočet verejnej správy v tabuľke č. 1 vo výdavkovej časti sú </w:t>
              <w:br/>
              <w:t xml:space="preserve">v riadkoch „Rozpočtové prostriedky“ spočítané sumy EÚ zdrojov a spolufinancovania. </w:t>
            </w:r>
            <w:r w:rsidR="00BB3D47">
              <w:rPr>
                <w:rFonts w:ascii="Times New Roman" w:hAnsi="Times New Roman"/>
                <w:bCs/>
                <w:sz w:val="24"/>
                <w:szCs w:val="24"/>
              </w:rPr>
              <w:t xml:space="preserve">        </w:t>
            </w:r>
            <w:r w:rsidRPr="00822AA8">
              <w:rPr>
                <w:rFonts w:ascii="Times New Roman" w:hAnsi="Times New Roman"/>
                <w:bCs/>
                <w:sz w:val="24"/>
                <w:szCs w:val="24"/>
              </w:rPr>
              <w:t xml:space="preserve">V tomto riadku sa však nemá uvádzať sumár EÚ zdrojov a spolufinancovania, ale iba rozpočtové prostriedky dotknutej kapitoly. V tomto zmysle Komisia žiada tabuľku č. 1 prepracovať. </w:t>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Cs/>
                <w:sz w:val="24"/>
                <w:szCs w:val="24"/>
              </w:rPr>
              <w:tab/>
              <w:t xml:space="preserve">V časti 2.2.1. Popis </w:t>
            </w:r>
            <w:r w:rsidR="00B54B43">
              <w:rPr>
                <w:rFonts w:ascii="Times New Roman" w:hAnsi="Times New Roman"/>
                <w:bCs/>
                <w:sz w:val="24"/>
                <w:szCs w:val="24"/>
              </w:rPr>
              <w:t xml:space="preserve">vládneho </w:t>
            </w:r>
            <w:r w:rsidRPr="00822AA8">
              <w:rPr>
                <w:rFonts w:ascii="Times New Roman" w:hAnsi="Times New Roman"/>
                <w:bCs/>
                <w:sz w:val="24"/>
                <w:szCs w:val="24"/>
              </w:rPr>
              <w:t>návrhu sa uvádza povinnosť subjektom uhrádzať správny poplatok za zápis do registra poskytovateľov sociálnych služieb vo výške 66 eur, ktorý bude príjmom vyšších územných celkov. Kvantifikáciu tohto vplyvu  Komisia žiada do analýzy doplniť.</w:t>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Cs/>
                <w:sz w:val="24"/>
                <w:szCs w:val="24"/>
              </w:rPr>
              <w:t xml:space="preserve">V analýze vplyvov Komisia žiada kvantifikovať prevádzkové náklady súvisiace </w:t>
              <w:br/>
              <w:t xml:space="preserve">s novovybudovanými zariadeniami starostlivosti o deti do troch rokov a uviesť spôsob finančného krytia v súlade s § 33 zákona č. 523/2004 Z. z. o rozpočtových pravidlách verejnej správy a o zmene a doplnení niektorých zákonov. </w:t>
              <w:tab/>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Cs/>
                <w:sz w:val="24"/>
                <w:szCs w:val="24"/>
              </w:rPr>
              <w:tab/>
              <w:t xml:space="preserve">Komisia upozorňuje, že v analýze vplyvov sa nesprávne uvádza skratka Ministerstva pôdohospodárstva a rozvoja vidieka SR. </w:t>
            </w:r>
          </w:p>
          <w:p w:rsidR="00822AA8" w:rsidP="00822AA8">
            <w:pPr>
              <w:tabs>
                <w:tab w:val="center" w:pos="6379"/>
              </w:tabs>
              <w:bidi w:val="0"/>
              <w:ind w:right="-2"/>
              <w:rPr>
                <w:rFonts w:ascii="Times New Roman" w:hAnsi="Times New Roman"/>
                <w:b/>
                <w:bCs/>
                <w:sz w:val="24"/>
                <w:szCs w:val="24"/>
              </w:rPr>
            </w:pPr>
          </w:p>
          <w:p w:rsidR="00822AA8" w:rsidRPr="00822AA8" w:rsidP="00822AA8">
            <w:pPr>
              <w:tabs>
                <w:tab w:val="center" w:pos="6379"/>
              </w:tabs>
              <w:bidi w:val="0"/>
              <w:ind w:right="-2"/>
              <w:rPr>
                <w:rFonts w:ascii="Times New Roman" w:hAnsi="Times New Roman"/>
                <w:b/>
                <w:bCs/>
                <w:sz w:val="24"/>
                <w:szCs w:val="24"/>
              </w:rPr>
            </w:pPr>
            <w:r w:rsidRPr="00822AA8">
              <w:rPr>
                <w:rFonts w:ascii="Times New Roman" w:hAnsi="Times New Roman"/>
                <w:b/>
                <w:bCs/>
                <w:sz w:val="24"/>
                <w:szCs w:val="24"/>
              </w:rPr>
              <w:t>K analýze vplyvov na podnikateľské prostredie</w:t>
            </w:r>
          </w:p>
          <w:p w:rsidR="00822AA8" w:rsidRPr="00822AA8" w:rsidP="00822AA8">
            <w:pPr>
              <w:bidi w:val="0"/>
              <w:jc w:val="both"/>
              <w:rPr>
                <w:rFonts w:ascii="Times New Roman" w:hAnsi="Times New Roman"/>
                <w:bCs/>
                <w:sz w:val="24"/>
                <w:szCs w:val="24"/>
              </w:rPr>
            </w:pPr>
            <w:r w:rsidRPr="00822AA8">
              <w:rPr>
                <w:rFonts w:ascii="Times New Roman" w:hAnsi="Times New Roman"/>
                <w:bCs/>
                <w:sz w:val="24"/>
                <w:szCs w:val="24"/>
              </w:rPr>
              <w:t>Predkladateľ v rámci prípravy materiálu nevypracoval dostatočne Analýzu vplyvov na podnikateľské prostredie podľa bodu 4.5. Jednotnej metodiky a to konkrétne z hľadiska kvalifikácie finančných nákladov a administratívnych nákladov. Nedostatky boli identifikované najmä v tom, že:</w:t>
            </w:r>
          </w:p>
          <w:p w:rsidR="00822AA8" w:rsidRPr="00822AA8" w:rsidP="00822AA8">
            <w:pPr>
              <w:numPr>
                <w:numId w:val="4"/>
              </w:numPr>
              <w:bidi w:val="0"/>
              <w:jc w:val="both"/>
              <w:rPr>
                <w:rFonts w:ascii="Times New Roman" w:hAnsi="Times New Roman"/>
                <w:b/>
                <w:bCs/>
                <w:sz w:val="24"/>
                <w:szCs w:val="24"/>
              </w:rPr>
            </w:pPr>
            <w:r w:rsidRPr="00822AA8">
              <w:rPr>
                <w:rFonts w:ascii="Times New Roman" w:hAnsi="Times New Roman"/>
                <w:bCs/>
                <w:sz w:val="24"/>
                <w:szCs w:val="24"/>
              </w:rPr>
              <w:t xml:space="preserve">Obsahom vyčíslenia </w:t>
            </w:r>
            <w:r w:rsidRPr="00822AA8">
              <w:rPr>
                <w:rFonts w:ascii="Times New Roman" w:hAnsi="Times New Roman"/>
                <w:b/>
                <w:bCs/>
                <w:sz w:val="24"/>
                <w:szCs w:val="24"/>
              </w:rPr>
              <w:t>priamych finančných nákladov</w:t>
            </w:r>
            <w:r w:rsidRPr="00822AA8">
              <w:rPr>
                <w:rFonts w:ascii="Times New Roman" w:hAnsi="Times New Roman"/>
                <w:bCs/>
                <w:sz w:val="24"/>
                <w:szCs w:val="24"/>
              </w:rPr>
              <w:t xml:space="preserve"> je </w:t>
            </w:r>
            <w:r w:rsidRPr="00822AA8">
              <w:rPr>
                <w:rFonts w:ascii="Times New Roman" w:hAnsi="Times New Roman"/>
                <w:b/>
                <w:bCs/>
                <w:sz w:val="24"/>
                <w:szCs w:val="24"/>
              </w:rPr>
              <w:t>správny poplatok za zápis do registra</w:t>
            </w:r>
            <w:r w:rsidRPr="00822AA8">
              <w:rPr>
                <w:rFonts w:ascii="Times New Roman" w:hAnsi="Times New Roman"/>
                <w:bCs/>
                <w:sz w:val="24"/>
                <w:szCs w:val="24"/>
              </w:rPr>
              <w:t xml:space="preserve"> poskytovateľov sociálnych služieb pre poskytovateľov, ktorí poskytujú sociálnu službu s cieľom dosiahnutia zisku </w:t>
            </w:r>
            <w:r w:rsidRPr="00822AA8">
              <w:rPr>
                <w:rFonts w:ascii="Times New Roman" w:hAnsi="Times New Roman"/>
                <w:b/>
                <w:bCs/>
                <w:sz w:val="24"/>
                <w:szCs w:val="24"/>
              </w:rPr>
              <w:t>vo výške 66 Eur.</w:t>
            </w:r>
            <w:r w:rsidRPr="00822AA8">
              <w:rPr>
                <w:rFonts w:ascii="Times New Roman" w:hAnsi="Times New Roman"/>
                <w:bCs/>
                <w:sz w:val="24"/>
                <w:szCs w:val="24"/>
              </w:rPr>
              <w:t xml:space="preserve"> Tento správny poplatok sa bude týkať všetkých osôb, ktoré v dôsledku účinnosti navrhovaných zmien už nebudú môcť opatrovať deti do troch rokov veku alebo do šiestich rokov veku  dieťaťa, ak je dieťaťom s nepriaznivým zdravotným stavom, v domácnosti dieťaťa alebo v inom prostredí (domácnosť opatrovateľa, u zamestnávateľa), alebo  vykonávať opatrovanie detí do troch rokov veku v detských jasliach (ďalej v súhrne len „opatrovanie detí do troch rokov“) len na základe voľnej živnosti. Naopak, budú sa musieť registrovať do registra poskytovateľov sociálnych služieb podľa zákona č. č. 448/2008 Z. z. o sociálnych službách. </w:t>
            </w:r>
            <w:r w:rsidRPr="00822AA8">
              <w:rPr>
                <w:rFonts w:ascii="Times New Roman" w:hAnsi="Times New Roman"/>
                <w:b/>
                <w:bCs/>
                <w:sz w:val="24"/>
                <w:szCs w:val="24"/>
              </w:rPr>
              <w:t>Náklady na 1 podnikateľa/opatrovateľa Komisia žiada vyjadriť v Súhrnnej tabuľke nákladov regulácie v EUR.</w:t>
            </w:r>
          </w:p>
          <w:p w:rsidR="00822AA8" w:rsidRPr="00822AA8" w:rsidP="00822AA8">
            <w:pPr>
              <w:numPr>
                <w:numId w:val="4"/>
              </w:numPr>
              <w:bidi w:val="0"/>
              <w:jc w:val="both"/>
              <w:rPr>
                <w:rFonts w:ascii="Times New Roman" w:hAnsi="Times New Roman"/>
                <w:bCs/>
                <w:sz w:val="24"/>
                <w:szCs w:val="24"/>
              </w:rPr>
            </w:pPr>
            <w:r w:rsidRPr="00822AA8">
              <w:rPr>
                <w:rFonts w:ascii="Times New Roman" w:hAnsi="Times New Roman"/>
                <w:bCs/>
                <w:sz w:val="24"/>
                <w:szCs w:val="24"/>
              </w:rPr>
              <w:t xml:space="preserve">Predkladateľ pri vyčíslení </w:t>
            </w:r>
            <w:r w:rsidRPr="00822AA8">
              <w:rPr>
                <w:rFonts w:ascii="Times New Roman" w:hAnsi="Times New Roman"/>
                <w:b/>
                <w:bCs/>
                <w:sz w:val="24"/>
                <w:szCs w:val="24"/>
              </w:rPr>
              <w:t>nepriamych finančných nákladov</w:t>
            </w:r>
            <w:r w:rsidRPr="00822AA8">
              <w:rPr>
                <w:rFonts w:ascii="Times New Roman" w:hAnsi="Times New Roman"/>
                <w:bCs/>
                <w:sz w:val="24"/>
                <w:szCs w:val="24"/>
              </w:rPr>
              <w:t xml:space="preserve">  - konkrétne pri nákladoch: </w:t>
            </w:r>
          </w:p>
          <w:p w:rsidR="00822AA8" w:rsidRPr="00822AA8" w:rsidP="00822AA8">
            <w:pPr>
              <w:bidi w:val="0"/>
              <w:ind w:left="720"/>
              <w:jc w:val="both"/>
              <w:rPr>
                <w:rFonts w:ascii="Times New Roman" w:hAnsi="Times New Roman"/>
                <w:bCs/>
                <w:sz w:val="24"/>
                <w:szCs w:val="24"/>
              </w:rPr>
            </w:pPr>
            <w:r w:rsidRPr="00822AA8">
              <w:rPr>
                <w:rFonts w:ascii="Times New Roman" w:hAnsi="Times New Roman"/>
                <w:bCs/>
                <w:sz w:val="24"/>
                <w:szCs w:val="24"/>
              </w:rPr>
              <w:t>a) na plnenie nových personálnych štandardov poskytovateľov sociálnej služby opatrovanie detí do troch rokov,</w:t>
            </w:r>
          </w:p>
          <w:p w:rsidR="00822AA8" w:rsidRPr="00822AA8" w:rsidP="00822AA8">
            <w:pPr>
              <w:bidi w:val="0"/>
              <w:ind w:left="720"/>
              <w:jc w:val="both"/>
              <w:rPr>
                <w:rFonts w:ascii="Times New Roman" w:hAnsi="Times New Roman"/>
                <w:bCs/>
                <w:sz w:val="24"/>
                <w:szCs w:val="24"/>
              </w:rPr>
            </w:pPr>
            <w:r w:rsidRPr="00822AA8">
              <w:rPr>
                <w:rFonts w:ascii="Times New Roman" w:hAnsi="Times New Roman"/>
                <w:bCs/>
                <w:sz w:val="24"/>
                <w:szCs w:val="24"/>
              </w:rPr>
              <w:t>b)  na plnenie kvalifikačných predpokladov u opatrovateľov detí,</w:t>
            </w:r>
          </w:p>
          <w:p w:rsidR="00822AA8" w:rsidRPr="00822AA8" w:rsidP="00822AA8">
            <w:pPr>
              <w:bidi w:val="0"/>
              <w:ind w:left="720"/>
              <w:jc w:val="both"/>
              <w:rPr>
                <w:rFonts w:ascii="Times New Roman" w:hAnsi="Times New Roman"/>
                <w:bCs/>
                <w:sz w:val="24"/>
                <w:szCs w:val="24"/>
              </w:rPr>
            </w:pPr>
            <w:r w:rsidRPr="00822AA8">
              <w:rPr>
                <w:rFonts w:ascii="Times New Roman" w:hAnsi="Times New Roman"/>
                <w:bCs/>
                <w:sz w:val="24"/>
                <w:szCs w:val="24"/>
              </w:rPr>
              <w:t>c)  na debarierizáciu objektov,</w:t>
            </w:r>
          </w:p>
          <w:p w:rsidR="00822AA8" w:rsidRPr="00822AA8" w:rsidP="00822AA8">
            <w:pPr>
              <w:bidi w:val="0"/>
              <w:ind w:left="720"/>
              <w:jc w:val="both"/>
              <w:rPr>
                <w:rFonts w:ascii="Times New Roman" w:hAnsi="Times New Roman"/>
                <w:bCs/>
                <w:sz w:val="24"/>
                <w:szCs w:val="24"/>
              </w:rPr>
            </w:pPr>
            <w:r w:rsidRPr="00822AA8">
              <w:rPr>
                <w:rFonts w:ascii="Times New Roman" w:hAnsi="Times New Roman"/>
                <w:bCs/>
                <w:sz w:val="24"/>
                <w:szCs w:val="24"/>
              </w:rPr>
              <w:t>d) na splnenie ďalších povinností súvisiacich s vnútorným a vonkajším priestorovým usporiadaním, vybavením zariadenia, h</w:t>
            </w:r>
            <w:r>
              <w:rPr>
                <w:rFonts w:ascii="Times New Roman" w:hAnsi="Times New Roman"/>
                <w:bCs/>
                <w:sz w:val="24"/>
                <w:szCs w:val="24"/>
              </w:rPr>
              <w:t>ygienickými požiadavkami, atď.,</w:t>
            </w:r>
          </w:p>
          <w:p w:rsidR="00822AA8" w:rsidP="00822AA8">
            <w:pPr>
              <w:bidi w:val="0"/>
              <w:ind w:left="720"/>
              <w:jc w:val="both"/>
              <w:rPr>
                <w:rFonts w:ascii="Times New Roman" w:hAnsi="Times New Roman"/>
                <w:b/>
                <w:bCs/>
                <w:sz w:val="24"/>
                <w:szCs w:val="24"/>
              </w:rPr>
            </w:pPr>
            <w:r w:rsidRPr="00822AA8">
              <w:rPr>
                <w:rFonts w:ascii="Times New Roman" w:hAnsi="Times New Roman"/>
                <w:bCs/>
                <w:sz w:val="24"/>
                <w:szCs w:val="24"/>
              </w:rPr>
              <w:t xml:space="preserve">uvádza, že nie je možné ani jeden z balíkov týchto nových povinností kvantifikovať. Komisia oceňuje, že predkladateľ tieto nové nepriame finančné náklady súvisiace s pribúdajúcimi povinnosťami, ktoré bude musieť osoba na úseku opatrovania detí do troch rokov splniť, vyhodnotil aspoň kvalitatívne – popisom. Komisia má však za to, že </w:t>
            </w:r>
            <w:r w:rsidRPr="00822AA8">
              <w:rPr>
                <w:rFonts w:ascii="Times New Roman" w:hAnsi="Times New Roman"/>
                <w:b/>
                <w:bCs/>
                <w:sz w:val="24"/>
                <w:szCs w:val="24"/>
              </w:rPr>
              <w:t>náklad spojený s absolvovaním akreditovaného kurzu opatrovateľa detí do troch rokov je možné vyhodnotiť aj kvantitatívne na 1 podnikateľa/opatrovateľa.</w:t>
            </w:r>
            <w:r w:rsidRPr="00822AA8">
              <w:rPr>
                <w:rFonts w:ascii="Times New Roman" w:hAnsi="Times New Roman"/>
                <w:bCs/>
                <w:sz w:val="24"/>
                <w:szCs w:val="24"/>
              </w:rPr>
              <w:t xml:space="preserve"> </w:t>
            </w:r>
            <w:r w:rsidRPr="00822AA8">
              <w:rPr>
                <w:rFonts w:ascii="Times New Roman" w:hAnsi="Times New Roman"/>
                <w:b/>
                <w:bCs/>
                <w:sz w:val="24"/>
                <w:szCs w:val="24"/>
              </w:rPr>
              <w:t>Komisia žiada o vyčíslenie tohto nepriameho finančného nákladu a jeho zahrnutie do  Súhrnnej tabuľky nákladov regulácie v EUR</w:t>
            </w:r>
            <w:r>
              <w:rPr>
                <w:rFonts w:ascii="Times New Roman" w:hAnsi="Times New Roman"/>
                <w:b/>
                <w:bCs/>
                <w:sz w:val="24"/>
                <w:szCs w:val="24"/>
              </w:rPr>
              <w:t>.</w:t>
            </w:r>
          </w:p>
          <w:p w:rsidR="00BB3D47" w:rsidRPr="00822AA8" w:rsidP="00822AA8">
            <w:pPr>
              <w:bidi w:val="0"/>
              <w:ind w:left="720"/>
              <w:jc w:val="both"/>
              <w:rPr>
                <w:rFonts w:ascii="Times New Roman" w:hAnsi="Times New Roman"/>
                <w:b/>
                <w:bCs/>
                <w:sz w:val="24"/>
                <w:szCs w:val="24"/>
              </w:rPr>
            </w:pPr>
          </w:p>
          <w:p w:rsidR="00822AA8" w:rsidRPr="00822AA8" w:rsidP="00822AA8">
            <w:pPr>
              <w:numPr>
                <w:numId w:val="4"/>
              </w:numPr>
              <w:bidi w:val="0"/>
              <w:jc w:val="both"/>
              <w:rPr>
                <w:rFonts w:ascii="Times New Roman" w:hAnsi="Times New Roman"/>
                <w:b/>
                <w:bCs/>
                <w:sz w:val="24"/>
                <w:szCs w:val="24"/>
              </w:rPr>
            </w:pPr>
            <w:r w:rsidRPr="00822AA8">
              <w:rPr>
                <w:rFonts w:ascii="Times New Roman" w:hAnsi="Times New Roman"/>
                <w:bCs/>
                <w:sz w:val="24"/>
                <w:szCs w:val="24"/>
              </w:rPr>
              <w:t>Predkladateľ pri vyčíslení</w:t>
            </w:r>
            <w:r w:rsidRPr="00822AA8">
              <w:rPr>
                <w:rFonts w:ascii="Times New Roman" w:hAnsi="Times New Roman"/>
                <w:b/>
                <w:bCs/>
                <w:sz w:val="24"/>
                <w:szCs w:val="24"/>
              </w:rPr>
              <w:t xml:space="preserve"> administratívnych nákladov </w:t>
            </w:r>
            <w:r w:rsidRPr="00822AA8">
              <w:rPr>
                <w:rFonts w:ascii="Times New Roman" w:hAnsi="Times New Roman"/>
                <w:bCs/>
                <w:sz w:val="24"/>
                <w:szCs w:val="24"/>
              </w:rPr>
              <w:t>– konkrétne pri nákladoch:</w:t>
            </w:r>
          </w:p>
          <w:p w:rsidR="00822AA8" w:rsidRPr="00822AA8" w:rsidP="00822AA8">
            <w:pPr>
              <w:numPr>
                <w:numId w:val="5"/>
              </w:numPr>
              <w:bidi w:val="0"/>
              <w:jc w:val="both"/>
              <w:rPr>
                <w:rFonts w:ascii="Times New Roman" w:hAnsi="Times New Roman"/>
                <w:bCs/>
                <w:sz w:val="24"/>
                <w:szCs w:val="24"/>
              </w:rPr>
            </w:pPr>
            <w:r w:rsidRPr="00822AA8">
              <w:rPr>
                <w:rFonts w:ascii="Times New Roman" w:hAnsi="Times New Roman"/>
                <w:bCs/>
                <w:sz w:val="24"/>
                <w:szCs w:val="24"/>
              </w:rPr>
              <w:t>za povinnosť podať písomnú žiadosť o zápis do registra poskytovateľov sociálnych služieb,</w:t>
            </w:r>
          </w:p>
          <w:p w:rsidR="00822AA8" w:rsidRPr="00822AA8" w:rsidP="00822AA8">
            <w:pPr>
              <w:numPr>
                <w:numId w:val="5"/>
              </w:numPr>
              <w:bidi w:val="0"/>
              <w:jc w:val="both"/>
              <w:rPr>
                <w:rFonts w:ascii="Times New Roman" w:hAnsi="Times New Roman"/>
                <w:bCs/>
                <w:sz w:val="24"/>
                <w:szCs w:val="24"/>
              </w:rPr>
            </w:pPr>
            <w:r w:rsidRPr="00822AA8">
              <w:rPr>
                <w:rFonts w:ascii="Times New Roman" w:hAnsi="Times New Roman"/>
                <w:bCs/>
                <w:sz w:val="24"/>
                <w:szCs w:val="24"/>
              </w:rPr>
              <w:t>za povinnosť vypracovať a uložiť do verejnej časti registra účtovných závierok výročnú správu o činnosti a hospodárení poskytovateľa sociálnej služby za predchádzajúci kalendárny rok do 15. júla príslušného kalendárneho roka,</w:t>
            </w:r>
          </w:p>
          <w:p w:rsidR="00822AA8" w:rsidRPr="00822AA8" w:rsidP="00822AA8">
            <w:pPr>
              <w:numPr>
                <w:numId w:val="5"/>
              </w:numPr>
              <w:bidi w:val="0"/>
              <w:jc w:val="both"/>
              <w:rPr>
                <w:rFonts w:ascii="Times New Roman" w:hAnsi="Times New Roman"/>
                <w:bCs/>
                <w:sz w:val="24"/>
                <w:szCs w:val="24"/>
              </w:rPr>
            </w:pPr>
            <w:r w:rsidRPr="00822AA8">
              <w:rPr>
                <w:rFonts w:ascii="Times New Roman" w:hAnsi="Times New Roman"/>
                <w:bCs/>
                <w:sz w:val="24"/>
                <w:szCs w:val="24"/>
              </w:rPr>
              <w:t>za povinnosť vypracovať vnútorné predpisy,</w:t>
            </w:r>
          </w:p>
          <w:p w:rsidR="00822AA8" w:rsidRPr="00822AA8" w:rsidP="00822AA8">
            <w:pPr>
              <w:bidi w:val="0"/>
              <w:ind w:left="720"/>
              <w:jc w:val="both"/>
              <w:rPr>
                <w:rFonts w:ascii="Times New Roman" w:hAnsi="Times New Roman"/>
                <w:bCs/>
                <w:sz w:val="24"/>
                <w:szCs w:val="24"/>
              </w:rPr>
            </w:pPr>
            <w:r w:rsidRPr="00822AA8">
              <w:rPr>
                <w:rFonts w:ascii="Times New Roman" w:hAnsi="Times New Roman"/>
                <w:bCs/>
                <w:sz w:val="24"/>
                <w:szCs w:val="24"/>
              </w:rPr>
              <w:t>postupoval v súlade s </w:t>
            </w:r>
            <w:r w:rsidRPr="00822AA8">
              <w:rPr>
                <w:rFonts w:ascii="Times New Roman" w:hAnsi="Times New Roman"/>
                <w:bCs/>
                <w:i/>
                <w:sz w:val="24"/>
                <w:szCs w:val="24"/>
              </w:rPr>
              <w:t>Metodickým postupom pre analýzu vplyvu na podnikateľské prostredie</w:t>
            </w:r>
            <w:r w:rsidRPr="00822AA8">
              <w:rPr>
                <w:rFonts w:ascii="Times New Roman" w:hAnsi="Times New Roman"/>
                <w:bCs/>
                <w:sz w:val="24"/>
                <w:szCs w:val="24"/>
              </w:rPr>
              <w:t>, resp. aplikoval na identifikované nové povinnosti údaje z </w:t>
            </w:r>
            <w:r w:rsidRPr="00822AA8">
              <w:rPr>
                <w:rFonts w:ascii="Times New Roman" w:hAnsi="Times New Roman"/>
                <w:bCs/>
                <w:i/>
                <w:sz w:val="24"/>
                <w:szCs w:val="24"/>
              </w:rPr>
              <w:t>Tabuľky štandardných časových náročností typických informačných povinností</w:t>
            </w:r>
            <w:r w:rsidRPr="00822AA8">
              <w:rPr>
                <w:rFonts w:ascii="Times New Roman" w:hAnsi="Times New Roman"/>
                <w:bCs/>
                <w:sz w:val="24"/>
                <w:szCs w:val="24"/>
              </w:rPr>
              <w:t xml:space="preserve">, čo Komisia oceňuje, ale odporúča, aby použil Kalkulačku nákladov dostupnú na web stránke Ministerstva hospodárstva SR, a zároveň Komisia predkladateľa žiada </w:t>
            </w:r>
            <w:r w:rsidRPr="00822AA8">
              <w:rPr>
                <w:rFonts w:ascii="Times New Roman" w:hAnsi="Times New Roman"/>
                <w:b/>
                <w:bCs/>
                <w:sz w:val="24"/>
                <w:szCs w:val="24"/>
              </w:rPr>
              <w:t>o vyjadrenie týchto administratívnych nákladov na 1 podnikateľa/opatrovateľa v 1. v Súhrnnej tabuľke nákladov regulácie v EUR.</w:t>
            </w:r>
          </w:p>
          <w:p w:rsidR="00822AA8" w:rsidRPr="00822AA8" w:rsidP="00822AA8">
            <w:pPr>
              <w:bidi w:val="0"/>
              <w:jc w:val="both"/>
              <w:rPr>
                <w:rFonts w:ascii="Times New Roman" w:hAnsi="Times New Roman"/>
                <w:bCs/>
                <w:sz w:val="24"/>
                <w:szCs w:val="24"/>
              </w:rPr>
            </w:pPr>
            <w:r w:rsidRPr="00822AA8">
              <w:rPr>
                <w:rFonts w:ascii="Times New Roman" w:hAnsi="Times New Roman"/>
                <w:b/>
                <w:bCs/>
                <w:sz w:val="24"/>
                <w:szCs w:val="24"/>
              </w:rPr>
              <w:t>Komisia odporúča v rámci Analýzy vplyvov na podnikateľské prostredie pokúsiť sa kvantifikovať aj počet už existujúcich dotknutých subjektov na úseku opatrovania detí do troch rokov</w:t>
            </w:r>
            <w:r>
              <w:rPr>
                <w:rFonts w:ascii="Times New Roman" w:hAnsi="Times New Roman"/>
                <w:bCs/>
                <w:sz w:val="24"/>
                <w:szCs w:val="24"/>
              </w:rPr>
              <w:t>, konkrétne:</w:t>
            </w:r>
          </w:p>
          <w:p w:rsidR="00822AA8" w:rsidRPr="00822AA8" w:rsidP="00822AA8">
            <w:pPr>
              <w:bidi w:val="0"/>
              <w:jc w:val="both"/>
              <w:rPr>
                <w:rFonts w:ascii="Times New Roman" w:hAnsi="Times New Roman"/>
                <w:bCs/>
                <w:sz w:val="24"/>
                <w:szCs w:val="24"/>
              </w:rPr>
            </w:pPr>
            <w:r w:rsidRPr="00822AA8">
              <w:rPr>
                <w:rFonts w:ascii="Times New Roman" w:hAnsi="Times New Roman"/>
                <w:bCs/>
                <w:sz w:val="24"/>
                <w:szCs w:val="24"/>
              </w:rPr>
              <w:t xml:space="preserve">-   zariadenia starostlivosti o deti do troch rokov veku,  </w:t>
            </w:r>
          </w:p>
          <w:p w:rsidR="00822AA8" w:rsidRPr="00822AA8" w:rsidP="00822AA8">
            <w:pPr>
              <w:bidi w:val="0"/>
              <w:jc w:val="both"/>
              <w:rPr>
                <w:rFonts w:ascii="Times New Roman" w:hAnsi="Times New Roman"/>
                <w:bCs/>
                <w:sz w:val="24"/>
                <w:szCs w:val="24"/>
              </w:rPr>
            </w:pPr>
            <w:r w:rsidRPr="00822AA8">
              <w:rPr>
                <w:rFonts w:ascii="Times New Roman" w:hAnsi="Times New Roman"/>
                <w:bCs/>
                <w:sz w:val="24"/>
                <w:szCs w:val="24"/>
              </w:rPr>
              <w:t>- fyzické osoby poskytujúce starostlivosť o deti na zák</w:t>
            </w:r>
            <w:r>
              <w:rPr>
                <w:rFonts w:ascii="Times New Roman" w:hAnsi="Times New Roman"/>
                <w:bCs/>
                <w:sz w:val="24"/>
                <w:szCs w:val="24"/>
              </w:rPr>
              <w:t>lade živnostenského oprávnenia,</w:t>
            </w:r>
          </w:p>
          <w:p w:rsidR="00822AA8" w:rsidRPr="00822AA8" w:rsidP="00822AA8">
            <w:pPr>
              <w:bidi w:val="0"/>
              <w:jc w:val="both"/>
              <w:rPr>
                <w:rFonts w:ascii="Times New Roman" w:hAnsi="Times New Roman"/>
                <w:bCs/>
                <w:sz w:val="24"/>
                <w:szCs w:val="24"/>
              </w:rPr>
            </w:pPr>
            <w:r w:rsidRPr="00822AA8">
              <w:rPr>
                <w:rFonts w:ascii="Times New Roman" w:hAnsi="Times New Roman"/>
                <w:bCs/>
                <w:sz w:val="24"/>
                <w:szCs w:val="24"/>
              </w:rPr>
              <w:t>pričom by mohol vychádzať z údajov preukázaných nákladov poberateľov príspevku na starostlivosť o dieťa, v ktorých je identifikovaný aj neverejný poskytovateľ.</w:t>
            </w:r>
          </w:p>
          <w:p w:rsidR="00822AA8" w:rsidRPr="00822AA8" w:rsidP="00822AA8">
            <w:pPr>
              <w:tabs>
                <w:tab w:val="center" w:pos="6379"/>
              </w:tabs>
              <w:bidi w:val="0"/>
              <w:ind w:right="-2"/>
              <w:rPr>
                <w:rFonts w:ascii="Times New Roman" w:hAnsi="Times New Roman"/>
                <w:b/>
                <w:bCs/>
                <w:sz w:val="24"/>
                <w:szCs w:val="24"/>
              </w:rPr>
            </w:pPr>
            <w:r w:rsidRPr="00822AA8">
              <w:rPr>
                <w:rFonts w:ascii="Times New Roman" w:hAnsi="Times New Roman"/>
                <w:b/>
                <w:bCs/>
                <w:sz w:val="24"/>
                <w:szCs w:val="24"/>
              </w:rPr>
              <w:br/>
              <w:t>K analýze vplyvov na služby verejnej správy pre občana</w:t>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Cs/>
                <w:sz w:val="24"/>
                <w:szCs w:val="24"/>
              </w:rPr>
              <w:t xml:space="preserve">Komisia odporúča spracovať Analýzu vplyvov na služby verejnej správy pre občana, a to najmä v časti </w:t>
            </w:r>
            <w:r w:rsidRPr="00822AA8">
              <w:rPr>
                <w:rFonts w:ascii="Times New Roman" w:hAnsi="Times New Roman"/>
                <w:bCs/>
                <w:sz w:val="24"/>
                <w:szCs w:val="24"/>
                <w:u w:val="single"/>
              </w:rPr>
              <w:t>7.1. Identifikácia služby verejnej správy, ktorá je dotknutá zákonom.</w:t>
            </w:r>
            <w:r w:rsidRPr="00822AA8">
              <w:rPr>
                <w:rFonts w:ascii="Times New Roman" w:hAnsi="Times New Roman"/>
                <w:bCs/>
                <w:sz w:val="24"/>
                <w:szCs w:val="24"/>
              </w:rPr>
              <w:t xml:space="preserve"> </w:t>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Cs/>
                <w:sz w:val="24"/>
                <w:szCs w:val="24"/>
              </w:rPr>
              <w:t>V dôvodovej správe k</w:t>
            </w:r>
            <w:r w:rsidR="00B54B43">
              <w:rPr>
                <w:rFonts w:ascii="Times New Roman" w:hAnsi="Times New Roman"/>
                <w:bCs/>
                <w:sz w:val="24"/>
                <w:szCs w:val="24"/>
              </w:rPr>
              <w:t xml:space="preserve"> vládnemu </w:t>
            </w:r>
            <w:r w:rsidRPr="00822AA8">
              <w:rPr>
                <w:rFonts w:ascii="Times New Roman" w:hAnsi="Times New Roman"/>
                <w:bCs/>
                <w:sz w:val="24"/>
                <w:szCs w:val="24"/>
              </w:rPr>
              <w:t xml:space="preserve">návrhu zákona sa uvádza, že: „ </w:t>
            </w:r>
            <w:r w:rsidRPr="00822AA8">
              <w:rPr>
                <w:rFonts w:ascii="Times New Roman" w:hAnsi="Times New Roman"/>
                <w:bCs/>
                <w:i/>
                <w:iCs/>
                <w:sz w:val="24"/>
                <w:szCs w:val="24"/>
              </w:rPr>
              <w:t>V rámci právnej úpravy sociálnych služieb sa novo vymedzuje zameranie sociálnych služieb na zosúlaďovanie rodinného života a pracovného života. Ako sociálna služba sa novo ustanovuje poskytovanie starostlivosti o dieťa do troch rokov veku najmä v čase, keď rodič alebo iná osoba, ktorá má toto dieťa zverené do osobnej starostlivosti, vykonáva zárobkovú činnosť alebo študuje na strednej škole alebo vysokej škole</w:t>
            </w:r>
            <w:r w:rsidR="00E863A9">
              <w:rPr>
                <w:rFonts w:ascii="Times New Roman" w:hAnsi="Times New Roman"/>
                <w:bCs/>
                <w:i/>
                <w:iCs/>
                <w:sz w:val="24"/>
                <w:szCs w:val="24"/>
              </w:rPr>
              <w:t xml:space="preserve"> </w:t>
            </w:r>
            <w:r w:rsidRPr="00822AA8">
              <w:rPr>
                <w:rFonts w:ascii="Times New Roman" w:hAnsi="Times New Roman"/>
                <w:bCs/>
                <w:i/>
                <w:iCs/>
                <w:sz w:val="24"/>
                <w:szCs w:val="24"/>
              </w:rPr>
              <w:t>a z tohto dôvodu nemôže poskytovať osobnú starostlivosť dieťaťu. V rámci komplexu sociálnych služieb na podporu rodiny s deťmi tým ide o nový právny prostriedok na podporu zosúlaďovania rodinného života a pracovného života terénnou formou sociálnej služby, ambulantnou sociálnou službou (na inom mieste ako rodinnom prostredí dieťaťa – napr. v rodinnom prostredí opatrovateľa detí, v účelovo vyčlenených priestoroch zamestnávateľa) alebo ambulantnou sociálnou službou</w:t>
            </w:r>
            <w:r w:rsidR="00E863A9">
              <w:rPr>
                <w:rFonts w:ascii="Times New Roman" w:hAnsi="Times New Roman"/>
                <w:bCs/>
                <w:i/>
                <w:iCs/>
                <w:sz w:val="24"/>
                <w:szCs w:val="24"/>
              </w:rPr>
              <w:t xml:space="preserve"> </w:t>
            </w:r>
            <w:r w:rsidRPr="00822AA8">
              <w:rPr>
                <w:rFonts w:ascii="Times New Roman" w:hAnsi="Times New Roman"/>
                <w:bCs/>
                <w:i/>
                <w:iCs/>
                <w:sz w:val="24"/>
                <w:szCs w:val="24"/>
              </w:rPr>
              <w:t>v zariadení starostlivosti o deti do troch rokov veku dieťaťa</w:t>
            </w:r>
            <w:r w:rsidRPr="00822AA8">
              <w:rPr>
                <w:rFonts w:ascii="Times New Roman" w:hAnsi="Times New Roman"/>
                <w:bCs/>
                <w:sz w:val="24"/>
                <w:szCs w:val="24"/>
              </w:rPr>
              <w:t>.“ Z vyššie uvedeného, tak ako aj zo znenia</w:t>
            </w:r>
            <w:r w:rsidR="00B54B43">
              <w:rPr>
                <w:rFonts w:ascii="Times New Roman" w:hAnsi="Times New Roman"/>
                <w:bCs/>
                <w:sz w:val="24"/>
                <w:szCs w:val="24"/>
              </w:rPr>
              <w:t xml:space="preserve"> vládneho </w:t>
            </w:r>
            <w:r w:rsidRPr="00822AA8">
              <w:rPr>
                <w:rFonts w:ascii="Times New Roman" w:hAnsi="Times New Roman"/>
                <w:bCs/>
                <w:sz w:val="24"/>
                <w:szCs w:val="24"/>
              </w:rPr>
              <w:t>návrhu zákona má Komisia za to, že ide o novú právnu reguláciu</w:t>
            </w:r>
            <w:r w:rsidR="00E863A9">
              <w:rPr>
                <w:rFonts w:ascii="Times New Roman" w:hAnsi="Times New Roman"/>
                <w:bCs/>
                <w:sz w:val="24"/>
                <w:szCs w:val="24"/>
              </w:rPr>
              <w:t xml:space="preserve"> </w:t>
            </w:r>
            <w:r w:rsidRPr="00822AA8">
              <w:rPr>
                <w:rFonts w:ascii="Times New Roman" w:hAnsi="Times New Roman"/>
                <w:bCs/>
                <w:sz w:val="24"/>
                <w:szCs w:val="24"/>
              </w:rPr>
              <w:t>a vymedzenie nových druhov sociálnych služieb pre občana. Komisia to vníma ako novú službu verejnej správy (keďže obec ako jeden z možných poskytovateľov sociálnej služby je v tomto kontexte orgán verejnej správy).</w:t>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Cs/>
                <w:sz w:val="24"/>
                <w:szCs w:val="24"/>
              </w:rPr>
              <w:t>Rovnako vychádzajúc aj z dôvodovej správy k</w:t>
            </w:r>
            <w:r w:rsidR="00B54B43">
              <w:rPr>
                <w:rFonts w:ascii="Times New Roman" w:hAnsi="Times New Roman"/>
                <w:bCs/>
                <w:sz w:val="24"/>
                <w:szCs w:val="24"/>
              </w:rPr>
              <w:t xml:space="preserve"> vládnemu </w:t>
            </w:r>
            <w:r w:rsidRPr="00822AA8">
              <w:rPr>
                <w:rFonts w:ascii="Times New Roman" w:hAnsi="Times New Roman"/>
                <w:bCs/>
                <w:sz w:val="24"/>
                <w:szCs w:val="24"/>
              </w:rPr>
              <w:t>návrhu zákona kde sa uvádza, že „</w:t>
            </w:r>
            <w:r w:rsidRPr="00822AA8">
              <w:rPr>
                <w:rFonts w:ascii="Times New Roman" w:hAnsi="Times New Roman"/>
                <w:bCs/>
                <w:i/>
                <w:iCs/>
                <w:sz w:val="24"/>
                <w:szCs w:val="24"/>
              </w:rPr>
              <w:t>Žiadateľom vo veci zápisu do registra sa rozumie obec, právnická osoba zriadená alebo založená obcou alebo vyšším územným celkom (verejný poskytovateľ) alebo ďalšia právnická alebo fyzická osoba (neverejný poskytovateľ)</w:t>
            </w:r>
            <w:r w:rsidRPr="00822AA8">
              <w:rPr>
                <w:rFonts w:ascii="Times New Roman" w:hAnsi="Times New Roman"/>
                <w:bCs/>
                <w:sz w:val="24"/>
                <w:szCs w:val="24"/>
              </w:rPr>
              <w:t>“. Z uvedeného, ako aj z § 2 Zákona o prechode niektorých pôsobností z orgánov štátnej správy na obce</w:t>
            </w:r>
            <w:r w:rsidR="00E863A9">
              <w:rPr>
                <w:rFonts w:ascii="Times New Roman" w:hAnsi="Times New Roman"/>
                <w:bCs/>
                <w:sz w:val="24"/>
                <w:szCs w:val="24"/>
              </w:rPr>
              <w:t xml:space="preserve"> </w:t>
            </w:r>
            <w:r w:rsidRPr="00822AA8">
              <w:rPr>
                <w:rFonts w:ascii="Times New Roman" w:hAnsi="Times New Roman"/>
                <w:bCs/>
                <w:sz w:val="24"/>
                <w:szCs w:val="24"/>
              </w:rPr>
              <w:t>a na vyššie územné celky, vyvodzujúc, že obec v tomto kontexte ako jeden</w:t>
            </w:r>
            <w:r w:rsidR="00E863A9">
              <w:rPr>
                <w:rFonts w:ascii="Times New Roman" w:hAnsi="Times New Roman"/>
                <w:bCs/>
                <w:sz w:val="24"/>
                <w:szCs w:val="24"/>
              </w:rPr>
              <w:t xml:space="preserve"> </w:t>
            </w:r>
            <w:r w:rsidRPr="00822AA8">
              <w:rPr>
                <w:rFonts w:ascii="Times New Roman" w:hAnsi="Times New Roman"/>
                <w:bCs/>
                <w:sz w:val="24"/>
                <w:szCs w:val="24"/>
              </w:rPr>
              <w:t>z možných poskytovateľov sociálnej služby vystupuje ako orgán, ktorý vykonáva prenesený výkon štátnej správy a tým pádom je subjektom verejnej správy (čiže je možná interakcia občana s orgánom verejnej správy).</w:t>
            </w: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Cs/>
                <w:sz w:val="24"/>
                <w:szCs w:val="24"/>
              </w:rPr>
              <w:t xml:space="preserve">Rovnako Komisia odporúča vyplniť časť </w:t>
            </w:r>
            <w:r w:rsidRPr="00822AA8">
              <w:rPr>
                <w:rFonts w:ascii="Times New Roman" w:hAnsi="Times New Roman"/>
                <w:bCs/>
                <w:sz w:val="24"/>
                <w:szCs w:val="24"/>
                <w:u w:val="single"/>
              </w:rPr>
              <w:t xml:space="preserve">7.2.3. Ktorá skupina občanov bude predloženým </w:t>
            </w:r>
            <w:r w:rsidR="00B54B43">
              <w:rPr>
                <w:rFonts w:ascii="Times New Roman" w:hAnsi="Times New Roman"/>
                <w:bCs/>
                <w:sz w:val="24"/>
                <w:szCs w:val="24"/>
                <w:u w:val="single"/>
              </w:rPr>
              <w:t xml:space="preserve">vládnym </w:t>
            </w:r>
            <w:r w:rsidRPr="00822AA8">
              <w:rPr>
                <w:rFonts w:ascii="Times New Roman" w:hAnsi="Times New Roman"/>
                <w:bCs/>
                <w:sz w:val="24"/>
                <w:szCs w:val="24"/>
                <w:u w:val="single"/>
              </w:rPr>
              <w:t xml:space="preserve">návrhom ovplyvnená </w:t>
            </w:r>
            <w:r w:rsidRPr="00822AA8">
              <w:rPr>
                <w:rFonts w:ascii="Times New Roman" w:hAnsi="Times New Roman"/>
                <w:bCs/>
                <w:sz w:val="24"/>
                <w:szCs w:val="24"/>
              </w:rPr>
              <w:t>a ak je to možné vymedziť prijímateľov uvedených sociálnych služieb.</w:t>
            </w:r>
          </w:p>
          <w:p w:rsidR="00822AA8" w:rsidRPr="00822AA8" w:rsidP="00822AA8">
            <w:pPr>
              <w:tabs>
                <w:tab w:val="center" w:pos="6379"/>
              </w:tabs>
              <w:bidi w:val="0"/>
              <w:ind w:right="-2"/>
              <w:jc w:val="both"/>
              <w:rPr>
                <w:rFonts w:ascii="Times New Roman" w:hAnsi="Times New Roman"/>
                <w:b/>
                <w:bCs/>
                <w:sz w:val="24"/>
                <w:szCs w:val="24"/>
              </w:rPr>
            </w:pPr>
          </w:p>
          <w:p w:rsidR="00822AA8" w:rsidRPr="00822AA8" w:rsidP="00822AA8">
            <w:pPr>
              <w:tabs>
                <w:tab w:val="center" w:pos="6379"/>
              </w:tabs>
              <w:bidi w:val="0"/>
              <w:ind w:right="-2"/>
              <w:jc w:val="both"/>
              <w:rPr>
                <w:rFonts w:ascii="Times New Roman" w:hAnsi="Times New Roman"/>
                <w:bCs/>
                <w:sz w:val="24"/>
                <w:szCs w:val="24"/>
              </w:rPr>
            </w:pPr>
            <w:r w:rsidRPr="00822AA8">
              <w:rPr>
                <w:rFonts w:ascii="Times New Roman" w:hAnsi="Times New Roman"/>
                <w:b/>
                <w:bCs/>
                <w:sz w:val="24"/>
                <w:szCs w:val="24"/>
              </w:rPr>
              <w:t xml:space="preserve">III. Záver: </w:t>
            </w:r>
            <w:r w:rsidRPr="00822AA8">
              <w:rPr>
                <w:rFonts w:ascii="Times New Roman" w:hAnsi="Times New Roman"/>
                <w:bCs/>
                <w:sz w:val="24"/>
                <w:szCs w:val="24"/>
              </w:rPr>
              <w:t>Stála pracovná komisia na posudzovan</w:t>
            </w:r>
            <w:r>
              <w:rPr>
                <w:rFonts w:ascii="Times New Roman" w:hAnsi="Times New Roman"/>
                <w:bCs/>
                <w:sz w:val="24"/>
                <w:szCs w:val="24"/>
              </w:rPr>
              <w:t xml:space="preserve">ie vybraných vplyvov vyjadruje </w:t>
            </w:r>
          </w:p>
          <w:p w:rsidR="00822AA8" w:rsidRPr="00822AA8" w:rsidP="00822AA8">
            <w:pPr>
              <w:tabs>
                <w:tab w:val="center" w:pos="6379"/>
              </w:tabs>
              <w:bidi w:val="0"/>
              <w:ind w:right="-2"/>
              <w:jc w:val="center"/>
              <w:rPr>
                <w:rFonts w:ascii="Times New Roman" w:hAnsi="Times New Roman"/>
                <w:b/>
                <w:bCs/>
                <w:sz w:val="24"/>
                <w:szCs w:val="24"/>
                <w:lang w:eastAsia="en-US"/>
              </w:rPr>
            </w:pPr>
            <w:r w:rsidRPr="00822AA8">
              <w:rPr>
                <w:rFonts w:ascii="Times New Roman" w:hAnsi="Times New Roman"/>
                <w:b/>
                <w:bCs/>
                <w:sz w:val="24"/>
                <w:szCs w:val="24"/>
                <w:lang w:eastAsia="en-US"/>
              </w:rPr>
              <w:t>nesúhlasné stanovisko</w:t>
            </w:r>
          </w:p>
          <w:p w:rsidR="00822AA8" w:rsidRPr="00822AA8" w:rsidP="00822AA8">
            <w:pPr>
              <w:tabs>
                <w:tab w:val="center" w:pos="6379"/>
              </w:tabs>
              <w:bidi w:val="0"/>
              <w:ind w:right="-2"/>
              <w:jc w:val="both"/>
              <w:rPr>
                <w:rFonts w:ascii="Times New Roman" w:hAnsi="Times New Roman"/>
                <w:bCs/>
                <w:sz w:val="24"/>
                <w:szCs w:val="24"/>
                <w:lang w:eastAsia="en-US"/>
              </w:rPr>
            </w:pPr>
            <w:r w:rsidRPr="00822AA8">
              <w:rPr>
                <w:rFonts w:ascii="Times New Roman" w:hAnsi="Times New Roman"/>
                <w:bCs/>
                <w:sz w:val="24"/>
                <w:szCs w:val="24"/>
              </w:rPr>
              <w:t xml:space="preserve">s materiálom predloženým na predbežné pripomienkové konanie s odporúčaním na jeho dopracovanie podľa pripomienok v bode II. </w:t>
            </w:r>
            <w:r w:rsidRPr="00822AA8">
              <w:rPr>
                <w:rFonts w:ascii="Times New Roman" w:hAnsi="Times New Roman"/>
                <w:bCs/>
                <w:sz w:val="24"/>
                <w:szCs w:val="24"/>
                <w:lang w:eastAsia="en-US"/>
              </w:rPr>
              <w:t xml:space="preserve"> </w:t>
            </w:r>
          </w:p>
          <w:p w:rsidR="00822AA8" w:rsidRPr="00822AA8" w:rsidP="007B71A4">
            <w:pPr>
              <w:bidi w:val="0"/>
              <w:rPr>
                <w:rFonts w:ascii="Times New Roman" w:hAnsi="Times New Roman"/>
                <w:b/>
                <w:sz w:val="24"/>
                <w:szCs w:val="24"/>
              </w:rPr>
            </w:pPr>
          </w:p>
          <w:p w:rsidR="00822AA8" w:rsidP="007B71A4">
            <w:pPr>
              <w:bidi w:val="0"/>
              <w:rPr>
                <w:rFonts w:ascii="Times New Roman" w:hAnsi="Times New Roman"/>
                <w:b/>
                <w:sz w:val="24"/>
                <w:szCs w:val="24"/>
              </w:rPr>
            </w:pPr>
            <w:r>
              <w:rPr>
                <w:rFonts w:ascii="Times New Roman" w:hAnsi="Times New Roman"/>
                <w:b/>
                <w:sz w:val="24"/>
                <w:szCs w:val="24"/>
              </w:rPr>
              <w:t>Vyjadrenie predkladateľa:</w:t>
            </w:r>
          </w:p>
          <w:p w:rsidR="003501A1" w:rsidRPr="00822AA8" w:rsidP="005C75E0">
            <w:pPr>
              <w:bidi w:val="0"/>
              <w:rPr>
                <w:rFonts w:ascii="Times New Roman" w:hAnsi="Times New Roman"/>
                <w:sz w:val="24"/>
                <w:szCs w:val="24"/>
              </w:rPr>
            </w:pPr>
            <w:r w:rsidRPr="00822AA8" w:rsidR="00822AA8">
              <w:rPr>
                <w:rFonts w:ascii="Times New Roman" w:hAnsi="Times New Roman"/>
                <w:sz w:val="24"/>
                <w:szCs w:val="24"/>
              </w:rPr>
              <w:t xml:space="preserve">Všetky pripomienky </w:t>
            </w:r>
            <w:r w:rsidR="005C75E0">
              <w:rPr>
                <w:rFonts w:ascii="Times New Roman" w:hAnsi="Times New Roman"/>
                <w:sz w:val="24"/>
                <w:szCs w:val="24"/>
              </w:rPr>
              <w:t xml:space="preserve">Stálej pracovnej komisie legislatívnej rady vlády Slovenskej republiky pre posudzovanie vybraných vplyvov </w:t>
            </w:r>
            <w:r w:rsidRPr="00822AA8" w:rsidR="00822AA8">
              <w:rPr>
                <w:rFonts w:ascii="Times New Roman" w:hAnsi="Times New Roman"/>
                <w:sz w:val="24"/>
                <w:szCs w:val="24"/>
              </w:rPr>
              <w:t xml:space="preserve">boli </w:t>
            </w:r>
            <w:r w:rsidR="005C75E0">
              <w:rPr>
                <w:rFonts w:ascii="Times New Roman" w:hAnsi="Times New Roman"/>
                <w:sz w:val="24"/>
                <w:szCs w:val="24"/>
              </w:rPr>
              <w:t xml:space="preserve">akceptované  a  </w:t>
            </w:r>
            <w:r w:rsidRPr="00822AA8" w:rsidR="00822AA8">
              <w:rPr>
                <w:rFonts w:ascii="Times New Roman" w:hAnsi="Times New Roman"/>
                <w:sz w:val="24"/>
                <w:szCs w:val="24"/>
              </w:rPr>
              <w:t xml:space="preserve"> </w:t>
            </w:r>
            <w:r w:rsidR="005C75E0">
              <w:rPr>
                <w:rFonts w:ascii="Times New Roman" w:hAnsi="Times New Roman"/>
                <w:sz w:val="24"/>
                <w:szCs w:val="24"/>
              </w:rPr>
              <w:t>Doložka vybraných vplyvov  bola dopracovaná podľa pripomienok.</w:t>
            </w:r>
          </w:p>
        </w:tc>
      </w:tr>
    </w:tbl>
    <w:p w:rsidR="003501A1" w:rsidP="003501A1">
      <w:pPr>
        <w:bidi w:val="0"/>
        <w:rPr>
          <w:rFonts w:ascii="Times New Roman" w:hAnsi="Times New Roman"/>
          <w:b/>
        </w:rPr>
      </w:pPr>
    </w:p>
    <w:p w:rsidR="003501A1" w:rsidP="003501A1">
      <w:pPr>
        <w:bidi w:val="0"/>
        <w:rPr>
          <w:rFonts w:ascii="Times New Roman" w:hAnsi="Times New Roman"/>
          <w:b/>
        </w:rPr>
      </w:pPr>
    </w:p>
    <w:p w:rsidR="00CB3623">
      <w:pPr>
        <w:bidi w:val="0"/>
        <w:rPr>
          <w:rFonts w:ascii="Times New Roman" w:hAnsi="Times New Roman"/>
        </w:rPr>
      </w:pPr>
    </w:p>
    <w:sectPr w:rsidSect="004C60B8">
      <w:headerReference w:type="default" r:id="rId5"/>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A1" w:rsidRPr="000A15AE" w:rsidP="003501A1">
    <w:pPr>
      <w:pStyle w:val="Header"/>
      <w:bidi w:val="0"/>
      <w:jc w:val="right"/>
      <w:rPr>
        <w:rFonts w:ascii="Times New Roman" w:hAnsi="Times New Roman"/>
        <w:sz w:val="24"/>
        <w:szCs w:val="24"/>
      </w:rPr>
    </w:pPr>
    <w:r>
      <w:rPr>
        <w:rFonts w:ascii="Times New Roman" w:hAnsi="Times New Roman"/>
        <w:sz w:val="24"/>
        <w:szCs w:val="24"/>
      </w:rPr>
      <w:t>Príloha č. 1</w:t>
    </w:r>
  </w:p>
  <w:p w:rsidR="003501A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3B97"/>
    <w:multiLevelType w:val="hybridMultilevel"/>
    <w:tmpl w:val="B0E0F63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0B812E3"/>
    <w:multiLevelType w:val="hybridMultilevel"/>
    <w:tmpl w:val="EDB84FA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C957A46"/>
    <w:multiLevelType w:val="hybridMultilevel"/>
    <w:tmpl w:val="883E3B7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12441CF"/>
    <w:multiLevelType w:val="hybridMultilevel"/>
    <w:tmpl w:val="EAF2DE6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D203F8A"/>
    <w:multiLevelType w:val="hybridMultilevel"/>
    <w:tmpl w:val="0FD6FBAC"/>
    <w:lvl w:ilvl="0">
      <w:start w:val="1"/>
      <w:numFmt w:val="lowerLetter"/>
      <w:lvlText w:val="%1)"/>
      <w:lvlJc w:val="left"/>
      <w:pPr>
        <w:ind w:left="1080"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01951"/>
    <w:rsid w:val="000130A1"/>
    <w:rsid w:val="00036A60"/>
    <w:rsid w:val="00051E2F"/>
    <w:rsid w:val="00074ACB"/>
    <w:rsid w:val="000A15AE"/>
    <w:rsid w:val="000B64F9"/>
    <w:rsid w:val="000D40AB"/>
    <w:rsid w:val="0011693A"/>
    <w:rsid w:val="00127DAC"/>
    <w:rsid w:val="00171124"/>
    <w:rsid w:val="00175FD8"/>
    <w:rsid w:val="001A0414"/>
    <w:rsid w:val="001A1559"/>
    <w:rsid w:val="001C5EDD"/>
    <w:rsid w:val="001D6A64"/>
    <w:rsid w:val="00205D6C"/>
    <w:rsid w:val="002431D0"/>
    <w:rsid w:val="002D4931"/>
    <w:rsid w:val="002F0A30"/>
    <w:rsid w:val="00301C30"/>
    <w:rsid w:val="00344C0A"/>
    <w:rsid w:val="003501A1"/>
    <w:rsid w:val="00364617"/>
    <w:rsid w:val="003802DE"/>
    <w:rsid w:val="00395098"/>
    <w:rsid w:val="003A055F"/>
    <w:rsid w:val="003C2D86"/>
    <w:rsid w:val="003C7650"/>
    <w:rsid w:val="003D05B5"/>
    <w:rsid w:val="003D318A"/>
    <w:rsid w:val="0042207C"/>
    <w:rsid w:val="00427F0F"/>
    <w:rsid w:val="00451626"/>
    <w:rsid w:val="0045465B"/>
    <w:rsid w:val="004735F8"/>
    <w:rsid w:val="004C60B8"/>
    <w:rsid w:val="004C794A"/>
    <w:rsid w:val="004F6F1F"/>
    <w:rsid w:val="004F7D6F"/>
    <w:rsid w:val="00523D4C"/>
    <w:rsid w:val="00524BB0"/>
    <w:rsid w:val="00570B48"/>
    <w:rsid w:val="00574B67"/>
    <w:rsid w:val="005B7A8D"/>
    <w:rsid w:val="005C75E0"/>
    <w:rsid w:val="005D1176"/>
    <w:rsid w:val="0063020A"/>
    <w:rsid w:val="00653ADA"/>
    <w:rsid w:val="006B28D9"/>
    <w:rsid w:val="006C280D"/>
    <w:rsid w:val="006C379F"/>
    <w:rsid w:val="006C3B7D"/>
    <w:rsid w:val="007055B4"/>
    <w:rsid w:val="0074188C"/>
    <w:rsid w:val="007B71A4"/>
    <w:rsid w:val="007D6880"/>
    <w:rsid w:val="007E2E14"/>
    <w:rsid w:val="00822AA8"/>
    <w:rsid w:val="00833F5D"/>
    <w:rsid w:val="00854B25"/>
    <w:rsid w:val="00945844"/>
    <w:rsid w:val="009634B3"/>
    <w:rsid w:val="009B233A"/>
    <w:rsid w:val="009D288D"/>
    <w:rsid w:val="00A179AE"/>
    <w:rsid w:val="00A203D0"/>
    <w:rsid w:val="00A834D6"/>
    <w:rsid w:val="00AA06AF"/>
    <w:rsid w:val="00AB0BED"/>
    <w:rsid w:val="00AC2477"/>
    <w:rsid w:val="00AE7EB5"/>
    <w:rsid w:val="00AF4CDB"/>
    <w:rsid w:val="00B54B43"/>
    <w:rsid w:val="00B65A86"/>
    <w:rsid w:val="00B83402"/>
    <w:rsid w:val="00BB3D47"/>
    <w:rsid w:val="00BB58E0"/>
    <w:rsid w:val="00BB6FEB"/>
    <w:rsid w:val="00BE6579"/>
    <w:rsid w:val="00BF3078"/>
    <w:rsid w:val="00C00384"/>
    <w:rsid w:val="00C05774"/>
    <w:rsid w:val="00C13C90"/>
    <w:rsid w:val="00C65346"/>
    <w:rsid w:val="00C97B96"/>
    <w:rsid w:val="00CB3623"/>
    <w:rsid w:val="00D05916"/>
    <w:rsid w:val="00D13B6F"/>
    <w:rsid w:val="00D6222C"/>
    <w:rsid w:val="00D75D35"/>
    <w:rsid w:val="00DE2A12"/>
    <w:rsid w:val="00E033B3"/>
    <w:rsid w:val="00E05801"/>
    <w:rsid w:val="00E16452"/>
    <w:rsid w:val="00E863A9"/>
    <w:rsid w:val="00EA00C8"/>
    <w:rsid w:val="00EB1608"/>
    <w:rsid w:val="00EB59E3"/>
    <w:rsid w:val="00EC6BA9"/>
    <w:rsid w:val="00EF466C"/>
    <w:rsid w:val="00F22831"/>
    <w:rsid w:val="00F36411"/>
    <w:rsid w:val="00F559C4"/>
    <w:rsid w:val="00F62771"/>
    <w:rsid w:val="00FA264A"/>
    <w:rsid w:val="00FB2021"/>
    <w:rsid w:val="00FD1B4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2C22-0FAD-4091-8CB5-0F290AC1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6</Pages>
  <Words>2332</Words>
  <Characters>13297</Characters>
  <Application>Microsoft Office Word</Application>
  <DocSecurity>0</DocSecurity>
  <Lines>0</Lines>
  <Paragraphs>0</Paragraphs>
  <ScaleCrop>false</ScaleCrop>
  <Company/>
  <LinksUpToDate>false</LinksUpToDate>
  <CharactersWithSpaces>15598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6</cp:revision>
  <dcterms:created xsi:type="dcterms:W3CDTF">2016-09-12T07:20:00Z</dcterms:created>
  <dcterms:modified xsi:type="dcterms:W3CDTF">2016-09-21T10:27:00Z</dcterms:modified>
</cp:coreProperties>
</file>