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6029E" w:rsidRPr="003727BA" w:rsidP="00A6029E">
      <w:pPr>
        <w:bidi w:val="0"/>
        <w:spacing w:after="0" w:line="240" w:lineRule="auto"/>
        <w:jc w:val="center"/>
        <w:rPr>
          <w:rFonts w:ascii="Times New Roman" w:hAnsi="Times New Roman"/>
          <w:b/>
          <w:bCs/>
          <w:sz w:val="28"/>
          <w:szCs w:val="28"/>
          <w:lang w:eastAsia="sk-SK"/>
        </w:rPr>
      </w:pPr>
      <w:r w:rsidRPr="003727BA">
        <w:rPr>
          <w:rFonts w:ascii="Times New Roman" w:hAnsi="Times New Roman"/>
          <w:b/>
          <w:bCs/>
          <w:sz w:val="28"/>
          <w:szCs w:val="28"/>
          <w:lang w:eastAsia="sk-SK"/>
        </w:rPr>
        <w:t>Analýza vplyvov na rozpočet verejnej správy,</w:t>
      </w:r>
    </w:p>
    <w:p w:rsidR="00A6029E" w:rsidRPr="003727BA" w:rsidP="00A6029E">
      <w:pPr>
        <w:bidi w:val="0"/>
        <w:spacing w:after="0" w:line="240" w:lineRule="auto"/>
        <w:jc w:val="center"/>
        <w:rPr>
          <w:rFonts w:ascii="Times New Roman" w:hAnsi="Times New Roman"/>
          <w:b/>
          <w:bCs/>
          <w:sz w:val="28"/>
          <w:szCs w:val="28"/>
          <w:lang w:eastAsia="sk-SK"/>
        </w:rPr>
      </w:pPr>
      <w:r w:rsidRPr="003727BA">
        <w:rPr>
          <w:rFonts w:ascii="Times New Roman" w:hAnsi="Times New Roman"/>
          <w:b/>
          <w:bCs/>
          <w:sz w:val="28"/>
          <w:szCs w:val="28"/>
          <w:lang w:eastAsia="sk-SK"/>
        </w:rPr>
        <w:t>na zamestnanosť vo verejnej správe a financovanie návrhu</w:t>
      </w:r>
    </w:p>
    <w:p w:rsidR="00A6029E" w:rsidRPr="003727BA" w:rsidP="00A6029E">
      <w:pPr>
        <w:bidi w:val="0"/>
        <w:spacing w:after="0" w:line="240" w:lineRule="auto"/>
        <w:jc w:val="right"/>
        <w:rPr>
          <w:rFonts w:ascii="Times New Roman" w:hAnsi="Times New Roman"/>
          <w:b/>
          <w:bCs/>
          <w:sz w:val="24"/>
          <w:szCs w:val="24"/>
          <w:lang w:eastAsia="sk-SK"/>
        </w:rPr>
      </w:pPr>
    </w:p>
    <w:p w:rsidR="00A6029E" w:rsidRPr="003727BA" w:rsidP="00A6029E">
      <w:pPr>
        <w:bidi w:val="0"/>
        <w:spacing w:after="0" w:line="240" w:lineRule="auto"/>
        <w:rPr>
          <w:rFonts w:ascii="Times New Roman" w:hAnsi="Times New Roman"/>
          <w:b/>
          <w:bCs/>
          <w:sz w:val="24"/>
          <w:szCs w:val="24"/>
          <w:lang w:eastAsia="sk-SK"/>
        </w:rPr>
      </w:pPr>
      <w:r w:rsidRPr="003727BA">
        <w:rPr>
          <w:rFonts w:ascii="Times New Roman" w:hAnsi="Times New Roman"/>
          <w:b/>
          <w:bCs/>
          <w:sz w:val="24"/>
          <w:szCs w:val="24"/>
          <w:lang w:eastAsia="sk-SK"/>
        </w:rPr>
        <w:t>2.1 Zhrnutie vplyvov na rozpočet verejnej správy v návrhu</w:t>
      </w:r>
    </w:p>
    <w:p w:rsidR="00A6029E" w:rsidRPr="003727BA" w:rsidP="00A6029E">
      <w:pPr>
        <w:bidi w:val="0"/>
        <w:spacing w:after="0" w:line="240" w:lineRule="auto"/>
        <w:jc w:val="right"/>
        <w:rPr>
          <w:rFonts w:ascii="Times New Roman" w:hAnsi="Times New Roman"/>
          <w:sz w:val="20"/>
          <w:szCs w:val="20"/>
          <w:lang w:eastAsia="sk-SK"/>
        </w:rPr>
      </w:pPr>
    </w:p>
    <w:p w:rsidR="00A6029E" w:rsidRPr="003727BA" w:rsidP="00A6029E">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 xml:space="preserve">Tabuľka č. 1 </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047"/>
        <w:gridCol w:w="1267"/>
        <w:gridCol w:w="1434"/>
        <w:gridCol w:w="1320"/>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6029E" w:rsidRPr="003727BA" w:rsidP="00BB3760">
            <w:pPr>
              <w:bidi w:val="0"/>
              <w:spacing w:after="0" w:line="240" w:lineRule="auto"/>
              <w:jc w:val="center"/>
              <w:rPr>
                <w:rFonts w:ascii="Times New Roman" w:hAnsi="Times New Roman"/>
                <w:b/>
                <w:bCs/>
                <w:lang w:eastAsia="sk-SK"/>
              </w:rPr>
            </w:pPr>
            <w:bookmarkStart w:id="0" w:name="OLE_LINK1"/>
            <w:r w:rsidRPr="003727BA">
              <w:rPr>
                <w:rFonts w:ascii="Times New Roman" w:hAnsi="Times New Roman"/>
                <w:b/>
                <w:bCs/>
                <w:lang w:eastAsia="sk-SK"/>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Vplyv na rozpočet verejnej správy (v eurách)</w:t>
            </w:r>
          </w:p>
        </w:tc>
      </w:tr>
      <w:tr>
        <w:tblPrEx>
          <w:tblW w:w="9729"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6029E" w:rsidRPr="003727BA" w:rsidP="00BB3760">
            <w:pPr>
              <w:bidi w:val="0"/>
              <w:spacing w:after="0" w:line="240" w:lineRule="auto"/>
              <w:jc w:val="center"/>
              <w:rPr>
                <w:rFonts w:ascii="Times New Roman" w:hAnsi="Times New Roman"/>
                <w:b/>
                <w:bCs/>
                <w:lang w:eastAsia="sk-SK"/>
              </w:rPr>
            </w:pPr>
          </w:p>
        </w:tc>
        <w:tc>
          <w:tcPr>
            <w:tcW w:w="104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2016</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2017</w:t>
            </w:r>
          </w:p>
        </w:tc>
        <w:tc>
          <w:tcPr>
            <w:tcW w:w="14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2018</w:t>
            </w:r>
          </w:p>
        </w:tc>
        <w:tc>
          <w:tcPr>
            <w:tcW w:w="132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2019</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A6029E" w:rsidRPr="003727BA" w:rsidP="00BB3760">
            <w:pPr>
              <w:bidi w:val="0"/>
              <w:spacing w:after="0" w:line="240" w:lineRule="auto"/>
              <w:rPr>
                <w:rFonts w:ascii="Times New Roman" w:hAnsi="Times New Roman"/>
                <w:lang w:eastAsia="sk-SK"/>
              </w:rPr>
            </w:pPr>
            <w:r w:rsidRPr="003727BA">
              <w:rPr>
                <w:rFonts w:ascii="Times New Roman" w:hAnsi="Times New Roman"/>
                <w:b/>
                <w:bCs/>
                <w:lang w:eastAsia="sk-SK"/>
              </w:rPr>
              <w:t>Príjmy verejnej správy celkom</w:t>
            </w:r>
          </w:p>
        </w:tc>
        <w:tc>
          <w:tcPr>
            <w:tcW w:w="104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6029E" w:rsidRPr="003727BA" w:rsidP="00BB3760">
            <w:pPr>
              <w:bidi w:val="0"/>
              <w:spacing w:after="0" w:line="240" w:lineRule="auto"/>
              <w:jc w:val="right"/>
              <w:rPr>
                <w:rFonts w:ascii="Times New Roman" w:hAnsi="Times New Roman"/>
                <w:b/>
                <w:bCs/>
                <w:lang w:eastAsia="sk-SK"/>
              </w:rPr>
            </w:pPr>
            <w:r w:rsidRPr="003727BA">
              <w:rPr>
                <w:rFonts w:ascii="Times New Roman" w:hAnsi="Times New Roman"/>
                <w:b/>
                <w:bCs/>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6029E" w:rsidRPr="003727BA" w:rsidP="00BB3760">
            <w:pPr>
              <w:bidi w:val="0"/>
              <w:spacing w:after="0" w:line="240" w:lineRule="auto"/>
              <w:jc w:val="right"/>
              <w:rPr>
                <w:rFonts w:ascii="Times New Roman" w:hAnsi="Times New Roman"/>
                <w:b/>
                <w:bCs/>
                <w:lang w:eastAsia="sk-SK"/>
              </w:rPr>
            </w:pPr>
            <w:r w:rsidRPr="003727BA">
              <w:rPr>
                <w:rFonts w:ascii="Times New Roman" w:hAnsi="Times New Roman"/>
                <w:b/>
                <w:bCs/>
                <w:lang w:eastAsia="sk-SK"/>
              </w:rPr>
              <w:t>0</w:t>
            </w:r>
          </w:p>
        </w:tc>
        <w:tc>
          <w:tcPr>
            <w:tcW w:w="1434"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6029E" w:rsidRPr="003727BA" w:rsidP="00BB3760">
            <w:pPr>
              <w:bidi w:val="0"/>
              <w:spacing w:after="0" w:line="240" w:lineRule="auto"/>
              <w:jc w:val="right"/>
              <w:rPr>
                <w:rFonts w:ascii="Times New Roman" w:hAnsi="Times New Roman"/>
                <w:b/>
                <w:bCs/>
                <w:lang w:eastAsia="sk-SK"/>
              </w:rPr>
            </w:pPr>
            <w:r w:rsidRPr="003727BA">
              <w:rPr>
                <w:rFonts w:ascii="Times New Roman" w:hAnsi="Times New Roman"/>
                <w:b/>
                <w:bCs/>
                <w:lang w:eastAsia="sk-SK"/>
              </w:rPr>
              <w:t>+</w:t>
            </w:r>
            <w:r w:rsidRPr="003727BA">
              <w:rPr>
                <w:rFonts w:ascii="Times New Roman" w:hAnsi="Times New Roman"/>
                <w:b/>
                <w:bCs/>
                <w:iCs/>
                <w:lang w:eastAsia="sk-SK"/>
              </w:rPr>
              <w:t>1 276 632</w:t>
            </w:r>
          </w:p>
        </w:tc>
        <w:tc>
          <w:tcPr>
            <w:tcW w:w="132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6029E" w:rsidRPr="003727BA" w:rsidP="00BB3760">
            <w:pPr>
              <w:bidi w:val="0"/>
              <w:spacing w:after="0" w:line="240" w:lineRule="auto"/>
              <w:jc w:val="right"/>
              <w:rPr>
                <w:rFonts w:ascii="Times New Roman" w:hAnsi="Times New Roman"/>
                <w:b/>
                <w:bCs/>
                <w:lang w:eastAsia="sk-SK"/>
              </w:rPr>
            </w:pPr>
            <w:r w:rsidRPr="003727BA">
              <w:rPr>
                <w:rFonts w:ascii="Times New Roman" w:hAnsi="Times New Roman"/>
                <w:b/>
                <w:bCs/>
                <w:iCs/>
                <w:lang w:eastAsia="sk-SK"/>
              </w:rPr>
              <w:t>+6</w:t>
            </w:r>
            <w:r w:rsidRPr="003727BA" w:rsidR="00913F81">
              <w:rPr>
                <w:rFonts w:ascii="Times New Roman" w:hAnsi="Times New Roman"/>
                <w:b/>
                <w:bCs/>
                <w:iCs/>
                <w:lang w:eastAsia="sk-SK"/>
              </w:rPr>
              <w:t> </w:t>
            </w:r>
            <w:r w:rsidRPr="003727BA">
              <w:rPr>
                <w:rFonts w:ascii="Times New Roman" w:hAnsi="Times New Roman"/>
                <w:b/>
                <w:bCs/>
                <w:iCs/>
                <w:lang w:eastAsia="sk-SK"/>
              </w:rPr>
              <w:t>1</w:t>
            </w:r>
            <w:r w:rsidRPr="003727BA" w:rsidR="00913F81">
              <w:rPr>
                <w:rFonts w:ascii="Times New Roman" w:hAnsi="Times New Roman"/>
                <w:b/>
                <w:bCs/>
                <w:iCs/>
                <w:lang w:eastAsia="sk-SK"/>
              </w:rPr>
              <w:t>29 091</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rPr>
                <w:rFonts w:ascii="Times New Roman" w:hAnsi="Times New Roman"/>
                <w:lang w:eastAsia="sk-SK"/>
              </w:rPr>
            </w:pPr>
            <w:r w:rsidRPr="003727BA">
              <w:rPr>
                <w:rFonts w:ascii="Times New Roman" w:hAnsi="Times New Roman"/>
                <w:lang w:eastAsia="sk-SK"/>
              </w:rPr>
              <w:t>v tom: za každý subjekt verejnej správy zvlášť</w:t>
            </w:r>
          </w:p>
        </w:tc>
        <w:tc>
          <w:tcPr>
            <w:tcW w:w="1047"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lang w:eastAsia="sk-SK"/>
              </w:rPr>
            </w:pPr>
            <w:r w:rsidRPr="003727BA">
              <w:rPr>
                <w:rFonts w:ascii="Times New Roman" w:hAnsi="Times New Roman"/>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lang w:eastAsia="sk-SK"/>
              </w:rPr>
            </w:pPr>
            <w:r w:rsidRPr="003727BA">
              <w:rPr>
                <w:rFonts w:ascii="Times New Roman" w:hAnsi="Times New Roman"/>
                <w:lang w:eastAsia="sk-SK"/>
              </w:rPr>
              <w:t>0</w:t>
            </w:r>
          </w:p>
        </w:tc>
        <w:tc>
          <w:tcPr>
            <w:tcW w:w="1434"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lang w:eastAsia="sk-SK"/>
              </w:rPr>
            </w:pPr>
            <w:r w:rsidRPr="003727BA">
              <w:rPr>
                <w:rFonts w:ascii="Times New Roman" w:hAnsi="Times New Roman"/>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lang w:eastAsia="sk-SK"/>
              </w:rPr>
            </w:pPr>
            <w:r w:rsidRPr="003727BA">
              <w:rPr>
                <w:rFonts w:ascii="Times New Roman" w:hAnsi="Times New Roman"/>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rPr>
                <w:rFonts w:ascii="Times New Roman" w:hAnsi="Times New Roman"/>
                <w:b/>
                <w:bCs/>
                <w:i/>
                <w:iCs/>
                <w:lang w:eastAsia="sk-SK"/>
              </w:rPr>
            </w:pPr>
            <w:r w:rsidRPr="003727BA">
              <w:rPr>
                <w:rFonts w:ascii="Times New Roman" w:hAnsi="Times New Roman"/>
                <w:b/>
                <w:bCs/>
                <w:i/>
                <w:iCs/>
                <w:lang w:eastAsia="sk-SK"/>
              </w:rPr>
              <w:t xml:space="preserve">z toho:  </w:t>
            </w:r>
          </w:p>
        </w:tc>
        <w:tc>
          <w:tcPr>
            <w:tcW w:w="1047"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b/>
                <w:bCs/>
                <w:iCs/>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b/>
                <w:bCs/>
                <w:iCs/>
                <w:lang w:eastAsia="sk-SK"/>
              </w:rPr>
            </w:pPr>
          </w:p>
        </w:tc>
        <w:tc>
          <w:tcPr>
            <w:tcW w:w="1434"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b/>
                <w:bCs/>
                <w:iCs/>
                <w:lang w:eastAsia="sk-SK"/>
              </w:rPr>
            </w:pP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b/>
                <w:bCs/>
                <w:iCs/>
                <w:lang w:eastAsia="sk-SK"/>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rPr>
                <w:rFonts w:ascii="Times New Roman" w:hAnsi="Times New Roman"/>
                <w:b/>
                <w:bCs/>
                <w:i/>
                <w:iCs/>
                <w:lang w:eastAsia="sk-SK"/>
              </w:rPr>
            </w:pPr>
            <w:r w:rsidRPr="003727BA">
              <w:rPr>
                <w:rFonts w:ascii="Times New Roman" w:hAnsi="Times New Roman"/>
                <w:b/>
                <w:bCs/>
                <w:i/>
                <w:iCs/>
                <w:lang w:eastAsia="sk-SK"/>
              </w:rPr>
              <w:t>- vplyv na ŠR</w:t>
            </w:r>
          </w:p>
        </w:tc>
        <w:tc>
          <w:tcPr>
            <w:tcW w:w="1047"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434"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ind w:left="259"/>
              <w:rPr>
                <w:rFonts w:ascii="Times New Roman" w:hAnsi="Times New Roman"/>
                <w:b/>
                <w:bCs/>
                <w:i/>
                <w:iCs/>
                <w:lang w:eastAsia="sk-SK"/>
              </w:rPr>
            </w:pPr>
            <w:r w:rsidRPr="003727BA">
              <w:rPr>
                <w:rFonts w:ascii="Times New Roman" w:hAnsi="Times New Roman"/>
                <w:bCs/>
                <w:i/>
                <w:iCs/>
                <w:lang w:eastAsia="sk-SK"/>
              </w:rPr>
              <w:t>Rozpočtové prostriedky</w:t>
            </w:r>
          </w:p>
        </w:tc>
        <w:tc>
          <w:tcPr>
            <w:tcW w:w="1047"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434"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ind w:left="259"/>
              <w:rPr>
                <w:rFonts w:ascii="Times New Roman" w:hAnsi="Times New Roman"/>
                <w:bCs/>
                <w:i/>
                <w:iCs/>
                <w:lang w:eastAsia="sk-SK"/>
              </w:rPr>
            </w:pPr>
            <w:r w:rsidRPr="003727BA">
              <w:rPr>
                <w:rFonts w:ascii="Times New Roman" w:hAnsi="Times New Roman"/>
                <w:bCs/>
                <w:i/>
                <w:iCs/>
                <w:lang w:eastAsia="sk-SK"/>
              </w:rPr>
              <w:t>EÚ zdroje</w:t>
            </w:r>
          </w:p>
        </w:tc>
        <w:tc>
          <w:tcPr>
            <w:tcW w:w="1047"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lang w:eastAsia="sk-SK"/>
              </w:rPr>
            </w:pPr>
            <w:r w:rsidRPr="003727BA">
              <w:rPr>
                <w:rFonts w:ascii="Times New Roman" w:hAnsi="Times New Roman"/>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lang w:eastAsia="sk-SK"/>
              </w:rPr>
            </w:pPr>
            <w:r w:rsidRPr="003727BA">
              <w:rPr>
                <w:rFonts w:ascii="Times New Roman" w:hAnsi="Times New Roman"/>
                <w:lang w:eastAsia="sk-SK"/>
              </w:rPr>
              <w:t>0</w:t>
            </w:r>
          </w:p>
        </w:tc>
        <w:tc>
          <w:tcPr>
            <w:tcW w:w="1434"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lang w:eastAsia="sk-SK"/>
              </w:rPr>
            </w:pPr>
            <w:r w:rsidRPr="003727BA">
              <w:rPr>
                <w:rFonts w:ascii="Times New Roman" w:hAnsi="Times New Roman"/>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lang w:eastAsia="sk-SK"/>
              </w:rPr>
            </w:pPr>
            <w:r w:rsidRPr="003727BA">
              <w:rPr>
                <w:rFonts w:ascii="Times New Roman" w:hAnsi="Times New Roman"/>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rPr>
                <w:rFonts w:ascii="Times New Roman" w:hAnsi="Times New Roman"/>
                <w:b/>
                <w:bCs/>
                <w:i/>
                <w:iCs/>
                <w:lang w:eastAsia="sk-SK"/>
              </w:rPr>
            </w:pPr>
            <w:r w:rsidRPr="003727BA">
              <w:rPr>
                <w:rFonts w:ascii="Times New Roman" w:hAnsi="Times New Roman"/>
                <w:b/>
                <w:bCs/>
                <w:i/>
                <w:iCs/>
                <w:lang w:eastAsia="sk-SK"/>
              </w:rPr>
              <w:t>- vplyv na obce</w:t>
            </w:r>
          </w:p>
        </w:tc>
        <w:tc>
          <w:tcPr>
            <w:tcW w:w="1047"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434"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rPr>
                <w:rFonts w:ascii="Times New Roman" w:hAnsi="Times New Roman"/>
                <w:b/>
                <w:bCs/>
                <w:i/>
                <w:iCs/>
                <w:lang w:eastAsia="sk-SK"/>
              </w:rPr>
            </w:pPr>
            <w:r w:rsidRPr="003727BA">
              <w:rPr>
                <w:rFonts w:ascii="Times New Roman" w:hAnsi="Times New Roman"/>
                <w:b/>
                <w:bCs/>
                <w:i/>
                <w:iCs/>
                <w:lang w:eastAsia="sk-SK"/>
              </w:rPr>
              <w:t>- vplyv na vyššie územné celky</w:t>
            </w:r>
          </w:p>
        </w:tc>
        <w:tc>
          <w:tcPr>
            <w:tcW w:w="1047"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434"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rPr>
                <w:rFonts w:ascii="Times New Roman" w:hAnsi="Times New Roman"/>
                <w:b/>
                <w:bCs/>
                <w:i/>
                <w:iCs/>
                <w:lang w:eastAsia="sk-SK"/>
              </w:rPr>
            </w:pPr>
            <w:r w:rsidRPr="003727BA">
              <w:rPr>
                <w:rFonts w:ascii="Times New Roman" w:hAnsi="Times New Roman"/>
                <w:b/>
                <w:bCs/>
                <w:i/>
                <w:iCs/>
                <w:lang w:eastAsia="sk-SK"/>
              </w:rPr>
              <w:t>- vplyv na Sociálnu poisťovňu</w:t>
            </w:r>
          </w:p>
        </w:tc>
        <w:tc>
          <w:tcPr>
            <w:tcW w:w="1047"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434"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b/>
                <w:bCs/>
                <w:i/>
                <w:iCs/>
                <w:lang w:eastAsia="sk-SK"/>
              </w:rPr>
            </w:pPr>
            <w:r w:rsidRPr="003727BA">
              <w:rPr>
                <w:rFonts w:ascii="Times New Roman" w:hAnsi="Times New Roman"/>
                <w:b/>
                <w:bCs/>
                <w:i/>
                <w:iCs/>
                <w:lang w:eastAsia="sk-SK"/>
              </w:rPr>
              <w:t>+1 276 632</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jc w:val="right"/>
              <w:rPr>
                <w:rFonts w:ascii="Times New Roman" w:hAnsi="Times New Roman"/>
                <w:b/>
                <w:bCs/>
                <w:i/>
                <w:iCs/>
                <w:lang w:eastAsia="sk-SK"/>
              </w:rPr>
            </w:pPr>
            <w:r w:rsidRPr="003727BA">
              <w:rPr>
                <w:rFonts w:ascii="Times New Roman" w:hAnsi="Times New Roman"/>
                <w:b/>
                <w:bCs/>
                <w:i/>
                <w:iCs/>
                <w:lang w:eastAsia="sk-SK"/>
              </w:rPr>
              <w:t>+6</w:t>
            </w:r>
            <w:r w:rsidRPr="003727BA" w:rsidR="00913F81">
              <w:rPr>
                <w:rFonts w:ascii="Times New Roman" w:hAnsi="Times New Roman"/>
                <w:b/>
                <w:bCs/>
                <w:i/>
                <w:iCs/>
                <w:lang w:eastAsia="sk-SK"/>
              </w:rPr>
              <w:t> </w:t>
            </w:r>
            <w:r w:rsidRPr="003727BA">
              <w:rPr>
                <w:rFonts w:ascii="Times New Roman" w:hAnsi="Times New Roman"/>
                <w:b/>
                <w:bCs/>
                <w:i/>
                <w:iCs/>
                <w:lang w:eastAsia="sk-SK"/>
              </w:rPr>
              <w:t>1</w:t>
            </w:r>
            <w:r w:rsidRPr="003727BA" w:rsidR="00913F81">
              <w:rPr>
                <w:rFonts w:ascii="Times New Roman" w:hAnsi="Times New Roman"/>
                <w:b/>
                <w:bCs/>
                <w:i/>
                <w:iCs/>
                <w:lang w:eastAsia="sk-SK"/>
              </w:rPr>
              <w:t>29 091</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73B47" w:rsidRPr="003727BA" w:rsidP="00BB3760">
            <w:pPr>
              <w:bidi w:val="0"/>
              <w:spacing w:after="0" w:line="240" w:lineRule="auto"/>
              <w:rPr>
                <w:rFonts w:ascii="Times New Roman" w:hAnsi="Times New Roman"/>
                <w:b/>
                <w:bCs/>
                <w:lang w:eastAsia="sk-SK"/>
              </w:rPr>
            </w:pPr>
            <w:r w:rsidRPr="003727BA">
              <w:rPr>
                <w:rFonts w:ascii="Times New Roman" w:hAnsi="Times New Roman"/>
                <w:b/>
                <w:bCs/>
                <w:lang w:eastAsia="sk-SK"/>
              </w:rPr>
              <w:t>Výdavky verejnej správy celkom</w:t>
            </w:r>
          </w:p>
        </w:tc>
        <w:tc>
          <w:tcPr>
            <w:tcW w:w="104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773B47" w:rsidRPr="003727BA" w:rsidP="00BB3760">
            <w:pPr>
              <w:bidi w:val="0"/>
              <w:spacing w:after="0" w:line="240" w:lineRule="auto"/>
              <w:jc w:val="right"/>
              <w:rPr>
                <w:rFonts w:ascii="Times New Roman" w:hAnsi="Times New Roman"/>
                <w:b/>
              </w:rPr>
            </w:pPr>
            <w:r w:rsidRPr="003727BA">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773B47" w:rsidRPr="003727BA" w:rsidP="00C771EB">
            <w:pPr>
              <w:bidi w:val="0"/>
              <w:spacing w:after="0" w:line="240" w:lineRule="auto"/>
              <w:jc w:val="right"/>
              <w:rPr>
                <w:rFonts w:ascii="Times New Roman" w:hAnsi="Times New Roman"/>
                <w:b/>
              </w:rPr>
            </w:pPr>
            <w:r w:rsidRPr="003727BA">
              <w:rPr>
                <w:rFonts w:ascii="Times New Roman" w:hAnsi="Times New Roman"/>
                <w:b/>
              </w:rPr>
              <w:t>+2</w:t>
            </w:r>
            <w:r w:rsidRPr="003727BA" w:rsidR="00C771EB">
              <w:rPr>
                <w:rFonts w:ascii="Times New Roman" w:hAnsi="Times New Roman"/>
                <w:b/>
              </w:rPr>
              <w:t>9</w:t>
            </w:r>
            <w:r w:rsidRPr="003727BA">
              <w:rPr>
                <w:rFonts w:ascii="Times New Roman" w:hAnsi="Times New Roman"/>
                <w:b/>
              </w:rPr>
              <w:t> </w:t>
            </w:r>
            <w:r w:rsidRPr="003727BA" w:rsidR="00C771EB">
              <w:rPr>
                <w:rFonts w:ascii="Times New Roman" w:hAnsi="Times New Roman"/>
                <w:b/>
              </w:rPr>
              <w:t>533</w:t>
            </w:r>
            <w:r w:rsidRPr="003727BA">
              <w:rPr>
                <w:rFonts w:ascii="Times New Roman" w:hAnsi="Times New Roman"/>
                <w:b/>
              </w:rPr>
              <w:t xml:space="preserve"> </w:t>
            </w:r>
            <w:r w:rsidRPr="003727BA" w:rsidR="00C771EB">
              <w:rPr>
                <w:rFonts w:ascii="Times New Roman" w:hAnsi="Times New Roman"/>
                <w:b/>
              </w:rPr>
              <w:t>929</w:t>
            </w:r>
          </w:p>
        </w:tc>
        <w:tc>
          <w:tcPr>
            <w:tcW w:w="143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773B47" w:rsidRPr="003727BA" w:rsidP="004E4901">
            <w:pPr>
              <w:bidi w:val="0"/>
              <w:spacing w:after="0" w:line="240" w:lineRule="auto"/>
              <w:jc w:val="right"/>
              <w:rPr>
                <w:rFonts w:ascii="Times New Roman" w:hAnsi="Times New Roman"/>
                <w:b/>
              </w:rPr>
            </w:pPr>
            <w:r w:rsidRPr="003727BA">
              <w:rPr>
                <w:rFonts w:ascii="Times New Roman" w:hAnsi="Times New Roman"/>
                <w:b/>
              </w:rPr>
              <w:t>  +32</w:t>
            </w:r>
            <w:r w:rsidRPr="003727BA" w:rsidR="004E4901">
              <w:rPr>
                <w:rFonts w:ascii="Times New Roman" w:hAnsi="Times New Roman"/>
                <w:b/>
              </w:rPr>
              <w:t> 947 669</w:t>
            </w:r>
          </w:p>
        </w:tc>
        <w:tc>
          <w:tcPr>
            <w:tcW w:w="132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773B47" w:rsidRPr="003727BA" w:rsidP="00C767DE">
            <w:pPr>
              <w:bidi w:val="0"/>
              <w:spacing w:after="0" w:line="240" w:lineRule="auto"/>
              <w:jc w:val="right"/>
              <w:rPr>
                <w:rFonts w:ascii="Times New Roman" w:hAnsi="Times New Roman"/>
                <w:b/>
              </w:rPr>
            </w:pPr>
            <w:r w:rsidRPr="003727BA">
              <w:rPr>
                <w:rFonts w:ascii="Times New Roman" w:hAnsi="Times New Roman"/>
                <w:b/>
              </w:rPr>
              <w:t> +4</w:t>
            </w:r>
            <w:r w:rsidRPr="003727BA" w:rsidR="00C767DE">
              <w:rPr>
                <w:rFonts w:ascii="Times New Roman" w:hAnsi="Times New Roman"/>
                <w:b/>
              </w:rPr>
              <w:t>1</w:t>
            </w:r>
            <w:r w:rsidRPr="003727BA" w:rsidR="00913F81">
              <w:rPr>
                <w:rFonts w:ascii="Times New Roman" w:hAnsi="Times New Roman"/>
                <w:b/>
              </w:rPr>
              <w:t> </w:t>
            </w:r>
            <w:r w:rsidRPr="003727BA" w:rsidR="00C767DE">
              <w:rPr>
                <w:rFonts w:ascii="Times New Roman" w:hAnsi="Times New Roman"/>
                <w:b/>
              </w:rPr>
              <w:t>229</w:t>
            </w:r>
            <w:r w:rsidRPr="003727BA" w:rsidR="00913F81">
              <w:rPr>
                <w:rFonts w:ascii="Times New Roman" w:hAnsi="Times New Roman"/>
                <w:b/>
              </w:rPr>
              <w:t xml:space="preserve"> </w:t>
            </w:r>
            <w:r w:rsidRPr="003727BA" w:rsidR="00C767DE">
              <w:rPr>
                <w:rFonts w:ascii="Times New Roman" w:hAnsi="Times New Roman"/>
                <w:b/>
              </w:rPr>
              <w:t>983</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rPr>
                <w:rFonts w:ascii="Times New Roman" w:hAnsi="Times New Roman"/>
                <w:b/>
                <w:bCs/>
                <w:i/>
                <w:iCs/>
                <w:lang w:eastAsia="sk-SK"/>
              </w:rPr>
            </w:pPr>
            <w:r w:rsidRPr="003727BA">
              <w:rPr>
                <w:rFonts w:ascii="Times New Roman" w:hAnsi="Times New Roman"/>
                <w:b/>
                <w:bCs/>
                <w:i/>
                <w:iCs/>
                <w:lang w:eastAsia="sk-SK"/>
              </w:rPr>
              <w:t xml:space="preserve">z toho: </w:t>
            </w:r>
          </w:p>
        </w:tc>
        <w:tc>
          <w:tcPr>
            <w:tcW w:w="104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p>
        </w:tc>
        <w:tc>
          <w:tcPr>
            <w:tcW w:w="1434"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rPr>
                <w:rFonts w:ascii="Times New Roman" w:hAnsi="Times New Roman"/>
                <w:b/>
                <w:bCs/>
                <w:i/>
                <w:iCs/>
                <w:lang w:eastAsia="sk-SK"/>
              </w:rPr>
            </w:pPr>
            <w:r w:rsidRPr="003727BA">
              <w:rPr>
                <w:rFonts w:ascii="Times New Roman" w:hAnsi="Times New Roman"/>
                <w:b/>
                <w:bCs/>
                <w:i/>
                <w:iCs/>
                <w:lang w:eastAsia="sk-SK"/>
              </w:rPr>
              <w:t>- vplyv na ŠR</w:t>
            </w:r>
          </w:p>
        </w:tc>
        <w:tc>
          <w:tcPr>
            <w:tcW w:w="1047" w:type="dxa"/>
            <w:tcBorders>
              <w:top w:val="single" w:sz="4" w:space="0" w:color="auto"/>
              <w:left w:val="single" w:sz="4" w:space="0" w:color="auto"/>
              <w:bottom w:val="single" w:sz="4" w:space="0" w:color="auto"/>
              <w:right w:val="single" w:sz="4" w:space="0" w:color="auto"/>
            </w:tcBorders>
            <w:noWrap/>
            <w:textDirection w:val="lrTb"/>
            <w:vAlign w:val="top"/>
          </w:tcPr>
          <w:p w:rsidR="00773B47" w:rsidRPr="003727BA" w:rsidP="00BB3760">
            <w:pPr>
              <w:bidi w:val="0"/>
              <w:spacing w:after="0" w:line="240" w:lineRule="auto"/>
              <w:jc w:val="right"/>
              <w:rPr>
                <w:rFonts w:ascii="Times New Roman" w:hAnsi="Times New Roman"/>
                <w:b/>
              </w:rPr>
            </w:pPr>
            <w:r w:rsidRPr="003727BA">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773B47" w:rsidRPr="003727BA" w:rsidP="00353EE3">
            <w:pPr>
              <w:bidi w:val="0"/>
              <w:spacing w:after="0" w:line="240" w:lineRule="auto"/>
              <w:jc w:val="right"/>
              <w:rPr>
                <w:rFonts w:ascii="Times New Roman" w:hAnsi="Times New Roman"/>
                <w:b/>
              </w:rPr>
            </w:pPr>
            <w:r w:rsidRPr="003727BA" w:rsidR="00C771EB">
              <w:rPr>
                <w:rFonts w:ascii="Times New Roman" w:hAnsi="Times New Roman"/>
                <w:b/>
              </w:rPr>
              <w:t>+29 533 929</w:t>
            </w:r>
          </w:p>
        </w:tc>
        <w:tc>
          <w:tcPr>
            <w:tcW w:w="1434" w:type="dxa"/>
            <w:tcBorders>
              <w:top w:val="single" w:sz="4" w:space="0" w:color="auto"/>
              <w:left w:val="single" w:sz="4" w:space="0" w:color="auto"/>
              <w:bottom w:val="single" w:sz="4" w:space="0" w:color="auto"/>
              <w:right w:val="single" w:sz="4" w:space="0" w:color="auto"/>
            </w:tcBorders>
            <w:noWrap/>
            <w:textDirection w:val="lrTb"/>
            <w:vAlign w:val="top"/>
          </w:tcPr>
          <w:p w:rsidR="00773B47" w:rsidRPr="003727BA" w:rsidP="00773B47">
            <w:pPr>
              <w:bidi w:val="0"/>
              <w:spacing w:after="0" w:line="240" w:lineRule="auto"/>
              <w:jc w:val="right"/>
              <w:rPr>
                <w:rFonts w:ascii="Times New Roman" w:hAnsi="Times New Roman"/>
                <w:b/>
              </w:rPr>
            </w:pPr>
            <w:r w:rsidRPr="003727BA" w:rsidR="004E4901">
              <w:rPr>
                <w:rFonts w:ascii="Times New Roman" w:hAnsi="Times New Roman"/>
                <w:b/>
              </w:rPr>
              <w:t>+32 947 669</w:t>
            </w:r>
          </w:p>
        </w:tc>
        <w:tc>
          <w:tcPr>
            <w:tcW w:w="1320" w:type="dxa"/>
            <w:tcBorders>
              <w:top w:val="single" w:sz="4" w:space="0" w:color="auto"/>
              <w:left w:val="single" w:sz="4" w:space="0" w:color="auto"/>
              <w:bottom w:val="single" w:sz="4" w:space="0" w:color="auto"/>
              <w:right w:val="single" w:sz="4" w:space="0" w:color="auto"/>
            </w:tcBorders>
            <w:noWrap/>
            <w:textDirection w:val="lrTb"/>
            <w:vAlign w:val="top"/>
          </w:tcPr>
          <w:p w:rsidR="00773B47" w:rsidRPr="003727BA" w:rsidP="000D4F7C">
            <w:pPr>
              <w:bidi w:val="0"/>
              <w:spacing w:after="0" w:line="240" w:lineRule="auto"/>
              <w:jc w:val="right"/>
              <w:rPr>
                <w:rFonts w:ascii="Times New Roman" w:hAnsi="Times New Roman"/>
                <w:b/>
              </w:rPr>
            </w:pPr>
            <w:r w:rsidRPr="003727BA" w:rsidR="000D4F7C">
              <w:rPr>
                <w:rFonts w:ascii="Times New Roman" w:hAnsi="Times New Roman"/>
                <w:b/>
              </w:rPr>
              <w:t>+41 229 983</w:t>
            </w:r>
            <w:r w:rsidRPr="003727BA">
              <w:rPr>
                <w:rFonts w:ascii="Times New Roman" w:hAnsi="Times New Roman"/>
                <w:b/>
              </w:rPr>
              <w:t> </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rPr>
                <w:rFonts w:ascii="Times New Roman" w:hAnsi="Times New Roman"/>
                <w:lang w:eastAsia="sk-SK"/>
              </w:rPr>
            </w:pPr>
            <w:r w:rsidRPr="003727BA">
              <w:t xml:space="preserve">     </w:t>
            </w:r>
            <w:r w:rsidRPr="003727BA">
              <w:rPr>
                <w:rFonts w:ascii="Times New Roman" w:hAnsi="Times New Roman"/>
              </w:rPr>
              <w:t xml:space="preserve">- MPSVR SR - </w:t>
            </w:r>
            <w:r w:rsidRPr="003727BA">
              <w:rPr>
                <w:rFonts w:ascii="Times New Roman" w:hAnsi="Times New Roman"/>
                <w:lang w:eastAsia="sk-SK"/>
              </w:rPr>
              <w:t xml:space="preserve">07C03 Kompenzácia sociálnych       </w:t>
            </w:r>
          </w:p>
          <w:p w:rsidR="00773B47" w:rsidRPr="003727BA" w:rsidP="00BB3760">
            <w:pPr>
              <w:bidi w:val="0"/>
              <w:spacing w:after="0" w:line="240" w:lineRule="auto"/>
              <w:rPr>
                <w:rFonts w:ascii="Times New Roman" w:hAnsi="Times New Roman"/>
                <w:bCs/>
                <w:i/>
                <w:iCs/>
                <w:lang w:eastAsia="sk-SK"/>
              </w:rPr>
            </w:pPr>
            <w:r w:rsidRPr="003727BA">
              <w:rPr>
                <w:rFonts w:ascii="Times New Roman" w:hAnsi="Times New Roman"/>
                <w:lang w:eastAsia="sk-SK"/>
              </w:rPr>
              <w:t xml:space="preserve">    dôsledkov ŤZP</w:t>
            </w:r>
          </w:p>
        </w:tc>
        <w:tc>
          <w:tcPr>
            <w:tcW w:w="1047" w:type="dxa"/>
            <w:tcBorders>
              <w:top w:val="single" w:sz="4" w:space="0" w:color="auto"/>
              <w:left w:val="single" w:sz="4" w:space="0" w:color="auto"/>
              <w:bottom w:val="single" w:sz="4" w:space="0" w:color="auto"/>
              <w:right w:val="single" w:sz="4" w:space="0" w:color="auto"/>
            </w:tcBorders>
            <w:noWrap/>
            <w:textDirection w:val="lrTb"/>
            <w:vAlign w:val="top"/>
          </w:tcPr>
          <w:p w:rsidR="00773B47" w:rsidRPr="003727BA" w:rsidP="00BB3760">
            <w:pPr>
              <w:bidi w:val="0"/>
              <w:spacing w:after="0" w:line="240" w:lineRule="auto"/>
              <w:jc w:val="right"/>
              <w:rPr>
                <w:rFonts w:ascii="Times New Roman" w:hAnsi="Times New Roman"/>
              </w:rPr>
            </w:pPr>
          </w:p>
          <w:p w:rsidR="00773B47" w:rsidRPr="003727BA" w:rsidP="00BB3760">
            <w:pPr>
              <w:bidi w:val="0"/>
              <w:spacing w:after="0" w:line="240" w:lineRule="auto"/>
              <w:jc w:val="right"/>
              <w:rPr>
                <w:rFonts w:ascii="Times New Roman" w:hAnsi="Times New Roman"/>
              </w:rPr>
            </w:pPr>
            <w:r w:rsidRPr="003727BA">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773B47" w:rsidRPr="003727BA" w:rsidP="00BB3760">
            <w:pPr>
              <w:bidi w:val="0"/>
              <w:spacing w:after="0" w:line="240" w:lineRule="auto"/>
              <w:jc w:val="right"/>
              <w:rPr>
                <w:rFonts w:ascii="Times New Roman" w:hAnsi="Times New Roman"/>
              </w:rPr>
            </w:pPr>
          </w:p>
          <w:p w:rsidR="00773B47" w:rsidRPr="003727BA" w:rsidP="00353EE3">
            <w:pPr>
              <w:bidi w:val="0"/>
              <w:spacing w:after="0" w:line="240" w:lineRule="auto"/>
              <w:jc w:val="right"/>
              <w:rPr>
                <w:rFonts w:ascii="Times New Roman" w:hAnsi="Times New Roman"/>
              </w:rPr>
            </w:pPr>
            <w:r w:rsidRPr="003727BA" w:rsidR="00C771EB">
              <w:rPr>
                <w:rFonts w:ascii="Times New Roman" w:hAnsi="Times New Roman"/>
                <w:b/>
              </w:rPr>
              <w:t>+29 533 929</w:t>
            </w:r>
          </w:p>
        </w:tc>
        <w:tc>
          <w:tcPr>
            <w:tcW w:w="1434" w:type="dxa"/>
            <w:tcBorders>
              <w:top w:val="single" w:sz="4" w:space="0" w:color="auto"/>
              <w:left w:val="single" w:sz="4" w:space="0" w:color="auto"/>
              <w:bottom w:val="single" w:sz="4" w:space="0" w:color="auto"/>
              <w:right w:val="single" w:sz="4" w:space="0" w:color="auto"/>
            </w:tcBorders>
            <w:noWrap/>
            <w:textDirection w:val="lrTb"/>
            <w:vAlign w:val="top"/>
          </w:tcPr>
          <w:p w:rsidR="00773B47" w:rsidRPr="003727BA" w:rsidP="00BB3760">
            <w:pPr>
              <w:bidi w:val="0"/>
              <w:spacing w:after="0" w:line="240" w:lineRule="auto"/>
              <w:jc w:val="right"/>
              <w:rPr>
                <w:rFonts w:ascii="Times New Roman" w:hAnsi="Times New Roman"/>
              </w:rPr>
            </w:pPr>
          </w:p>
          <w:p w:rsidR="00773B47" w:rsidRPr="003727BA" w:rsidP="004E4901">
            <w:pPr>
              <w:bidi w:val="0"/>
              <w:spacing w:after="0" w:line="240" w:lineRule="auto"/>
              <w:jc w:val="right"/>
              <w:rPr>
                <w:rFonts w:ascii="Times New Roman" w:hAnsi="Times New Roman"/>
              </w:rPr>
            </w:pPr>
            <w:r w:rsidRPr="003727BA">
              <w:rPr>
                <w:rFonts w:ascii="Times New Roman" w:hAnsi="Times New Roman"/>
              </w:rPr>
              <w:t>+3</w:t>
            </w:r>
            <w:r w:rsidRPr="003727BA" w:rsidR="004E4901">
              <w:rPr>
                <w:rFonts w:ascii="Times New Roman" w:hAnsi="Times New Roman"/>
              </w:rPr>
              <w:t>1 601 120</w:t>
            </w:r>
          </w:p>
        </w:tc>
        <w:tc>
          <w:tcPr>
            <w:tcW w:w="1320" w:type="dxa"/>
            <w:tcBorders>
              <w:top w:val="single" w:sz="4" w:space="0" w:color="auto"/>
              <w:left w:val="single" w:sz="4" w:space="0" w:color="auto"/>
              <w:bottom w:val="single" w:sz="4" w:space="0" w:color="auto"/>
              <w:right w:val="single" w:sz="4" w:space="0" w:color="auto"/>
            </w:tcBorders>
            <w:noWrap/>
            <w:textDirection w:val="lrTb"/>
            <w:vAlign w:val="top"/>
          </w:tcPr>
          <w:p w:rsidR="00773B47" w:rsidRPr="003727BA" w:rsidP="00BB3760">
            <w:pPr>
              <w:bidi w:val="0"/>
              <w:spacing w:after="0" w:line="240" w:lineRule="auto"/>
              <w:jc w:val="right"/>
              <w:rPr>
                <w:rFonts w:ascii="Times New Roman" w:hAnsi="Times New Roman"/>
              </w:rPr>
            </w:pPr>
          </w:p>
          <w:p w:rsidR="00773B47" w:rsidRPr="003727BA" w:rsidP="000D4F7C">
            <w:pPr>
              <w:bidi w:val="0"/>
              <w:spacing w:after="0" w:line="240" w:lineRule="auto"/>
              <w:jc w:val="right"/>
              <w:rPr>
                <w:rFonts w:ascii="Times New Roman" w:hAnsi="Times New Roman"/>
              </w:rPr>
            </w:pPr>
            <w:r w:rsidRPr="003727BA">
              <w:rPr>
                <w:rFonts w:ascii="Times New Roman" w:hAnsi="Times New Roman"/>
              </w:rPr>
              <w:t>+3</w:t>
            </w:r>
            <w:r w:rsidRPr="003727BA" w:rsidR="000D4F7C">
              <w:rPr>
                <w:rFonts w:ascii="Times New Roman" w:hAnsi="Times New Roman"/>
              </w:rPr>
              <w:t>4</w:t>
            </w:r>
            <w:r w:rsidRPr="003727BA">
              <w:rPr>
                <w:rFonts w:ascii="Times New Roman" w:hAnsi="Times New Roman"/>
              </w:rPr>
              <w:t> </w:t>
            </w:r>
            <w:r w:rsidRPr="003727BA" w:rsidR="000D4F7C">
              <w:rPr>
                <w:rFonts w:ascii="Times New Roman" w:hAnsi="Times New Roman"/>
              </w:rPr>
              <w:t>745</w:t>
            </w:r>
            <w:r w:rsidRPr="003727BA">
              <w:rPr>
                <w:rFonts w:ascii="Times New Roman" w:hAnsi="Times New Roman"/>
              </w:rPr>
              <w:t xml:space="preserve"> </w:t>
            </w:r>
            <w:r w:rsidRPr="003727BA" w:rsidR="000D4F7C">
              <w:rPr>
                <w:rFonts w:ascii="Times New Roman" w:hAnsi="Times New Roman"/>
              </w:rPr>
              <w:t>492</w:t>
            </w:r>
          </w:p>
        </w:tc>
      </w:tr>
      <w:tr>
        <w:tblPrEx>
          <w:tblW w:w="9729" w:type="dxa"/>
          <w:jc w:val="center"/>
          <w:tblInd w:w="-479" w:type="dxa"/>
          <w:tblCellMar>
            <w:left w:w="70" w:type="dxa"/>
            <w:right w:w="70" w:type="dxa"/>
          </w:tblCellMar>
        </w:tblPrEx>
        <w:trPr>
          <w:trHeight w:val="379"/>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rPr>
                <w:rFonts w:ascii="Times New Roman" w:hAnsi="Times New Roman"/>
              </w:rPr>
            </w:pPr>
            <w:r w:rsidRPr="003727BA">
              <w:rPr>
                <w:rFonts w:ascii="Times New Roman" w:hAnsi="Times New Roman"/>
              </w:rPr>
              <w:t xml:space="preserve">     - MPSVR SR - 07C020A Štátom platené  </w:t>
            </w:r>
          </w:p>
          <w:p w:rsidR="00773B47" w:rsidRPr="003727BA" w:rsidP="00BB3760">
            <w:pPr>
              <w:bidi w:val="0"/>
              <w:spacing w:after="0" w:line="240" w:lineRule="auto"/>
              <w:rPr>
                <w:rFonts w:ascii="Times New Roman" w:hAnsi="Times New Roman"/>
                <w:bCs/>
                <w:i/>
                <w:iCs/>
                <w:lang w:eastAsia="sk-SK"/>
              </w:rPr>
            </w:pPr>
            <w:r w:rsidRPr="003727BA">
              <w:rPr>
                <w:rFonts w:ascii="Times New Roman" w:hAnsi="Times New Roman"/>
              </w:rPr>
              <w:t xml:space="preserve">     poistné za osoby starajúce sa o dieťa</w:t>
            </w:r>
          </w:p>
        </w:tc>
        <w:tc>
          <w:tcPr>
            <w:tcW w:w="104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Cs/>
                <w:iCs/>
                <w:lang w:eastAsia="sk-SK"/>
              </w:rPr>
            </w:pPr>
            <w:r w:rsidRPr="003727BA">
              <w:rPr>
                <w:rFonts w:ascii="Times New Roman" w:hAnsi="Times New Roman"/>
                <w:bCs/>
                <w:iCs/>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Cs/>
                <w:iCs/>
                <w:lang w:eastAsia="sk-SK"/>
              </w:rPr>
            </w:pPr>
            <w:r w:rsidRPr="003727BA">
              <w:rPr>
                <w:rFonts w:ascii="Times New Roman" w:hAnsi="Times New Roman"/>
                <w:bCs/>
                <w:iCs/>
                <w:lang w:eastAsia="sk-SK"/>
              </w:rPr>
              <w:t>0</w:t>
            </w:r>
          </w:p>
        </w:tc>
        <w:tc>
          <w:tcPr>
            <w:tcW w:w="1434"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Cs/>
                <w:iCs/>
                <w:lang w:eastAsia="sk-SK"/>
              </w:rPr>
            </w:pPr>
            <w:r w:rsidRPr="003727BA">
              <w:rPr>
                <w:rFonts w:ascii="Times New Roman" w:hAnsi="Times New Roman"/>
                <w:bCs/>
                <w:iCs/>
                <w:lang w:eastAsia="sk-SK"/>
              </w:rPr>
              <w:t>+1 346 549</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Cs/>
                <w:iCs/>
                <w:lang w:eastAsia="sk-SK"/>
              </w:rPr>
            </w:pPr>
            <w:r w:rsidRPr="003727BA">
              <w:rPr>
                <w:rFonts w:ascii="Times New Roman" w:hAnsi="Times New Roman"/>
                <w:bCs/>
                <w:iCs/>
                <w:lang w:eastAsia="sk-SK"/>
              </w:rPr>
              <w:t>+6</w:t>
            </w:r>
            <w:r w:rsidRPr="003727BA" w:rsidR="00913F81">
              <w:rPr>
                <w:rFonts w:ascii="Times New Roman" w:hAnsi="Times New Roman"/>
                <w:bCs/>
                <w:iCs/>
                <w:lang w:eastAsia="sk-SK"/>
              </w:rPr>
              <w:t> </w:t>
            </w:r>
            <w:r w:rsidRPr="003727BA">
              <w:rPr>
                <w:rFonts w:ascii="Times New Roman" w:hAnsi="Times New Roman"/>
                <w:bCs/>
                <w:iCs/>
                <w:lang w:eastAsia="sk-SK"/>
              </w:rPr>
              <w:t>4</w:t>
            </w:r>
            <w:r w:rsidRPr="003727BA" w:rsidR="00913F81">
              <w:rPr>
                <w:rFonts w:ascii="Times New Roman" w:hAnsi="Times New Roman"/>
                <w:bCs/>
                <w:iCs/>
                <w:lang w:eastAsia="sk-SK"/>
              </w:rPr>
              <w:t>84 491</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ind w:left="259"/>
              <w:rPr>
                <w:rFonts w:ascii="Times New Roman" w:hAnsi="Times New Roman"/>
                <w:b/>
                <w:bCs/>
                <w:i/>
                <w:iCs/>
                <w:lang w:eastAsia="sk-SK"/>
              </w:rPr>
            </w:pPr>
            <w:r w:rsidRPr="003727BA">
              <w:rPr>
                <w:rFonts w:ascii="Times New Roman" w:hAnsi="Times New Roman"/>
                <w:bCs/>
                <w:i/>
                <w:iCs/>
                <w:lang w:eastAsia="sk-SK"/>
              </w:rPr>
              <w:t>Rozpočtové prostriedky</w:t>
            </w:r>
          </w:p>
        </w:tc>
        <w:tc>
          <w:tcPr>
            <w:tcW w:w="104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434"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rPr>
                <w:rFonts w:ascii="Times New Roman" w:hAnsi="Times New Roman"/>
                <w:bCs/>
                <w:i/>
                <w:iCs/>
                <w:lang w:eastAsia="sk-SK"/>
              </w:rPr>
            </w:pPr>
            <w:r w:rsidRPr="003727BA">
              <w:rPr>
                <w:rFonts w:ascii="Times New Roman" w:hAnsi="Times New Roman"/>
                <w:bCs/>
                <w:i/>
                <w:iCs/>
                <w:lang w:eastAsia="sk-SK"/>
              </w:rPr>
              <w:t xml:space="preserve">    EÚ zdroje</w:t>
            </w:r>
          </w:p>
        </w:tc>
        <w:tc>
          <w:tcPr>
            <w:tcW w:w="104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lang w:eastAsia="sk-SK"/>
              </w:rPr>
            </w:pPr>
            <w:r w:rsidRPr="003727BA">
              <w:rPr>
                <w:rFonts w:ascii="Times New Roman" w:hAnsi="Times New Roman"/>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lang w:eastAsia="sk-SK"/>
              </w:rPr>
            </w:pPr>
            <w:r w:rsidRPr="003727BA">
              <w:rPr>
                <w:rFonts w:ascii="Times New Roman" w:hAnsi="Times New Roman"/>
                <w:lang w:eastAsia="sk-SK"/>
              </w:rPr>
              <w:t>0</w:t>
            </w:r>
          </w:p>
        </w:tc>
        <w:tc>
          <w:tcPr>
            <w:tcW w:w="1434"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lang w:eastAsia="sk-SK"/>
              </w:rPr>
            </w:pPr>
            <w:r w:rsidRPr="003727BA">
              <w:rPr>
                <w:rFonts w:ascii="Times New Roman" w:hAnsi="Times New Roman"/>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lang w:eastAsia="sk-SK"/>
              </w:rPr>
            </w:pPr>
            <w:r w:rsidRPr="003727BA">
              <w:rPr>
                <w:rFonts w:ascii="Times New Roman" w:hAnsi="Times New Roman"/>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rPr>
                <w:rFonts w:ascii="Times New Roman" w:hAnsi="Times New Roman"/>
                <w:bCs/>
                <w:i/>
                <w:iCs/>
                <w:lang w:eastAsia="sk-SK"/>
              </w:rPr>
            </w:pPr>
            <w:r w:rsidRPr="003727BA">
              <w:rPr>
                <w:rFonts w:ascii="Times New Roman" w:hAnsi="Times New Roman"/>
                <w:bCs/>
                <w:i/>
                <w:iCs/>
                <w:lang w:eastAsia="sk-SK"/>
              </w:rPr>
              <w:t xml:space="preserve">    spolufinancovanie</w:t>
            </w:r>
          </w:p>
        </w:tc>
        <w:tc>
          <w:tcPr>
            <w:tcW w:w="104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lang w:eastAsia="sk-SK"/>
              </w:rPr>
            </w:pPr>
            <w:r w:rsidRPr="003727BA">
              <w:rPr>
                <w:rFonts w:ascii="Times New Roman" w:hAnsi="Times New Roman"/>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lang w:eastAsia="sk-SK"/>
              </w:rPr>
            </w:pPr>
            <w:r w:rsidRPr="003727BA">
              <w:rPr>
                <w:rFonts w:ascii="Times New Roman" w:hAnsi="Times New Roman"/>
                <w:lang w:eastAsia="sk-SK"/>
              </w:rPr>
              <w:t>0</w:t>
            </w:r>
          </w:p>
        </w:tc>
        <w:tc>
          <w:tcPr>
            <w:tcW w:w="1434"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lang w:eastAsia="sk-SK"/>
              </w:rPr>
            </w:pPr>
            <w:r w:rsidRPr="003727BA">
              <w:rPr>
                <w:rFonts w:ascii="Times New Roman" w:hAnsi="Times New Roman"/>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lang w:eastAsia="sk-SK"/>
              </w:rPr>
            </w:pPr>
            <w:r w:rsidRPr="003727BA">
              <w:rPr>
                <w:rFonts w:ascii="Times New Roman" w:hAnsi="Times New Roman"/>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rPr>
                <w:rFonts w:ascii="Times New Roman" w:hAnsi="Times New Roman"/>
                <w:b/>
                <w:bCs/>
                <w:i/>
                <w:iCs/>
                <w:lang w:eastAsia="sk-SK"/>
              </w:rPr>
            </w:pPr>
            <w:r w:rsidRPr="003727BA">
              <w:rPr>
                <w:rFonts w:ascii="Times New Roman" w:hAnsi="Times New Roman"/>
                <w:b/>
                <w:bCs/>
                <w:i/>
                <w:iCs/>
                <w:lang w:eastAsia="sk-SK"/>
              </w:rPr>
              <w:t>- vplyv na obce</w:t>
            </w:r>
          </w:p>
        </w:tc>
        <w:tc>
          <w:tcPr>
            <w:tcW w:w="104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434"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rPr>
                <w:rFonts w:ascii="Times New Roman" w:hAnsi="Times New Roman"/>
                <w:b/>
                <w:bCs/>
                <w:i/>
                <w:iCs/>
                <w:lang w:eastAsia="sk-SK"/>
              </w:rPr>
            </w:pPr>
            <w:r w:rsidRPr="003727BA">
              <w:rPr>
                <w:rFonts w:ascii="Times New Roman" w:hAnsi="Times New Roman"/>
                <w:b/>
                <w:bCs/>
                <w:i/>
                <w:iCs/>
                <w:lang w:eastAsia="sk-SK"/>
              </w:rPr>
              <w:t>- vplyv na vyššie územné celky</w:t>
            </w:r>
          </w:p>
        </w:tc>
        <w:tc>
          <w:tcPr>
            <w:tcW w:w="104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434"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rPr>
                <w:rFonts w:ascii="Times New Roman" w:hAnsi="Times New Roman"/>
                <w:b/>
                <w:bCs/>
                <w:lang w:eastAsia="sk-SK"/>
              </w:rPr>
            </w:pPr>
            <w:r w:rsidRPr="003727BA">
              <w:rPr>
                <w:rFonts w:ascii="Times New Roman" w:hAnsi="Times New Roman"/>
                <w:b/>
                <w:bCs/>
                <w:i/>
                <w:iCs/>
                <w:lang w:eastAsia="sk-SK"/>
              </w:rPr>
              <w:t>- vplyv na Sociálnu poisťovňu</w:t>
            </w:r>
          </w:p>
        </w:tc>
        <w:tc>
          <w:tcPr>
            <w:tcW w:w="104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434"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73B47" w:rsidRPr="003727BA" w:rsidP="00BB3760">
            <w:pPr>
              <w:bidi w:val="0"/>
              <w:spacing w:after="0" w:line="240" w:lineRule="auto"/>
              <w:rPr>
                <w:rFonts w:ascii="Times New Roman" w:hAnsi="Times New Roman"/>
                <w:b/>
                <w:bCs/>
                <w:lang w:eastAsia="sk-SK"/>
              </w:rPr>
            </w:pPr>
            <w:r w:rsidRPr="003727BA">
              <w:rPr>
                <w:rFonts w:ascii="Times New Roman" w:hAnsi="Times New Roman"/>
                <w:b/>
                <w:bCs/>
                <w:lang w:eastAsia="sk-SK"/>
              </w:rPr>
              <w:t xml:space="preserve">Vplyv na počet zamestnancov </w:t>
            </w:r>
          </w:p>
        </w:tc>
        <w:tc>
          <w:tcPr>
            <w:tcW w:w="104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73B47" w:rsidRPr="003727BA" w:rsidP="00BB3760">
            <w:pPr>
              <w:bidi w:val="0"/>
              <w:spacing w:after="0" w:line="240" w:lineRule="auto"/>
              <w:jc w:val="right"/>
              <w:rPr>
                <w:rFonts w:ascii="Times New Roman" w:hAnsi="Times New Roman"/>
                <w:b/>
                <w:bCs/>
                <w:lang w:eastAsia="sk-SK"/>
              </w:rPr>
            </w:pPr>
            <w:r w:rsidRPr="003727BA">
              <w:rPr>
                <w:rFonts w:ascii="Times New Roman" w:hAnsi="Times New Roman"/>
                <w:b/>
                <w:bCs/>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73B47" w:rsidRPr="003727BA" w:rsidP="00BB3760">
            <w:pPr>
              <w:bidi w:val="0"/>
              <w:spacing w:after="0" w:line="240" w:lineRule="auto"/>
              <w:jc w:val="right"/>
              <w:rPr>
                <w:rFonts w:ascii="Times New Roman" w:hAnsi="Times New Roman"/>
                <w:b/>
                <w:bCs/>
                <w:lang w:eastAsia="sk-SK"/>
              </w:rPr>
            </w:pPr>
            <w:r w:rsidRPr="003727BA">
              <w:rPr>
                <w:rFonts w:ascii="Times New Roman" w:hAnsi="Times New Roman"/>
                <w:b/>
                <w:bCs/>
                <w:lang w:eastAsia="sk-SK"/>
              </w:rPr>
              <w:t>0</w:t>
            </w:r>
          </w:p>
        </w:tc>
        <w:tc>
          <w:tcPr>
            <w:tcW w:w="143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73B47" w:rsidRPr="003727BA" w:rsidP="00BB3760">
            <w:pPr>
              <w:bidi w:val="0"/>
              <w:spacing w:after="0" w:line="240" w:lineRule="auto"/>
              <w:jc w:val="right"/>
              <w:rPr>
                <w:rFonts w:ascii="Times New Roman" w:hAnsi="Times New Roman"/>
                <w:b/>
                <w:bCs/>
                <w:lang w:eastAsia="sk-SK"/>
              </w:rPr>
            </w:pPr>
            <w:r w:rsidRPr="003727BA">
              <w:rPr>
                <w:rFonts w:ascii="Times New Roman" w:hAnsi="Times New Roman"/>
                <w:b/>
                <w:bCs/>
                <w:lang w:eastAsia="sk-SK"/>
              </w:rPr>
              <w:t>0</w:t>
            </w:r>
          </w:p>
        </w:tc>
        <w:tc>
          <w:tcPr>
            <w:tcW w:w="13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73B47" w:rsidRPr="003727BA" w:rsidP="00BB3760">
            <w:pPr>
              <w:bidi w:val="0"/>
              <w:spacing w:after="0" w:line="240" w:lineRule="auto"/>
              <w:jc w:val="right"/>
              <w:rPr>
                <w:rFonts w:ascii="Times New Roman" w:hAnsi="Times New Roman"/>
                <w:b/>
                <w:bCs/>
                <w:lang w:eastAsia="sk-SK"/>
              </w:rPr>
            </w:pPr>
            <w:r w:rsidRPr="003727BA">
              <w:rPr>
                <w:rFonts w:ascii="Times New Roman" w:hAnsi="Times New Roman"/>
                <w:b/>
                <w:bCs/>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rPr>
                <w:rFonts w:ascii="Times New Roman" w:hAnsi="Times New Roman"/>
                <w:b/>
                <w:bCs/>
                <w:i/>
                <w:iCs/>
                <w:lang w:eastAsia="sk-SK"/>
              </w:rPr>
            </w:pPr>
            <w:r w:rsidRPr="003727BA">
              <w:rPr>
                <w:rFonts w:ascii="Times New Roman" w:hAnsi="Times New Roman"/>
                <w:b/>
                <w:bCs/>
                <w:i/>
                <w:iCs/>
                <w:lang w:eastAsia="sk-SK"/>
              </w:rPr>
              <w:t>- vplyv na ŠR</w:t>
            </w:r>
          </w:p>
        </w:tc>
        <w:tc>
          <w:tcPr>
            <w:tcW w:w="104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434"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rPr>
                <w:rFonts w:ascii="Times New Roman" w:hAnsi="Times New Roman"/>
                <w:b/>
                <w:bCs/>
                <w:i/>
                <w:iCs/>
                <w:sz w:val="24"/>
                <w:szCs w:val="24"/>
                <w:lang w:eastAsia="sk-SK"/>
              </w:rPr>
            </w:pPr>
            <w:r w:rsidRPr="003727BA">
              <w:rPr>
                <w:rFonts w:ascii="Times New Roman" w:hAnsi="Times New Roman"/>
                <w:b/>
                <w:bCs/>
                <w:i/>
                <w:iCs/>
                <w:sz w:val="24"/>
                <w:szCs w:val="24"/>
                <w:lang w:eastAsia="sk-SK"/>
              </w:rPr>
              <w:t>- vplyv na obce</w:t>
            </w:r>
          </w:p>
        </w:tc>
        <w:tc>
          <w:tcPr>
            <w:tcW w:w="104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sz w:val="24"/>
                <w:szCs w:val="24"/>
                <w:lang w:eastAsia="sk-SK"/>
              </w:rPr>
            </w:pPr>
            <w:r w:rsidRPr="003727BA">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sz w:val="24"/>
                <w:szCs w:val="24"/>
                <w:lang w:eastAsia="sk-SK"/>
              </w:rPr>
            </w:pPr>
            <w:r w:rsidRPr="003727BA">
              <w:rPr>
                <w:rFonts w:ascii="Times New Roman" w:hAnsi="Times New Roman"/>
                <w:b/>
                <w:bCs/>
                <w:iCs/>
                <w:sz w:val="24"/>
                <w:szCs w:val="24"/>
                <w:lang w:eastAsia="sk-SK"/>
              </w:rPr>
              <w:t>0</w:t>
            </w:r>
          </w:p>
        </w:tc>
        <w:tc>
          <w:tcPr>
            <w:tcW w:w="1434"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sz w:val="24"/>
                <w:szCs w:val="24"/>
                <w:lang w:eastAsia="sk-SK"/>
              </w:rPr>
            </w:pPr>
            <w:r w:rsidRPr="003727BA">
              <w:rPr>
                <w:rFonts w:ascii="Times New Roman" w:hAnsi="Times New Roman"/>
                <w:b/>
                <w:bCs/>
                <w:iCs/>
                <w:sz w:val="24"/>
                <w:szCs w:val="24"/>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sz w:val="24"/>
                <w:szCs w:val="24"/>
                <w:lang w:eastAsia="sk-SK"/>
              </w:rPr>
            </w:pPr>
            <w:r w:rsidRPr="003727BA">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rPr>
                <w:rFonts w:ascii="Times New Roman" w:hAnsi="Times New Roman"/>
                <w:b/>
                <w:bCs/>
                <w:i/>
                <w:iCs/>
                <w:lang w:eastAsia="sk-SK"/>
              </w:rPr>
            </w:pPr>
            <w:r w:rsidRPr="003727BA">
              <w:rPr>
                <w:rFonts w:ascii="Times New Roman" w:hAnsi="Times New Roman"/>
                <w:b/>
                <w:bCs/>
                <w:i/>
                <w:iCs/>
                <w:lang w:eastAsia="sk-SK"/>
              </w:rPr>
              <w:t>- vplyv na vyššie územné celky</w:t>
            </w:r>
          </w:p>
        </w:tc>
        <w:tc>
          <w:tcPr>
            <w:tcW w:w="104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434"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rPr>
                <w:rFonts w:ascii="Times New Roman" w:hAnsi="Times New Roman"/>
                <w:b/>
                <w:bCs/>
                <w:i/>
                <w:iCs/>
                <w:lang w:eastAsia="sk-SK"/>
              </w:rPr>
            </w:pPr>
            <w:r w:rsidRPr="003727BA">
              <w:rPr>
                <w:rFonts w:ascii="Times New Roman" w:hAnsi="Times New Roman"/>
                <w:b/>
                <w:bCs/>
                <w:i/>
                <w:iCs/>
                <w:lang w:eastAsia="sk-SK"/>
              </w:rPr>
              <w:t>- vplyv na ostatné subjekty verejnej správy</w:t>
            </w:r>
          </w:p>
        </w:tc>
        <w:tc>
          <w:tcPr>
            <w:tcW w:w="104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434"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73B47" w:rsidRPr="003727BA" w:rsidP="00BB3760">
            <w:pPr>
              <w:bidi w:val="0"/>
              <w:spacing w:after="0" w:line="240" w:lineRule="auto"/>
              <w:rPr>
                <w:rFonts w:ascii="Times New Roman" w:hAnsi="Times New Roman"/>
                <w:b/>
                <w:lang w:eastAsia="sk-SK"/>
              </w:rPr>
            </w:pPr>
            <w:r w:rsidRPr="003727BA">
              <w:rPr>
                <w:rFonts w:ascii="Times New Roman" w:hAnsi="Times New Roman"/>
                <w:b/>
                <w:lang w:eastAsia="sk-SK"/>
              </w:rPr>
              <w:t>Vplyv na mzdové výdavky</w:t>
            </w:r>
          </w:p>
        </w:tc>
        <w:tc>
          <w:tcPr>
            <w:tcW w:w="104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73B47" w:rsidRPr="003727BA" w:rsidP="00BB3760">
            <w:pPr>
              <w:bidi w:val="0"/>
              <w:spacing w:after="0" w:line="240" w:lineRule="auto"/>
              <w:jc w:val="right"/>
              <w:rPr>
                <w:rFonts w:ascii="Times New Roman" w:hAnsi="Times New Roman"/>
                <w:b/>
                <w:lang w:eastAsia="sk-SK"/>
              </w:rPr>
            </w:pPr>
            <w:r w:rsidRPr="003727BA">
              <w:rPr>
                <w:rFonts w:ascii="Times New Roman" w:hAnsi="Times New Roman"/>
                <w:b/>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73B47" w:rsidRPr="003727BA" w:rsidP="00BB3760">
            <w:pPr>
              <w:bidi w:val="0"/>
              <w:spacing w:after="0" w:line="240" w:lineRule="auto"/>
              <w:jc w:val="right"/>
              <w:rPr>
                <w:rFonts w:ascii="Times New Roman" w:hAnsi="Times New Roman"/>
                <w:b/>
                <w:lang w:eastAsia="sk-SK"/>
              </w:rPr>
            </w:pPr>
            <w:r w:rsidRPr="003727BA">
              <w:rPr>
                <w:rFonts w:ascii="Times New Roman" w:hAnsi="Times New Roman"/>
                <w:b/>
                <w:lang w:eastAsia="sk-SK"/>
              </w:rPr>
              <w:t>0</w:t>
            </w:r>
          </w:p>
        </w:tc>
        <w:tc>
          <w:tcPr>
            <w:tcW w:w="143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73B47" w:rsidRPr="003727BA" w:rsidP="00BB3760">
            <w:pPr>
              <w:bidi w:val="0"/>
              <w:spacing w:after="0" w:line="240" w:lineRule="auto"/>
              <w:jc w:val="right"/>
              <w:rPr>
                <w:rFonts w:ascii="Times New Roman" w:hAnsi="Times New Roman"/>
                <w:b/>
                <w:lang w:eastAsia="sk-SK"/>
              </w:rPr>
            </w:pPr>
            <w:r w:rsidRPr="003727BA">
              <w:rPr>
                <w:rFonts w:ascii="Times New Roman" w:hAnsi="Times New Roman"/>
                <w:b/>
                <w:lang w:eastAsia="sk-SK"/>
              </w:rPr>
              <w:t>0</w:t>
            </w:r>
          </w:p>
        </w:tc>
        <w:tc>
          <w:tcPr>
            <w:tcW w:w="13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73B47" w:rsidRPr="003727BA" w:rsidP="00BB3760">
            <w:pPr>
              <w:bidi w:val="0"/>
              <w:spacing w:after="0" w:line="240" w:lineRule="auto"/>
              <w:jc w:val="right"/>
              <w:rPr>
                <w:rFonts w:ascii="Times New Roman" w:hAnsi="Times New Roman"/>
                <w:b/>
                <w:lang w:eastAsia="sk-SK"/>
              </w:rPr>
            </w:pPr>
            <w:r w:rsidRPr="003727BA">
              <w:rPr>
                <w:rFonts w:ascii="Times New Roman" w:hAnsi="Times New Roman"/>
                <w:b/>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rPr>
                <w:rFonts w:ascii="Times New Roman" w:hAnsi="Times New Roman"/>
                <w:b/>
                <w:bCs/>
                <w:i/>
                <w:iCs/>
                <w:lang w:eastAsia="sk-SK"/>
              </w:rPr>
            </w:pPr>
            <w:r w:rsidRPr="003727BA">
              <w:rPr>
                <w:rFonts w:ascii="Times New Roman" w:hAnsi="Times New Roman"/>
                <w:b/>
                <w:bCs/>
                <w:i/>
                <w:iCs/>
                <w:lang w:eastAsia="sk-SK"/>
              </w:rPr>
              <w:t>- vplyv na ŠR</w:t>
            </w:r>
          </w:p>
        </w:tc>
        <w:tc>
          <w:tcPr>
            <w:tcW w:w="104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434"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rPr>
                <w:rFonts w:ascii="Times New Roman" w:hAnsi="Times New Roman"/>
                <w:b/>
                <w:bCs/>
                <w:i/>
                <w:iCs/>
                <w:lang w:eastAsia="sk-SK"/>
              </w:rPr>
            </w:pPr>
            <w:r w:rsidRPr="003727BA">
              <w:rPr>
                <w:rFonts w:ascii="Times New Roman" w:hAnsi="Times New Roman"/>
                <w:b/>
                <w:bCs/>
                <w:i/>
                <w:iCs/>
                <w:lang w:eastAsia="sk-SK"/>
              </w:rPr>
              <w:t>- vplyv na obce</w:t>
            </w:r>
          </w:p>
        </w:tc>
        <w:tc>
          <w:tcPr>
            <w:tcW w:w="104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434"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rPr>
                <w:rFonts w:ascii="Times New Roman" w:hAnsi="Times New Roman"/>
                <w:b/>
                <w:bCs/>
                <w:i/>
                <w:iCs/>
                <w:lang w:eastAsia="sk-SK"/>
              </w:rPr>
            </w:pPr>
            <w:r w:rsidRPr="003727BA">
              <w:rPr>
                <w:rFonts w:ascii="Times New Roman" w:hAnsi="Times New Roman"/>
                <w:b/>
                <w:bCs/>
                <w:i/>
                <w:iCs/>
                <w:lang w:eastAsia="sk-SK"/>
              </w:rPr>
              <w:t>- vplyv na vyššie územné celky</w:t>
            </w:r>
          </w:p>
        </w:tc>
        <w:tc>
          <w:tcPr>
            <w:tcW w:w="104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434"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rPr>
                <w:rFonts w:ascii="Times New Roman" w:hAnsi="Times New Roman"/>
                <w:b/>
                <w:bCs/>
                <w:lang w:eastAsia="sk-SK"/>
              </w:rPr>
            </w:pPr>
            <w:r w:rsidRPr="003727BA">
              <w:rPr>
                <w:rFonts w:ascii="Times New Roman" w:hAnsi="Times New Roman"/>
                <w:b/>
                <w:bCs/>
                <w:i/>
                <w:iCs/>
                <w:lang w:eastAsia="sk-SK"/>
              </w:rPr>
              <w:t>- vplyv na ostatné subjekty verejnej správy</w:t>
            </w:r>
          </w:p>
        </w:tc>
        <w:tc>
          <w:tcPr>
            <w:tcW w:w="104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434"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jc w:val="right"/>
              <w:rPr>
                <w:rFonts w:ascii="Times New Roman" w:hAnsi="Times New Roman"/>
                <w:b/>
                <w:bCs/>
                <w:iCs/>
                <w:lang w:eastAsia="sk-SK"/>
              </w:rPr>
            </w:pPr>
            <w:r w:rsidRPr="003727BA">
              <w:rPr>
                <w:rFonts w:ascii="Times New Roman" w:hAnsi="Times New Roman"/>
                <w:b/>
                <w:bCs/>
                <w:iCs/>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73B47" w:rsidRPr="003727BA" w:rsidP="00BB3760">
            <w:pPr>
              <w:bidi w:val="0"/>
              <w:spacing w:after="0" w:line="240" w:lineRule="auto"/>
              <w:rPr>
                <w:rFonts w:ascii="Times New Roman" w:hAnsi="Times New Roman"/>
                <w:b/>
                <w:bCs/>
                <w:lang w:eastAsia="sk-SK"/>
              </w:rPr>
            </w:pPr>
            <w:r w:rsidRPr="003727BA">
              <w:rPr>
                <w:rFonts w:ascii="Times New Roman" w:hAnsi="Times New Roman"/>
                <w:b/>
                <w:bCs/>
                <w:lang w:eastAsia="sk-SK"/>
              </w:rPr>
              <w:t>Financovanie zabezpečené v rozpočte</w:t>
            </w:r>
          </w:p>
        </w:tc>
        <w:tc>
          <w:tcPr>
            <w:tcW w:w="104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773B47" w:rsidRPr="003727BA" w:rsidP="00BB3760">
            <w:pPr>
              <w:bidi w:val="0"/>
              <w:spacing w:after="0" w:line="240" w:lineRule="auto"/>
              <w:jc w:val="right"/>
              <w:rPr>
                <w:rFonts w:ascii="Times New Roman" w:hAnsi="Times New Roman"/>
                <w:b/>
              </w:rPr>
            </w:pPr>
            <w:r w:rsidRPr="003727BA">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773B47" w:rsidRPr="003727BA" w:rsidP="00BB3760">
            <w:pPr>
              <w:bidi w:val="0"/>
              <w:spacing w:after="0" w:line="240" w:lineRule="auto"/>
              <w:jc w:val="right"/>
              <w:rPr>
                <w:rFonts w:ascii="Times New Roman" w:hAnsi="Times New Roman"/>
                <w:b/>
              </w:rPr>
            </w:pPr>
            <w:r w:rsidRPr="003727BA">
              <w:rPr>
                <w:rFonts w:ascii="Times New Roman" w:hAnsi="Times New Roman"/>
                <w:b/>
              </w:rPr>
              <w:t>0</w:t>
            </w:r>
          </w:p>
        </w:tc>
        <w:tc>
          <w:tcPr>
            <w:tcW w:w="1434"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773B47" w:rsidRPr="003727BA" w:rsidP="00BB3760">
            <w:pPr>
              <w:bidi w:val="0"/>
              <w:spacing w:after="0" w:line="240" w:lineRule="auto"/>
              <w:jc w:val="right"/>
              <w:rPr>
                <w:rFonts w:ascii="Times New Roman" w:hAnsi="Times New Roman"/>
                <w:b/>
              </w:rPr>
            </w:pPr>
            <w:r w:rsidRPr="003727BA">
              <w:rPr>
                <w:rFonts w:ascii="Times New Roman" w:hAnsi="Times New Roman"/>
                <w:b/>
              </w:rPr>
              <w:t>0</w:t>
            </w:r>
          </w:p>
        </w:tc>
        <w:tc>
          <w:tcPr>
            <w:tcW w:w="132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773B47" w:rsidRPr="003727BA" w:rsidP="00BB3760">
            <w:pPr>
              <w:bidi w:val="0"/>
              <w:spacing w:after="0" w:line="240" w:lineRule="auto"/>
              <w:jc w:val="right"/>
              <w:rPr>
                <w:rFonts w:ascii="Times New Roman" w:hAnsi="Times New Roman"/>
                <w:b/>
              </w:rPr>
            </w:pPr>
            <w:r w:rsidRPr="003727BA">
              <w:rPr>
                <w:rFonts w:ascii="Times New Roman" w:hAnsi="Times New Roman"/>
                <w:b/>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73B47" w:rsidRPr="003727BA" w:rsidP="00BB3760">
            <w:pPr>
              <w:bidi w:val="0"/>
              <w:spacing w:after="0" w:line="240" w:lineRule="auto"/>
              <w:rPr>
                <w:rFonts w:ascii="Times New Roman" w:hAnsi="Times New Roman"/>
                <w:lang w:eastAsia="sk-SK"/>
              </w:rPr>
            </w:pPr>
            <w:r w:rsidRPr="003727BA">
              <w:rPr>
                <w:rFonts w:ascii="Times New Roman" w:hAnsi="Times New Roman"/>
                <w:lang w:eastAsia="sk-SK"/>
              </w:rPr>
              <w:t>v tom: MPSVR SR</w:t>
            </w:r>
          </w:p>
        </w:tc>
        <w:tc>
          <w:tcPr>
            <w:tcW w:w="1047" w:type="dxa"/>
            <w:tcBorders>
              <w:top w:val="single" w:sz="4" w:space="0" w:color="auto"/>
              <w:left w:val="single" w:sz="4" w:space="0" w:color="auto"/>
              <w:bottom w:val="single" w:sz="4" w:space="0" w:color="auto"/>
              <w:right w:val="single" w:sz="4" w:space="0" w:color="auto"/>
            </w:tcBorders>
            <w:noWrap/>
            <w:textDirection w:val="lrTb"/>
            <w:vAlign w:val="top"/>
          </w:tcPr>
          <w:p w:rsidR="00773B47" w:rsidRPr="003727BA" w:rsidP="00BB3760">
            <w:pPr>
              <w:bidi w:val="0"/>
              <w:spacing w:after="0" w:line="240" w:lineRule="auto"/>
              <w:jc w:val="right"/>
              <w:rPr>
                <w:rFonts w:ascii="Times New Roman" w:hAnsi="Times New Roman"/>
              </w:rPr>
            </w:pPr>
            <w:r w:rsidRPr="003727BA">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773B47" w:rsidRPr="003727BA" w:rsidP="00BB3760">
            <w:pPr>
              <w:bidi w:val="0"/>
              <w:spacing w:after="0" w:line="240" w:lineRule="auto"/>
              <w:jc w:val="right"/>
              <w:rPr>
                <w:rFonts w:ascii="Times New Roman" w:hAnsi="Times New Roman"/>
              </w:rPr>
            </w:pPr>
            <w:r w:rsidRPr="003727BA">
              <w:rPr>
                <w:rFonts w:ascii="Times New Roman" w:hAnsi="Times New Roman"/>
              </w:rPr>
              <w:t>0</w:t>
            </w:r>
          </w:p>
        </w:tc>
        <w:tc>
          <w:tcPr>
            <w:tcW w:w="1434" w:type="dxa"/>
            <w:tcBorders>
              <w:top w:val="single" w:sz="4" w:space="0" w:color="auto"/>
              <w:left w:val="single" w:sz="4" w:space="0" w:color="auto"/>
              <w:bottom w:val="single" w:sz="4" w:space="0" w:color="auto"/>
              <w:right w:val="single" w:sz="4" w:space="0" w:color="auto"/>
            </w:tcBorders>
            <w:noWrap/>
            <w:textDirection w:val="lrTb"/>
            <w:vAlign w:val="top"/>
          </w:tcPr>
          <w:p w:rsidR="00773B47" w:rsidRPr="003727BA" w:rsidP="00BB3760">
            <w:pPr>
              <w:bidi w:val="0"/>
              <w:spacing w:after="0" w:line="240" w:lineRule="auto"/>
              <w:jc w:val="right"/>
              <w:rPr>
                <w:rFonts w:ascii="Times New Roman" w:hAnsi="Times New Roman"/>
              </w:rPr>
            </w:pPr>
            <w:r w:rsidRPr="003727BA">
              <w:rPr>
                <w:rFonts w:ascii="Times New Roman" w:hAnsi="Times New Roman"/>
              </w:rPr>
              <w:t>0</w:t>
            </w:r>
          </w:p>
        </w:tc>
        <w:tc>
          <w:tcPr>
            <w:tcW w:w="1320" w:type="dxa"/>
            <w:tcBorders>
              <w:top w:val="single" w:sz="4" w:space="0" w:color="auto"/>
              <w:left w:val="single" w:sz="4" w:space="0" w:color="auto"/>
              <w:bottom w:val="single" w:sz="4" w:space="0" w:color="auto"/>
              <w:right w:val="single" w:sz="4" w:space="0" w:color="auto"/>
            </w:tcBorders>
            <w:noWrap/>
            <w:textDirection w:val="lrTb"/>
            <w:vAlign w:val="top"/>
          </w:tcPr>
          <w:p w:rsidR="00773B47" w:rsidRPr="003727BA" w:rsidP="00BB3760">
            <w:pPr>
              <w:bidi w:val="0"/>
              <w:spacing w:after="0" w:line="240" w:lineRule="auto"/>
              <w:jc w:val="right"/>
              <w:rPr>
                <w:rFonts w:ascii="Times New Roman" w:hAnsi="Times New Roman"/>
              </w:rPr>
            </w:pPr>
            <w:r w:rsidRPr="003727BA">
              <w:rPr>
                <w:rFonts w:ascii="Times New Roman" w:hAnsi="Times New Roman"/>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73B47" w:rsidRPr="003727BA" w:rsidP="00BB3760">
            <w:pPr>
              <w:bidi w:val="0"/>
              <w:spacing w:after="0" w:line="240" w:lineRule="auto"/>
              <w:rPr>
                <w:rFonts w:ascii="Times New Roman" w:hAnsi="Times New Roman"/>
                <w:b/>
                <w:lang w:eastAsia="sk-SK"/>
              </w:rPr>
            </w:pPr>
            <w:r w:rsidRPr="003727BA">
              <w:rPr>
                <w:rFonts w:ascii="Times New Roman" w:hAnsi="Times New Roman"/>
                <w:b/>
                <w:lang w:eastAsia="sk-SK"/>
              </w:rPr>
              <w:t>Iné ako rozpočtové zdroje</w:t>
            </w:r>
          </w:p>
        </w:tc>
        <w:tc>
          <w:tcPr>
            <w:tcW w:w="104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73B47" w:rsidRPr="003727BA" w:rsidP="00BB3760">
            <w:pPr>
              <w:bidi w:val="0"/>
              <w:spacing w:after="0" w:line="240" w:lineRule="auto"/>
              <w:jc w:val="right"/>
              <w:rPr>
                <w:rFonts w:ascii="Times New Roman" w:hAnsi="Times New Roman"/>
                <w:b/>
                <w:bCs/>
                <w:lang w:eastAsia="sk-SK"/>
              </w:rPr>
            </w:pPr>
            <w:r w:rsidRPr="003727BA">
              <w:rPr>
                <w:rFonts w:ascii="Times New Roman" w:hAnsi="Times New Roman"/>
                <w:b/>
                <w:bCs/>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73B47" w:rsidRPr="003727BA" w:rsidP="00BB3760">
            <w:pPr>
              <w:bidi w:val="0"/>
              <w:spacing w:after="0" w:line="240" w:lineRule="auto"/>
              <w:jc w:val="right"/>
              <w:rPr>
                <w:rFonts w:ascii="Times New Roman" w:hAnsi="Times New Roman"/>
                <w:b/>
                <w:bCs/>
                <w:lang w:eastAsia="sk-SK"/>
              </w:rPr>
            </w:pPr>
            <w:r w:rsidRPr="003727BA">
              <w:rPr>
                <w:rFonts w:ascii="Times New Roman" w:hAnsi="Times New Roman"/>
                <w:b/>
                <w:bCs/>
                <w:lang w:eastAsia="sk-SK"/>
              </w:rPr>
              <w:t>0</w:t>
            </w:r>
          </w:p>
        </w:tc>
        <w:tc>
          <w:tcPr>
            <w:tcW w:w="143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73B47" w:rsidRPr="003727BA" w:rsidP="00BB3760">
            <w:pPr>
              <w:bidi w:val="0"/>
              <w:spacing w:after="0" w:line="240" w:lineRule="auto"/>
              <w:jc w:val="right"/>
              <w:rPr>
                <w:rFonts w:ascii="Times New Roman" w:hAnsi="Times New Roman"/>
                <w:b/>
                <w:bCs/>
                <w:lang w:eastAsia="sk-SK"/>
              </w:rPr>
            </w:pPr>
            <w:r w:rsidRPr="003727BA">
              <w:rPr>
                <w:rFonts w:ascii="Times New Roman" w:hAnsi="Times New Roman"/>
                <w:b/>
                <w:bCs/>
                <w:lang w:eastAsia="sk-SK"/>
              </w:rPr>
              <w:t>0</w:t>
            </w:r>
          </w:p>
        </w:tc>
        <w:tc>
          <w:tcPr>
            <w:tcW w:w="13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73B47" w:rsidRPr="003727BA" w:rsidP="00BB3760">
            <w:pPr>
              <w:bidi w:val="0"/>
              <w:spacing w:after="0" w:line="240" w:lineRule="auto"/>
              <w:jc w:val="right"/>
              <w:rPr>
                <w:rFonts w:ascii="Times New Roman" w:hAnsi="Times New Roman"/>
                <w:b/>
                <w:bCs/>
                <w:lang w:eastAsia="sk-SK"/>
              </w:rPr>
            </w:pPr>
            <w:r w:rsidRPr="003727BA">
              <w:rPr>
                <w:rFonts w:ascii="Times New Roman" w:hAnsi="Times New Roman"/>
                <w:b/>
                <w:bCs/>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73B47" w:rsidRPr="003727BA" w:rsidP="00BB3760">
            <w:pPr>
              <w:bidi w:val="0"/>
              <w:spacing w:after="0" w:line="240" w:lineRule="auto"/>
              <w:rPr>
                <w:rFonts w:ascii="Times New Roman" w:hAnsi="Times New Roman"/>
                <w:b/>
                <w:bCs/>
                <w:lang w:eastAsia="sk-SK"/>
              </w:rPr>
            </w:pPr>
            <w:r w:rsidRPr="003727BA">
              <w:rPr>
                <w:rFonts w:ascii="Times New Roman" w:hAnsi="Times New Roman"/>
                <w:b/>
                <w:bCs/>
                <w:lang w:eastAsia="sk-SK"/>
              </w:rPr>
              <w:t>Rozpočtovo nekrytý vplyv / úspora</w:t>
            </w:r>
          </w:p>
        </w:tc>
        <w:tc>
          <w:tcPr>
            <w:tcW w:w="104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773B47" w:rsidRPr="003727BA" w:rsidP="00BB3760">
            <w:pPr>
              <w:bidi w:val="0"/>
              <w:spacing w:after="0" w:line="240" w:lineRule="auto"/>
              <w:jc w:val="right"/>
              <w:rPr>
                <w:rFonts w:ascii="Times New Roman" w:hAnsi="Times New Roman"/>
                <w:b/>
                <w:bCs/>
                <w:lang w:eastAsia="sk-SK"/>
              </w:rPr>
            </w:pPr>
            <w:r w:rsidRPr="003727BA">
              <w:rPr>
                <w:rFonts w:ascii="Times New Roman" w:hAnsi="Times New Roman"/>
                <w:b/>
                <w:bCs/>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top"/>
          </w:tcPr>
          <w:p w:rsidR="00773B47" w:rsidRPr="003727BA" w:rsidP="00913F81">
            <w:pPr>
              <w:bidi w:val="0"/>
              <w:spacing w:after="0" w:line="240" w:lineRule="auto"/>
              <w:jc w:val="right"/>
              <w:rPr>
                <w:rFonts w:ascii="Times New Roman" w:hAnsi="Times New Roman"/>
                <w:b/>
              </w:rPr>
            </w:pPr>
            <w:r w:rsidRPr="003727BA" w:rsidR="00C771EB">
              <w:rPr>
                <w:rFonts w:ascii="Times New Roman" w:hAnsi="Times New Roman"/>
                <w:b/>
              </w:rPr>
              <w:t>+29 533 929</w:t>
            </w:r>
          </w:p>
        </w:tc>
        <w:tc>
          <w:tcPr>
            <w:tcW w:w="143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top"/>
          </w:tcPr>
          <w:p w:rsidR="00773B47" w:rsidRPr="003727BA" w:rsidP="00C767DE">
            <w:pPr>
              <w:bidi w:val="0"/>
              <w:spacing w:after="0" w:line="240" w:lineRule="auto"/>
              <w:jc w:val="right"/>
              <w:rPr>
                <w:rFonts w:ascii="Times New Roman" w:hAnsi="Times New Roman"/>
                <w:b/>
              </w:rPr>
            </w:pPr>
            <w:r w:rsidRPr="003727BA">
              <w:rPr>
                <w:rFonts w:ascii="Times New Roman" w:hAnsi="Times New Roman"/>
                <w:b/>
              </w:rPr>
              <w:t> </w:t>
            </w:r>
            <w:r w:rsidRPr="003727BA" w:rsidR="00C767DE">
              <w:rPr>
                <w:rFonts w:ascii="Times New Roman" w:hAnsi="Times New Roman"/>
                <w:b/>
              </w:rPr>
              <w:t>+32 947 669</w:t>
            </w:r>
          </w:p>
        </w:tc>
        <w:tc>
          <w:tcPr>
            <w:tcW w:w="132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top"/>
          </w:tcPr>
          <w:p w:rsidR="00773B47" w:rsidRPr="003727BA" w:rsidP="000D4F7C">
            <w:pPr>
              <w:bidi w:val="0"/>
              <w:spacing w:after="0" w:line="240" w:lineRule="auto"/>
              <w:jc w:val="right"/>
              <w:rPr>
                <w:rFonts w:ascii="Times New Roman" w:hAnsi="Times New Roman"/>
                <w:b/>
              </w:rPr>
            </w:pPr>
            <w:r w:rsidRPr="003727BA" w:rsidR="000D4F7C">
              <w:rPr>
                <w:rFonts w:ascii="Times New Roman" w:hAnsi="Times New Roman"/>
                <w:b/>
              </w:rPr>
              <w:t> +41 229 983</w:t>
            </w:r>
          </w:p>
        </w:tc>
      </w:tr>
    </w:tbl>
    <w:p w:rsidR="00A6029E" w:rsidRPr="003727BA" w:rsidP="00A6029E">
      <w:pPr>
        <w:bidi w:val="0"/>
        <w:spacing w:after="0" w:line="240" w:lineRule="auto"/>
        <w:jc w:val="both"/>
        <w:rPr>
          <w:rFonts w:ascii="Times New Roman" w:hAnsi="Times New Roman"/>
          <w:b/>
          <w:bCs/>
          <w:sz w:val="24"/>
          <w:szCs w:val="24"/>
          <w:lang w:eastAsia="sk-SK"/>
        </w:rPr>
      </w:pPr>
      <w:bookmarkEnd w:id="0"/>
    </w:p>
    <w:p w:rsidR="00A6029E" w:rsidRPr="003727BA" w:rsidP="00A6029E">
      <w:pPr>
        <w:bidi w:val="0"/>
        <w:spacing w:after="0" w:line="240" w:lineRule="auto"/>
        <w:jc w:val="both"/>
        <w:rPr>
          <w:rFonts w:ascii="Times New Roman" w:hAnsi="Times New Roman"/>
          <w:b/>
          <w:bCs/>
          <w:sz w:val="24"/>
          <w:szCs w:val="24"/>
          <w:lang w:eastAsia="sk-SK"/>
        </w:rPr>
      </w:pPr>
      <w:r w:rsidRPr="003727BA">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A6029E" w:rsidRPr="003727BA" w:rsidP="00A6029E">
      <w:pPr>
        <w:bidi w:val="0"/>
        <w:spacing w:after="0" w:line="240" w:lineRule="auto"/>
        <w:jc w:val="both"/>
        <w:rPr>
          <w:rFonts w:ascii="Times New Roman" w:hAnsi="Times New Roman"/>
          <w:b/>
          <w:bCs/>
          <w:sz w:val="12"/>
          <w:szCs w:val="24"/>
          <w:lang w:eastAsia="sk-SK"/>
        </w:rPr>
      </w:pPr>
    </w:p>
    <w:p w:rsidR="00A6029E" w:rsidRPr="003727BA" w:rsidP="00A6029E">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b/>
          <w:bCs/>
          <w:sz w:val="24"/>
          <w:szCs w:val="24"/>
          <w:lang w:eastAsia="sk-SK"/>
        </w:rPr>
      </w:pPr>
      <w:r w:rsidRPr="003727BA">
        <w:rPr>
          <w:rFonts w:ascii="Times New Roman" w:hAnsi="Times New Roman"/>
          <w:b/>
          <w:bCs/>
          <w:sz w:val="24"/>
          <w:szCs w:val="24"/>
          <w:lang w:eastAsia="sk-SK"/>
        </w:rPr>
        <w:t xml:space="preserve">Kapitola MPSVR SR nemá v rozpočte na roky 2017 až 2019 zabezpečené krytie týchto výdavkov. Navýšenie rozpočtu výdavkov kapitoly bude predmetom rokovaní v procese tvorby rozpočtu. </w:t>
      </w:r>
    </w:p>
    <w:p w:rsidR="00A6029E" w:rsidRPr="003727BA" w:rsidP="00A6029E">
      <w:pPr>
        <w:pBdr>
          <w:top w:val="single" w:sz="4" w:space="1" w:color="auto"/>
          <w:left w:val="single" w:sz="4" w:space="4" w:color="auto"/>
          <w:bottom w:val="single" w:sz="4" w:space="0" w:color="auto"/>
          <w:right w:val="single" w:sz="4" w:space="4" w:color="auto"/>
        </w:pBdr>
        <w:bidi w:val="0"/>
        <w:spacing w:after="0" w:line="240" w:lineRule="auto"/>
        <w:rPr>
          <w:rFonts w:ascii="Times New Roman" w:hAnsi="Times New Roman"/>
          <w:b/>
          <w:bCs/>
          <w:sz w:val="24"/>
          <w:szCs w:val="24"/>
          <w:lang w:eastAsia="sk-SK"/>
        </w:rPr>
      </w:pPr>
    </w:p>
    <w:p w:rsidR="00A6029E" w:rsidRPr="003727BA" w:rsidP="00A6029E">
      <w:pPr>
        <w:bidi w:val="0"/>
        <w:spacing w:after="0" w:line="240" w:lineRule="auto"/>
        <w:rPr>
          <w:rFonts w:ascii="Times New Roman" w:hAnsi="Times New Roman"/>
          <w:b/>
          <w:bCs/>
          <w:sz w:val="24"/>
          <w:szCs w:val="24"/>
          <w:lang w:eastAsia="sk-SK"/>
        </w:rPr>
      </w:pPr>
      <w:r w:rsidRPr="003727BA">
        <w:rPr>
          <w:rFonts w:ascii="Times New Roman" w:hAnsi="Times New Roman"/>
          <w:b/>
          <w:bCs/>
          <w:sz w:val="24"/>
          <w:szCs w:val="24"/>
          <w:lang w:eastAsia="sk-SK"/>
        </w:rPr>
        <w:t>2.2. Popis a charakteristika návrhu</w:t>
      </w:r>
    </w:p>
    <w:p w:rsidR="00A6029E" w:rsidRPr="003727BA" w:rsidP="00A6029E">
      <w:pPr>
        <w:bidi w:val="0"/>
        <w:spacing w:after="0" w:line="240" w:lineRule="auto"/>
        <w:rPr>
          <w:rFonts w:ascii="Times New Roman" w:hAnsi="Times New Roman"/>
          <w:sz w:val="24"/>
          <w:szCs w:val="24"/>
          <w:lang w:eastAsia="sk-SK"/>
        </w:rPr>
      </w:pPr>
    </w:p>
    <w:p w:rsidR="00A6029E" w:rsidRPr="003727BA" w:rsidP="00A6029E">
      <w:pPr>
        <w:bidi w:val="0"/>
        <w:spacing w:after="0" w:line="240" w:lineRule="auto"/>
        <w:jc w:val="both"/>
        <w:rPr>
          <w:rFonts w:ascii="Times New Roman" w:hAnsi="Times New Roman"/>
          <w:b/>
          <w:bCs/>
          <w:sz w:val="24"/>
          <w:szCs w:val="24"/>
          <w:lang w:eastAsia="sk-SK"/>
        </w:rPr>
      </w:pPr>
      <w:r w:rsidRPr="003727BA">
        <w:rPr>
          <w:rFonts w:ascii="Times New Roman" w:hAnsi="Times New Roman"/>
          <w:b/>
          <w:bCs/>
          <w:sz w:val="24"/>
          <w:szCs w:val="24"/>
          <w:lang w:eastAsia="sk-SK"/>
        </w:rPr>
        <w:t>2.2.1. Popis návrhu:</w:t>
      </w:r>
    </w:p>
    <w:p w:rsidR="00A6029E" w:rsidRPr="003727BA" w:rsidP="00A6029E">
      <w:pPr>
        <w:bidi w:val="0"/>
        <w:spacing w:after="0" w:line="240" w:lineRule="auto"/>
        <w:jc w:val="both"/>
        <w:rPr>
          <w:rFonts w:ascii="Times New Roman" w:hAnsi="Times New Roman"/>
          <w:b/>
          <w:bCs/>
          <w:sz w:val="24"/>
          <w:szCs w:val="24"/>
          <w:lang w:eastAsia="sk-SK"/>
        </w:rPr>
      </w:pPr>
    </w:p>
    <w:p w:rsidR="00A6029E" w:rsidRPr="003727BA" w:rsidP="00A6029E">
      <w:pPr>
        <w:bidi w:val="0"/>
        <w:spacing w:after="0" w:line="240" w:lineRule="auto"/>
        <w:ind w:firstLine="708"/>
        <w:jc w:val="both"/>
        <w:rPr>
          <w:rFonts w:ascii="Times New Roman" w:hAnsi="Times New Roman"/>
          <w:sz w:val="24"/>
          <w:szCs w:val="24"/>
          <w:lang w:eastAsia="sk-SK"/>
        </w:rPr>
      </w:pPr>
      <w:r w:rsidRPr="003727BA">
        <w:rPr>
          <w:rFonts w:ascii="Times New Roman" w:hAnsi="Times New Roman"/>
          <w:sz w:val="24"/>
          <w:szCs w:val="24"/>
          <w:lang w:eastAsia="sk-SK"/>
        </w:rPr>
        <w:t>Akú problematiku návrh rieši? Kto bude návrh implementovať? Kde sa budú služby poskytovať?</w:t>
      </w:r>
    </w:p>
    <w:p w:rsidR="00A6029E" w:rsidRPr="003727BA" w:rsidP="00A6029E">
      <w:pPr>
        <w:bidi w:val="0"/>
        <w:spacing w:after="0" w:line="240" w:lineRule="auto"/>
        <w:rPr>
          <w:rFonts w:ascii="Times New Roman" w:hAnsi="Times New Roman"/>
          <w:sz w:val="24"/>
          <w:szCs w:val="24"/>
          <w:lang w:eastAsia="sk-SK"/>
        </w:rPr>
      </w:pPr>
    </w:p>
    <w:p w:rsidR="00A6029E" w:rsidRPr="003727BA" w:rsidP="00A6029E">
      <w:pPr>
        <w:pStyle w:val="NoSpacing"/>
        <w:bidi w:val="0"/>
        <w:ind w:firstLine="708"/>
        <w:jc w:val="both"/>
        <w:rPr>
          <w:rFonts w:ascii="Times New Roman" w:hAnsi="Times New Roman"/>
          <w:sz w:val="24"/>
          <w:szCs w:val="24"/>
        </w:rPr>
      </w:pPr>
      <w:r w:rsidRPr="003727BA">
        <w:rPr>
          <w:rFonts w:ascii="Times New Roman" w:hAnsi="Times New Roman"/>
          <w:sz w:val="24"/>
          <w:szCs w:val="24"/>
        </w:rPr>
        <w:t xml:space="preserve">Predmetom </w:t>
      </w:r>
      <w:r w:rsidR="00D26DB6">
        <w:rPr>
          <w:rFonts w:ascii="Times New Roman" w:hAnsi="Times New Roman"/>
          <w:sz w:val="24"/>
          <w:szCs w:val="24"/>
        </w:rPr>
        <w:t xml:space="preserve">vládneho </w:t>
      </w:r>
      <w:r w:rsidRPr="003727BA">
        <w:rPr>
          <w:rFonts w:ascii="Times New Roman" w:hAnsi="Times New Roman"/>
          <w:sz w:val="24"/>
          <w:szCs w:val="24"/>
        </w:rPr>
        <w:t xml:space="preserve">návrhu zákona je aj úprava podmienok peňažného príspevku na opatrovanie, poskytovaného fyzickej osobe v produktívnom veku (t.j. nepoberá niektorú zo zákonom ustanovených dôchodkových dávok). </w:t>
      </w:r>
    </w:p>
    <w:p w:rsidR="00A6029E" w:rsidRPr="003727BA" w:rsidP="00A6029E">
      <w:pPr>
        <w:pStyle w:val="NoSpacing"/>
        <w:bidi w:val="0"/>
        <w:ind w:firstLine="708"/>
        <w:jc w:val="both"/>
        <w:rPr>
          <w:rFonts w:ascii="Times New Roman" w:hAnsi="Times New Roman"/>
          <w:sz w:val="24"/>
          <w:szCs w:val="24"/>
        </w:rPr>
      </w:pPr>
      <w:r w:rsidRPr="003727BA">
        <w:rPr>
          <w:rFonts w:ascii="Times New Roman" w:hAnsi="Times New Roman"/>
          <w:sz w:val="24"/>
          <w:szCs w:val="24"/>
        </w:rPr>
        <w:t>Navrhuje sa zvýšenie maximálnej výšky peňažného príspevku na opatrovanie pre uvedenú skupinu poberateľov ustanovenú percentom sumy životného minima pre jednu plnoletú fyzickú osobu SŽM v závislosti od počtu opatrovaných fyzických osôb s ťažkým zdravotným postihnutím (FO s ŤZP) a od rozsahu opatrovania nasledovne:</w:t>
      </w:r>
    </w:p>
    <w:p w:rsidR="00A6029E" w:rsidRPr="003727BA" w:rsidP="00A6029E">
      <w:pPr>
        <w:pStyle w:val="NoSpacing"/>
        <w:bidi w:val="0"/>
        <w:jc w:val="both"/>
        <w:rPr>
          <w:rFonts w:ascii="Times New Roman" w:hAnsi="Times New Roman"/>
          <w:b/>
          <w:sz w:val="24"/>
          <w:szCs w:val="24"/>
        </w:rPr>
      </w:pPr>
      <w:r w:rsidRPr="003727BA">
        <w:rPr>
          <w:rFonts w:ascii="Times New Roman" w:hAnsi="Times New Roman"/>
          <w:sz w:val="24"/>
          <w:szCs w:val="24"/>
        </w:rPr>
        <w:t>a) pri opatrovaní jednej FO s ŤZP  zvýšenie zo  111,32 %  na 125,00 % SŽM,</w:t>
      </w:r>
    </w:p>
    <w:p w:rsidR="00A6029E" w:rsidRPr="003727BA" w:rsidP="00A6029E">
      <w:pPr>
        <w:pStyle w:val="NoSpacing"/>
        <w:bidi w:val="0"/>
        <w:jc w:val="both"/>
        <w:rPr>
          <w:rFonts w:ascii="Times New Roman" w:hAnsi="Times New Roman"/>
          <w:b/>
          <w:sz w:val="24"/>
          <w:szCs w:val="24"/>
        </w:rPr>
      </w:pPr>
      <w:r w:rsidRPr="003727BA">
        <w:rPr>
          <w:rFonts w:ascii="Times New Roman" w:hAnsi="Times New Roman"/>
          <w:sz w:val="24"/>
          <w:szCs w:val="24"/>
        </w:rPr>
        <w:t>b) pri opatrovaní dvoch alebo viacerých FO s ŤZP zvýšenie zo 148,42 % na 162,10 % SŽM</w:t>
      </w:r>
    </w:p>
    <w:p w:rsidR="00A6029E" w:rsidRPr="003727BA" w:rsidP="00A6029E">
      <w:pPr>
        <w:pStyle w:val="NoSpacing"/>
        <w:bidi w:val="0"/>
        <w:jc w:val="both"/>
        <w:rPr>
          <w:rFonts w:ascii="Times New Roman" w:hAnsi="Times New Roman"/>
          <w:sz w:val="24"/>
          <w:szCs w:val="24"/>
        </w:rPr>
      </w:pPr>
      <w:r w:rsidRPr="003727BA">
        <w:rPr>
          <w:rFonts w:ascii="Times New Roman" w:hAnsi="Times New Roman"/>
          <w:sz w:val="24"/>
          <w:szCs w:val="24"/>
        </w:rPr>
        <w:t xml:space="preserve">c) pri opatrovaní jednej FO s ŤZP, ktorá je viac ako 20 hodín týždenne v zariadení zvýšenie          </w:t>
      </w:r>
    </w:p>
    <w:p w:rsidR="00A6029E" w:rsidRPr="003727BA" w:rsidP="00A6029E">
      <w:pPr>
        <w:pStyle w:val="NoSpacing"/>
        <w:bidi w:val="0"/>
        <w:jc w:val="both"/>
        <w:rPr>
          <w:rFonts w:ascii="Times New Roman" w:hAnsi="Times New Roman"/>
          <w:sz w:val="24"/>
          <w:szCs w:val="24"/>
        </w:rPr>
      </w:pPr>
      <w:r w:rsidRPr="003727BA">
        <w:rPr>
          <w:rFonts w:ascii="Times New Roman" w:hAnsi="Times New Roman"/>
          <w:sz w:val="24"/>
          <w:szCs w:val="24"/>
        </w:rPr>
        <w:t xml:space="preserve">    z 98,33 %  na 112,01 % SŽM,</w:t>
      </w:r>
    </w:p>
    <w:p w:rsidR="00A6029E" w:rsidRPr="003727BA" w:rsidP="00A6029E">
      <w:pPr>
        <w:pStyle w:val="NoSpacing"/>
        <w:bidi w:val="0"/>
        <w:jc w:val="both"/>
        <w:rPr>
          <w:rFonts w:ascii="Times New Roman" w:hAnsi="Times New Roman"/>
          <w:sz w:val="24"/>
          <w:szCs w:val="24"/>
        </w:rPr>
      </w:pPr>
      <w:r w:rsidRPr="003727BA">
        <w:rPr>
          <w:rFonts w:ascii="Times New Roman" w:hAnsi="Times New Roman"/>
          <w:sz w:val="24"/>
          <w:szCs w:val="24"/>
        </w:rPr>
        <w:t xml:space="preserve">d) pri opatrovaní dvoch a viacerých ŤZP, ktoré sú viac ako 20 hodín týždenne v zariadení   </w:t>
      </w:r>
    </w:p>
    <w:p w:rsidR="00A6029E" w:rsidRPr="003727BA" w:rsidP="00A6029E">
      <w:pPr>
        <w:pStyle w:val="NoSpacing"/>
        <w:bidi w:val="0"/>
        <w:jc w:val="both"/>
        <w:rPr>
          <w:rFonts w:ascii="Times New Roman" w:hAnsi="Times New Roman"/>
          <w:b/>
          <w:sz w:val="24"/>
          <w:szCs w:val="24"/>
        </w:rPr>
      </w:pPr>
      <w:r w:rsidRPr="003727BA">
        <w:rPr>
          <w:rFonts w:ascii="Times New Roman" w:hAnsi="Times New Roman"/>
          <w:sz w:val="24"/>
          <w:szCs w:val="24"/>
        </w:rPr>
        <w:t xml:space="preserve">   zvýšenie zo 139,15 % na 152,83 % SŽM,</w:t>
      </w:r>
    </w:p>
    <w:p w:rsidR="00A6029E" w:rsidRPr="003727BA" w:rsidP="00A6029E">
      <w:pPr>
        <w:pStyle w:val="NoSpacing"/>
        <w:bidi w:val="0"/>
        <w:jc w:val="both"/>
        <w:rPr>
          <w:rFonts w:ascii="Times New Roman" w:hAnsi="Times New Roman"/>
          <w:sz w:val="24"/>
          <w:szCs w:val="24"/>
        </w:rPr>
      </w:pPr>
      <w:r w:rsidRPr="003727BA">
        <w:rPr>
          <w:rFonts w:ascii="Times New Roman" w:hAnsi="Times New Roman"/>
          <w:sz w:val="24"/>
          <w:szCs w:val="24"/>
        </w:rPr>
        <w:t xml:space="preserve">e) pri opatrovaní FO s ŤZP, ktorá je v zariadení viac ako 20 hodín týždenne v zariadení </w:t>
      </w:r>
    </w:p>
    <w:p w:rsidR="00A6029E" w:rsidRPr="003727BA" w:rsidP="00A6029E">
      <w:pPr>
        <w:pStyle w:val="NoSpacing"/>
        <w:bidi w:val="0"/>
        <w:jc w:val="both"/>
        <w:rPr>
          <w:rFonts w:ascii="Times New Roman" w:hAnsi="Times New Roman"/>
          <w:sz w:val="24"/>
          <w:szCs w:val="24"/>
        </w:rPr>
      </w:pPr>
      <w:r w:rsidRPr="003727BA">
        <w:rPr>
          <w:rFonts w:ascii="Times New Roman" w:hAnsi="Times New Roman"/>
          <w:sz w:val="24"/>
          <w:szCs w:val="24"/>
        </w:rPr>
        <w:t xml:space="preserve">    a súčasne je opatrovaná aj druhá FO s ŤZP, ktorá nie je v zariadení alebo je v zariadení </w:t>
      </w:r>
    </w:p>
    <w:p w:rsidR="00A6029E" w:rsidRPr="003727BA" w:rsidP="00A6029E">
      <w:pPr>
        <w:pStyle w:val="NoSpacing"/>
        <w:bidi w:val="0"/>
        <w:jc w:val="both"/>
        <w:rPr>
          <w:rFonts w:ascii="Times New Roman" w:hAnsi="Times New Roman"/>
          <w:b/>
          <w:sz w:val="24"/>
          <w:szCs w:val="24"/>
        </w:rPr>
      </w:pPr>
      <w:r w:rsidRPr="003727BA">
        <w:rPr>
          <w:rFonts w:ascii="Times New Roman" w:hAnsi="Times New Roman"/>
          <w:sz w:val="24"/>
          <w:szCs w:val="24"/>
        </w:rPr>
        <w:t xml:space="preserve">    najviac 20 hodín týždenne</w:t>
      </w:r>
      <w:r w:rsidRPr="003727BA">
        <w:rPr>
          <w:rFonts w:ascii="Times New Roman" w:hAnsi="Times New Roman"/>
          <w:bCs/>
          <w:sz w:val="24"/>
          <w:szCs w:val="24"/>
        </w:rPr>
        <w:t xml:space="preserve">  zvýšenie zo </w:t>
      </w:r>
      <w:r w:rsidRPr="003727BA">
        <w:rPr>
          <w:rFonts w:ascii="Times New Roman" w:hAnsi="Times New Roman"/>
          <w:sz w:val="24"/>
          <w:szCs w:val="24"/>
        </w:rPr>
        <w:t>144,71%  na 158,39 % SŽM.</w:t>
      </w:r>
    </w:p>
    <w:p w:rsidR="00A6029E" w:rsidRPr="003727BA" w:rsidP="00A6029E">
      <w:pPr>
        <w:pStyle w:val="NoSpacing"/>
        <w:bidi w:val="0"/>
        <w:ind w:firstLine="708"/>
        <w:jc w:val="both"/>
        <w:rPr>
          <w:rFonts w:ascii="Times New Roman" w:hAnsi="Times New Roman"/>
          <w:sz w:val="24"/>
          <w:szCs w:val="24"/>
        </w:rPr>
      </w:pPr>
      <w:r w:rsidRPr="003727BA">
        <w:rPr>
          <w:rFonts w:ascii="Times New Roman" w:hAnsi="Times New Roman"/>
          <w:sz w:val="24"/>
          <w:szCs w:val="24"/>
        </w:rPr>
        <w:t>Ďalšou navrhovanou zmenou v peňažnom príspevku na opatrovanie je zvýšenie ochrany príjmu opatrovanej FO s ŤZP, ktorá nie je nezaopatreným dieťaťom z 1,4 na 1,7 násobok SŽM.</w:t>
      </w:r>
    </w:p>
    <w:p w:rsidR="00FB104B" w:rsidRPr="003727BA" w:rsidP="00A6029E">
      <w:pPr>
        <w:pStyle w:val="NoSpacing"/>
        <w:bidi w:val="0"/>
        <w:ind w:firstLine="708"/>
        <w:jc w:val="both"/>
        <w:rPr>
          <w:rFonts w:ascii="Times New Roman" w:hAnsi="Times New Roman"/>
          <w:sz w:val="24"/>
          <w:szCs w:val="24"/>
        </w:rPr>
      </w:pPr>
      <w:r w:rsidRPr="003727BA" w:rsidR="00C81826">
        <w:rPr>
          <w:rFonts w:ascii="Times New Roman" w:hAnsi="Times New Roman"/>
          <w:sz w:val="24"/>
          <w:szCs w:val="24"/>
        </w:rPr>
        <w:t>Súčasne sa navrhuje zmena</w:t>
      </w:r>
      <w:r w:rsidRPr="003727BA" w:rsidR="00C81826">
        <w:rPr>
          <w:rFonts w:ascii="Times New Roman" w:hAnsi="Times New Roman"/>
          <w:sz w:val="20"/>
          <w:szCs w:val="20"/>
          <w:lang w:eastAsia="sk-SK"/>
        </w:rPr>
        <w:t xml:space="preserve"> </w:t>
      </w:r>
      <w:r w:rsidRPr="003727BA" w:rsidR="00C81826">
        <w:rPr>
          <w:rFonts w:ascii="Times New Roman" w:hAnsi="Times New Roman"/>
          <w:sz w:val="24"/>
          <w:szCs w:val="24"/>
        </w:rPr>
        <w:t xml:space="preserve">podmienok v odkázanosti na individuálnu prepravu osobným motorovým vozidlom </w:t>
      </w:r>
      <w:r w:rsidRPr="003727BA" w:rsidR="004B62D9">
        <w:rPr>
          <w:rFonts w:ascii="Times New Roman" w:hAnsi="Times New Roman"/>
          <w:sz w:val="24"/>
          <w:szCs w:val="24"/>
        </w:rPr>
        <w:t xml:space="preserve"> pre fyzické osoby </w:t>
      </w:r>
      <w:r w:rsidRPr="003727BA" w:rsidR="00C81826">
        <w:rPr>
          <w:rFonts w:ascii="Times New Roman" w:hAnsi="Times New Roman"/>
          <w:sz w:val="24"/>
          <w:szCs w:val="24"/>
        </w:rPr>
        <w:t xml:space="preserve"> s</w:t>
      </w:r>
      <w:r w:rsidRPr="003727BA" w:rsidR="00130A1B">
        <w:rPr>
          <w:rFonts w:ascii="Times New Roman" w:hAnsi="Times New Roman"/>
          <w:sz w:val="24"/>
          <w:szCs w:val="24"/>
        </w:rPr>
        <w:t> ťažkým zdravotným postihnutím</w:t>
      </w:r>
      <w:r w:rsidRPr="003727BA" w:rsidR="00C81826">
        <w:rPr>
          <w:rFonts w:ascii="Times New Roman" w:hAnsi="Times New Roman"/>
          <w:sz w:val="24"/>
          <w:szCs w:val="24"/>
        </w:rPr>
        <w:t xml:space="preserve"> s cystickou fibrózou</w:t>
      </w:r>
      <w:r w:rsidRPr="003727BA" w:rsidR="00AA7A15">
        <w:rPr>
          <w:rFonts w:ascii="Times New Roman" w:hAnsi="Times New Roman"/>
          <w:sz w:val="24"/>
          <w:szCs w:val="24"/>
        </w:rPr>
        <w:t xml:space="preserve"> </w:t>
      </w:r>
      <w:r w:rsidRPr="003727BA" w:rsidR="00AA7A15">
        <w:rPr>
          <w:rFonts w:ascii="Times New Roman" w:hAnsi="Times New Roman"/>
          <w:sz w:val="24"/>
          <w:szCs w:val="24"/>
          <w:lang w:eastAsia="sk-SK"/>
        </w:rPr>
        <w:t>s pľúcnymi a gastrointestinálnymi prejavmi.</w:t>
      </w:r>
      <w:r w:rsidRPr="003727BA" w:rsidR="006236F9">
        <w:rPr>
          <w:rFonts w:ascii="Times New Roman" w:hAnsi="Times New Roman"/>
          <w:sz w:val="24"/>
          <w:szCs w:val="24"/>
        </w:rPr>
        <w:t xml:space="preserve"> Túto odkázanosť </w:t>
      </w:r>
      <w:r w:rsidRPr="003727BA" w:rsidR="0030425A">
        <w:rPr>
          <w:rFonts w:ascii="Times New Roman" w:hAnsi="Times New Roman"/>
          <w:sz w:val="24"/>
          <w:szCs w:val="24"/>
        </w:rPr>
        <w:t xml:space="preserve">            </w:t>
      </w:r>
      <w:r w:rsidRPr="003727BA" w:rsidR="00CE68EE">
        <w:rPr>
          <w:rFonts w:ascii="Times New Roman" w:hAnsi="Times New Roman"/>
          <w:sz w:val="24"/>
          <w:szCs w:val="24"/>
        </w:rPr>
        <w:t>bude</w:t>
      </w:r>
      <w:r w:rsidRPr="003727BA" w:rsidR="006236F9">
        <w:rPr>
          <w:rFonts w:ascii="Times New Roman" w:hAnsi="Times New Roman"/>
          <w:sz w:val="24"/>
          <w:szCs w:val="24"/>
        </w:rPr>
        <w:t xml:space="preserve"> možné kompenzovať </w:t>
      </w:r>
      <w:r w:rsidRPr="003727BA" w:rsidR="00770689">
        <w:rPr>
          <w:rFonts w:ascii="Times New Roman" w:hAnsi="Times New Roman"/>
          <w:sz w:val="24"/>
          <w:szCs w:val="24"/>
        </w:rPr>
        <w:t>peňažným príspevkom</w:t>
      </w:r>
      <w:r w:rsidRPr="003727BA" w:rsidR="006236F9">
        <w:rPr>
          <w:rFonts w:ascii="Times New Roman" w:hAnsi="Times New Roman"/>
          <w:sz w:val="24"/>
          <w:szCs w:val="24"/>
        </w:rPr>
        <w:t xml:space="preserve"> na kúpu osobného motorového </w:t>
      </w:r>
      <w:r w:rsidRPr="003727BA" w:rsidR="0030425A">
        <w:rPr>
          <w:rFonts w:ascii="Times New Roman" w:hAnsi="Times New Roman"/>
          <w:sz w:val="24"/>
          <w:szCs w:val="24"/>
        </w:rPr>
        <w:t xml:space="preserve">           </w:t>
      </w:r>
      <w:r w:rsidRPr="003727BA" w:rsidR="006236F9">
        <w:rPr>
          <w:rFonts w:ascii="Times New Roman" w:hAnsi="Times New Roman"/>
          <w:sz w:val="24"/>
          <w:szCs w:val="24"/>
        </w:rPr>
        <w:t>vozidla,</w:t>
      </w:r>
      <w:r w:rsidRPr="003727BA" w:rsidR="00C85A82">
        <w:rPr>
          <w:rFonts w:ascii="Times New Roman" w:hAnsi="Times New Roman"/>
          <w:sz w:val="24"/>
          <w:szCs w:val="24"/>
        </w:rPr>
        <w:t xml:space="preserve"> </w:t>
      </w:r>
      <w:r w:rsidRPr="003727BA" w:rsidR="00770689">
        <w:rPr>
          <w:rFonts w:ascii="Times New Roman" w:hAnsi="Times New Roman"/>
          <w:sz w:val="24"/>
          <w:szCs w:val="24"/>
        </w:rPr>
        <w:t>peňažným príspevkom</w:t>
      </w:r>
      <w:r w:rsidRPr="003727BA" w:rsidR="00C85A82">
        <w:rPr>
          <w:rFonts w:ascii="Times New Roman" w:hAnsi="Times New Roman"/>
          <w:sz w:val="24"/>
          <w:szCs w:val="24"/>
        </w:rPr>
        <w:t xml:space="preserve"> na kompenzáciu zvýšených výdavkov súvisiacich</w:t>
      </w:r>
      <w:r w:rsidRPr="003727BA" w:rsidR="0030425A">
        <w:rPr>
          <w:rFonts w:ascii="Times New Roman" w:hAnsi="Times New Roman"/>
          <w:sz w:val="24"/>
          <w:szCs w:val="24"/>
        </w:rPr>
        <w:t xml:space="preserve">                   </w:t>
      </w:r>
      <w:r w:rsidRPr="003727BA" w:rsidR="00C85A82">
        <w:rPr>
          <w:rFonts w:ascii="Times New Roman" w:hAnsi="Times New Roman"/>
          <w:sz w:val="24"/>
          <w:szCs w:val="24"/>
        </w:rPr>
        <w:t xml:space="preserve">so zabezpečením prevádzky </w:t>
      </w:r>
      <w:r w:rsidRPr="003727BA" w:rsidR="00130A1B">
        <w:rPr>
          <w:rFonts w:ascii="Times New Roman" w:hAnsi="Times New Roman"/>
          <w:sz w:val="24"/>
          <w:szCs w:val="24"/>
        </w:rPr>
        <w:t>osobného motorového vozidla</w:t>
      </w:r>
      <w:r w:rsidRPr="003727BA" w:rsidR="00C85A82">
        <w:rPr>
          <w:rFonts w:ascii="Times New Roman" w:hAnsi="Times New Roman"/>
          <w:sz w:val="24"/>
          <w:szCs w:val="24"/>
        </w:rPr>
        <w:t xml:space="preserve"> a </w:t>
      </w:r>
      <w:r w:rsidRPr="003727BA" w:rsidR="00770689">
        <w:rPr>
          <w:rFonts w:ascii="Times New Roman" w:hAnsi="Times New Roman"/>
          <w:sz w:val="24"/>
          <w:szCs w:val="24"/>
        </w:rPr>
        <w:t>peňažným príspevkom</w:t>
      </w:r>
      <w:r w:rsidRPr="003727BA" w:rsidR="00C85A82">
        <w:rPr>
          <w:rFonts w:ascii="Times New Roman" w:hAnsi="Times New Roman"/>
          <w:sz w:val="24"/>
          <w:szCs w:val="24"/>
        </w:rPr>
        <w:t xml:space="preserve"> na prepravu</w:t>
      </w:r>
      <w:r w:rsidRPr="003727BA" w:rsidR="00C85A82">
        <w:rPr>
          <w:rFonts w:ascii="Times New Roman" w:hAnsi="Times New Roman"/>
          <w:sz w:val="20"/>
          <w:szCs w:val="20"/>
        </w:rPr>
        <w:t>.</w:t>
      </w:r>
    </w:p>
    <w:p w:rsidR="00A6029E" w:rsidRPr="003727BA" w:rsidP="00A6029E">
      <w:pPr>
        <w:pStyle w:val="NoSpacing"/>
        <w:bidi w:val="0"/>
        <w:ind w:firstLine="708"/>
        <w:jc w:val="both"/>
        <w:rPr>
          <w:rFonts w:ascii="Times New Roman" w:hAnsi="Times New Roman"/>
          <w:sz w:val="24"/>
          <w:szCs w:val="24"/>
        </w:rPr>
      </w:pPr>
      <w:r w:rsidRPr="003727BA">
        <w:rPr>
          <w:rFonts w:ascii="Times New Roman" w:hAnsi="Times New Roman"/>
          <w:sz w:val="24"/>
          <w:szCs w:val="24"/>
        </w:rPr>
        <w:t xml:space="preserve">Navrhuje sa precizovanie posudzovania a zisťovania príjmu a majetku v oblasti peňažných a nepeňažných darov. </w:t>
      </w:r>
      <w:r w:rsidR="00DE60F4">
        <w:rPr>
          <w:rFonts w:ascii="Times New Roman" w:hAnsi="Times New Roman"/>
          <w:sz w:val="24"/>
          <w:szCs w:val="24"/>
        </w:rPr>
        <w:t>Vládnym n</w:t>
      </w:r>
      <w:r w:rsidRPr="003727BA">
        <w:rPr>
          <w:rFonts w:ascii="Times New Roman" w:hAnsi="Times New Roman"/>
          <w:sz w:val="24"/>
          <w:szCs w:val="24"/>
        </w:rPr>
        <w:t xml:space="preserve">ávrhom sa taktiež zabezpečuje rovnaké postavenie fyzických osôb s ťažkým zdravotným postihnutím pri poskytovaní peňažných príspevkov na kompenzáciu zvýšených výdavkov, ktorým je poskytovaná celoročná pobytová sociálna služba. Uvedená zmena bude mať iba zanedbateľné vplyvy na rozpočet verejnej správy, nakoľko sa dotýka iba úzkej skupiny osôb s ťažkým zdravotným postihnutím. </w:t>
      </w:r>
    </w:p>
    <w:p w:rsidR="00A6029E" w:rsidRPr="003727BA" w:rsidP="00A6029E">
      <w:pPr>
        <w:bidi w:val="0"/>
        <w:spacing w:after="0"/>
        <w:ind w:firstLine="708"/>
        <w:jc w:val="both"/>
        <w:rPr>
          <w:rFonts w:ascii="Times New Roman" w:hAnsi="Times New Roman"/>
          <w:sz w:val="24"/>
          <w:szCs w:val="24"/>
        </w:rPr>
      </w:pPr>
      <w:r w:rsidRPr="003727BA">
        <w:rPr>
          <w:rFonts w:ascii="Times New Roman" w:hAnsi="Times New Roman"/>
          <w:sz w:val="24"/>
          <w:szCs w:val="24"/>
        </w:rPr>
        <w:t>V zákone o sociálnom poistení sa navrhuje odstrániť hranicu 12 rokov na účely platenia poistného na dôchodkové poistenie štátom za fyzické osoby, ktoré nevykonávajú zárobkovú činnosť, nepoberajú niektorú zo zákonom ustanovených dôchodkových dávok a nie sú dôchodkovo poistené z dôvodu starostlivosti o dieťa do 6 rokov a:</w:t>
      </w:r>
    </w:p>
    <w:p w:rsidR="00A6029E" w:rsidRPr="003727BA" w:rsidP="00A6029E">
      <w:pPr>
        <w:numPr>
          <w:numId w:val="1"/>
        </w:numPr>
        <w:bidi w:val="0"/>
        <w:spacing w:after="0"/>
        <w:jc w:val="both"/>
        <w:rPr>
          <w:rFonts w:ascii="Times New Roman" w:hAnsi="Times New Roman"/>
          <w:sz w:val="24"/>
          <w:szCs w:val="24"/>
          <w:lang w:eastAsia="sk-SK"/>
        </w:rPr>
      </w:pPr>
      <w:r w:rsidRPr="003727BA">
        <w:rPr>
          <w:rFonts w:ascii="Times New Roman" w:hAnsi="Times New Roman"/>
          <w:sz w:val="24"/>
          <w:szCs w:val="24"/>
        </w:rPr>
        <w:t>v produktívnom veku sa starajú o dieťa s dlhodobo nepriaznivým zdravotným stavom po dovŕšení šiestich rokov jeho veku najdlhšie do 18 rokov veku, </w:t>
      </w:r>
    </w:p>
    <w:p w:rsidR="00A6029E" w:rsidRPr="003727BA" w:rsidP="00A6029E">
      <w:pPr>
        <w:numPr>
          <w:numId w:val="1"/>
        </w:numPr>
        <w:bidi w:val="0"/>
        <w:spacing w:after="0"/>
        <w:jc w:val="both"/>
        <w:rPr>
          <w:rFonts w:ascii="Times New Roman" w:hAnsi="Times New Roman"/>
          <w:sz w:val="24"/>
          <w:szCs w:val="24"/>
          <w:lang w:eastAsia="sk-SK"/>
        </w:rPr>
      </w:pPr>
      <w:r w:rsidRPr="003727BA">
        <w:rPr>
          <w:rFonts w:ascii="Times New Roman" w:hAnsi="Times New Roman"/>
          <w:sz w:val="24"/>
          <w:szCs w:val="24"/>
        </w:rPr>
        <w:t>ktorým sa v produktívnom veku poskytuje peňažný príspevok na opatrovanie alebo</w:t>
      </w:r>
    </w:p>
    <w:p w:rsidR="00A6029E" w:rsidRPr="003727BA" w:rsidP="00A6029E">
      <w:pPr>
        <w:numPr>
          <w:numId w:val="1"/>
        </w:numPr>
        <w:bidi w:val="0"/>
        <w:spacing w:after="0"/>
        <w:jc w:val="both"/>
        <w:rPr>
          <w:rFonts w:ascii="Times New Roman" w:hAnsi="Times New Roman"/>
          <w:sz w:val="24"/>
          <w:szCs w:val="24"/>
          <w:lang w:eastAsia="sk-SK"/>
        </w:rPr>
      </w:pPr>
      <w:r w:rsidRPr="003727BA">
        <w:rPr>
          <w:rFonts w:ascii="Times New Roman" w:hAnsi="Times New Roman"/>
          <w:sz w:val="24"/>
          <w:szCs w:val="24"/>
        </w:rPr>
        <w:t>ktoré majú podľa zmluvy o výkone osobnej asistencie  vykonávať túto v rozsahu najmenej 140 hodín mesačne.</w:t>
      </w:r>
    </w:p>
    <w:p w:rsidR="00A6029E" w:rsidRPr="003727BA" w:rsidP="00A6029E">
      <w:pPr>
        <w:bidi w:val="0"/>
        <w:spacing w:after="0" w:line="240" w:lineRule="auto"/>
        <w:rPr>
          <w:rFonts w:ascii="Times New Roman" w:hAnsi="Times New Roman"/>
          <w:sz w:val="24"/>
          <w:szCs w:val="24"/>
          <w:lang w:eastAsia="sk-SK"/>
        </w:rPr>
      </w:pPr>
    </w:p>
    <w:p w:rsidR="00A6029E" w:rsidRPr="003727BA" w:rsidP="00A6029E">
      <w:pPr>
        <w:bidi w:val="0"/>
        <w:spacing w:after="0" w:line="240" w:lineRule="auto"/>
        <w:rPr>
          <w:rFonts w:ascii="Times New Roman" w:hAnsi="Times New Roman"/>
          <w:b/>
          <w:bCs/>
          <w:sz w:val="24"/>
          <w:szCs w:val="24"/>
          <w:lang w:eastAsia="sk-SK"/>
        </w:rPr>
      </w:pPr>
      <w:r w:rsidRPr="003727BA">
        <w:rPr>
          <w:rFonts w:ascii="Times New Roman" w:hAnsi="Times New Roman"/>
          <w:b/>
          <w:bCs/>
          <w:sz w:val="24"/>
          <w:szCs w:val="24"/>
          <w:lang w:eastAsia="sk-SK"/>
        </w:rPr>
        <w:t>2.2.2. Charakteristika návrhu:</w:t>
      </w:r>
    </w:p>
    <w:p w:rsidR="00A6029E" w:rsidRPr="003727BA" w:rsidP="00A6029E">
      <w:pPr>
        <w:bidi w:val="0"/>
        <w:spacing w:after="0" w:line="240" w:lineRule="auto"/>
        <w:rPr>
          <w:rFonts w:ascii="Times New Roman" w:hAnsi="Times New Roman"/>
          <w:sz w:val="24"/>
          <w:szCs w:val="24"/>
          <w:lang w:eastAsia="sk-SK"/>
        </w:rPr>
      </w:pPr>
    </w:p>
    <w:p w:rsidR="00A6029E" w:rsidRPr="003727BA" w:rsidP="00A6029E">
      <w:pPr>
        <w:bidi w:val="0"/>
        <w:spacing w:after="0" w:line="240" w:lineRule="auto"/>
        <w:rPr>
          <w:rFonts w:ascii="Times New Roman" w:hAnsi="Times New Roman"/>
          <w:sz w:val="24"/>
          <w:szCs w:val="24"/>
          <w:lang w:eastAsia="sk-SK"/>
        </w:rPr>
      </w:pPr>
      <w:r w:rsidRPr="003727BA">
        <w:rPr>
          <w:rFonts w:ascii="Times New Roman" w:hAnsi="Times New Roman"/>
          <w:b/>
          <w:sz w:val="24"/>
          <w:szCs w:val="24"/>
          <w:bdr w:val="single" w:sz="4" w:space="0" w:color="auto"/>
          <w:lang w:eastAsia="sk-SK"/>
        </w:rPr>
        <w:t xml:space="preserve">     </w:t>
      </w:r>
      <w:r w:rsidRPr="003727BA">
        <w:rPr>
          <w:rFonts w:ascii="Times New Roman" w:hAnsi="Times New Roman"/>
          <w:b/>
          <w:sz w:val="24"/>
          <w:szCs w:val="24"/>
          <w:lang w:eastAsia="sk-SK"/>
        </w:rPr>
        <w:t xml:space="preserve">  </w:t>
      </w:r>
      <w:r w:rsidRPr="003727BA">
        <w:rPr>
          <w:rFonts w:ascii="Times New Roman" w:hAnsi="Times New Roman"/>
          <w:sz w:val="24"/>
          <w:szCs w:val="24"/>
          <w:lang w:eastAsia="sk-SK"/>
        </w:rPr>
        <w:t>zmena sadzby</w:t>
      </w:r>
    </w:p>
    <w:p w:rsidR="00A6029E" w:rsidRPr="003727BA" w:rsidP="00A6029E">
      <w:pPr>
        <w:bidi w:val="0"/>
        <w:spacing w:after="0" w:line="240" w:lineRule="auto"/>
        <w:rPr>
          <w:rFonts w:ascii="Times New Roman" w:hAnsi="Times New Roman"/>
          <w:sz w:val="24"/>
          <w:szCs w:val="24"/>
          <w:lang w:eastAsia="sk-SK"/>
        </w:rPr>
      </w:pPr>
      <w:r w:rsidRPr="003727BA">
        <w:rPr>
          <w:rFonts w:ascii="Times New Roman" w:hAnsi="Times New Roman"/>
          <w:sz w:val="24"/>
          <w:szCs w:val="24"/>
          <w:bdr w:val="single" w:sz="4" w:space="0" w:color="auto"/>
          <w:lang w:eastAsia="sk-SK"/>
        </w:rPr>
        <w:t xml:space="preserve">     </w:t>
      </w:r>
      <w:r w:rsidRPr="003727BA">
        <w:rPr>
          <w:rFonts w:ascii="Times New Roman" w:hAnsi="Times New Roman"/>
          <w:sz w:val="24"/>
          <w:szCs w:val="24"/>
          <w:lang w:eastAsia="sk-SK"/>
        </w:rPr>
        <w:t xml:space="preserve">  zmena v nároku</w:t>
      </w:r>
    </w:p>
    <w:p w:rsidR="00A6029E" w:rsidRPr="003727BA" w:rsidP="00A6029E">
      <w:pPr>
        <w:bidi w:val="0"/>
        <w:spacing w:after="0" w:line="240" w:lineRule="auto"/>
        <w:rPr>
          <w:rFonts w:ascii="Times New Roman" w:hAnsi="Times New Roman"/>
          <w:sz w:val="24"/>
          <w:szCs w:val="24"/>
          <w:lang w:eastAsia="sk-SK"/>
        </w:rPr>
      </w:pPr>
      <w:r w:rsidRPr="003727BA">
        <w:rPr>
          <w:rFonts w:ascii="Times New Roman" w:hAnsi="Times New Roman"/>
          <w:sz w:val="24"/>
          <w:szCs w:val="24"/>
          <w:bdr w:val="single" w:sz="4" w:space="0" w:color="auto"/>
          <w:lang w:eastAsia="sk-SK"/>
        </w:rPr>
        <w:t xml:space="preserve">     </w:t>
      </w:r>
      <w:r w:rsidRPr="003727BA">
        <w:rPr>
          <w:rFonts w:ascii="Times New Roman" w:hAnsi="Times New Roman"/>
          <w:sz w:val="24"/>
          <w:szCs w:val="24"/>
          <w:lang w:eastAsia="sk-SK"/>
        </w:rPr>
        <w:t xml:space="preserve">  nová služba alebo nariadenie (alebo ich zrušenie)</w:t>
      </w:r>
    </w:p>
    <w:p w:rsidR="00A6029E" w:rsidRPr="003727BA" w:rsidP="00A6029E">
      <w:pPr>
        <w:bidi w:val="0"/>
        <w:spacing w:after="0" w:line="240" w:lineRule="auto"/>
        <w:rPr>
          <w:rFonts w:ascii="Times New Roman" w:hAnsi="Times New Roman"/>
          <w:sz w:val="24"/>
          <w:szCs w:val="24"/>
          <w:lang w:eastAsia="sk-SK"/>
        </w:rPr>
      </w:pPr>
      <w:r w:rsidRPr="003727BA">
        <w:rPr>
          <w:rFonts w:ascii="Times New Roman" w:hAnsi="Times New Roman"/>
          <w:sz w:val="24"/>
          <w:szCs w:val="24"/>
          <w:bdr w:val="single" w:sz="4" w:space="0" w:color="auto"/>
          <w:lang w:eastAsia="sk-SK"/>
        </w:rPr>
        <w:t xml:space="preserve">  x </w:t>
      </w:r>
      <w:r w:rsidRPr="003727BA">
        <w:rPr>
          <w:rFonts w:ascii="Times New Roman" w:hAnsi="Times New Roman"/>
          <w:sz w:val="24"/>
          <w:szCs w:val="24"/>
          <w:lang w:eastAsia="sk-SK"/>
        </w:rPr>
        <w:t xml:space="preserve">  kombinovaný návrh</w:t>
      </w:r>
    </w:p>
    <w:p w:rsidR="00A6029E" w:rsidRPr="003727BA" w:rsidP="00A6029E">
      <w:pPr>
        <w:bidi w:val="0"/>
        <w:spacing w:after="0" w:line="240" w:lineRule="auto"/>
        <w:rPr>
          <w:rFonts w:ascii="Times New Roman" w:hAnsi="Times New Roman"/>
          <w:sz w:val="24"/>
          <w:szCs w:val="24"/>
          <w:lang w:eastAsia="sk-SK"/>
        </w:rPr>
      </w:pPr>
      <w:r w:rsidRPr="003727BA">
        <w:rPr>
          <w:rFonts w:ascii="Times New Roman" w:hAnsi="Times New Roman"/>
          <w:sz w:val="24"/>
          <w:szCs w:val="24"/>
          <w:bdr w:val="single" w:sz="4" w:space="0" w:color="auto"/>
          <w:lang w:eastAsia="sk-SK"/>
        </w:rPr>
        <w:t xml:space="preserve">     </w:t>
      </w:r>
      <w:r w:rsidRPr="003727BA">
        <w:rPr>
          <w:rFonts w:ascii="Times New Roman" w:hAnsi="Times New Roman"/>
          <w:sz w:val="24"/>
          <w:szCs w:val="24"/>
          <w:lang w:eastAsia="sk-SK"/>
        </w:rPr>
        <w:t xml:space="preserve">  iné </w:t>
      </w:r>
    </w:p>
    <w:p w:rsidR="00A6029E" w:rsidRPr="003727BA" w:rsidP="00A6029E">
      <w:pPr>
        <w:bidi w:val="0"/>
        <w:spacing w:after="0" w:line="240" w:lineRule="auto"/>
        <w:rPr>
          <w:rFonts w:ascii="Times New Roman" w:hAnsi="Times New Roman"/>
          <w:sz w:val="24"/>
          <w:szCs w:val="24"/>
          <w:lang w:eastAsia="sk-SK"/>
        </w:rPr>
      </w:pPr>
    </w:p>
    <w:p w:rsidR="00A6029E" w:rsidRPr="003727BA" w:rsidP="00A6029E">
      <w:pPr>
        <w:bidi w:val="0"/>
        <w:spacing w:after="0" w:line="240" w:lineRule="auto"/>
        <w:rPr>
          <w:rFonts w:ascii="Times New Roman" w:hAnsi="Times New Roman"/>
          <w:sz w:val="24"/>
          <w:szCs w:val="24"/>
          <w:lang w:eastAsia="sk-SK"/>
        </w:rPr>
      </w:pPr>
    </w:p>
    <w:p w:rsidR="00A6029E" w:rsidRPr="003727BA" w:rsidP="00A6029E">
      <w:pPr>
        <w:bidi w:val="0"/>
        <w:spacing w:after="0" w:line="240" w:lineRule="auto"/>
        <w:rPr>
          <w:rFonts w:ascii="Times New Roman" w:hAnsi="Times New Roman"/>
          <w:sz w:val="24"/>
          <w:szCs w:val="24"/>
          <w:lang w:eastAsia="sk-SK"/>
        </w:rPr>
      </w:pPr>
      <w:r w:rsidRPr="003727BA">
        <w:rPr>
          <w:rFonts w:ascii="Times New Roman" w:hAnsi="Times New Roman"/>
          <w:b/>
          <w:bCs/>
          <w:sz w:val="24"/>
          <w:szCs w:val="24"/>
          <w:lang w:eastAsia="sk-SK"/>
        </w:rPr>
        <w:t>2.2.3. Predpoklady vývoja objemu aktivít:</w:t>
      </w:r>
    </w:p>
    <w:p w:rsidR="00A6029E" w:rsidRPr="003727BA" w:rsidP="00A6029E">
      <w:pPr>
        <w:bidi w:val="0"/>
        <w:spacing w:after="0" w:line="240" w:lineRule="auto"/>
        <w:rPr>
          <w:rFonts w:ascii="Times New Roman" w:hAnsi="Times New Roman"/>
          <w:sz w:val="24"/>
          <w:szCs w:val="24"/>
          <w:lang w:eastAsia="sk-SK"/>
        </w:rPr>
      </w:pPr>
    </w:p>
    <w:p w:rsidR="00A6029E" w:rsidRPr="003727BA" w:rsidP="00A6029E">
      <w:pPr>
        <w:bidi w:val="0"/>
        <w:spacing w:after="0" w:line="240" w:lineRule="auto"/>
        <w:ind w:firstLine="708"/>
        <w:jc w:val="both"/>
        <w:rPr>
          <w:rFonts w:ascii="Times New Roman" w:hAnsi="Times New Roman"/>
          <w:sz w:val="24"/>
          <w:szCs w:val="24"/>
          <w:lang w:eastAsia="sk-SK"/>
        </w:rPr>
      </w:pPr>
      <w:r w:rsidRPr="003727BA">
        <w:rPr>
          <w:rFonts w:ascii="Times New Roman" w:hAnsi="Times New Roman"/>
          <w:sz w:val="24"/>
          <w:szCs w:val="24"/>
          <w:lang w:eastAsia="sk-SK"/>
        </w:rPr>
        <w:t>Jasne popíšte, v prípade potreby použite nižšie uvedenú tabuľku. Uveďte aj odhady základov daní a/alebo poplatkov, ak sa ich táto zmena týka.</w:t>
      </w:r>
    </w:p>
    <w:p w:rsidR="00A6029E" w:rsidRPr="003727BA" w:rsidP="00A6029E">
      <w:pPr>
        <w:bidi w:val="0"/>
        <w:spacing w:after="0" w:line="240" w:lineRule="auto"/>
        <w:jc w:val="right"/>
        <w:rPr>
          <w:rFonts w:ascii="Times New Roman" w:hAnsi="Times New Roman"/>
          <w:sz w:val="20"/>
          <w:szCs w:val="20"/>
          <w:lang w:eastAsia="sk-SK"/>
        </w:rPr>
      </w:pPr>
    </w:p>
    <w:p w:rsidR="00A6029E" w:rsidRPr="003727BA" w:rsidP="00A6029E">
      <w:pPr>
        <w:bidi w:val="0"/>
        <w:spacing w:after="0" w:line="240" w:lineRule="auto"/>
        <w:jc w:val="right"/>
        <w:rPr>
          <w:rFonts w:ascii="Times New Roman" w:hAnsi="Times New Roman"/>
          <w:sz w:val="20"/>
          <w:szCs w:val="20"/>
          <w:lang w:eastAsia="sk-SK"/>
        </w:rPr>
      </w:pPr>
    </w:p>
    <w:tbl>
      <w:tblPr>
        <w:tblStyle w:val="TableNormal"/>
        <w:tblW w:w="9229" w:type="dxa"/>
        <w:tblInd w:w="55" w:type="dxa"/>
        <w:tblCellMar>
          <w:left w:w="70" w:type="dxa"/>
          <w:right w:w="70" w:type="dxa"/>
        </w:tblCellMar>
        <w:tblLook w:val="04A0"/>
      </w:tblPr>
      <w:tblGrid>
        <w:gridCol w:w="2000"/>
        <w:gridCol w:w="1276"/>
        <w:gridCol w:w="1842"/>
        <w:gridCol w:w="1134"/>
        <w:gridCol w:w="993"/>
        <w:gridCol w:w="992"/>
        <w:gridCol w:w="992"/>
      </w:tblGrid>
      <w:tr>
        <w:tblPrEx>
          <w:tblW w:w="9229" w:type="dxa"/>
          <w:tblInd w:w="55" w:type="dxa"/>
          <w:tblCellMar>
            <w:left w:w="70" w:type="dxa"/>
            <w:right w:w="70" w:type="dxa"/>
          </w:tblCellMar>
          <w:tblLook w:val="04A0"/>
        </w:tblPrEx>
        <w:trPr>
          <w:trHeight w:val="302"/>
        </w:trPr>
        <w:tc>
          <w:tcPr>
            <w:tcW w:w="2000" w:type="dxa"/>
            <w:vMerge w:val="restart"/>
            <w:tcBorders>
              <w:top w:val="single" w:sz="4" w:space="0" w:color="auto"/>
              <w:left w:val="single" w:sz="4" w:space="0" w:color="auto"/>
              <w:bottom w:val="none" w:sz="0" w:space="0" w:color="auto"/>
              <w:right w:val="single" w:sz="4" w:space="0" w:color="auto"/>
            </w:tcBorders>
            <w:noWrap/>
            <w:textDirection w:val="lrTb"/>
            <w:vAlign w:val="center"/>
            <w:hideMark/>
          </w:tcPr>
          <w:p w:rsidR="00A6029E" w:rsidRPr="003727BA" w:rsidP="00BB3760">
            <w:pPr>
              <w:bidi w:val="0"/>
              <w:spacing w:after="0" w:line="240" w:lineRule="auto"/>
              <w:rPr>
                <w:rFonts w:ascii="Times New Roman" w:hAnsi="Times New Roman"/>
                <w:sz w:val="20"/>
                <w:szCs w:val="20"/>
                <w:lang w:eastAsia="sk-SK"/>
              </w:rPr>
            </w:pPr>
            <w:r w:rsidRPr="003727BA">
              <w:rPr>
                <w:rFonts w:ascii="Times New Roman" w:hAnsi="Times New Roman"/>
                <w:b/>
                <w:sz w:val="20"/>
                <w:szCs w:val="20"/>
                <w:lang w:eastAsia="sk-SK"/>
              </w:rPr>
              <w:t>Peňažný príspevok na opatrovanie</w:t>
            </w:r>
          </w:p>
        </w:tc>
        <w:tc>
          <w:tcPr>
            <w:tcW w:w="1276" w:type="dxa"/>
            <w:vMerge w:val="restart"/>
            <w:tcBorders>
              <w:top w:val="single" w:sz="4" w:space="0" w:color="auto"/>
              <w:left w:val="nil"/>
              <w:bottom w:val="single" w:sz="4" w:space="0" w:color="auto"/>
              <w:right w:val="single" w:sz="4" w:space="0" w:color="auto"/>
            </w:tcBorders>
            <w:noWrap/>
            <w:textDirection w:val="lrTb"/>
            <w:vAlign w:val="center"/>
            <w:hideMark/>
          </w:tcPr>
          <w:p w:rsidR="00A6029E" w:rsidRPr="003727BA" w:rsidP="00B0414D">
            <w:pPr>
              <w:bidi w:val="0"/>
              <w:spacing w:after="0" w:line="240" w:lineRule="auto"/>
              <w:rPr>
                <w:rFonts w:ascii="Times New Roman" w:hAnsi="Times New Roman"/>
                <w:b/>
                <w:bCs/>
                <w:sz w:val="20"/>
                <w:szCs w:val="20"/>
                <w:lang w:eastAsia="sk-SK"/>
              </w:rPr>
            </w:pPr>
            <w:r w:rsidRPr="003727BA">
              <w:rPr>
                <w:rFonts w:ascii="Times New Roman" w:hAnsi="Times New Roman"/>
                <w:b/>
                <w:sz w:val="20"/>
                <w:szCs w:val="20"/>
                <w:lang w:eastAsia="sk-SK"/>
              </w:rPr>
              <w:t xml:space="preserve"> Pôvodná max. výška </w:t>
            </w:r>
          </w:p>
          <w:p w:rsidR="00B0414D" w:rsidRPr="003727BA" w:rsidP="00B0414D">
            <w:pPr>
              <w:bidi w:val="0"/>
              <w:spacing w:after="0" w:line="240" w:lineRule="auto"/>
              <w:rPr>
                <w:rFonts w:ascii="Times New Roman" w:hAnsi="Times New Roman"/>
                <w:b/>
                <w:sz w:val="20"/>
                <w:szCs w:val="20"/>
                <w:lang w:eastAsia="sk-SK"/>
              </w:rPr>
            </w:pPr>
            <w:r w:rsidRPr="003727BA">
              <w:rPr>
                <w:rFonts w:ascii="Times New Roman" w:hAnsi="Times New Roman"/>
                <w:b/>
                <w:bCs/>
                <w:sz w:val="20"/>
                <w:szCs w:val="20"/>
                <w:lang w:eastAsia="sk-SK"/>
              </w:rPr>
              <w:t>2016</w:t>
            </w:r>
          </w:p>
        </w:tc>
        <w:tc>
          <w:tcPr>
            <w:tcW w:w="1842" w:type="dxa"/>
            <w:vMerge w:val="restart"/>
            <w:tcBorders>
              <w:top w:val="single" w:sz="4" w:space="0" w:color="auto"/>
              <w:left w:val="nil"/>
              <w:bottom w:val="single" w:sz="4" w:space="0" w:color="auto"/>
              <w:right w:val="single" w:sz="4" w:space="0" w:color="auto"/>
            </w:tcBorders>
            <w:noWrap/>
            <w:textDirection w:val="lrTb"/>
            <w:vAlign w:val="center"/>
            <w:hideMark/>
          </w:tcPr>
          <w:p w:rsidR="00A6029E" w:rsidRPr="003727BA" w:rsidP="00BB3760">
            <w:pPr>
              <w:bidi w:val="0"/>
              <w:spacing w:after="0" w:line="240" w:lineRule="auto"/>
              <w:rPr>
                <w:rFonts w:ascii="Times New Roman" w:hAnsi="Times New Roman"/>
                <w:b/>
                <w:sz w:val="20"/>
                <w:szCs w:val="20"/>
                <w:lang w:eastAsia="sk-SK"/>
              </w:rPr>
            </w:pPr>
            <w:r w:rsidRPr="003727BA">
              <w:rPr>
                <w:rFonts w:ascii="Times New Roman" w:hAnsi="Times New Roman"/>
                <w:b/>
                <w:sz w:val="20"/>
                <w:szCs w:val="20"/>
                <w:lang w:eastAsia="sk-SK"/>
              </w:rPr>
              <w:t xml:space="preserve"> Návrh max. výšky-bez valorizácie </w:t>
            </w:r>
            <w:r w:rsidRPr="003727BA">
              <w:rPr>
                <w:rFonts w:ascii="Times New Roman" w:hAnsi="Times New Roman"/>
                <w:b/>
                <w:bCs/>
                <w:sz w:val="20"/>
                <w:szCs w:val="20"/>
                <w:lang w:eastAsia="sk-SK"/>
              </w:rPr>
              <w:t>2017</w:t>
            </w:r>
          </w:p>
        </w:tc>
        <w:tc>
          <w:tcPr>
            <w:tcW w:w="4111" w:type="dxa"/>
            <w:gridSpan w:val="4"/>
            <w:tcBorders>
              <w:top w:val="single" w:sz="4" w:space="0" w:color="auto"/>
              <w:left w:val="nil"/>
              <w:bottom w:val="single" w:sz="4" w:space="0" w:color="auto"/>
              <w:right w:val="single" w:sz="4" w:space="0" w:color="auto"/>
            </w:tcBorders>
            <w:noWrap/>
            <w:textDirection w:val="lrTb"/>
            <w:vAlign w:val="center"/>
          </w:tcPr>
          <w:p w:rsidR="00A6029E" w:rsidRPr="003727BA" w:rsidP="00BB3760">
            <w:pPr>
              <w:bidi w:val="0"/>
              <w:spacing w:after="0" w:line="240" w:lineRule="auto"/>
              <w:jc w:val="center"/>
              <w:rPr>
                <w:rFonts w:ascii="Times New Roman" w:hAnsi="Times New Roman"/>
                <w:b/>
                <w:sz w:val="20"/>
                <w:szCs w:val="20"/>
                <w:lang w:eastAsia="sk-SK"/>
              </w:rPr>
            </w:pPr>
            <w:r w:rsidRPr="003727BA">
              <w:rPr>
                <w:rFonts w:ascii="Times New Roman" w:hAnsi="Times New Roman"/>
                <w:b/>
                <w:sz w:val="20"/>
                <w:szCs w:val="20"/>
                <w:lang w:eastAsia="sk-SK"/>
              </w:rPr>
              <w:t>Návrh max. výšky s predpokladanou valorizáciou</w:t>
            </w:r>
          </w:p>
        </w:tc>
      </w:tr>
      <w:tr>
        <w:tblPrEx>
          <w:tblW w:w="9229" w:type="dxa"/>
          <w:tblInd w:w="55" w:type="dxa"/>
          <w:tblCellMar>
            <w:left w:w="70" w:type="dxa"/>
            <w:right w:w="70" w:type="dxa"/>
          </w:tblCellMar>
          <w:tblLook w:val="04A0"/>
        </w:tblPrEx>
        <w:trPr>
          <w:trHeight w:val="447"/>
        </w:trPr>
        <w:tc>
          <w:tcPr>
            <w:tcW w:w="2000" w:type="dxa"/>
            <w:vMerge/>
            <w:tcBorders>
              <w:top w:val="none" w:sz="0" w:space="0" w:color="auto"/>
              <w:left w:val="single" w:sz="4" w:space="0" w:color="auto"/>
              <w:bottom w:val="single" w:sz="4" w:space="0" w:color="auto"/>
              <w:right w:val="single" w:sz="4" w:space="0" w:color="auto"/>
            </w:tcBorders>
            <w:noWrap/>
            <w:textDirection w:val="lrTb"/>
            <w:vAlign w:val="center"/>
          </w:tcPr>
          <w:p w:rsidR="00A6029E" w:rsidRPr="003727BA" w:rsidP="00BB3760">
            <w:pPr>
              <w:bidi w:val="0"/>
              <w:spacing w:after="0" w:line="240" w:lineRule="auto"/>
              <w:rPr>
                <w:rFonts w:ascii="Times New Roman" w:hAnsi="Times New Roman"/>
                <w:sz w:val="20"/>
                <w:szCs w:val="20"/>
                <w:lang w:eastAsia="sk-SK"/>
              </w:rPr>
            </w:pPr>
          </w:p>
        </w:tc>
        <w:tc>
          <w:tcPr>
            <w:tcW w:w="1276" w:type="dxa"/>
            <w:vMerge/>
            <w:tcBorders>
              <w:top w:val="single" w:sz="4" w:space="0" w:color="auto"/>
              <w:left w:val="nil"/>
              <w:bottom w:val="single" w:sz="4" w:space="0" w:color="auto"/>
              <w:right w:val="single" w:sz="4" w:space="0" w:color="auto"/>
            </w:tcBorders>
            <w:noWrap/>
            <w:textDirection w:val="lrTb"/>
            <w:vAlign w:val="center"/>
          </w:tcPr>
          <w:p w:rsidR="00A6029E" w:rsidRPr="003727BA" w:rsidP="00BB3760">
            <w:pPr>
              <w:bidi w:val="0"/>
              <w:spacing w:after="0" w:line="240" w:lineRule="auto"/>
              <w:rPr>
                <w:rFonts w:ascii="Times New Roman" w:hAnsi="Times New Roman"/>
                <w:b/>
                <w:sz w:val="20"/>
                <w:szCs w:val="20"/>
                <w:lang w:eastAsia="sk-SK"/>
              </w:rPr>
            </w:pPr>
          </w:p>
        </w:tc>
        <w:tc>
          <w:tcPr>
            <w:tcW w:w="1842" w:type="dxa"/>
            <w:vMerge/>
            <w:tcBorders>
              <w:top w:val="single" w:sz="4" w:space="0" w:color="auto"/>
              <w:left w:val="nil"/>
              <w:bottom w:val="single" w:sz="4" w:space="0" w:color="auto"/>
              <w:right w:val="single" w:sz="4" w:space="0" w:color="auto"/>
            </w:tcBorders>
            <w:noWrap/>
            <w:textDirection w:val="lrTb"/>
            <w:vAlign w:val="center"/>
          </w:tcPr>
          <w:p w:rsidR="00A6029E" w:rsidRPr="003727BA" w:rsidP="00BB3760">
            <w:pPr>
              <w:bidi w:val="0"/>
              <w:spacing w:after="0" w:line="240" w:lineRule="auto"/>
              <w:rPr>
                <w:rFonts w:ascii="Times New Roman" w:hAnsi="Times New Roman"/>
                <w:b/>
                <w:sz w:val="20"/>
                <w:szCs w:val="20"/>
                <w:lang w:eastAsia="sk-SK"/>
              </w:rPr>
            </w:pPr>
          </w:p>
        </w:tc>
        <w:tc>
          <w:tcPr>
            <w:tcW w:w="1134" w:type="dxa"/>
            <w:tcBorders>
              <w:top w:val="single" w:sz="4" w:space="0" w:color="auto"/>
              <w:left w:val="nil"/>
              <w:bottom w:val="single" w:sz="4" w:space="0" w:color="auto"/>
              <w:right w:val="single" w:sz="4" w:space="0" w:color="auto"/>
            </w:tcBorders>
            <w:noWrap/>
            <w:textDirection w:val="lrTb"/>
            <w:vAlign w:val="center"/>
          </w:tcPr>
          <w:p w:rsidR="00A6029E" w:rsidRPr="003727BA" w:rsidP="00BB3760">
            <w:pPr>
              <w:bidi w:val="0"/>
              <w:spacing w:after="0" w:line="240" w:lineRule="auto"/>
              <w:jc w:val="center"/>
              <w:rPr>
                <w:rFonts w:ascii="Times New Roman" w:hAnsi="Times New Roman"/>
                <w:b/>
                <w:bCs/>
                <w:sz w:val="20"/>
                <w:szCs w:val="20"/>
                <w:lang w:eastAsia="sk-SK"/>
              </w:rPr>
            </w:pPr>
            <w:r w:rsidRPr="003727BA">
              <w:rPr>
                <w:rFonts w:ascii="Times New Roman" w:hAnsi="Times New Roman"/>
                <w:b/>
                <w:bCs/>
                <w:sz w:val="20"/>
                <w:szCs w:val="20"/>
                <w:lang w:eastAsia="sk-SK"/>
              </w:rPr>
              <w:t>1.1 – 30.6. 2017</w:t>
            </w:r>
          </w:p>
        </w:tc>
        <w:tc>
          <w:tcPr>
            <w:tcW w:w="993" w:type="dxa"/>
            <w:tcBorders>
              <w:top w:val="single" w:sz="4" w:space="0" w:color="auto"/>
              <w:left w:val="nil"/>
              <w:bottom w:val="single" w:sz="4" w:space="0" w:color="auto"/>
              <w:right w:val="single" w:sz="4" w:space="0" w:color="auto"/>
            </w:tcBorders>
            <w:noWrap/>
            <w:textDirection w:val="lrTb"/>
            <w:vAlign w:val="center"/>
          </w:tcPr>
          <w:p w:rsidR="00A6029E" w:rsidRPr="003727BA" w:rsidP="00BB3760">
            <w:pPr>
              <w:bidi w:val="0"/>
              <w:spacing w:after="0" w:line="240" w:lineRule="auto"/>
              <w:jc w:val="center"/>
              <w:rPr>
                <w:rFonts w:ascii="Times New Roman" w:hAnsi="Times New Roman"/>
                <w:b/>
                <w:bCs/>
                <w:sz w:val="20"/>
                <w:szCs w:val="20"/>
                <w:lang w:eastAsia="sk-SK"/>
              </w:rPr>
            </w:pPr>
            <w:r w:rsidRPr="003727BA">
              <w:rPr>
                <w:rFonts w:ascii="Times New Roman" w:hAnsi="Times New Roman"/>
                <w:b/>
                <w:bCs/>
                <w:sz w:val="20"/>
                <w:szCs w:val="20"/>
                <w:lang w:eastAsia="sk-SK"/>
              </w:rPr>
              <w:t>Od 1.7.2017</w:t>
            </w:r>
          </w:p>
        </w:tc>
        <w:tc>
          <w:tcPr>
            <w:tcW w:w="992" w:type="dxa"/>
            <w:tcBorders>
              <w:top w:val="single" w:sz="4" w:space="0" w:color="auto"/>
              <w:left w:val="nil"/>
              <w:bottom w:val="single" w:sz="4" w:space="0" w:color="auto"/>
              <w:right w:val="single" w:sz="4" w:space="0" w:color="auto"/>
            </w:tcBorders>
            <w:noWrap/>
            <w:textDirection w:val="lrTb"/>
            <w:vAlign w:val="center"/>
          </w:tcPr>
          <w:p w:rsidR="00A6029E" w:rsidRPr="003727BA" w:rsidP="00BB3760">
            <w:pPr>
              <w:bidi w:val="0"/>
              <w:spacing w:after="0" w:line="240" w:lineRule="auto"/>
              <w:jc w:val="center"/>
              <w:rPr>
                <w:rFonts w:ascii="Times New Roman" w:hAnsi="Times New Roman"/>
                <w:b/>
                <w:bCs/>
                <w:sz w:val="20"/>
                <w:szCs w:val="20"/>
                <w:lang w:eastAsia="sk-SK"/>
              </w:rPr>
            </w:pPr>
            <w:r w:rsidRPr="003727BA">
              <w:rPr>
                <w:rFonts w:ascii="Times New Roman" w:hAnsi="Times New Roman"/>
                <w:b/>
                <w:bCs/>
                <w:sz w:val="20"/>
                <w:szCs w:val="20"/>
                <w:lang w:eastAsia="sk-SK"/>
              </w:rPr>
              <w:t>Od 1.7.2018</w:t>
            </w:r>
          </w:p>
        </w:tc>
        <w:tc>
          <w:tcPr>
            <w:tcW w:w="992" w:type="dxa"/>
            <w:tcBorders>
              <w:top w:val="single" w:sz="4" w:space="0" w:color="auto"/>
              <w:left w:val="nil"/>
              <w:bottom w:val="single" w:sz="4" w:space="0" w:color="auto"/>
              <w:right w:val="single" w:sz="4" w:space="0" w:color="auto"/>
            </w:tcBorders>
            <w:noWrap/>
            <w:textDirection w:val="lrTb"/>
            <w:vAlign w:val="center"/>
          </w:tcPr>
          <w:p w:rsidR="00A6029E" w:rsidRPr="003727BA" w:rsidP="00BB3760">
            <w:pPr>
              <w:bidi w:val="0"/>
              <w:spacing w:after="0" w:line="240" w:lineRule="auto"/>
              <w:jc w:val="center"/>
              <w:rPr>
                <w:rFonts w:ascii="Times New Roman" w:hAnsi="Times New Roman"/>
                <w:b/>
                <w:bCs/>
                <w:sz w:val="20"/>
                <w:szCs w:val="20"/>
                <w:lang w:eastAsia="sk-SK"/>
              </w:rPr>
            </w:pPr>
            <w:r w:rsidRPr="003727BA">
              <w:rPr>
                <w:rFonts w:ascii="Times New Roman" w:hAnsi="Times New Roman"/>
                <w:b/>
                <w:bCs/>
                <w:sz w:val="20"/>
                <w:szCs w:val="20"/>
                <w:lang w:eastAsia="sk-SK"/>
              </w:rPr>
              <w:t>Od 1.7.2019</w:t>
            </w:r>
          </w:p>
        </w:tc>
      </w:tr>
      <w:tr>
        <w:tblPrEx>
          <w:tblW w:w="9229" w:type="dxa"/>
          <w:tblInd w:w="55" w:type="dxa"/>
          <w:tblCellMar>
            <w:left w:w="70" w:type="dxa"/>
            <w:right w:w="70" w:type="dxa"/>
          </w:tblCellMar>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center"/>
            <w:hideMark/>
          </w:tcPr>
          <w:p w:rsidR="00A6029E" w:rsidRPr="003727BA" w:rsidP="00BB3760">
            <w:pPr>
              <w:bidi w:val="0"/>
              <w:spacing w:after="0" w:line="240" w:lineRule="auto"/>
              <w:rPr>
                <w:rFonts w:ascii="Times New Roman" w:hAnsi="Times New Roman"/>
                <w:sz w:val="20"/>
                <w:szCs w:val="20"/>
                <w:lang w:eastAsia="sk-SK"/>
              </w:rPr>
            </w:pPr>
            <w:r w:rsidRPr="003727BA">
              <w:rPr>
                <w:rFonts w:ascii="Times New Roman" w:hAnsi="Times New Roman"/>
                <w:sz w:val="20"/>
                <w:szCs w:val="20"/>
                <w:lang w:eastAsia="sk-SK"/>
              </w:rPr>
              <w:t>- celodenne 1 osobu</w:t>
            </w:r>
          </w:p>
        </w:tc>
        <w:tc>
          <w:tcPr>
            <w:tcW w:w="1276" w:type="dxa"/>
            <w:tcBorders>
              <w:top w:val="nil"/>
              <w:left w:val="nil"/>
              <w:bottom w:val="single" w:sz="4" w:space="0" w:color="auto"/>
              <w:right w:val="single" w:sz="4" w:space="0" w:color="auto"/>
            </w:tcBorders>
            <w:noWrap/>
            <w:textDirection w:val="lrTb"/>
            <w:vAlign w:val="center"/>
            <w:hideMark/>
          </w:tcPr>
          <w:p w:rsidR="00A6029E" w:rsidRPr="003727BA" w:rsidP="00BB3760">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220,52</w:t>
            </w:r>
          </w:p>
        </w:tc>
        <w:tc>
          <w:tcPr>
            <w:tcW w:w="1842" w:type="dxa"/>
            <w:tcBorders>
              <w:top w:val="nil"/>
              <w:left w:val="nil"/>
              <w:bottom w:val="single" w:sz="4" w:space="0" w:color="auto"/>
              <w:right w:val="single" w:sz="4" w:space="0" w:color="auto"/>
            </w:tcBorders>
            <w:noWrap/>
            <w:textDirection w:val="lrTb"/>
            <w:vAlign w:val="center"/>
            <w:hideMark/>
          </w:tcPr>
          <w:p w:rsidR="00A6029E" w:rsidRPr="003727BA" w:rsidP="00BB3760">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247,62</w:t>
            </w:r>
          </w:p>
        </w:tc>
        <w:tc>
          <w:tcPr>
            <w:tcW w:w="1134" w:type="dxa"/>
            <w:tcBorders>
              <w:top w:val="nil"/>
              <w:left w:val="nil"/>
              <w:bottom w:val="single" w:sz="4" w:space="0" w:color="auto"/>
              <w:right w:val="single" w:sz="4" w:space="0" w:color="auto"/>
            </w:tcBorders>
            <w:noWrap/>
            <w:textDirection w:val="lrTb"/>
            <w:vAlign w:val="center"/>
            <w:hideMark/>
          </w:tcPr>
          <w:p w:rsidR="00A6029E" w:rsidRPr="003727BA" w:rsidP="00BB3760">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247,62</w:t>
            </w:r>
          </w:p>
        </w:tc>
        <w:tc>
          <w:tcPr>
            <w:tcW w:w="993" w:type="dxa"/>
            <w:tcBorders>
              <w:top w:val="nil"/>
              <w:left w:val="nil"/>
              <w:bottom w:val="single" w:sz="4" w:space="0" w:color="auto"/>
              <w:right w:val="single" w:sz="4" w:space="0" w:color="auto"/>
            </w:tcBorders>
            <w:noWrap/>
            <w:textDirection w:val="lrTb"/>
            <w:vAlign w:val="center"/>
            <w:hideMark/>
          </w:tcPr>
          <w:p w:rsidR="00A6029E" w:rsidRPr="003727BA" w:rsidP="003F075B">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25</w:t>
            </w:r>
            <w:r w:rsidRPr="003727BA" w:rsidR="003F075B">
              <w:rPr>
                <w:rFonts w:ascii="Times New Roman" w:hAnsi="Times New Roman"/>
                <w:sz w:val="20"/>
                <w:szCs w:val="20"/>
                <w:lang w:eastAsia="sk-SK"/>
              </w:rPr>
              <w:t>0</w:t>
            </w:r>
            <w:r w:rsidRPr="003727BA">
              <w:rPr>
                <w:rFonts w:ascii="Times New Roman" w:hAnsi="Times New Roman"/>
                <w:sz w:val="20"/>
                <w:szCs w:val="20"/>
                <w:lang w:eastAsia="sk-SK"/>
              </w:rPr>
              <w:t>,</w:t>
            </w:r>
            <w:r w:rsidRPr="003727BA" w:rsidR="003F075B">
              <w:rPr>
                <w:rFonts w:ascii="Times New Roman" w:hAnsi="Times New Roman"/>
                <w:sz w:val="20"/>
                <w:szCs w:val="20"/>
                <w:lang w:eastAsia="sk-SK"/>
              </w:rPr>
              <w:t>60</w:t>
            </w:r>
          </w:p>
        </w:tc>
        <w:tc>
          <w:tcPr>
            <w:tcW w:w="992" w:type="dxa"/>
            <w:tcBorders>
              <w:top w:val="nil"/>
              <w:left w:val="nil"/>
              <w:bottom w:val="single" w:sz="4" w:space="0" w:color="auto"/>
              <w:right w:val="single" w:sz="4" w:space="0" w:color="auto"/>
            </w:tcBorders>
            <w:noWrap/>
            <w:textDirection w:val="lrTb"/>
            <w:vAlign w:val="center"/>
            <w:hideMark/>
          </w:tcPr>
          <w:p w:rsidR="00A6029E" w:rsidRPr="003727BA" w:rsidP="007F279E">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25</w:t>
            </w:r>
            <w:r w:rsidRPr="003727BA" w:rsidR="007F279E">
              <w:rPr>
                <w:rFonts w:ascii="Times New Roman" w:hAnsi="Times New Roman"/>
                <w:sz w:val="20"/>
                <w:szCs w:val="20"/>
                <w:lang w:eastAsia="sk-SK"/>
              </w:rPr>
              <w:t>4</w:t>
            </w:r>
            <w:r w:rsidRPr="003727BA">
              <w:rPr>
                <w:rFonts w:ascii="Times New Roman" w:hAnsi="Times New Roman"/>
                <w:sz w:val="20"/>
                <w:szCs w:val="20"/>
                <w:lang w:eastAsia="sk-SK"/>
              </w:rPr>
              <w:t>,</w:t>
            </w:r>
            <w:r w:rsidRPr="003727BA" w:rsidR="007F279E">
              <w:rPr>
                <w:rFonts w:ascii="Times New Roman" w:hAnsi="Times New Roman"/>
                <w:sz w:val="20"/>
                <w:szCs w:val="20"/>
                <w:lang w:eastAsia="sk-SK"/>
              </w:rPr>
              <w:t>61</w:t>
            </w:r>
          </w:p>
        </w:tc>
        <w:tc>
          <w:tcPr>
            <w:tcW w:w="992" w:type="dxa"/>
            <w:tcBorders>
              <w:top w:val="nil"/>
              <w:left w:val="nil"/>
              <w:bottom w:val="single" w:sz="4" w:space="0" w:color="auto"/>
              <w:right w:val="single" w:sz="4" w:space="0" w:color="auto"/>
            </w:tcBorders>
            <w:noWrap/>
            <w:textDirection w:val="lrTb"/>
            <w:vAlign w:val="center"/>
            <w:hideMark/>
          </w:tcPr>
          <w:p w:rsidR="00A6029E" w:rsidRPr="003727BA" w:rsidP="0098282A">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2</w:t>
            </w:r>
            <w:r w:rsidRPr="003727BA" w:rsidR="0098282A">
              <w:rPr>
                <w:rFonts w:ascii="Times New Roman" w:hAnsi="Times New Roman"/>
                <w:sz w:val="20"/>
                <w:szCs w:val="20"/>
                <w:lang w:eastAsia="sk-SK"/>
              </w:rPr>
              <w:t>59</w:t>
            </w:r>
            <w:r w:rsidRPr="003727BA">
              <w:rPr>
                <w:rFonts w:ascii="Times New Roman" w:hAnsi="Times New Roman"/>
                <w:sz w:val="20"/>
                <w:szCs w:val="20"/>
                <w:lang w:eastAsia="sk-SK"/>
              </w:rPr>
              <w:t>,</w:t>
            </w:r>
            <w:r w:rsidRPr="003727BA" w:rsidR="0098282A">
              <w:rPr>
                <w:rFonts w:ascii="Times New Roman" w:hAnsi="Times New Roman"/>
                <w:sz w:val="20"/>
                <w:szCs w:val="20"/>
                <w:lang w:eastAsia="sk-SK"/>
              </w:rPr>
              <w:t>45</w:t>
            </w:r>
          </w:p>
        </w:tc>
      </w:tr>
      <w:tr>
        <w:tblPrEx>
          <w:tblW w:w="9229" w:type="dxa"/>
          <w:tblInd w:w="55" w:type="dxa"/>
          <w:tblCellMar>
            <w:left w:w="70" w:type="dxa"/>
            <w:right w:w="70" w:type="dxa"/>
          </w:tblCellMar>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center"/>
            <w:hideMark/>
          </w:tcPr>
          <w:p w:rsidR="00A6029E" w:rsidRPr="003727BA" w:rsidP="00BB3760">
            <w:pPr>
              <w:bidi w:val="0"/>
              <w:spacing w:after="0" w:line="240" w:lineRule="auto"/>
              <w:rPr>
                <w:rFonts w:ascii="Times New Roman" w:hAnsi="Times New Roman"/>
                <w:sz w:val="20"/>
                <w:szCs w:val="20"/>
                <w:lang w:eastAsia="sk-SK"/>
              </w:rPr>
            </w:pPr>
            <w:r w:rsidRPr="003727BA">
              <w:rPr>
                <w:rFonts w:ascii="Times New Roman" w:hAnsi="Times New Roman"/>
                <w:sz w:val="20"/>
                <w:szCs w:val="20"/>
                <w:lang w:eastAsia="sk-SK"/>
              </w:rPr>
              <w:t>- celodenne viac osôb</w:t>
            </w:r>
          </w:p>
        </w:tc>
        <w:tc>
          <w:tcPr>
            <w:tcW w:w="1276" w:type="dxa"/>
            <w:tcBorders>
              <w:top w:val="nil"/>
              <w:left w:val="nil"/>
              <w:bottom w:val="single" w:sz="4" w:space="0" w:color="auto"/>
              <w:right w:val="single" w:sz="4" w:space="0" w:color="auto"/>
            </w:tcBorders>
            <w:noWrap/>
            <w:textDirection w:val="lrTb"/>
            <w:vAlign w:val="center"/>
            <w:hideMark/>
          </w:tcPr>
          <w:p w:rsidR="00A6029E" w:rsidRPr="003727BA" w:rsidP="00BB3760">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294,01</w:t>
            </w:r>
          </w:p>
        </w:tc>
        <w:tc>
          <w:tcPr>
            <w:tcW w:w="1842" w:type="dxa"/>
            <w:tcBorders>
              <w:top w:val="nil"/>
              <w:left w:val="nil"/>
              <w:bottom w:val="single" w:sz="4" w:space="0" w:color="auto"/>
              <w:right w:val="single" w:sz="4" w:space="0" w:color="auto"/>
            </w:tcBorders>
            <w:noWrap/>
            <w:textDirection w:val="lrTb"/>
            <w:vAlign w:val="center"/>
            <w:hideMark/>
          </w:tcPr>
          <w:p w:rsidR="00A6029E" w:rsidRPr="003727BA" w:rsidP="00BB3760">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321,11</w:t>
            </w:r>
          </w:p>
        </w:tc>
        <w:tc>
          <w:tcPr>
            <w:tcW w:w="1134" w:type="dxa"/>
            <w:tcBorders>
              <w:top w:val="nil"/>
              <w:left w:val="nil"/>
              <w:bottom w:val="single" w:sz="4" w:space="0" w:color="auto"/>
              <w:right w:val="single" w:sz="4" w:space="0" w:color="auto"/>
            </w:tcBorders>
            <w:noWrap/>
            <w:textDirection w:val="lrTb"/>
            <w:vAlign w:val="center"/>
            <w:hideMark/>
          </w:tcPr>
          <w:p w:rsidR="00A6029E" w:rsidRPr="003727BA" w:rsidP="00BB3760">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321,11</w:t>
            </w:r>
          </w:p>
        </w:tc>
        <w:tc>
          <w:tcPr>
            <w:tcW w:w="993" w:type="dxa"/>
            <w:tcBorders>
              <w:top w:val="nil"/>
              <w:left w:val="nil"/>
              <w:bottom w:val="single" w:sz="4" w:space="0" w:color="auto"/>
              <w:right w:val="single" w:sz="4" w:space="0" w:color="auto"/>
            </w:tcBorders>
            <w:noWrap/>
            <w:textDirection w:val="lrTb"/>
            <w:vAlign w:val="center"/>
            <w:hideMark/>
          </w:tcPr>
          <w:p w:rsidR="00A6029E" w:rsidRPr="003727BA" w:rsidP="00D2704A">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32</w:t>
            </w:r>
            <w:r w:rsidRPr="003727BA" w:rsidR="00D2704A">
              <w:rPr>
                <w:rFonts w:ascii="Times New Roman" w:hAnsi="Times New Roman"/>
                <w:sz w:val="20"/>
                <w:szCs w:val="20"/>
                <w:lang w:eastAsia="sk-SK"/>
              </w:rPr>
              <w:t>4</w:t>
            </w:r>
            <w:r w:rsidRPr="003727BA">
              <w:rPr>
                <w:rFonts w:ascii="Times New Roman" w:hAnsi="Times New Roman"/>
                <w:sz w:val="20"/>
                <w:szCs w:val="20"/>
                <w:lang w:eastAsia="sk-SK"/>
              </w:rPr>
              <w:t>,9</w:t>
            </w:r>
            <w:r w:rsidRPr="003727BA" w:rsidR="00D2704A">
              <w:rPr>
                <w:rFonts w:ascii="Times New Roman" w:hAnsi="Times New Roman"/>
                <w:sz w:val="20"/>
                <w:szCs w:val="20"/>
                <w:lang w:eastAsia="sk-SK"/>
              </w:rPr>
              <w:t>7</w:t>
            </w:r>
          </w:p>
        </w:tc>
        <w:tc>
          <w:tcPr>
            <w:tcW w:w="992" w:type="dxa"/>
            <w:tcBorders>
              <w:top w:val="nil"/>
              <w:left w:val="nil"/>
              <w:bottom w:val="single" w:sz="4" w:space="0" w:color="auto"/>
              <w:right w:val="single" w:sz="4" w:space="0" w:color="auto"/>
            </w:tcBorders>
            <w:noWrap/>
            <w:textDirection w:val="lrTb"/>
            <w:vAlign w:val="center"/>
            <w:hideMark/>
          </w:tcPr>
          <w:p w:rsidR="00A6029E" w:rsidRPr="003727BA" w:rsidP="007F279E">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33</w:t>
            </w:r>
            <w:r w:rsidRPr="003727BA" w:rsidR="007F279E">
              <w:rPr>
                <w:rFonts w:ascii="Times New Roman" w:hAnsi="Times New Roman"/>
                <w:sz w:val="20"/>
                <w:szCs w:val="20"/>
                <w:lang w:eastAsia="sk-SK"/>
              </w:rPr>
              <w:t>0</w:t>
            </w:r>
            <w:r w:rsidRPr="003727BA">
              <w:rPr>
                <w:rFonts w:ascii="Times New Roman" w:hAnsi="Times New Roman"/>
                <w:sz w:val="20"/>
                <w:szCs w:val="20"/>
                <w:lang w:eastAsia="sk-SK"/>
              </w:rPr>
              <w:t>,1</w:t>
            </w:r>
            <w:r w:rsidRPr="003727BA" w:rsidR="007F279E">
              <w:rPr>
                <w:rFonts w:ascii="Times New Roman" w:hAnsi="Times New Roman"/>
                <w:sz w:val="20"/>
                <w:szCs w:val="20"/>
                <w:lang w:eastAsia="sk-SK"/>
              </w:rPr>
              <w:t>7</w:t>
            </w:r>
          </w:p>
        </w:tc>
        <w:tc>
          <w:tcPr>
            <w:tcW w:w="992" w:type="dxa"/>
            <w:tcBorders>
              <w:top w:val="nil"/>
              <w:left w:val="nil"/>
              <w:bottom w:val="single" w:sz="4" w:space="0" w:color="auto"/>
              <w:right w:val="single" w:sz="4" w:space="0" w:color="auto"/>
            </w:tcBorders>
            <w:noWrap/>
            <w:textDirection w:val="lrTb"/>
            <w:vAlign w:val="center"/>
            <w:hideMark/>
          </w:tcPr>
          <w:p w:rsidR="00A6029E" w:rsidRPr="003727BA" w:rsidP="0098282A">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33</w:t>
            </w:r>
            <w:r w:rsidRPr="003727BA" w:rsidR="0098282A">
              <w:rPr>
                <w:rFonts w:ascii="Times New Roman" w:hAnsi="Times New Roman"/>
                <w:sz w:val="20"/>
                <w:szCs w:val="20"/>
                <w:lang w:eastAsia="sk-SK"/>
              </w:rPr>
              <w:t>6</w:t>
            </w:r>
            <w:r w:rsidRPr="003727BA">
              <w:rPr>
                <w:rFonts w:ascii="Times New Roman" w:hAnsi="Times New Roman"/>
                <w:sz w:val="20"/>
                <w:szCs w:val="20"/>
                <w:lang w:eastAsia="sk-SK"/>
              </w:rPr>
              <w:t>,</w:t>
            </w:r>
            <w:r w:rsidRPr="003727BA" w:rsidR="0098282A">
              <w:rPr>
                <w:rFonts w:ascii="Times New Roman" w:hAnsi="Times New Roman"/>
                <w:sz w:val="20"/>
                <w:szCs w:val="20"/>
                <w:lang w:eastAsia="sk-SK"/>
              </w:rPr>
              <w:t>45</w:t>
            </w:r>
          </w:p>
        </w:tc>
      </w:tr>
      <w:tr>
        <w:tblPrEx>
          <w:tblW w:w="9229" w:type="dxa"/>
          <w:tblInd w:w="55" w:type="dxa"/>
          <w:tblCellMar>
            <w:left w:w="70" w:type="dxa"/>
            <w:right w:w="70" w:type="dxa"/>
          </w:tblCellMar>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center"/>
            <w:hideMark/>
          </w:tcPr>
          <w:p w:rsidR="00A6029E" w:rsidRPr="003727BA" w:rsidP="00BB3760">
            <w:pPr>
              <w:bidi w:val="0"/>
              <w:spacing w:after="0" w:line="240" w:lineRule="auto"/>
              <w:rPr>
                <w:rFonts w:ascii="Times New Roman" w:hAnsi="Times New Roman"/>
                <w:sz w:val="20"/>
                <w:szCs w:val="20"/>
                <w:lang w:eastAsia="sk-SK"/>
              </w:rPr>
            </w:pPr>
            <w:r w:rsidRPr="003727BA">
              <w:rPr>
                <w:rFonts w:ascii="Times New Roman" w:hAnsi="Times New Roman"/>
                <w:sz w:val="20"/>
                <w:szCs w:val="20"/>
                <w:lang w:eastAsia="sk-SK"/>
              </w:rPr>
              <w:t>- čiastočne 1 osobu</w:t>
            </w:r>
          </w:p>
        </w:tc>
        <w:tc>
          <w:tcPr>
            <w:tcW w:w="1276" w:type="dxa"/>
            <w:tcBorders>
              <w:top w:val="nil"/>
              <w:left w:val="nil"/>
              <w:bottom w:val="single" w:sz="4" w:space="0" w:color="auto"/>
              <w:right w:val="single" w:sz="4" w:space="0" w:color="auto"/>
            </w:tcBorders>
            <w:noWrap/>
            <w:textDirection w:val="lrTb"/>
            <w:vAlign w:val="center"/>
            <w:hideMark/>
          </w:tcPr>
          <w:p w:rsidR="00A6029E" w:rsidRPr="003727BA" w:rsidP="00BB3760">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194,79</w:t>
            </w:r>
          </w:p>
        </w:tc>
        <w:tc>
          <w:tcPr>
            <w:tcW w:w="1842" w:type="dxa"/>
            <w:tcBorders>
              <w:top w:val="nil"/>
              <w:left w:val="nil"/>
              <w:bottom w:val="single" w:sz="4" w:space="0" w:color="auto"/>
              <w:right w:val="single" w:sz="4" w:space="0" w:color="auto"/>
            </w:tcBorders>
            <w:noWrap/>
            <w:textDirection w:val="lrTb"/>
            <w:vAlign w:val="center"/>
            <w:hideMark/>
          </w:tcPr>
          <w:p w:rsidR="00A6029E" w:rsidRPr="003727BA" w:rsidP="00BB3760">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221,89</w:t>
            </w:r>
          </w:p>
        </w:tc>
        <w:tc>
          <w:tcPr>
            <w:tcW w:w="1134" w:type="dxa"/>
            <w:tcBorders>
              <w:top w:val="nil"/>
              <w:left w:val="nil"/>
              <w:bottom w:val="single" w:sz="4" w:space="0" w:color="auto"/>
              <w:right w:val="single" w:sz="4" w:space="0" w:color="auto"/>
            </w:tcBorders>
            <w:noWrap/>
            <w:textDirection w:val="lrTb"/>
            <w:vAlign w:val="center"/>
            <w:hideMark/>
          </w:tcPr>
          <w:p w:rsidR="00A6029E" w:rsidRPr="003727BA" w:rsidP="00BB3760">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221,89</w:t>
            </w:r>
          </w:p>
        </w:tc>
        <w:tc>
          <w:tcPr>
            <w:tcW w:w="993" w:type="dxa"/>
            <w:tcBorders>
              <w:top w:val="nil"/>
              <w:left w:val="nil"/>
              <w:bottom w:val="single" w:sz="4" w:space="0" w:color="auto"/>
              <w:right w:val="single" w:sz="4" w:space="0" w:color="auto"/>
            </w:tcBorders>
            <w:noWrap/>
            <w:textDirection w:val="lrTb"/>
            <w:vAlign w:val="center"/>
            <w:hideMark/>
          </w:tcPr>
          <w:p w:rsidR="00A6029E" w:rsidRPr="003727BA" w:rsidP="00D2704A">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22</w:t>
            </w:r>
            <w:r w:rsidRPr="003727BA" w:rsidR="00D2704A">
              <w:rPr>
                <w:rFonts w:ascii="Times New Roman" w:hAnsi="Times New Roman"/>
                <w:sz w:val="20"/>
                <w:szCs w:val="20"/>
                <w:lang w:eastAsia="sk-SK"/>
              </w:rPr>
              <w:t>4</w:t>
            </w:r>
            <w:r w:rsidRPr="003727BA">
              <w:rPr>
                <w:rFonts w:ascii="Times New Roman" w:hAnsi="Times New Roman"/>
                <w:sz w:val="20"/>
                <w:szCs w:val="20"/>
                <w:lang w:eastAsia="sk-SK"/>
              </w:rPr>
              <w:t>,</w:t>
            </w:r>
            <w:r w:rsidRPr="003727BA" w:rsidR="00D2704A">
              <w:rPr>
                <w:rFonts w:ascii="Times New Roman" w:hAnsi="Times New Roman"/>
                <w:sz w:val="20"/>
                <w:szCs w:val="20"/>
                <w:lang w:eastAsia="sk-SK"/>
              </w:rPr>
              <w:t>56</w:t>
            </w:r>
          </w:p>
        </w:tc>
        <w:tc>
          <w:tcPr>
            <w:tcW w:w="992" w:type="dxa"/>
            <w:tcBorders>
              <w:top w:val="nil"/>
              <w:left w:val="nil"/>
              <w:bottom w:val="single" w:sz="4" w:space="0" w:color="auto"/>
              <w:right w:val="single" w:sz="4" w:space="0" w:color="auto"/>
            </w:tcBorders>
            <w:noWrap/>
            <w:textDirection w:val="lrTb"/>
            <w:vAlign w:val="center"/>
            <w:hideMark/>
          </w:tcPr>
          <w:p w:rsidR="00A6029E" w:rsidRPr="003727BA" w:rsidP="0098282A">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22</w:t>
            </w:r>
            <w:r w:rsidRPr="003727BA" w:rsidR="007F279E">
              <w:rPr>
                <w:rFonts w:ascii="Times New Roman" w:hAnsi="Times New Roman"/>
                <w:sz w:val="20"/>
                <w:szCs w:val="20"/>
                <w:lang w:eastAsia="sk-SK"/>
              </w:rPr>
              <w:t>8</w:t>
            </w:r>
            <w:r w:rsidRPr="003727BA">
              <w:rPr>
                <w:rFonts w:ascii="Times New Roman" w:hAnsi="Times New Roman"/>
                <w:sz w:val="20"/>
                <w:szCs w:val="20"/>
                <w:lang w:eastAsia="sk-SK"/>
              </w:rPr>
              <w:t>,</w:t>
            </w:r>
            <w:r w:rsidRPr="003727BA" w:rsidR="0098282A">
              <w:rPr>
                <w:rFonts w:ascii="Times New Roman" w:hAnsi="Times New Roman"/>
                <w:sz w:val="20"/>
                <w:szCs w:val="20"/>
                <w:lang w:eastAsia="sk-SK"/>
              </w:rPr>
              <w:t>16</w:t>
            </w:r>
          </w:p>
        </w:tc>
        <w:tc>
          <w:tcPr>
            <w:tcW w:w="992" w:type="dxa"/>
            <w:tcBorders>
              <w:top w:val="nil"/>
              <w:left w:val="nil"/>
              <w:bottom w:val="single" w:sz="4" w:space="0" w:color="auto"/>
              <w:right w:val="single" w:sz="4" w:space="0" w:color="auto"/>
            </w:tcBorders>
            <w:noWrap/>
            <w:textDirection w:val="lrTb"/>
            <w:vAlign w:val="center"/>
            <w:hideMark/>
          </w:tcPr>
          <w:p w:rsidR="00A6029E" w:rsidRPr="003727BA" w:rsidP="00870038">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23</w:t>
            </w:r>
            <w:r w:rsidRPr="003727BA" w:rsidR="00870038">
              <w:rPr>
                <w:rFonts w:ascii="Times New Roman" w:hAnsi="Times New Roman"/>
                <w:sz w:val="20"/>
                <w:szCs w:val="20"/>
                <w:lang w:eastAsia="sk-SK"/>
              </w:rPr>
              <w:t>2</w:t>
            </w:r>
            <w:r w:rsidRPr="003727BA">
              <w:rPr>
                <w:rFonts w:ascii="Times New Roman" w:hAnsi="Times New Roman"/>
                <w:sz w:val="20"/>
                <w:szCs w:val="20"/>
                <w:lang w:eastAsia="sk-SK"/>
              </w:rPr>
              <w:t>,</w:t>
            </w:r>
            <w:r w:rsidRPr="003727BA" w:rsidR="00870038">
              <w:rPr>
                <w:rFonts w:ascii="Times New Roman" w:hAnsi="Times New Roman"/>
                <w:sz w:val="20"/>
                <w:szCs w:val="20"/>
                <w:lang w:eastAsia="sk-SK"/>
              </w:rPr>
              <w:t>50</w:t>
            </w:r>
          </w:p>
        </w:tc>
      </w:tr>
      <w:tr>
        <w:tblPrEx>
          <w:tblW w:w="9229" w:type="dxa"/>
          <w:tblInd w:w="55" w:type="dxa"/>
          <w:tblCellMar>
            <w:left w:w="70" w:type="dxa"/>
            <w:right w:w="70" w:type="dxa"/>
          </w:tblCellMar>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center"/>
            <w:hideMark/>
          </w:tcPr>
          <w:p w:rsidR="00A6029E" w:rsidRPr="003727BA" w:rsidP="00BB3760">
            <w:pPr>
              <w:bidi w:val="0"/>
              <w:spacing w:after="0" w:line="240" w:lineRule="auto"/>
              <w:rPr>
                <w:rFonts w:ascii="Times New Roman" w:hAnsi="Times New Roman"/>
                <w:sz w:val="20"/>
                <w:szCs w:val="20"/>
                <w:lang w:eastAsia="sk-SK"/>
              </w:rPr>
            </w:pPr>
            <w:r w:rsidRPr="003727BA">
              <w:rPr>
                <w:rFonts w:ascii="Times New Roman" w:hAnsi="Times New Roman"/>
                <w:sz w:val="20"/>
                <w:szCs w:val="20"/>
                <w:lang w:eastAsia="sk-SK"/>
              </w:rPr>
              <w:t>- čiastočne viac osôb</w:t>
            </w:r>
          </w:p>
        </w:tc>
        <w:tc>
          <w:tcPr>
            <w:tcW w:w="1276" w:type="dxa"/>
            <w:tcBorders>
              <w:top w:val="nil"/>
              <w:left w:val="nil"/>
              <w:bottom w:val="single" w:sz="4" w:space="0" w:color="auto"/>
              <w:right w:val="single" w:sz="4" w:space="0" w:color="auto"/>
            </w:tcBorders>
            <w:noWrap/>
            <w:textDirection w:val="lrTb"/>
            <w:vAlign w:val="center"/>
            <w:hideMark/>
          </w:tcPr>
          <w:p w:rsidR="00A6029E" w:rsidRPr="003727BA" w:rsidP="00BB3760">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275,65</w:t>
            </w:r>
          </w:p>
        </w:tc>
        <w:tc>
          <w:tcPr>
            <w:tcW w:w="1842" w:type="dxa"/>
            <w:tcBorders>
              <w:top w:val="nil"/>
              <w:left w:val="nil"/>
              <w:bottom w:val="single" w:sz="4" w:space="0" w:color="auto"/>
              <w:right w:val="single" w:sz="4" w:space="0" w:color="auto"/>
            </w:tcBorders>
            <w:noWrap/>
            <w:textDirection w:val="lrTb"/>
            <w:vAlign w:val="center"/>
            <w:hideMark/>
          </w:tcPr>
          <w:p w:rsidR="00A6029E" w:rsidRPr="003727BA" w:rsidP="00BB3760">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302,75</w:t>
            </w:r>
          </w:p>
        </w:tc>
        <w:tc>
          <w:tcPr>
            <w:tcW w:w="1134" w:type="dxa"/>
            <w:tcBorders>
              <w:top w:val="nil"/>
              <w:left w:val="nil"/>
              <w:bottom w:val="single" w:sz="4" w:space="0" w:color="auto"/>
              <w:right w:val="single" w:sz="4" w:space="0" w:color="auto"/>
            </w:tcBorders>
            <w:noWrap/>
            <w:textDirection w:val="lrTb"/>
            <w:vAlign w:val="center"/>
            <w:hideMark/>
          </w:tcPr>
          <w:p w:rsidR="00A6029E" w:rsidRPr="003727BA" w:rsidP="00BB3760">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302,75</w:t>
            </w:r>
          </w:p>
        </w:tc>
        <w:tc>
          <w:tcPr>
            <w:tcW w:w="993" w:type="dxa"/>
            <w:tcBorders>
              <w:top w:val="nil"/>
              <w:left w:val="nil"/>
              <w:bottom w:val="single" w:sz="4" w:space="0" w:color="auto"/>
              <w:right w:val="single" w:sz="4" w:space="0" w:color="auto"/>
            </w:tcBorders>
            <w:noWrap/>
            <w:textDirection w:val="lrTb"/>
            <w:vAlign w:val="center"/>
            <w:hideMark/>
          </w:tcPr>
          <w:p w:rsidR="00A6029E" w:rsidRPr="003727BA" w:rsidP="00D2704A">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30</w:t>
            </w:r>
            <w:r w:rsidRPr="003727BA" w:rsidR="00D2704A">
              <w:rPr>
                <w:rFonts w:ascii="Times New Roman" w:hAnsi="Times New Roman"/>
                <w:sz w:val="20"/>
                <w:szCs w:val="20"/>
                <w:lang w:eastAsia="sk-SK"/>
              </w:rPr>
              <w:t>6</w:t>
            </w:r>
            <w:r w:rsidRPr="003727BA">
              <w:rPr>
                <w:rFonts w:ascii="Times New Roman" w:hAnsi="Times New Roman"/>
                <w:sz w:val="20"/>
                <w:szCs w:val="20"/>
                <w:lang w:eastAsia="sk-SK"/>
              </w:rPr>
              <w:t>,3</w:t>
            </w:r>
            <w:r w:rsidRPr="003727BA" w:rsidR="00D2704A">
              <w:rPr>
                <w:rFonts w:ascii="Times New Roman" w:hAnsi="Times New Roman"/>
                <w:sz w:val="20"/>
                <w:szCs w:val="20"/>
                <w:lang w:eastAsia="sk-SK"/>
              </w:rPr>
              <w:t>9</w:t>
            </w:r>
          </w:p>
        </w:tc>
        <w:tc>
          <w:tcPr>
            <w:tcW w:w="992" w:type="dxa"/>
            <w:tcBorders>
              <w:top w:val="nil"/>
              <w:left w:val="nil"/>
              <w:bottom w:val="single" w:sz="4" w:space="0" w:color="auto"/>
              <w:right w:val="single" w:sz="4" w:space="0" w:color="auto"/>
            </w:tcBorders>
            <w:noWrap/>
            <w:textDirection w:val="lrTb"/>
            <w:vAlign w:val="center"/>
            <w:hideMark/>
          </w:tcPr>
          <w:p w:rsidR="00A6029E" w:rsidRPr="003727BA" w:rsidP="0098282A">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31</w:t>
            </w:r>
            <w:r w:rsidRPr="003727BA" w:rsidR="0098282A">
              <w:rPr>
                <w:rFonts w:ascii="Times New Roman" w:hAnsi="Times New Roman"/>
                <w:sz w:val="20"/>
                <w:szCs w:val="20"/>
                <w:lang w:eastAsia="sk-SK"/>
              </w:rPr>
              <w:t>1</w:t>
            </w:r>
            <w:r w:rsidRPr="003727BA">
              <w:rPr>
                <w:rFonts w:ascii="Times New Roman" w:hAnsi="Times New Roman"/>
                <w:sz w:val="20"/>
                <w:szCs w:val="20"/>
                <w:lang w:eastAsia="sk-SK"/>
              </w:rPr>
              <w:t>,</w:t>
            </w:r>
            <w:r w:rsidRPr="003727BA" w:rsidR="0098282A">
              <w:rPr>
                <w:rFonts w:ascii="Times New Roman" w:hAnsi="Times New Roman"/>
                <w:sz w:val="20"/>
                <w:szCs w:val="20"/>
                <w:lang w:eastAsia="sk-SK"/>
              </w:rPr>
              <w:t>30</w:t>
            </w:r>
          </w:p>
        </w:tc>
        <w:tc>
          <w:tcPr>
            <w:tcW w:w="992" w:type="dxa"/>
            <w:tcBorders>
              <w:top w:val="nil"/>
              <w:left w:val="nil"/>
              <w:bottom w:val="single" w:sz="4" w:space="0" w:color="auto"/>
              <w:right w:val="single" w:sz="4" w:space="0" w:color="auto"/>
            </w:tcBorders>
            <w:noWrap/>
            <w:textDirection w:val="lrTb"/>
            <w:vAlign w:val="center"/>
            <w:hideMark/>
          </w:tcPr>
          <w:p w:rsidR="00A6029E" w:rsidRPr="003727BA" w:rsidP="00870038">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31</w:t>
            </w:r>
            <w:r w:rsidRPr="003727BA" w:rsidR="00870038">
              <w:rPr>
                <w:rFonts w:ascii="Times New Roman" w:hAnsi="Times New Roman"/>
                <w:sz w:val="20"/>
                <w:szCs w:val="20"/>
                <w:lang w:eastAsia="sk-SK"/>
              </w:rPr>
              <w:t>7</w:t>
            </w:r>
            <w:r w:rsidRPr="003727BA">
              <w:rPr>
                <w:rFonts w:ascii="Times New Roman" w:hAnsi="Times New Roman"/>
                <w:sz w:val="20"/>
                <w:szCs w:val="20"/>
                <w:lang w:eastAsia="sk-SK"/>
              </w:rPr>
              <w:t>,</w:t>
            </w:r>
            <w:r w:rsidRPr="003727BA" w:rsidR="00870038">
              <w:rPr>
                <w:rFonts w:ascii="Times New Roman" w:hAnsi="Times New Roman"/>
                <w:sz w:val="20"/>
                <w:szCs w:val="20"/>
                <w:lang w:eastAsia="sk-SK"/>
              </w:rPr>
              <w:t>22</w:t>
            </w:r>
          </w:p>
        </w:tc>
      </w:tr>
      <w:tr>
        <w:tblPrEx>
          <w:tblW w:w="9229" w:type="dxa"/>
          <w:tblInd w:w="55" w:type="dxa"/>
          <w:tblCellMar>
            <w:left w:w="70" w:type="dxa"/>
            <w:right w:w="70" w:type="dxa"/>
          </w:tblCellMar>
          <w:tblLook w:val="04A0"/>
        </w:tblPrEx>
        <w:trPr>
          <w:trHeight w:val="300"/>
        </w:trPr>
        <w:tc>
          <w:tcPr>
            <w:tcW w:w="2000" w:type="dxa"/>
            <w:tcBorders>
              <w:top w:val="nil"/>
              <w:left w:val="single" w:sz="4" w:space="0" w:color="auto"/>
              <w:bottom w:val="single" w:sz="4" w:space="0" w:color="auto"/>
              <w:right w:val="single" w:sz="4" w:space="0" w:color="auto"/>
            </w:tcBorders>
            <w:noWrap/>
            <w:textDirection w:val="lrTb"/>
            <w:vAlign w:val="center"/>
            <w:hideMark/>
          </w:tcPr>
          <w:p w:rsidR="00A6029E" w:rsidRPr="003727BA" w:rsidP="00BB3760">
            <w:pPr>
              <w:bidi w:val="0"/>
              <w:spacing w:after="0" w:line="240" w:lineRule="auto"/>
              <w:rPr>
                <w:rFonts w:ascii="Times New Roman" w:hAnsi="Times New Roman"/>
                <w:sz w:val="20"/>
                <w:szCs w:val="20"/>
                <w:lang w:eastAsia="sk-SK"/>
              </w:rPr>
            </w:pPr>
            <w:r w:rsidRPr="003727BA">
              <w:rPr>
                <w:rFonts w:ascii="Times New Roman" w:hAnsi="Times New Roman"/>
                <w:sz w:val="20"/>
                <w:szCs w:val="20"/>
                <w:lang w:eastAsia="sk-SK"/>
              </w:rPr>
              <w:t>- kombinovane viac osôb</w:t>
            </w:r>
          </w:p>
        </w:tc>
        <w:tc>
          <w:tcPr>
            <w:tcW w:w="1276" w:type="dxa"/>
            <w:tcBorders>
              <w:top w:val="nil"/>
              <w:left w:val="nil"/>
              <w:bottom w:val="single" w:sz="4" w:space="0" w:color="auto"/>
              <w:right w:val="single" w:sz="4" w:space="0" w:color="auto"/>
            </w:tcBorders>
            <w:noWrap/>
            <w:textDirection w:val="lrTb"/>
            <w:vAlign w:val="center"/>
            <w:hideMark/>
          </w:tcPr>
          <w:p w:rsidR="00A6029E" w:rsidRPr="003727BA" w:rsidP="00BB3760">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286,66</w:t>
            </w:r>
          </w:p>
        </w:tc>
        <w:tc>
          <w:tcPr>
            <w:tcW w:w="1842" w:type="dxa"/>
            <w:tcBorders>
              <w:top w:val="nil"/>
              <w:left w:val="nil"/>
              <w:bottom w:val="single" w:sz="4" w:space="0" w:color="auto"/>
              <w:right w:val="single" w:sz="4" w:space="0" w:color="auto"/>
            </w:tcBorders>
            <w:noWrap/>
            <w:textDirection w:val="lrTb"/>
            <w:vAlign w:val="center"/>
            <w:hideMark/>
          </w:tcPr>
          <w:p w:rsidR="00A6029E" w:rsidRPr="003727BA" w:rsidP="00BB3760">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313,76</w:t>
            </w:r>
          </w:p>
        </w:tc>
        <w:tc>
          <w:tcPr>
            <w:tcW w:w="1134" w:type="dxa"/>
            <w:tcBorders>
              <w:top w:val="nil"/>
              <w:left w:val="nil"/>
              <w:bottom w:val="single" w:sz="4" w:space="0" w:color="auto"/>
              <w:right w:val="single" w:sz="4" w:space="0" w:color="auto"/>
            </w:tcBorders>
            <w:noWrap/>
            <w:textDirection w:val="lrTb"/>
            <w:vAlign w:val="center"/>
            <w:hideMark/>
          </w:tcPr>
          <w:p w:rsidR="00A6029E" w:rsidRPr="003727BA" w:rsidP="00BB3760">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313,76</w:t>
            </w:r>
          </w:p>
        </w:tc>
        <w:tc>
          <w:tcPr>
            <w:tcW w:w="993" w:type="dxa"/>
            <w:tcBorders>
              <w:top w:val="nil"/>
              <w:left w:val="nil"/>
              <w:bottom w:val="single" w:sz="4" w:space="0" w:color="auto"/>
              <w:right w:val="single" w:sz="4" w:space="0" w:color="auto"/>
            </w:tcBorders>
            <w:noWrap/>
            <w:textDirection w:val="lrTb"/>
            <w:vAlign w:val="center"/>
            <w:hideMark/>
          </w:tcPr>
          <w:p w:rsidR="00A6029E" w:rsidRPr="003727BA" w:rsidP="007F279E">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31</w:t>
            </w:r>
            <w:r w:rsidRPr="003727BA" w:rsidR="007F279E">
              <w:rPr>
                <w:rFonts w:ascii="Times New Roman" w:hAnsi="Times New Roman"/>
                <w:sz w:val="20"/>
                <w:szCs w:val="20"/>
                <w:lang w:eastAsia="sk-SK"/>
              </w:rPr>
              <w:t>7</w:t>
            </w:r>
            <w:r w:rsidRPr="003727BA">
              <w:rPr>
                <w:rFonts w:ascii="Times New Roman" w:hAnsi="Times New Roman"/>
                <w:sz w:val="20"/>
                <w:szCs w:val="20"/>
                <w:lang w:eastAsia="sk-SK"/>
              </w:rPr>
              <w:t>,</w:t>
            </w:r>
            <w:r w:rsidRPr="003727BA" w:rsidR="007F279E">
              <w:rPr>
                <w:rFonts w:ascii="Times New Roman" w:hAnsi="Times New Roman"/>
                <w:sz w:val="20"/>
                <w:szCs w:val="20"/>
                <w:lang w:eastAsia="sk-SK"/>
              </w:rPr>
              <w:t>53</w:t>
            </w:r>
          </w:p>
        </w:tc>
        <w:tc>
          <w:tcPr>
            <w:tcW w:w="992" w:type="dxa"/>
            <w:tcBorders>
              <w:top w:val="nil"/>
              <w:left w:val="nil"/>
              <w:bottom w:val="single" w:sz="4" w:space="0" w:color="auto"/>
              <w:right w:val="single" w:sz="4" w:space="0" w:color="auto"/>
            </w:tcBorders>
            <w:noWrap/>
            <w:textDirection w:val="lrTb"/>
            <w:vAlign w:val="center"/>
            <w:hideMark/>
          </w:tcPr>
          <w:p w:rsidR="00A6029E" w:rsidRPr="003727BA" w:rsidP="0098282A">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32</w:t>
            </w:r>
            <w:r w:rsidRPr="003727BA" w:rsidR="0098282A">
              <w:rPr>
                <w:rFonts w:ascii="Times New Roman" w:hAnsi="Times New Roman"/>
                <w:sz w:val="20"/>
                <w:szCs w:val="20"/>
                <w:lang w:eastAsia="sk-SK"/>
              </w:rPr>
              <w:t>2</w:t>
            </w:r>
            <w:r w:rsidRPr="003727BA">
              <w:rPr>
                <w:rFonts w:ascii="Times New Roman" w:hAnsi="Times New Roman"/>
                <w:sz w:val="20"/>
                <w:szCs w:val="20"/>
                <w:lang w:eastAsia="sk-SK"/>
              </w:rPr>
              <w:t>,</w:t>
            </w:r>
            <w:r w:rsidRPr="003727BA" w:rsidR="0098282A">
              <w:rPr>
                <w:rFonts w:ascii="Times New Roman" w:hAnsi="Times New Roman"/>
                <w:sz w:val="20"/>
                <w:szCs w:val="20"/>
                <w:lang w:eastAsia="sk-SK"/>
              </w:rPr>
              <w:t>62</w:t>
            </w:r>
          </w:p>
        </w:tc>
        <w:tc>
          <w:tcPr>
            <w:tcW w:w="992" w:type="dxa"/>
            <w:tcBorders>
              <w:top w:val="nil"/>
              <w:left w:val="nil"/>
              <w:bottom w:val="single" w:sz="4" w:space="0" w:color="auto"/>
              <w:right w:val="single" w:sz="4" w:space="0" w:color="auto"/>
            </w:tcBorders>
            <w:noWrap/>
            <w:textDirection w:val="lrTb"/>
            <w:vAlign w:val="center"/>
            <w:hideMark/>
          </w:tcPr>
          <w:p w:rsidR="00A6029E" w:rsidRPr="003727BA" w:rsidP="00870038">
            <w:pPr>
              <w:bidi w:val="0"/>
              <w:spacing w:after="0" w:line="240" w:lineRule="auto"/>
              <w:jc w:val="right"/>
              <w:rPr>
                <w:rFonts w:ascii="Times New Roman" w:hAnsi="Times New Roman"/>
                <w:sz w:val="20"/>
                <w:szCs w:val="20"/>
                <w:lang w:eastAsia="sk-SK"/>
              </w:rPr>
            </w:pPr>
            <w:r w:rsidRPr="003727BA">
              <w:rPr>
                <w:rFonts w:ascii="Times New Roman" w:hAnsi="Times New Roman"/>
                <w:sz w:val="20"/>
                <w:szCs w:val="20"/>
                <w:lang w:eastAsia="sk-SK"/>
              </w:rPr>
              <w:t>3</w:t>
            </w:r>
            <w:r w:rsidRPr="003727BA" w:rsidR="00870038">
              <w:rPr>
                <w:rFonts w:ascii="Times New Roman" w:hAnsi="Times New Roman"/>
                <w:sz w:val="20"/>
                <w:szCs w:val="20"/>
                <w:lang w:eastAsia="sk-SK"/>
              </w:rPr>
              <w:t>28</w:t>
            </w:r>
            <w:r w:rsidRPr="003727BA">
              <w:rPr>
                <w:rFonts w:ascii="Times New Roman" w:hAnsi="Times New Roman"/>
                <w:sz w:val="20"/>
                <w:szCs w:val="20"/>
                <w:lang w:eastAsia="sk-SK"/>
              </w:rPr>
              <w:t>,</w:t>
            </w:r>
            <w:r w:rsidRPr="003727BA" w:rsidR="00870038">
              <w:rPr>
                <w:rFonts w:ascii="Times New Roman" w:hAnsi="Times New Roman"/>
                <w:sz w:val="20"/>
                <w:szCs w:val="20"/>
                <w:lang w:eastAsia="sk-SK"/>
              </w:rPr>
              <w:t>75</w:t>
            </w:r>
          </w:p>
        </w:tc>
      </w:tr>
    </w:tbl>
    <w:p w:rsidR="00A6029E" w:rsidRPr="003727BA" w:rsidP="00A6029E">
      <w:pPr>
        <w:bidi w:val="0"/>
        <w:spacing w:after="0" w:line="240" w:lineRule="auto"/>
        <w:rPr>
          <w:rFonts w:ascii="Times New Roman" w:hAnsi="Times New Roman"/>
          <w:sz w:val="20"/>
          <w:szCs w:val="20"/>
          <w:lang w:eastAsia="sk-SK"/>
        </w:rPr>
      </w:pPr>
    </w:p>
    <w:p w:rsidR="00A6029E" w:rsidRPr="003727BA" w:rsidP="00A6029E">
      <w:pPr>
        <w:bidi w:val="0"/>
        <w:spacing w:after="0" w:line="240" w:lineRule="auto"/>
        <w:jc w:val="right"/>
        <w:rPr>
          <w:rFonts w:ascii="Times New Roman" w:hAnsi="Times New Roman"/>
          <w:sz w:val="20"/>
          <w:szCs w:val="20"/>
          <w:lang w:eastAsia="sk-SK"/>
        </w:rPr>
      </w:pPr>
    </w:p>
    <w:p w:rsidR="00A6029E" w:rsidRPr="003727BA" w:rsidP="00A6029E">
      <w:pPr>
        <w:bidi w:val="0"/>
        <w:spacing w:after="0" w:line="240" w:lineRule="auto"/>
        <w:jc w:val="right"/>
        <w:rPr>
          <w:rFonts w:ascii="Times New Roman" w:hAnsi="Times New Roman"/>
          <w:sz w:val="20"/>
          <w:szCs w:val="20"/>
          <w:lang w:eastAsia="sk-SK"/>
        </w:rPr>
      </w:pPr>
    </w:p>
    <w:p w:rsidR="00A6029E" w:rsidRPr="003727BA" w:rsidP="00A6029E">
      <w:pPr>
        <w:bidi w:val="0"/>
        <w:spacing w:after="0" w:line="240" w:lineRule="auto"/>
        <w:rPr>
          <w:rFonts w:ascii="Times New Roman" w:hAnsi="Times New Roman"/>
          <w:b/>
          <w:sz w:val="24"/>
          <w:szCs w:val="24"/>
          <w:lang w:eastAsia="sk-SK"/>
        </w:rPr>
      </w:pPr>
    </w:p>
    <w:tbl>
      <w:tblPr>
        <w:tblStyle w:val="TableNormal"/>
        <w:tblpPr w:leftFromText="141" w:rightFromText="141" w:vertAnchor="text" w:horzAnchor="margin" w:tblpY="-58"/>
        <w:tblW w:w="5011" w:type="pct"/>
        <w:tblCellMar>
          <w:left w:w="0" w:type="dxa"/>
          <w:right w:w="0" w:type="dxa"/>
        </w:tblCellMar>
        <w:tblLook w:val="04A0"/>
      </w:tblPr>
      <w:tblGrid>
        <w:gridCol w:w="3508"/>
        <w:gridCol w:w="1420"/>
        <w:gridCol w:w="1417"/>
        <w:gridCol w:w="1383"/>
        <w:gridCol w:w="1580"/>
      </w:tblGrid>
      <w:tr>
        <w:tblPrEx>
          <w:tblW w:w="5011" w:type="pct"/>
          <w:tblCellMar>
            <w:left w:w="0" w:type="dxa"/>
            <w:right w:w="0" w:type="dxa"/>
          </w:tblCellMar>
          <w:tblLook w:val="04A0"/>
        </w:tblPrEx>
        <w:trPr>
          <w:trHeight w:val="694"/>
        </w:trPr>
        <w:tc>
          <w:tcPr>
            <w:tcW w:w="500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lrTb"/>
            <w:vAlign w:val="top"/>
          </w:tcPr>
          <w:p w:rsidR="00A6029E" w:rsidRPr="003727BA" w:rsidP="00BB3760">
            <w:pPr>
              <w:bidi w:val="0"/>
              <w:rPr>
                <w:rFonts w:ascii="Times New Roman" w:hAnsi="Times New Roman"/>
                <w:b/>
                <w:bCs/>
              </w:rPr>
            </w:pPr>
            <w:r w:rsidRPr="003727BA">
              <w:rPr>
                <w:rFonts w:ascii="Times New Roman" w:hAnsi="Times New Roman"/>
                <w:b/>
                <w:bCs/>
              </w:rPr>
              <w:t>Zvýšenie zákonom ustanovenej výšky peňažného príspevku na opatrovanie pre opatrovateľov v produktívnom veku</w:t>
            </w:r>
          </w:p>
        </w:tc>
      </w:tr>
      <w:tr>
        <w:tblPrEx>
          <w:tblW w:w="5011" w:type="pct"/>
          <w:tblCellMar>
            <w:left w:w="0" w:type="dxa"/>
            <w:right w:w="0" w:type="dxa"/>
          </w:tblCellMar>
          <w:tblLook w:val="04A0"/>
        </w:tblPrEx>
        <w:tc>
          <w:tcPr>
            <w:tcW w:w="1884" w:type="pct"/>
            <w:tcBorders>
              <w:top w:val="nil"/>
              <w:left w:val="single" w:sz="8" w:space="0" w:color="auto"/>
              <w:bottom w:val="single" w:sz="8" w:space="0" w:color="auto"/>
              <w:right w:val="single" w:sz="8" w:space="0" w:color="auto"/>
            </w:tcBorders>
            <w:tcMar>
              <w:top w:w="0" w:type="dxa"/>
              <w:left w:w="108" w:type="dxa"/>
              <w:bottom w:w="0" w:type="dxa"/>
              <w:right w:w="108" w:type="dxa"/>
            </w:tcMar>
            <w:textDirection w:val="lrTb"/>
            <w:vAlign w:val="top"/>
          </w:tcPr>
          <w:p w:rsidR="00A6029E" w:rsidRPr="003727BA" w:rsidP="00BB3760">
            <w:pPr>
              <w:bidi w:val="0"/>
              <w:rPr>
                <w:rFonts w:ascii="Times New Roman" w:hAnsi="Times New Roman"/>
                <w:sz w:val="20"/>
                <w:szCs w:val="20"/>
              </w:rPr>
            </w:pPr>
          </w:p>
        </w:tc>
        <w:tc>
          <w:tcPr>
            <w:tcW w:w="763"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extDirection w:val="lrTb"/>
            <w:vAlign w:val="top"/>
            <w:hideMark/>
          </w:tcPr>
          <w:p w:rsidR="00A6029E" w:rsidRPr="003727BA" w:rsidP="00BB3760">
            <w:pPr>
              <w:bidi w:val="0"/>
              <w:jc w:val="center"/>
              <w:rPr>
                <w:rFonts w:ascii="Times New Roman" w:hAnsi="Times New Roman"/>
              </w:rPr>
            </w:pPr>
            <w:r w:rsidRPr="003727BA">
              <w:rPr>
                <w:rFonts w:ascii="Times New Roman" w:hAnsi="Times New Roman"/>
              </w:rPr>
              <w:t>V roku 2016</w:t>
            </w:r>
          </w:p>
        </w:tc>
        <w:tc>
          <w:tcPr>
            <w:tcW w:w="761"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extDirection w:val="lrTb"/>
            <w:vAlign w:val="top"/>
            <w:hideMark/>
          </w:tcPr>
          <w:p w:rsidR="00A6029E" w:rsidRPr="003727BA" w:rsidP="00BB3760">
            <w:pPr>
              <w:bidi w:val="0"/>
              <w:jc w:val="center"/>
              <w:rPr>
                <w:rFonts w:ascii="Times New Roman" w:hAnsi="Times New Roman"/>
              </w:rPr>
            </w:pPr>
            <w:r w:rsidRPr="003727BA">
              <w:rPr>
                <w:rFonts w:ascii="Times New Roman" w:hAnsi="Times New Roman"/>
              </w:rPr>
              <w:t>V roku 2017</w:t>
            </w:r>
          </w:p>
        </w:tc>
        <w:tc>
          <w:tcPr>
            <w:tcW w:w="743"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extDirection w:val="lrTb"/>
            <w:vAlign w:val="top"/>
            <w:hideMark/>
          </w:tcPr>
          <w:p w:rsidR="00A6029E" w:rsidRPr="003727BA" w:rsidP="00BB3760">
            <w:pPr>
              <w:bidi w:val="0"/>
              <w:jc w:val="center"/>
              <w:rPr>
                <w:rFonts w:ascii="Times New Roman" w:hAnsi="Times New Roman"/>
              </w:rPr>
            </w:pPr>
            <w:r w:rsidRPr="003727BA">
              <w:rPr>
                <w:rFonts w:ascii="Times New Roman" w:hAnsi="Times New Roman"/>
              </w:rPr>
              <w:t>V roku 2018</w:t>
            </w:r>
          </w:p>
        </w:tc>
        <w:tc>
          <w:tcPr>
            <w:tcW w:w="849" w:type="pct"/>
            <w:tcBorders>
              <w:top w:val="nil"/>
              <w:left w:val="nil"/>
              <w:bottom w:val="single" w:sz="8" w:space="0" w:color="auto"/>
              <w:right w:val="single" w:sz="8" w:space="0" w:color="auto"/>
            </w:tcBorders>
            <w:shd w:val="clear" w:color="auto" w:fill="D9D9D9"/>
            <w:textDirection w:val="lrTb"/>
            <w:vAlign w:val="top"/>
          </w:tcPr>
          <w:p w:rsidR="00A6029E" w:rsidRPr="003727BA" w:rsidP="00BB3760">
            <w:pPr>
              <w:bidi w:val="0"/>
              <w:jc w:val="center"/>
              <w:rPr>
                <w:rFonts w:ascii="Times New Roman" w:hAnsi="Times New Roman"/>
              </w:rPr>
            </w:pPr>
            <w:r w:rsidRPr="003727BA">
              <w:rPr>
                <w:rFonts w:ascii="Times New Roman" w:hAnsi="Times New Roman"/>
              </w:rPr>
              <w:t>V roku 2019</w:t>
            </w:r>
          </w:p>
        </w:tc>
      </w:tr>
      <w:tr>
        <w:tblPrEx>
          <w:tblW w:w="5011" w:type="pct"/>
          <w:tblCellMar>
            <w:left w:w="0" w:type="dxa"/>
            <w:right w:w="0" w:type="dxa"/>
          </w:tblCellMar>
          <w:tblLook w:val="04A0"/>
        </w:tblPrEx>
        <w:trPr>
          <w:trHeight w:val="756"/>
        </w:trPr>
        <w:tc>
          <w:tcPr>
            <w:tcW w:w="1884"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extDirection w:val="lrTb"/>
            <w:vAlign w:val="top"/>
            <w:hideMark/>
          </w:tcPr>
          <w:p w:rsidR="00A6029E" w:rsidRPr="003727BA" w:rsidP="00BB3760">
            <w:pPr>
              <w:bidi w:val="0"/>
              <w:rPr>
                <w:rFonts w:ascii="Times New Roman" w:hAnsi="Times New Roman"/>
                <w:sz w:val="20"/>
                <w:szCs w:val="20"/>
              </w:rPr>
            </w:pPr>
            <w:r w:rsidRPr="003727BA">
              <w:rPr>
                <w:rFonts w:ascii="Times New Roman" w:hAnsi="Times New Roman"/>
                <w:sz w:val="20"/>
                <w:szCs w:val="20"/>
              </w:rPr>
              <w:t xml:space="preserve">Predpokladaný počet poberateľov, ktorých sa dotkne zvýšenia výšky PP     na opatrovanie </w:t>
            </w:r>
          </w:p>
        </w:tc>
        <w:tc>
          <w:tcPr>
            <w:tcW w:w="763" w:type="pct"/>
            <w:tcBorders>
              <w:top w:val="nil"/>
              <w:left w:val="nil"/>
              <w:bottom w:val="single" w:sz="8" w:space="0" w:color="auto"/>
              <w:right w:val="single" w:sz="8" w:space="0" w:color="auto"/>
            </w:tcBorders>
            <w:tcMar>
              <w:top w:w="0" w:type="dxa"/>
              <w:left w:w="108" w:type="dxa"/>
              <w:bottom w:w="0" w:type="dxa"/>
              <w:right w:w="108" w:type="dxa"/>
            </w:tcMar>
            <w:textDirection w:val="lrTb"/>
            <w:vAlign w:val="bottom"/>
          </w:tcPr>
          <w:p w:rsidR="00A6029E" w:rsidRPr="003727BA" w:rsidP="00BB3760">
            <w:pPr>
              <w:bidi w:val="0"/>
              <w:jc w:val="center"/>
              <w:rPr>
                <w:rFonts w:ascii="Times New Roman" w:hAnsi="Times New Roman"/>
              </w:rPr>
            </w:pPr>
            <w:r w:rsidRPr="003727BA">
              <w:rPr>
                <w:rFonts w:ascii="Times New Roman" w:hAnsi="Times New Roman"/>
              </w:rPr>
              <w:t>0</w:t>
            </w:r>
          </w:p>
        </w:tc>
        <w:tc>
          <w:tcPr>
            <w:tcW w:w="761" w:type="pct"/>
            <w:tcBorders>
              <w:top w:val="nil"/>
              <w:left w:val="nil"/>
              <w:bottom w:val="single" w:sz="8" w:space="0" w:color="auto"/>
              <w:right w:val="single" w:sz="8" w:space="0" w:color="auto"/>
            </w:tcBorders>
            <w:tcMar>
              <w:top w:w="0" w:type="dxa"/>
              <w:left w:w="108" w:type="dxa"/>
              <w:bottom w:w="0" w:type="dxa"/>
              <w:right w:w="108" w:type="dxa"/>
            </w:tcMar>
            <w:textDirection w:val="lrTb"/>
            <w:vAlign w:val="bottom"/>
          </w:tcPr>
          <w:p w:rsidR="00A6029E" w:rsidRPr="003727BA" w:rsidP="00BB3760">
            <w:pPr>
              <w:bidi w:val="0"/>
              <w:jc w:val="center"/>
              <w:rPr>
                <w:rFonts w:ascii="Times New Roman" w:hAnsi="Times New Roman"/>
              </w:rPr>
            </w:pPr>
            <w:r w:rsidRPr="003727BA">
              <w:rPr>
                <w:rFonts w:ascii="Times New Roman" w:hAnsi="Times New Roman"/>
              </w:rPr>
              <w:t>33 450</w:t>
            </w:r>
          </w:p>
        </w:tc>
        <w:tc>
          <w:tcPr>
            <w:tcW w:w="743" w:type="pct"/>
            <w:tcBorders>
              <w:top w:val="nil"/>
              <w:left w:val="nil"/>
              <w:bottom w:val="single" w:sz="8" w:space="0" w:color="auto"/>
              <w:right w:val="single" w:sz="8" w:space="0" w:color="auto"/>
            </w:tcBorders>
            <w:tcMar>
              <w:top w:w="0" w:type="dxa"/>
              <w:left w:w="108" w:type="dxa"/>
              <w:bottom w:w="0" w:type="dxa"/>
              <w:right w:w="108" w:type="dxa"/>
            </w:tcMar>
            <w:textDirection w:val="lrTb"/>
            <w:vAlign w:val="bottom"/>
          </w:tcPr>
          <w:p w:rsidR="00A6029E" w:rsidRPr="003727BA" w:rsidP="00BB3760">
            <w:pPr>
              <w:bidi w:val="0"/>
              <w:jc w:val="center"/>
              <w:rPr>
                <w:rFonts w:ascii="Times New Roman" w:hAnsi="Times New Roman"/>
              </w:rPr>
            </w:pPr>
            <w:r w:rsidRPr="003727BA">
              <w:rPr>
                <w:rFonts w:ascii="Times New Roman" w:hAnsi="Times New Roman"/>
              </w:rPr>
              <w:t>33 680</w:t>
            </w:r>
          </w:p>
        </w:tc>
        <w:tc>
          <w:tcPr>
            <w:tcW w:w="849" w:type="pct"/>
            <w:tcBorders>
              <w:top w:val="nil"/>
              <w:left w:val="nil"/>
              <w:bottom w:val="single" w:sz="8" w:space="0" w:color="auto"/>
              <w:right w:val="single" w:sz="8" w:space="0" w:color="auto"/>
            </w:tcBorders>
            <w:textDirection w:val="lrTb"/>
            <w:vAlign w:val="bottom"/>
          </w:tcPr>
          <w:p w:rsidR="00A6029E" w:rsidRPr="003727BA" w:rsidP="00BB3760">
            <w:pPr>
              <w:bidi w:val="0"/>
              <w:jc w:val="center"/>
              <w:rPr>
                <w:rFonts w:ascii="Times New Roman" w:hAnsi="Times New Roman"/>
              </w:rPr>
            </w:pPr>
            <w:r w:rsidRPr="003727BA">
              <w:rPr>
                <w:rFonts w:ascii="Times New Roman" w:hAnsi="Times New Roman"/>
              </w:rPr>
              <w:t>33 954</w:t>
            </w:r>
          </w:p>
        </w:tc>
      </w:tr>
    </w:tbl>
    <w:p w:rsidR="00A6029E" w:rsidRPr="003727BA" w:rsidP="00A6029E">
      <w:pPr>
        <w:bidi w:val="0"/>
        <w:spacing w:after="0" w:line="240" w:lineRule="auto"/>
        <w:rPr>
          <w:rFonts w:ascii="Times New Roman" w:hAnsi="Times New Roman"/>
          <w:b/>
          <w:sz w:val="24"/>
          <w:szCs w:val="24"/>
          <w:lang w:eastAsia="sk-SK"/>
        </w:rPr>
      </w:pPr>
    </w:p>
    <w:p w:rsidR="00A6029E" w:rsidRPr="003727BA" w:rsidP="00A6029E">
      <w:pPr>
        <w:bidi w:val="0"/>
        <w:spacing w:after="0" w:line="240" w:lineRule="auto"/>
        <w:rPr>
          <w:rFonts w:ascii="Times New Roman" w:hAnsi="Times New Roman"/>
          <w:b/>
          <w:sz w:val="24"/>
          <w:szCs w:val="24"/>
          <w:lang w:eastAsia="sk-SK"/>
        </w:rPr>
      </w:pPr>
    </w:p>
    <w:tbl>
      <w:tblPr>
        <w:tblStyle w:val="TableNormal"/>
        <w:tblpPr w:leftFromText="141" w:rightFromText="141" w:vertAnchor="text" w:horzAnchor="margin" w:tblpY="77"/>
        <w:tblW w:w="5011" w:type="pct"/>
        <w:tblCellMar>
          <w:left w:w="0" w:type="dxa"/>
          <w:right w:w="0" w:type="dxa"/>
        </w:tblCellMar>
        <w:tblLook w:val="04A0"/>
      </w:tblPr>
      <w:tblGrid>
        <w:gridCol w:w="3508"/>
        <w:gridCol w:w="1420"/>
        <w:gridCol w:w="1417"/>
        <w:gridCol w:w="1383"/>
        <w:gridCol w:w="1580"/>
      </w:tblGrid>
      <w:tr>
        <w:tblPrEx>
          <w:tblW w:w="5011" w:type="pct"/>
          <w:tblCellMar>
            <w:left w:w="0" w:type="dxa"/>
            <w:right w:w="0" w:type="dxa"/>
          </w:tblCellMar>
          <w:tblLook w:val="04A0"/>
        </w:tblPrEx>
        <w:tc>
          <w:tcPr>
            <w:tcW w:w="500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lrTb"/>
            <w:vAlign w:val="top"/>
          </w:tcPr>
          <w:p w:rsidR="00A6029E" w:rsidRPr="003727BA" w:rsidP="00BB3760">
            <w:pPr>
              <w:bidi w:val="0"/>
              <w:rPr>
                <w:rFonts w:ascii="Times New Roman" w:hAnsi="Times New Roman"/>
                <w:b/>
                <w:bCs/>
                <w:sz w:val="20"/>
                <w:szCs w:val="20"/>
              </w:rPr>
            </w:pPr>
            <w:r w:rsidRPr="003727BA">
              <w:rPr>
                <w:rFonts w:ascii="Times New Roman" w:hAnsi="Times New Roman"/>
                <w:b/>
                <w:bCs/>
                <w:sz w:val="20"/>
                <w:szCs w:val="20"/>
              </w:rPr>
              <w:t xml:space="preserve"> Zvýšenie ochrany príjmu FO s ŤZP  z 1,4 na 1,7 násobok SŽM na účely peňažného príspevku na opatrovanie</w:t>
            </w:r>
          </w:p>
        </w:tc>
      </w:tr>
      <w:tr>
        <w:tblPrEx>
          <w:tblW w:w="5011" w:type="pct"/>
          <w:tblCellMar>
            <w:left w:w="0" w:type="dxa"/>
            <w:right w:w="0" w:type="dxa"/>
          </w:tblCellMar>
          <w:tblLook w:val="04A0"/>
        </w:tblPrEx>
        <w:trPr>
          <w:trHeight w:val="617"/>
        </w:trPr>
        <w:tc>
          <w:tcPr>
            <w:tcW w:w="1884" w:type="pct"/>
            <w:tcBorders>
              <w:top w:val="nil"/>
              <w:left w:val="single" w:sz="8" w:space="0" w:color="auto"/>
              <w:bottom w:val="single" w:sz="8" w:space="0" w:color="auto"/>
              <w:right w:val="single" w:sz="8" w:space="0" w:color="auto"/>
            </w:tcBorders>
            <w:tcMar>
              <w:top w:w="0" w:type="dxa"/>
              <w:left w:w="108" w:type="dxa"/>
              <w:bottom w:w="0" w:type="dxa"/>
              <w:right w:w="108" w:type="dxa"/>
            </w:tcMar>
            <w:textDirection w:val="lrTb"/>
            <w:vAlign w:val="top"/>
          </w:tcPr>
          <w:p w:rsidR="00A6029E" w:rsidRPr="003727BA" w:rsidP="00BB3760">
            <w:pPr>
              <w:bidi w:val="0"/>
              <w:rPr>
                <w:sz w:val="20"/>
                <w:szCs w:val="20"/>
              </w:rPr>
            </w:pPr>
          </w:p>
        </w:tc>
        <w:tc>
          <w:tcPr>
            <w:tcW w:w="763"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extDirection w:val="lrTb"/>
            <w:vAlign w:val="top"/>
            <w:hideMark/>
          </w:tcPr>
          <w:p w:rsidR="00A6029E" w:rsidRPr="003727BA" w:rsidP="00BB3760">
            <w:pPr>
              <w:bidi w:val="0"/>
              <w:jc w:val="center"/>
              <w:rPr>
                <w:rFonts w:ascii="Times New Roman" w:hAnsi="Times New Roman"/>
              </w:rPr>
            </w:pPr>
            <w:r w:rsidRPr="003727BA">
              <w:rPr>
                <w:rFonts w:ascii="Times New Roman" w:hAnsi="Times New Roman"/>
              </w:rPr>
              <w:t>V roku 2016</w:t>
            </w:r>
          </w:p>
        </w:tc>
        <w:tc>
          <w:tcPr>
            <w:tcW w:w="761"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extDirection w:val="lrTb"/>
            <w:vAlign w:val="top"/>
            <w:hideMark/>
          </w:tcPr>
          <w:p w:rsidR="00A6029E" w:rsidRPr="003727BA" w:rsidP="00BB3760">
            <w:pPr>
              <w:bidi w:val="0"/>
              <w:jc w:val="center"/>
              <w:rPr>
                <w:rFonts w:ascii="Times New Roman" w:hAnsi="Times New Roman"/>
              </w:rPr>
            </w:pPr>
            <w:r w:rsidRPr="003727BA">
              <w:rPr>
                <w:rFonts w:ascii="Times New Roman" w:hAnsi="Times New Roman"/>
              </w:rPr>
              <w:t>V roku 2017</w:t>
            </w:r>
          </w:p>
        </w:tc>
        <w:tc>
          <w:tcPr>
            <w:tcW w:w="743"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extDirection w:val="lrTb"/>
            <w:vAlign w:val="top"/>
            <w:hideMark/>
          </w:tcPr>
          <w:p w:rsidR="00A6029E" w:rsidRPr="003727BA" w:rsidP="00BB3760">
            <w:pPr>
              <w:bidi w:val="0"/>
              <w:jc w:val="center"/>
              <w:rPr>
                <w:rFonts w:ascii="Times New Roman" w:hAnsi="Times New Roman"/>
              </w:rPr>
            </w:pPr>
            <w:r w:rsidRPr="003727BA">
              <w:rPr>
                <w:rFonts w:ascii="Times New Roman" w:hAnsi="Times New Roman"/>
              </w:rPr>
              <w:t>V roku 2018</w:t>
            </w:r>
          </w:p>
        </w:tc>
        <w:tc>
          <w:tcPr>
            <w:tcW w:w="849" w:type="pct"/>
            <w:tcBorders>
              <w:top w:val="nil"/>
              <w:left w:val="nil"/>
              <w:bottom w:val="single" w:sz="8" w:space="0" w:color="auto"/>
              <w:right w:val="single" w:sz="8" w:space="0" w:color="auto"/>
            </w:tcBorders>
            <w:shd w:val="clear" w:color="auto" w:fill="D9D9D9"/>
            <w:textDirection w:val="lrTb"/>
            <w:vAlign w:val="top"/>
          </w:tcPr>
          <w:p w:rsidR="00A6029E" w:rsidRPr="003727BA" w:rsidP="00BB3760">
            <w:pPr>
              <w:bidi w:val="0"/>
              <w:jc w:val="center"/>
              <w:rPr>
                <w:rFonts w:ascii="Times New Roman" w:hAnsi="Times New Roman"/>
              </w:rPr>
            </w:pPr>
            <w:r w:rsidRPr="003727BA">
              <w:rPr>
                <w:rFonts w:ascii="Times New Roman" w:hAnsi="Times New Roman"/>
              </w:rPr>
              <w:t>V roku 2019</w:t>
            </w:r>
          </w:p>
        </w:tc>
      </w:tr>
      <w:tr>
        <w:tblPrEx>
          <w:tblW w:w="5011" w:type="pct"/>
          <w:tblCellMar>
            <w:left w:w="0" w:type="dxa"/>
            <w:right w:w="0" w:type="dxa"/>
          </w:tblCellMar>
          <w:tblLook w:val="04A0"/>
        </w:tblPrEx>
        <w:trPr>
          <w:trHeight w:val="684"/>
        </w:trPr>
        <w:tc>
          <w:tcPr>
            <w:tcW w:w="1884"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extDirection w:val="lrTb"/>
            <w:vAlign w:val="top"/>
            <w:hideMark/>
          </w:tcPr>
          <w:p w:rsidR="00A6029E" w:rsidRPr="003727BA" w:rsidP="00BB3760">
            <w:pPr>
              <w:bidi w:val="0"/>
              <w:rPr>
                <w:rFonts w:ascii="Times New Roman" w:hAnsi="Times New Roman"/>
                <w:sz w:val="20"/>
                <w:szCs w:val="20"/>
              </w:rPr>
            </w:pPr>
            <w:r w:rsidRPr="003727BA">
              <w:rPr>
                <w:rFonts w:ascii="Times New Roman" w:hAnsi="Times New Roman"/>
                <w:sz w:val="20"/>
                <w:szCs w:val="20"/>
              </w:rPr>
              <w:t>Predpokladaný počet poberateľov, ktorých sa zmena ochrany príjmov dotkne</w:t>
            </w:r>
          </w:p>
        </w:tc>
        <w:tc>
          <w:tcPr>
            <w:tcW w:w="763" w:type="pct"/>
            <w:tcBorders>
              <w:top w:val="nil"/>
              <w:left w:val="nil"/>
              <w:bottom w:val="single" w:sz="8" w:space="0" w:color="auto"/>
              <w:right w:val="single" w:sz="8" w:space="0" w:color="auto"/>
            </w:tcBorders>
            <w:tcMar>
              <w:top w:w="0" w:type="dxa"/>
              <w:left w:w="108" w:type="dxa"/>
              <w:bottom w:w="0" w:type="dxa"/>
              <w:right w:w="108" w:type="dxa"/>
            </w:tcMar>
            <w:textDirection w:val="lrTb"/>
            <w:vAlign w:val="bottom"/>
          </w:tcPr>
          <w:p w:rsidR="00A6029E" w:rsidRPr="003727BA" w:rsidP="00BB3760">
            <w:pPr>
              <w:bidi w:val="0"/>
              <w:jc w:val="center"/>
              <w:rPr>
                <w:rFonts w:ascii="Times New Roman" w:hAnsi="Times New Roman"/>
              </w:rPr>
            </w:pPr>
            <w:r w:rsidRPr="003727BA">
              <w:rPr>
                <w:rFonts w:ascii="Times New Roman" w:hAnsi="Times New Roman"/>
              </w:rPr>
              <w:t>0</w:t>
            </w:r>
          </w:p>
        </w:tc>
        <w:tc>
          <w:tcPr>
            <w:tcW w:w="761" w:type="pct"/>
            <w:tcBorders>
              <w:top w:val="nil"/>
              <w:left w:val="nil"/>
              <w:bottom w:val="single" w:sz="8" w:space="0" w:color="auto"/>
              <w:right w:val="single" w:sz="8" w:space="0" w:color="auto"/>
            </w:tcBorders>
            <w:tcMar>
              <w:top w:w="0" w:type="dxa"/>
              <w:left w:w="108" w:type="dxa"/>
              <w:bottom w:w="0" w:type="dxa"/>
              <w:right w:w="108" w:type="dxa"/>
            </w:tcMar>
            <w:textDirection w:val="lrTb"/>
            <w:vAlign w:val="bottom"/>
          </w:tcPr>
          <w:p w:rsidR="00A6029E" w:rsidRPr="003727BA" w:rsidP="00BB3760">
            <w:pPr>
              <w:bidi w:val="0"/>
              <w:jc w:val="center"/>
              <w:rPr>
                <w:rFonts w:ascii="Times New Roman" w:hAnsi="Times New Roman"/>
              </w:rPr>
            </w:pPr>
            <w:r w:rsidRPr="003727BA">
              <w:rPr>
                <w:rFonts w:ascii="Times New Roman" w:hAnsi="Times New Roman"/>
              </w:rPr>
              <w:t>17 598</w:t>
            </w:r>
          </w:p>
        </w:tc>
        <w:tc>
          <w:tcPr>
            <w:tcW w:w="743" w:type="pct"/>
            <w:tcBorders>
              <w:top w:val="nil"/>
              <w:left w:val="nil"/>
              <w:bottom w:val="single" w:sz="8" w:space="0" w:color="auto"/>
              <w:right w:val="single" w:sz="8" w:space="0" w:color="auto"/>
            </w:tcBorders>
            <w:tcMar>
              <w:top w:w="0" w:type="dxa"/>
              <w:left w:w="108" w:type="dxa"/>
              <w:bottom w:w="0" w:type="dxa"/>
              <w:right w:w="108" w:type="dxa"/>
            </w:tcMar>
            <w:textDirection w:val="lrTb"/>
            <w:vAlign w:val="bottom"/>
          </w:tcPr>
          <w:p w:rsidR="00A6029E" w:rsidRPr="003727BA" w:rsidP="00BB3760">
            <w:pPr>
              <w:bidi w:val="0"/>
              <w:jc w:val="center"/>
              <w:rPr>
                <w:rFonts w:ascii="Times New Roman" w:hAnsi="Times New Roman"/>
              </w:rPr>
            </w:pPr>
            <w:r w:rsidRPr="003727BA">
              <w:rPr>
                <w:rFonts w:ascii="Times New Roman" w:hAnsi="Times New Roman"/>
              </w:rPr>
              <w:t>17 928</w:t>
            </w:r>
          </w:p>
        </w:tc>
        <w:tc>
          <w:tcPr>
            <w:tcW w:w="849" w:type="pct"/>
            <w:tcBorders>
              <w:top w:val="nil"/>
              <w:left w:val="nil"/>
              <w:bottom w:val="single" w:sz="8" w:space="0" w:color="auto"/>
              <w:right w:val="single" w:sz="8" w:space="0" w:color="auto"/>
            </w:tcBorders>
            <w:textDirection w:val="lrTb"/>
            <w:vAlign w:val="bottom"/>
          </w:tcPr>
          <w:p w:rsidR="00A6029E" w:rsidRPr="003727BA" w:rsidP="00BB3760">
            <w:pPr>
              <w:bidi w:val="0"/>
              <w:jc w:val="center"/>
              <w:rPr>
                <w:rFonts w:ascii="Times New Roman" w:hAnsi="Times New Roman"/>
              </w:rPr>
            </w:pPr>
            <w:r w:rsidRPr="003727BA">
              <w:rPr>
                <w:rFonts w:ascii="Times New Roman" w:hAnsi="Times New Roman"/>
              </w:rPr>
              <w:t>18 560</w:t>
            </w:r>
          </w:p>
        </w:tc>
      </w:tr>
    </w:tbl>
    <w:p w:rsidR="00A6029E" w:rsidRPr="003727BA" w:rsidP="00A6029E">
      <w:pPr>
        <w:bidi w:val="0"/>
        <w:spacing w:after="0" w:line="240" w:lineRule="auto"/>
        <w:rPr>
          <w:rFonts w:ascii="Times New Roman" w:hAnsi="Times New Roman"/>
          <w:b/>
          <w:sz w:val="24"/>
          <w:szCs w:val="24"/>
          <w:lang w:eastAsia="sk-SK"/>
        </w:rPr>
      </w:pPr>
    </w:p>
    <w:p w:rsidR="00BA3CE6" w:rsidRPr="003727BA" w:rsidP="00A6029E">
      <w:pPr>
        <w:bidi w:val="0"/>
        <w:spacing w:after="0" w:line="240" w:lineRule="auto"/>
        <w:rPr>
          <w:rFonts w:ascii="Times New Roman" w:hAnsi="Times New Roman"/>
          <w:b/>
          <w:sz w:val="24"/>
          <w:szCs w:val="24"/>
          <w:lang w:eastAsia="sk-SK"/>
        </w:rPr>
      </w:pPr>
    </w:p>
    <w:p w:rsidR="00BA3CE6" w:rsidRPr="003727BA" w:rsidP="00A6029E">
      <w:pPr>
        <w:bidi w:val="0"/>
        <w:spacing w:after="0" w:line="240" w:lineRule="auto"/>
        <w:rPr>
          <w:rFonts w:ascii="Times New Roman" w:hAnsi="Times New Roman"/>
          <w:b/>
          <w:sz w:val="24"/>
          <w:szCs w:val="24"/>
          <w:lang w:eastAsia="sk-SK"/>
        </w:rPr>
      </w:pPr>
    </w:p>
    <w:p w:rsidR="00B72013" w:rsidRPr="003727BA" w:rsidP="00A6029E">
      <w:pPr>
        <w:bidi w:val="0"/>
        <w:spacing w:after="0" w:line="240" w:lineRule="auto"/>
        <w:rPr>
          <w:rFonts w:ascii="Times New Roman" w:hAnsi="Times New Roman"/>
          <w:b/>
          <w:sz w:val="24"/>
          <w:szCs w:val="24"/>
          <w:lang w:eastAsia="sk-SK"/>
        </w:rPr>
      </w:pPr>
    </w:p>
    <w:p w:rsidR="00B72013" w:rsidRPr="003727BA" w:rsidP="00A6029E">
      <w:pPr>
        <w:bidi w:val="0"/>
        <w:spacing w:after="0" w:line="240" w:lineRule="auto"/>
        <w:rPr>
          <w:rFonts w:ascii="Times New Roman" w:hAnsi="Times New Roman"/>
          <w:b/>
          <w:sz w:val="24"/>
          <w:szCs w:val="24"/>
          <w:lang w:eastAsia="sk-SK"/>
        </w:rPr>
      </w:pPr>
    </w:p>
    <w:p w:rsidR="00BA3CE6" w:rsidRPr="003727BA" w:rsidP="00A6029E">
      <w:pPr>
        <w:bidi w:val="0"/>
        <w:spacing w:after="0" w:line="240" w:lineRule="auto"/>
        <w:rPr>
          <w:rFonts w:ascii="Times New Roman" w:hAnsi="Times New Roman"/>
          <w:b/>
          <w:sz w:val="24"/>
          <w:szCs w:val="24"/>
          <w:lang w:eastAsia="sk-SK"/>
        </w:rPr>
      </w:pPr>
    </w:p>
    <w:tbl>
      <w:tblPr>
        <w:tblStyle w:val="TableNormal"/>
        <w:tblpPr w:leftFromText="141" w:rightFromText="141" w:vertAnchor="text" w:horzAnchor="margin" w:tblpY="77"/>
        <w:tblW w:w="501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tblPr>
      <w:tblGrid>
        <w:gridCol w:w="3653"/>
        <w:gridCol w:w="1275"/>
        <w:gridCol w:w="1417"/>
        <w:gridCol w:w="1383"/>
        <w:gridCol w:w="1580"/>
      </w:tblGrid>
      <w:tr>
        <w:tblPrEx>
          <w:tblW w:w="501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tblPrEx>
        <w:tc>
          <w:tcPr>
            <w:tcW w:w="5000" w:type="pct"/>
            <w:gridSpan w:val="5"/>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extDirection w:val="lrTb"/>
            <w:vAlign w:val="top"/>
          </w:tcPr>
          <w:p w:rsidR="00976DBF" w:rsidRPr="003727BA" w:rsidP="008726BB">
            <w:pPr>
              <w:bidi w:val="0"/>
              <w:rPr>
                <w:rFonts w:ascii="Times New Roman" w:hAnsi="Times New Roman"/>
                <w:b/>
                <w:bCs/>
                <w:sz w:val="20"/>
                <w:szCs w:val="20"/>
              </w:rPr>
            </w:pPr>
            <w:r w:rsidRPr="003727BA" w:rsidR="00C75A7E">
              <w:rPr>
                <w:rFonts w:ascii="Times New Roman" w:hAnsi="Times New Roman"/>
                <w:b/>
                <w:bCs/>
                <w:sz w:val="20"/>
                <w:szCs w:val="20"/>
              </w:rPr>
              <w:t>Peňažné príspevky na kompenzáciu odkázanosti na individuálnu prepravu osobným motorovým vozidlom pre F</w:t>
            </w:r>
            <w:r w:rsidRPr="003727BA" w:rsidR="008726BB">
              <w:rPr>
                <w:rFonts w:ascii="Times New Roman" w:hAnsi="Times New Roman"/>
                <w:b/>
                <w:bCs/>
                <w:sz w:val="20"/>
                <w:szCs w:val="20"/>
              </w:rPr>
              <w:t>O s ŤZP s cystickou fibrózou</w:t>
            </w:r>
            <w:r w:rsidRPr="003727BA" w:rsidR="00C75A7E">
              <w:rPr>
                <w:rFonts w:ascii="Times New Roman" w:hAnsi="Times New Roman"/>
                <w:b/>
                <w:bCs/>
                <w:sz w:val="20"/>
                <w:szCs w:val="20"/>
              </w:rPr>
              <w:t xml:space="preserve"> </w:t>
            </w:r>
            <w:r w:rsidRPr="003727BA">
              <w:rPr>
                <w:rFonts w:ascii="Times New Roman" w:hAnsi="Times New Roman"/>
                <w:b/>
                <w:bCs/>
                <w:sz w:val="20"/>
                <w:szCs w:val="20"/>
              </w:rPr>
              <w:t xml:space="preserve"> </w:t>
            </w:r>
          </w:p>
        </w:tc>
      </w:tr>
      <w:tr>
        <w:tblPrEx>
          <w:tblW w:w="5011" w:type="pct"/>
          <w:tblCellMar>
            <w:left w:w="0" w:type="dxa"/>
            <w:right w:w="0" w:type="dxa"/>
          </w:tblCellMar>
          <w:tblLook w:val="04A0"/>
        </w:tblPrEx>
        <w:trPr>
          <w:trHeight w:val="617"/>
        </w:trPr>
        <w:tc>
          <w:tcPr>
            <w:tcW w:w="1962" w:type="pct"/>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textDirection w:val="lrTb"/>
            <w:vAlign w:val="bottom"/>
          </w:tcPr>
          <w:p w:rsidR="00976DBF" w:rsidRPr="003727BA" w:rsidP="0011237B">
            <w:pPr>
              <w:bidi w:val="0"/>
              <w:rPr>
                <w:sz w:val="20"/>
                <w:szCs w:val="20"/>
              </w:rPr>
            </w:pPr>
            <w:r w:rsidRPr="003727BA" w:rsidR="00B07418">
              <w:rPr>
                <w:rFonts w:ascii="Times New Roman" w:hAnsi="Times New Roman"/>
                <w:sz w:val="20"/>
                <w:szCs w:val="20"/>
              </w:rPr>
              <w:t>Predpokladaný počet poberateľov</w:t>
            </w:r>
            <w:r w:rsidRPr="003727BA" w:rsidR="00A849D1">
              <w:rPr>
                <w:rFonts w:ascii="Times New Roman" w:hAnsi="Times New Roman"/>
                <w:sz w:val="20"/>
                <w:szCs w:val="20"/>
              </w:rPr>
              <w:t xml:space="preserve"> PP</w:t>
            </w:r>
            <w:r w:rsidRPr="003727BA" w:rsidR="00D955C5">
              <w:rPr>
                <w:rFonts w:ascii="Times New Roman" w:hAnsi="Times New Roman"/>
                <w:sz w:val="20"/>
                <w:szCs w:val="20"/>
              </w:rPr>
              <w:t xml:space="preserve"> na kompenzáciu odkázanosti na individuálnu prepravu osobným motorovým vozidlom</w:t>
            </w:r>
            <w:r w:rsidRPr="003727BA" w:rsidR="00B07418">
              <w:rPr>
                <w:rFonts w:ascii="Times New Roman" w:hAnsi="Times New Roman"/>
                <w:sz w:val="20"/>
                <w:szCs w:val="20"/>
              </w:rPr>
              <w:t xml:space="preserve"> </w:t>
            </w:r>
            <w:r w:rsidRPr="003727BA" w:rsidR="008B44E9">
              <w:rPr>
                <w:rFonts w:ascii="Times New Roman" w:hAnsi="Times New Roman"/>
                <w:sz w:val="20"/>
                <w:szCs w:val="20"/>
              </w:rPr>
              <w:t>(OMV)</w:t>
            </w:r>
          </w:p>
        </w:tc>
        <w:tc>
          <w:tcPr>
            <w:tcW w:w="685" w:type="pct"/>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textDirection w:val="lrTb"/>
            <w:vAlign w:val="top"/>
            <w:hideMark/>
          </w:tcPr>
          <w:p w:rsidR="00976DBF" w:rsidRPr="003727BA" w:rsidP="00895487">
            <w:pPr>
              <w:bidi w:val="0"/>
              <w:jc w:val="center"/>
              <w:rPr>
                <w:rFonts w:ascii="Times New Roman" w:hAnsi="Times New Roman"/>
              </w:rPr>
            </w:pPr>
            <w:r w:rsidRPr="003727BA">
              <w:rPr>
                <w:rFonts w:ascii="Times New Roman" w:hAnsi="Times New Roman"/>
              </w:rPr>
              <w:t>V roku 2016</w:t>
            </w:r>
          </w:p>
        </w:tc>
        <w:tc>
          <w:tcPr>
            <w:tcW w:w="761" w:type="pct"/>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textDirection w:val="lrTb"/>
            <w:vAlign w:val="top"/>
            <w:hideMark/>
          </w:tcPr>
          <w:p w:rsidR="00976DBF" w:rsidRPr="003727BA" w:rsidP="00895487">
            <w:pPr>
              <w:bidi w:val="0"/>
              <w:jc w:val="center"/>
              <w:rPr>
                <w:rFonts w:ascii="Times New Roman" w:hAnsi="Times New Roman"/>
              </w:rPr>
            </w:pPr>
            <w:r w:rsidRPr="003727BA">
              <w:rPr>
                <w:rFonts w:ascii="Times New Roman" w:hAnsi="Times New Roman"/>
              </w:rPr>
              <w:t>V roku 2017</w:t>
            </w:r>
          </w:p>
        </w:tc>
        <w:tc>
          <w:tcPr>
            <w:tcW w:w="743" w:type="pct"/>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textDirection w:val="lrTb"/>
            <w:vAlign w:val="top"/>
            <w:hideMark/>
          </w:tcPr>
          <w:p w:rsidR="00976DBF" w:rsidRPr="003727BA" w:rsidP="00895487">
            <w:pPr>
              <w:bidi w:val="0"/>
              <w:jc w:val="center"/>
              <w:rPr>
                <w:rFonts w:ascii="Times New Roman" w:hAnsi="Times New Roman"/>
              </w:rPr>
            </w:pPr>
            <w:r w:rsidRPr="003727BA">
              <w:rPr>
                <w:rFonts w:ascii="Times New Roman" w:hAnsi="Times New Roman"/>
              </w:rPr>
              <w:t>V roku 2018</w:t>
            </w:r>
          </w:p>
        </w:tc>
        <w:tc>
          <w:tcPr>
            <w:tcW w:w="849" w:type="pct"/>
            <w:tcBorders>
              <w:top w:val="single" w:sz="12" w:space="0" w:color="auto"/>
              <w:left w:val="single" w:sz="12" w:space="0" w:color="auto"/>
              <w:bottom w:val="single" w:sz="12" w:space="0" w:color="auto"/>
              <w:right w:val="single" w:sz="12" w:space="0" w:color="auto"/>
            </w:tcBorders>
            <w:shd w:val="clear" w:color="auto" w:fill="D9D9D9"/>
            <w:textDirection w:val="lrTb"/>
            <w:vAlign w:val="top"/>
          </w:tcPr>
          <w:p w:rsidR="00976DBF" w:rsidRPr="003727BA" w:rsidP="00895487">
            <w:pPr>
              <w:bidi w:val="0"/>
              <w:jc w:val="center"/>
              <w:rPr>
                <w:rFonts w:ascii="Times New Roman" w:hAnsi="Times New Roman"/>
              </w:rPr>
            </w:pPr>
            <w:r w:rsidRPr="003727BA">
              <w:rPr>
                <w:rFonts w:ascii="Times New Roman" w:hAnsi="Times New Roman"/>
              </w:rPr>
              <w:t>V roku 2019</w:t>
            </w:r>
          </w:p>
        </w:tc>
      </w:tr>
      <w:tr>
        <w:tblPrEx>
          <w:tblW w:w="5011" w:type="pct"/>
          <w:tblCellMar>
            <w:left w:w="0" w:type="dxa"/>
            <w:right w:w="0" w:type="dxa"/>
          </w:tblCellMar>
          <w:tblLook w:val="04A0"/>
        </w:tblPrEx>
        <w:trPr>
          <w:trHeight w:val="484"/>
        </w:trPr>
        <w:tc>
          <w:tcPr>
            <w:tcW w:w="1962" w:type="pct"/>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textDirection w:val="lrTb"/>
            <w:vAlign w:val="bottom"/>
            <w:hideMark/>
          </w:tcPr>
          <w:p w:rsidR="00F322E7" w:rsidRPr="003727BA" w:rsidP="0011237B">
            <w:pPr>
              <w:bidi w:val="0"/>
              <w:rPr>
                <w:rFonts w:ascii="Times New Roman" w:hAnsi="Times New Roman"/>
                <w:sz w:val="20"/>
                <w:szCs w:val="20"/>
              </w:rPr>
            </w:pPr>
            <w:r w:rsidRPr="003727BA">
              <w:rPr>
                <w:rFonts w:ascii="Times New Roman" w:hAnsi="Times New Roman"/>
                <w:sz w:val="20"/>
                <w:szCs w:val="20"/>
              </w:rPr>
              <w:t>PP na kúpu OMV</w:t>
            </w:r>
          </w:p>
        </w:tc>
        <w:tc>
          <w:tcPr>
            <w:tcW w:w="685"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extDirection w:val="lrTb"/>
            <w:vAlign w:val="bottom"/>
          </w:tcPr>
          <w:p w:rsidR="00F322E7" w:rsidRPr="003727BA" w:rsidP="00B079F4">
            <w:pPr>
              <w:bidi w:val="0"/>
              <w:spacing w:after="0" w:line="240" w:lineRule="auto"/>
              <w:jc w:val="center"/>
              <w:rPr>
                <w:rFonts w:ascii="Times New Roman" w:hAnsi="Times New Roman"/>
              </w:rPr>
            </w:pPr>
            <w:r w:rsidRPr="003727BA" w:rsidR="00A62A03">
              <w:rPr>
                <w:rFonts w:ascii="Times New Roman" w:hAnsi="Times New Roman"/>
              </w:rPr>
              <w:t>0</w:t>
            </w:r>
          </w:p>
        </w:tc>
        <w:tc>
          <w:tcPr>
            <w:tcW w:w="761"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extDirection w:val="lrTb"/>
            <w:vAlign w:val="bottom"/>
          </w:tcPr>
          <w:p w:rsidR="00F322E7" w:rsidRPr="003727BA" w:rsidP="00F322E7">
            <w:pPr>
              <w:bidi w:val="0"/>
              <w:spacing w:after="0" w:line="240" w:lineRule="auto"/>
              <w:jc w:val="center"/>
              <w:rPr>
                <w:rFonts w:ascii="Times New Roman" w:hAnsi="Times New Roman"/>
                <w:sz w:val="20"/>
                <w:szCs w:val="20"/>
                <w:lang w:eastAsia="sk-SK"/>
              </w:rPr>
            </w:pPr>
            <w:r w:rsidRPr="003727BA">
              <w:rPr>
                <w:rFonts w:ascii="Times New Roman" w:hAnsi="Times New Roman"/>
                <w:sz w:val="20"/>
                <w:szCs w:val="20"/>
                <w:lang w:eastAsia="sk-SK"/>
              </w:rPr>
              <w:t>93</w:t>
            </w:r>
          </w:p>
        </w:tc>
        <w:tc>
          <w:tcPr>
            <w:tcW w:w="743"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extDirection w:val="lrTb"/>
            <w:vAlign w:val="bottom"/>
          </w:tcPr>
          <w:p w:rsidR="00F322E7" w:rsidRPr="003727BA" w:rsidP="00F322E7">
            <w:pPr>
              <w:bidi w:val="0"/>
              <w:spacing w:after="0" w:line="240" w:lineRule="auto"/>
              <w:jc w:val="center"/>
              <w:rPr>
                <w:rFonts w:ascii="Times New Roman" w:hAnsi="Times New Roman"/>
                <w:sz w:val="20"/>
                <w:szCs w:val="20"/>
                <w:lang w:eastAsia="sk-SK"/>
              </w:rPr>
            </w:pPr>
            <w:r w:rsidRPr="003727BA">
              <w:rPr>
                <w:rFonts w:ascii="Times New Roman" w:hAnsi="Times New Roman"/>
                <w:sz w:val="20"/>
                <w:szCs w:val="20"/>
                <w:lang w:eastAsia="sk-SK"/>
              </w:rPr>
              <w:t>96</w:t>
            </w:r>
          </w:p>
        </w:tc>
        <w:tc>
          <w:tcPr>
            <w:tcW w:w="849" w:type="pct"/>
            <w:tcBorders>
              <w:top w:val="single" w:sz="12" w:space="0" w:color="auto"/>
              <w:left w:val="single" w:sz="12" w:space="0" w:color="auto"/>
              <w:bottom w:val="single" w:sz="12" w:space="0" w:color="auto"/>
              <w:right w:val="single" w:sz="12" w:space="0" w:color="auto"/>
            </w:tcBorders>
            <w:textDirection w:val="lrTb"/>
            <w:vAlign w:val="bottom"/>
          </w:tcPr>
          <w:p w:rsidR="00F322E7" w:rsidRPr="003727BA" w:rsidP="00F322E7">
            <w:pPr>
              <w:bidi w:val="0"/>
              <w:spacing w:after="0" w:line="240" w:lineRule="auto"/>
              <w:jc w:val="center"/>
              <w:rPr>
                <w:rFonts w:ascii="Times New Roman" w:hAnsi="Times New Roman"/>
                <w:sz w:val="20"/>
                <w:szCs w:val="20"/>
                <w:lang w:eastAsia="sk-SK"/>
              </w:rPr>
            </w:pPr>
            <w:r w:rsidRPr="003727BA">
              <w:rPr>
                <w:rFonts w:ascii="Times New Roman" w:hAnsi="Times New Roman"/>
                <w:sz w:val="20"/>
                <w:szCs w:val="20"/>
                <w:lang w:eastAsia="sk-SK"/>
              </w:rPr>
              <w:t>98</w:t>
            </w:r>
          </w:p>
        </w:tc>
      </w:tr>
      <w:tr>
        <w:tblPrEx>
          <w:tblW w:w="5011" w:type="pct"/>
          <w:tblCellMar>
            <w:left w:w="0" w:type="dxa"/>
            <w:right w:w="0" w:type="dxa"/>
          </w:tblCellMar>
          <w:tblLook w:val="04A0"/>
        </w:tblPrEx>
        <w:trPr>
          <w:trHeight w:val="837"/>
        </w:trPr>
        <w:tc>
          <w:tcPr>
            <w:tcW w:w="1962" w:type="pct"/>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textDirection w:val="lrTb"/>
            <w:vAlign w:val="bottom"/>
          </w:tcPr>
          <w:p w:rsidR="00F322E7" w:rsidRPr="003727BA" w:rsidP="00400DEB">
            <w:pPr>
              <w:bidi w:val="0"/>
              <w:rPr>
                <w:rFonts w:ascii="Times New Roman" w:hAnsi="Times New Roman"/>
                <w:sz w:val="20"/>
                <w:szCs w:val="20"/>
              </w:rPr>
            </w:pPr>
            <w:r w:rsidRPr="003727BA">
              <w:rPr>
                <w:rFonts w:ascii="Times New Roman" w:hAnsi="Times New Roman"/>
                <w:sz w:val="20"/>
                <w:szCs w:val="20"/>
              </w:rPr>
              <w:t>PP na kompenzáciu zvýšených výdavkov  súvisiacich so zabezpečením prevádzky OMV</w:t>
            </w:r>
          </w:p>
        </w:tc>
        <w:tc>
          <w:tcPr>
            <w:tcW w:w="685"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extDirection w:val="lrTb"/>
            <w:vAlign w:val="bottom"/>
          </w:tcPr>
          <w:p w:rsidR="00F322E7" w:rsidRPr="003727BA" w:rsidP="0097094C">
            <w:pPr>
              <w:bidi w:val="0"/>
              <w:spacing w:after="0" w:line="240" w:lineRule="auto"/>
              <w:jc w:val="center"/>
              <w:rPr>
                <w:rFonts w:ascii="Times New Roman" w:hAnsi="Times New Roman"/>
              </w:rPr>
            </w:pPr>
            <w:r w:rsidRPr="003727BA" w:rsidR="00A62A03">
              <w:rPr>
                <w:rFonts w:ascii="Times New Roman" w:hAnsi="Times New Roman"/>
              </w:rPr>
              <w:t>0</w:t>
            </w:r>
          </w:p>
        </w:tc>
        <w:tc>
          <w:tcPr>
            <w:tcW w:w="761"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extDirection w:val="lrTb"/>
            <w:vAlign w:val="bottom"/>
          </w:tcPr>
          <w:p w:rsidR="00F322E7" w:rsidRPr="003727BA" w:rsidP="00F322E7">
            <w:pPr>
              <w:bidi w:val="0"/>
              <w:spacing w:after="0" w:line="240" w:lineRule="auto"/>
              <w:jc w:val="center"/>
              <w:rPr>
                <w:rFonts w:ascii="Times New Roman" w:hAnsi="Times New Roman"/>
                <w:sz w:val="20"/>
                <w:szCs w:val="20"/>
                <w:lang w:eastAsia="sk-SK"/>
              </w:rPr>
            </w:pPr>
            <w:r w:rsidRPr="003727BA">
              <w:rPr>
                <w:rFonts w:ascii="Times New Roman" w:hAnsi="Times New Roman"/>
                <w:sz w:val="20"/>
                <w:szCs w:val="20"/>
                <w:lang w:eastAsia="sk-SK"/>
              </w:rPr>
              <w:t>276</w:t>
            </w:r>
          </w:p>
        </w:tc>
        <w:tc>
          <w:tcPr>
            <w:tcW w:w="743"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extDirection w:val="lrTb"/>
            <w:vAlign w:val="bottom"/>
          </w:tcPr>
          <w:p w:rsidR="00F322E7" w:rsidRPr="003727BA" w:rsidP="00F322E7">
            <w:pPr>
              <w:bidi w:val="0"/>
              <w:spacing w:after="0" w:line="240" w:lineRule="auto"/>
              <w:jc w:val="center"/>
              <w:rPr>
                <w:rFonts w:ascii="Times New Roman" w:hAnsi="Times New Roman"/>
                <w:sz w:val="20"/>
                <w:szCs w:val="20"/>
                <w:lang w:eastAsia="sk-SK"/>
              </w:rPr>
            </w:pPr>
            <w:r w:rsidRPr="003727BA">
              <w:rPr>
                <w:rFonts w:ascii="Times New Roman" w:hAnsi="Times New Roman"/>
                <w:sz w:val="20"/>
                <w:szCs w:val="20"/>
                <w:lang w:eastAsia="sk-SK"/>
              </w:rPr>
              <w:t>278</w:t>
            </w:r>
          </w:p>
        </w:tc>
        <w:tc>
          <w:tcPr>
            <w:tcW w:w="849" w:type="pct"/>
            <w:tcBorders>
              <w:top w:val="single" w:sz="12" w:space="0" w:color="auto"/>
              <w:left w:val="single" w:sz="12" w:space="0" w:color="auto"/>
              <w:bottom w:val="single" w:sz="12" w:space="0" w:color="auto"/>
              <w:right w:val="single" w:sz="12" w:space="0" w:color="auto"/>
            </w:tcBorders>
            <w:textDirection w:val="lrTb"/>
            <w:vAlign w:val="bottom"/>
          </w:tcPr>
          <w:p w:rsidR="00F322E7" w:rsidRPr="003727BA" w:rsidP="00F322E7">
            <w:pPr>
              <w:bidi w:val="0"/>
              <w:spacing w:after="0" w:line="240" w:lineRule="auto"/>
              <w:jc w:val="center"/>
              <w:rPr>
                <w:rFonts w:ascii="Times New Roman" w:hAnsi="Times New Roman"/>
                <w:sz w:val="20"/>
                <w:szCs w:val="20"/>
                <w:lang w:eastAsia="sk-SK"/>
              </w:rPr>
            </w:pPr>
            <w:r w:rsidRPr="003727BA">
              <w:rPr>
                <w:rFonts w:ascii="Times New Roman" w:hAnsi="Times New Roman"/>
                <w:sz w:val="20"/>
                <w:szCs w:val="20"/>
                <w:lang w:eastAsia="sk-SK"/>
              </w:rPr>
              <w:t>282</w:t>
            </w:r>
          </w:p>
        </w:tc>
      </w:tr>
      <w:tr>
        <w:tblPrEx>
          <w:tblW w:w="5011" w:type="pct"/>
          <w:tblCellMar>
            <w:left w:w="0" w:type="dxa"/>
            <w:right w:w="0" w:type="dxa"/>
          </w:tblCellMar>
          <w:tblLook w:val="04A0"/>
        </w:tblPrEx>
        <w:trPr>
          <w:trHeight w:val="554"/>
        </w:trPr>
        <w:tc>
          <w:tcPr>
            <w:tcW w:w="1962" w:type="pct"/>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textDirection w:val="lrTb"/>
            <w:vAlign w:val="bottom"/>
          </w:tcPr>
          <w:p w:rsidR="00F322E7" w:rsidRPr="003727BA" w:rsidP="0011237B">
            <w:pPr>
              <w:bidi w:val="0"/>
              <w:rPr>
                <w:rFonts w:ascii="Times New Roman" w:hAnsi="Times New Roman"/>
                <w:sz w:val="20"/>
                <w:szCs w:val="20"/>
              </w:rPr>
            </w:pPr>
            <w:r w:rsidRPr="003727BA">
              <w:rPr>
                <w:rFonts w:ascii="Times New Roman" w:hAnsi="Times New Roman"/>
                <w:sz w:val="20"/>
                <w:szCs w:val="20"/>
              </w:rPr>
              <w:t>PP na prepravu</w:t>
            </w:r>
          </w:p>
        </w:tc>
        <w:tc>
          <w:tcPr>
            <w:tcW w:w="685"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extDirection w:val="lrTb"/>
            <w:vAlign w:val="bottom"/>
          </w:tcPr>
          <w:p w:rsidR="00F322E7" w:rsidRPr="003727BA" w:rsidP="0097094C">
            <w:pPr>
              <w:bidi w:val="0"/>
              <w:spacing w:after="0" w:line="240" w:lineRule="auto"/>
              <w:jc w:val="center"/>
              <w:rPr>
                <w:rFonts w:ascii="Times New Roman" w:hAnsi="Times New Roman"/>
              </w:rPr>
            </w:pPr>
            <w:r w:rsidRPr="003727BA" w:rsidR="00A62A03">
              <w:rPr>
                <w:rFonts w:ascii="Times New Roman" w:hAnsi="Times New Roman"/>
              </w:rPr>
              <w:t>0</w:t>
            </w:r>
          </w:p>
        </w:tc>
        <w:tc>
          <w:tcPr>
            <w:tcW w:w="761"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extDirection w:val="lrTb"/>
            <w:vAlign w:val="bottom"/>
          </w:tcPr>
          <w:p w:rsidR="00F322E7" w:rsidRPr="003727BA" w:rsidP="00F322E7">
            <w:pPr>
              <w:bidi w:val="0"/>
              <w:spacing w:after="0" w:line="240" w:lineRule="auto"/>
              <w:jc w:val="center"/>
              <w:rPr>
                <w:rFonts w:ascii="Times New Roman" w:hAnsi="Times New Roman"/>
                <w:sz w:val="20"/>
                <w:szCs w:val="20"/>
                <w:lang w:eastAsia="sk-SK"/>
              </w:rPr>
            </w:pPr>
            <w:r w:rsidRPr="003727BA">
              <w:rPr>
                <w:rFonts w:ascii="Times New Roman" w:hAnsi="Times New Roman"/>
                <w:sz w:val="20"/>
                <w:szCs w:val="20"/>
                <w:lang w:eastAsia="sk-SK"/>
              </w:rPr>
              <w:t>54</w:t>
            </w:r>
          </w:p>
        </w:tc>
        <w:tc>
          <w:tcPr>
            <w:tcW w:w="743"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extDirection w:val="lrTb"/>
            <w:vAlign w:val="bottom"/>
          </w:tcPr>
          <w:p w:rsidR="00F322E7" w:rsidRPr="003727BA" w:rsidP="00F322E7">
            <w:pPr>
              <w:bidi w:val="0"/>
              <w:spacing w:after="0" w:line="240" w:lineRule="auto"/>
              <w:jc w:val="center"/>
              <w:rPr>
                <w:rFonts w:ascii="Times New Roman" w:hAnsi="Times New Roman"/>
                <w:sz w:val="20"/>
                <w:szCs w:val="20"/>
                <w:lang w:eastAsia="sk-SK"/>
              </w:rPr>
            </w:pPr>
            <w:r w:rsidRPr="003727BA">
              <w:rPr>
                <w:rFonts w:ascii="Times New Roman" w:hAnsi="Times New Roman"/>
                <w:sz w:val="20"/>
                <w:szCs w:val="20"/>
                <w:lang w:eastAsia="sk-SK"/>
              </w:rPr>
              <w:t>57</w:t>
            </w:r>
          </w:p>
        </w:tc>
        <w:tc>
          <w:tcPr>
            <w:tcW w:w="849" w:type="pct"/>
            <w:tcBorders>
              <w:top w:val="single" w:sz="12" w:space="0" w:color="auto"/>
              <w:left w:val="single" w:sz="12" w:space="0" w:color="auto"/>
              <w:bottom w:val="single" w:sz="12" w:space="0" w:color="auto"/>
              <w:right w:val="single" w:sz="12" w:space="0" w:color="auto"/>
            </w:tcBorders>
            <w:textDirection w:val="lrTb"/>
            <w:vAlign w:val="bottom"/>
          </w:tcPr>
          <w:p w:rsidR="00F322E7" w:rsidRPr="003727BA" w:rsidP="00F322E7">
            <w:pPr>
              <w:bidi w:val="0"/>
              <w:spacing w:after="0" w:line="240" w:lineRule="auto"/>
              <w:jc w:val="center"/>
              <w:rPr>
                <w:rFonts w:ascii="Times New Roman" w:hAnsi="Times New Roman"/>
                <w:sz w:val="20"/>
                <w:szCs w:val="20"/>
                <w:lang w:eastAsia="sk-SK"/>
              </w:rPr>
            </w:pPr>
            <w:r w:rsidRPr="003727BA">
              <w:rPr>
                <w:rFonts w:ascii="Times New Roman" w:hAnsi="Times New Roman"/>
                <w:sz w:val="20"/>
                <w:szCs w:val="20"/>
                <w:lang w:eastAsia="sk-SK"/>
              </w:rPr>
              <w:t>59</w:t>
            </w:r>
          </w:p>
        </w:tc>
      </w:tr>
    </w:tbl>
    <w:p w:rsidR="00BA3CE6" w:rsidRPr="003727BA" w:rsidP="00A6029E">
      <w:pPr>
        <w:bidi w:val="0"/>
        <w:spacing w:after="0" w:line="240" w:lineRule="auto"/>
        <w:rPr>
          <w:rFonts w:ascii="Times New Roman" w:hAnsi="Times New Roman"/>
          <w:b/>
          <w:sz w:val="24"/>
          <w:szCs w:val="24"/>
          <w:lang w:eastAsia="sk-SK"/>
        </w:rPr>
      </w:pPr>
    </w:p>
    <w:p w:rsidR="00BA3CE6" w:rsidRPr="003727BA" w:rsidP="00A6029E">
      <w:pPr>
        <w:bidi w:val="0"/>
        <w:spacing w:after="0" w:line="240" w:lineRule="auto"/>
        <w:rPr>
          <w:rFonts w:ascii="Times New Roman" w:hAnsi="Times New Roman"/>
          <w:b/>
          <w:sz w:val="24"/>
          <w:szCs w:val="24"/>
          <w:lang w:eastAsia="sk-SK"/>
        </w:rPr>
      </w:pPr>
    </w:p>
    <w:p w:rsidR="00A6029E" w:rsidRPr="003727BA" w:rsidP="00A6029E">
      <w:pPr>
        <w:bidi w:val="0"/>
        <w:spacing w:after="0" w:line="240" w:lineRule="auto"/>
        <w:jc w:val="both"/>
        <w:rPr>
          <w:rFonts w:ascii="Times New Roman" w:hAnsi="Times New Roman"/>
          <w:sz w:val="24"/>
          <w:szCs w:val="24"/>
          <w:lang w:eastAsia="sk-SK"/>
        </w:rPr>
      </w:pPr>
      <w:r w:rsidRPr="003727BA">
        <w:rPr>
          <w:rFonts w:ascii="Times New Roman" w:hAnsi="Times New Roman"/>
          <w:sz w:val="24"/>
          <w:szCs w:val="24"/>
          <w:lang w:eastAsia="sk-SK"/>
        </w:rPr>
        <w:t xml:space="preserve">Na základe štatistických údajov Sociálnej poisťovne bolo k 31. marcu 2016 celkovo 24 720 poistencov štátu, ktorí sa starali o dieťa od 6 do 18 rokov veku s dlhodobo nepriaznivým zdravotným stavom alebo poberali peňažný príspevok na opatrovanie alebo vykonávali osobnú asistenciu. Kvantifikácia predpokladá 3 790 dotknutých osôb v roku 2018 a 4 961 osôb v roku 2019, t. j. osôb, ktorým účasť na dôchodkovom poistení nezanikne, resp. budú naďalej poistení na dôchodkové poistenie ako poistenci štátu (ak budú naďalej spĺňať zákonom ustanovené podmienky).  </w:t>
      </w:r>
    </w:p>
    <w:p w:rsidR="00A6029E" w:rsidRPr="003727BA" w:rsidP="00A6029E">
      <w:pPr>
        <w:bidi w:val="0"/>
        <w:spacing w:after="0" w:line="240" w:lineRule="auto"/>
        <w:rPr>
          <w:rFonts w:ascii="Times New Roman" w:hAnsi="Times New Roman"/>
          <w:b/>
          <w:bCs/>
          <w:sz w:val="24"/>
          <w:szCs w:val="24"/>
          <w:lang w:eastAsia="sk-SK"/>
        </w:rPr>
      </w:pPr>
    </w:p>
    <w:p w:rsidR="00A6029E" w:rsidRPr="003727BA" w:rsidP="00A6029E">
      <w:pPr>
        <w:bidi w:val="0"/>
        <w:spacing w:after="0" w:line="240" w:lineRule="auto"/>
        <w:rPr>
          <w:rFonts w:ascii="Times New Roman" w:hAnsi="Times New Roman"/>
          <w:b/>
          <w:bCs/>
          <w:sz w:val="24"/>
          <w:szCs w:val="24"/>
          <w:lang w:eastAsia="sk-SK"/>
        </w:rPr>
      </w:pPr>
      <w:r w:rsidRPr="003727BA">
        <w:rPr>
          <w:rFonts w:ascii="Times New Roman" w:hAnsi="Times New Roman"/>
          <w:b/>
          <w:bCs/>
          <w:sz w:val="24"/>
          <w:szCs w:val="24"/>
          <w:lang w:eastAsia="sk-SK"/>
        </w:rPr>
        <w:t>2.2.4. Výpočty vplyvov na verejné financie</w:t>
      </w:r>
    </w:p>
    <w:p w:rsidR="00A6029E" w:rsidRPr="003727BA" w:rsidP="00A6029E">
      <w:pPr>
        <w:bidi w:val="0"/>
        <w:spacing w:after="0" w:line="240" w:lineRule="auto"/>
        <w:rPr>
          <w:rFonts w:ascii="Times New Roman" w:hAnsi="Times New Roman"/>
          <w:sz w:val="24"/>
          <w:szCs w:val="24"/>
          <w:lang w:eastAsia="sk-SK"/>
        </w:rPr>
      </w:pPr>
    </w:p>
    <w:p w:rsidR="00A6029E" w:rsidRPr="003727BA" w:rsidP="00A6029E">
      <w:pPr>
        <w:bidi w:val="0"/>
        <w:spacing w:after="0" w:line="240" w:lineRule="auto"/>
        <w:ind w:firstLine="708"/>
        <w:jc w:val="both"/>
        <w:rPr>
          <w:rFonts w:ascii="Times New Roman" w:hAnsi="Times New Roman"/>
          <w:sz w:val="24"/>
          <w:szCs w:val="24"/>
          <w:lang w:eastAsia="sk-SK"/>
        </w:rPr>
      </w:pPr>
      <w:r w:rsidRPr="003727BA">
        <w:rPr>
          <w:rFonts w:ascii="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A6029E" w:rsidRPr="003727BA" w:rsidP="00A6029E">
      <w:pPr>
        <w:bidi w:val="0"/>
        <w:spacing w:after="0" w:line="240" w:lineRule="auto"/>
        <w:jc w:val="both"/>
        <w:rPr>
          <w:rFonts w:ascii="Times New Roman" w:hAnsi="Times New Roman"/>
          <w:sz w:val="24"/>
          <w:szCs w:val="24"/>
          <w:lang w:eastAsia="sk-SK"/>
        </w:rPr>
      </w:pPr>
    </w:p>
    <w:tbl>
      <w:tblPr>
        <w:tblStyle w:val="TableGrid"/>
        <w:tblW w:w="0" w:type="auto"/>
        <w:tblLayout w:type="fixed"/>
        <w:tblLook w:val="04A0"/>
      </w:tblPr>
      <w:tblGrid>
        <w:gridCol w:w="3369"/>
        <w:gridCol w:w="1559"/>
        <w:gridCol w:w="1559"/>
        <w:gridCol w:w="1418"/>
        <w:gridCol w:w="1383"/>
      </w:tblGrid>
      <w:tr>
        <w:tblPrEx>
          <w:tblW w:w="0" w:type="auto"/>
          <w:tblLayout w:type="fixed"/>
          <w:tblLook w:val="04A0"/>
        </w:tblPrEx>
        <w:tc>
          <w:tcPr>
            <w:tcW w:w="3369"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6029E" w:rsidRPr="003727BA" w:rsidP="00BB3760">
            <w:pPr>
              <w:bidi w:val="0"/>
              <w:spacing w:after="0" w:line="240" w:lineRule="auto"/>
              <w:rPr>
                <w:b/>
                <w:sz w:val="20"/>
                <w:szCs w:val="20"/>
              </w:rPr>
            </w:pPr>
            <w:r w:rsidRPr="003727BA">
              <w:rPr>
                <w:b/>
                <w:sz w:val="20"/>
                <w:szCs w:val="20"/>
              </w:rPr>
              <w:t>Finančný vplyv na príjmy Sociálnej poisťovne (- úspora, + príjmov výdavkov) v €</w:t>
            </w:r>
          </w:p>
        </w:tc>
        <w:tc>
          <w:tcPr>
            <w:tcW w:w="1559"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6029E" w:rsidRPr="003727BA" w:rsidP="00BB3760">
            <w:pPr>
              <w:bidi w:val="0"/>
              <w:spacing w:after="0" w:line="240" w:lineRule="auto"/>
              <w:jc w:val="center"/>
              <w:rPr>
                <w:sz w:val="20"/>
                <w:szCs w:val="20"/>
              </w:rPr>
            </w:pPr>
            <w:r w:rsidRPr="003727BA">
              <w:rPr>
                <w:sz w:val="20"/>
                <w:szCs w:val="20"/>
              </w:rPr>
              <w:t>2016</w:t>
            </w:r>
          </w:p>
          <w:p w:rsidR="00A6029E" w:rsidRPr="003727BA" w:rsidP="00BB3760">
            <w:pPr>
              <w:bidi w:val="0"/>
              <w:spacing w:after="0" w:line="240" w:lineRule="auto"/>
              <w:jc w:val="center"/>
            </w:pPr>
          </w:p>
        </w:tc>
        <w:tc>
          <w:tcPr>
            <w:tcW w:w="1559"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6029E" w:rsidRPr="003727BA" w:rsidP="00BB3760">
            <w:pPr>
              <w:bidi w:val="0"/>
              <w:spacing w:after="0" w:line="240" w:lineRule="auto"/>
              <w:jc w:val="center"/>
              <w:rPr>
                <w:sz w:val="20"/>
                <w:szCs w:val="20"/>
              </w:rPr>
            </w:pPr>
            <w:r w:rsidRPr="003727BA">
              <w:rPr>
                <w:sz w:val="20"/>
                <w:szCs w:val="20"/>
              </w:rPr>
              <w:t>2017</w:t>
            </w:r>
          </w:p>
        </w:tc>
        <w:tc>
          <w:tcPr>
            <w:tcW w:w="1418"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6029E" w:rsidRPr="003727BA" w:rsidP="00BB3760">
            <w:pPr>
              <w:bidi w:val="0"/>
              <w:spacing w:after="0" w:line="240" w:lineRule="auto"/>
              <w:jc w:val="center"/>
              <w:rPr>
                <w:sz w:val="20"/>
                <w:szCs w:val="20"/>
              </w:rPr>
            </w:pPr>
            <w:r w:rsidRPr="003727BA">
              <w:rPr>
                <w:sz w:val="20"/>
                <w:szCs w:val="20"/>
              </w:rPr>
              <w:t>2018</w:t>
            </w:r>
          </w:p>
        </w:tc>
        <w:tc>
          <w:tcPr>
            <w:tcW w:w="1383"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6029E" w:rsidRPr="003727BA" w:rsidP="00BB3760">
            <w:pPr>
              <w:bidi w:val="0"/>
              <w:spacing w:after="0" w:line="240" w:lineRule="auto"/>
              <w:jc w:val="center"/>
              <w:rPr>
                <w:sz w:val="20"/>
                <w:szCs w:val="20"/>
              </w:rPr>
            </w:pPr>
            <w:r w:rsidRPr="003727BA">
              <w:rPr>
                <w:sz w:val="20"/>
                <w:szCs w:val="20"/>
              </w:rPr>
              <w:t>2019</w:t>
            </w:r>
          </w:p>
        </w:tc>
      </w:tr>
      <w:tr>
        <w:tblPrEx>
          <w:tblW w:w="0" w:type="auto"/>
          <w:tblLayout w:type="fixed"/>
          <w:tblLook w:val="04A0"/>
        </w:tblPrEx>
        <w:trPr>
          <w:trHeight w:val="440"/>
        </w:trPr>
        <w:tc>
          <w:tcPr>
            <w:tcW w:w="3369"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6029E" w:rsidRPr="003727BA" w:rsidP="00BB3760">
            <w:pPr>
              <w:bidi w:val="0"/>
              <w:spacing w:after="0" w:line="240" w:lineRule="auto"/>
              <w:jc w:val="both"/>
              <w:rPr>
                <w:b/>
                <w:sz w:val="20"/>
                <w:szCs w:val="20"/>
              </w:rPr>
            </w:pPr>
            <w:r w:rsidRPr="003727BA">
              <w:rPr>
                <w:b/>
                <w:sz w:val="20"/>
                <w:szCs w:val="20"/>
              </w:rPr>
              <w:t xml:space="preserve">Z dôvodu zrušenia hranice 12 rokov na účely platenia poistného štátom na dôchodkové poistenie </w:t>
            </w:r>
          </w:p>
        </w:tc>
        <w:tc>
          <w:tcPr>
            <w:tcW w:w="1559" w:type="dxa"/>
            <w:tcBorders>
              <w:top w:val="single" w:sz="4" w:space="0" w:color="auto"/>
              <w:left w:val="single" w:sz="4" w:space="0" w:color="auto"/>
              <w:bottom w:val="single" w:sz="4" w:space="0" w:color="auto"/>
              <w:right w:val="single" w:sz="4" w:space="0" w:color="auto"/>
            </w:tcBorders>
            <w:textDirection w:val="lrTb"/>
            <w:vAlign w:val="bottom"/>
          </w:tcPr>
          <w:p w:rsidR="00A6029E" w:rsidRPr="003727BA" w:rsidP="00BB3760">
            <w:pPr>
              <w:bidi w:val="0"/>
              <w:spacing w:after="0" w:line="240" w:lineRule="auto"/>
              <w:jc w:val="center"/>
              <w:rPr>
                <w:sz w:val="20"/>
                <w:szCs w:val="20"/>
              </w:rPr>
            </w:pPr>
            <w:r w:rsidRPr="003727BA">
              <w:rPr>
                <w:sz w:val="20"/>
                <w:szCs w:val="20"/>
              </w:rPr>
              <w:t>0</w:t>
            </w:r>
          </w:p>
        </w:tc>
        <w:tc>
          <w:tcPr>
            <w:tcW w:w="1559" w:type="dxa"/>
            <w:tcBorders>
              <w:top w:val="single" w:sz="4" w:space="0" w:color="auto"/>
              <w:left w:val="single" w:sz="4" w:space="0" w:color="auto"/>
              <w:bottom w:val="single" w:sz="4" w:space="0" w:color="auto"/>
              <w:right w:val="single" w:sz="4" w:space="0" w:color="auto"/>
            </w:tcBorders>
            <w:textDirection w:val="lrTb"/>
            <w:vAlign w:val="bottom"/>
          </w:tcPr>
          <w:p w:rsidR="00A6029E" w:rsidRPr="003727BA" w:rsidP="00BB3760">
            <w:pPr>
              <w:bidi w:val="0"/>
              <w:spacing w:after="0" w:line="240" w:lineRule="auto"/>
              <w:jc w:val="center"/>
              <w:rPr>
                <w:sz w:val="20"/>
                <w:szCs w:val="20"/>
              </w:rPr>
            </w:pPr>
            <w:r w:rsidRPr="003727BA">
              <w:rPr>
                <w:sz w:val="20"/>
                <w:szCs w:val="20"/>
              </w:rPr>
              <w:t>0</w:t>
            </w:r>
          </w:p>
        </w:tc>
        <w:tc>
          <w:tcPr>
            <w:tcW w:w="1418" w:type="dxa"/>
            <w:tcBorders>
              <w:top w:val="single" w:sz="4" w:space="0" w:color="auto"/>
              <w:left w:val="single" w:sz="4" w:space="0" w:color="auto"/>
              <w:bottom w:val="single" w:sz="4" w:space="0" w:color="auto"/>
              <w:right w:val="single" w:sz="4" w:space="0" w:color="auto"/>
            </w:tcBorders>
            <w:textDirection w:val="lrTb"/>
            <w:vAlign w:val="bottom"/>
          </w:tcPr>
          <w:p w:rsidR="00A6029E" w:rsidRPr="003727BA" w:rsidP="00BB3760">
            <w:pPr>
              <w:bidi w:val="0"/>
              <w:spacing w:after="0" w:line="240" w:lineRule="auto"/>
              <w:jc w:val="center"/>
              <w:rPr>
                <w:sz w:val="20"/>
                <w:szCs w:val="20"/>
              </w:rPr>
            </w:pPr>
            <w:r w:rsidRPr="003727BA">
              <w:rPr>
                <w:sz w:val="20"/>
                <w:szCs w:val="20"/>
              </w:rPr>
              <w:t>+ 1 276 632</w:t>
            </w:r>
          </w:p>
        </w:tc>
        <w:tc>
          <w:tcPr>
            <w:tcW w:w="1383" w:type="dxa"/>
            <w:tcBorders>
              <w:top w:val="single" w:sz="4" w:space="0" w:color="auto"/>
              <w:left w:val="single" w:sz="4" w:space="0" w:color="auto"/>
              <w:bottom w:val="single" w:sz="4" w:space="0" w:color="auto"/>
              <w:right w:val="single" w:sz="4" w:space="0" w:color="auto"/>
            </w:tcBorders>
            <w:textDirection w:val="lrTb"/>
            <w:vAlign w:val="bottom"/>
          </w:tcPr>
          <w:p w:rsidR="00A6029E" w:rsidRPr="003727BA" w:rsidP="00BB3760">
            <w:pPr>
              <w:bidi w:val="0"/>
              <w:spacing w:after="0" w:line="240" w:lineRule="auto"/>
              <w:jc w:val="center"/>
              <w:rPr>
                <w:sz w:val="20"/>
                <w:szCs w:val="20"/>
              </w:rPr>
            </w:pPr>
            <w:r w:rsidRPr="003727BA">
              <w:rPr>
                <w:sz w:val="20"/>
                <w:szCs w:val="20"/>
              </w:rPr>
              <w:t>+ 6</w:t>
            </w:r>
            <w:r w:rsidRPr="003727BA" w:rsidR="00913F81">
              <w:rPr>
                <w:sz w:val="20"/>
                <w:szCs w:val="20"/>
              </w:rPr>
              <w:t> </w:t>
            </w:r>
            <w:r w:rsidRPr="003727BA">
              <w:rPr>
                <w:sz w:val="20"/>
                <w:szCs w:val="20"/>
              </w:rPr>
              <w:t>1</w:t>
            </w:r>
            <w:r w:rsidRPr="003727BA" w:rsidR="00913F81">
              <w:rPr>
                <w:sz w:val="20"/>
                <w:szCs w:val="20"/>
              </w:rPr>
              <w:t>29 091</w:t>
            </w:r>
          </w:p>
        </w:tc>
      </w:tr>
      <w:tr>
        <w:tblPrEx>
          <w:tblW w:w="0" w:type="auto"/>
          <w:tblLayout w:type="fixed"/>
          <w:tblLook w:val="04A0"/>
        </w:tblPrEx>
        <w:tc>
          <w:tcPr>
            <w:tcW w:w="3369"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6029E" w:rsidRPr="003727BA" w:rsidP="00BB3760">
            <w:pPr>
              <w:bidi w:val="0"/>
              <w:spacing w:after="0" w:line="240" w:lineRule="auto"/>
              <w:rPr>
                <w:b/>
                <w:sz w:val="20"/>
                <w:szCs w:val="20"/>
              </w:rPr>
            </w:pPr>
          </w:p>
          <w:p w:rsidR="00A6029E" w:rsidRPr="003727BA" w:rsidP="00BB3760">
            <w:pPr>
              <w:bidi w:val="0"/>
              <w:spacing w:after="0" w:line="240" w:lineRule="auto"/>
              <w:rPr>
                <w:b/>
                <w:sz w:val="20"/>
                <w:szCs w:val="20"/>
              </w:rPr>
            </w:pPr>
            <w:r w:rsidRPr="003727BA">
              <w:rPr>
                <w:b/>
                <w:sz w:val="20"/>
                <w:szCs w:val="20"/>
              </w:rPr>
              <w:t>SPOLU</w:t>
            </w:r>
          </w:p>
        </w:tc>
        <w:tc>
          <w:tcPr>
            <w:tcW w:w="1559" w:type="dxa"/>
            <w:tcBorders>
              <w:top w:val="single" w:sz="4" w:space="0" w:color="auto"/>
              <w:left w:val="single" w:sz="4" w:space="0" w:color="auto"/>
              <w:bottom w:val="single" w:sz="4" w:space="0" w:color="auto"/>
              <w:right w:val="single" w:sz="4" w:space="0" w:color="auto"/>
            </w:tcBorders>
            <w:textDirection w:val="lrTb"/>
            <w:vAlign w:val="bottom"/>
          </w:tcPr>
          <w:p w:rsidR="00A6029E" w:rsidRPr="003727BA" w:rsidP="00BB3760">
            <w:pPr>
              <w:bidi w:val="0"/>
              <w:spacing w:after="0" w:line="240" w:lineRule="auto"/>
              <w:jc w:val="center"/>
              <w:rPr>
                <w:b/>
                <w:sz w:val="20"/>
                <w:szCs w:val="20"/>
              </w:rPr>
            </w:pPr>
            <w:r w:rsidRPr="003727BA">
              <w:rPr>
                <w:b/>
                <w:sz w:val="20"/>
                <w:szCs w:val="20"/>
              </w:rPr>
              <w:t>0</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6029E" w:rsidRPr="003727BA" w:rsidP="00BB3760">
            <w:pPr>
              <w:bidi w:val="0"/>
              <w:spacing w:after="0" w:line="240" w:lineRule="auto"/>
              <w:jc w:val="center"/>
              <w:rPr>
                <w:b/>
                <w:sz w:val="20"/>
                <w:szCs w:val="20"/>
              </w:rPr>
            </w:pPr>
          </w:p>
          <w:p w:rsidR="00A6029E" w:rsidRPr="003727BA" w:rsidP="00BB3760">
            <w:pPr>
              <w:bidi w:val="0"/>
              <w:spacing w:after="0" w:line="240" w:lineRule="auto"/>
              <w:jc w:val="center"/>
              <w:rPr>
                <w:b/>
                <w:sz w:val="20"/>
                <w:szCs w:val="20"/>
              </w:rPr>
            </w:pPr>
          </w:p>
          <w:p w:rsidR="00A6029E" w:rsidRPr="003727BA" w:rsidP="00BB3760">
            <w:pPr>
              <w:bidi w:val="0"/>
              <w:spacing w:after="0" w:line="240" w:lineRule="auto"/>
              <w:jc w:val="center"/>
              <w:rPr>
                <w:b/>
                <w:sz w:val="20"/>
                <w:szCs w:val="20"/>
              </w:rPr>
            </w:pPr>
            <w:r w:rsidRPr="003727BA">
              <w:rPr>
                <w:b/>
                <w:sz w:val="20"/>
                <w:szCs w:val="20"/>
              </w:rPr>
              <w:t>0</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A6029E" w:rsidRPr="003727BA" w:rsidP="00BB3760">
            <w:pPr>
              <w:bidi w:val="0"/>
              <w:spacing w:after="0" w:line="240" w:lineRule="auto"/>
              <w:jc w:val="center"/>
              <w:rPr>
                <w:b/>
                <w:sz w:val="20"/>
                <w:szCs w:val="20"/>
              </w:rPr>
            </w:pPr>
          </w:p>
          <w:p w:rsidR="00A6029E" w:rsidRPr="003727BA" w:rsidP="00BB3760">
            <w:pPr>
              <w:bidi w:val="0"/>
              <w:spacing w:after="0" w:line="240" w:lineRule="auto"/>
              <w:jc w:val="center"/>
              <w:rPr>
                <w:b/>
                <w:sz w:val="20"/>
                <w:szCs w:val="20"/>
              </w:rPr>
            </w:pPr>
          </w:p>
          <w:p w:rsidR="00A6029E" w:rsidRPr="003727BA" w:rsidP="00BB3760">
            <w:pPr>
              <w:bidi w:val="0"/>
              <w:spacing w:after="0" w:line="240" w:lineRule="auto"/>
              <w:jc w:val="center"/>
              <w:rPr>
                <w:b/>
                <w:sz w:val="20"/>
                <w:szCs w:val="20"/>
              </w:rPr>
            </w:pPr>
            <w:r w:rsidRPr="003727BA">
              <w:rPr>
                <w:b/>
                <w:sz w:val="20"/>
                <w:szCs w:val="20"/>
              </w:rPr>
              <w:t xml:space="preserve">+ 1 276 632 </w:t>
            </w:r>
          </w:p>
        </w:tc>
        <w:tc>
          <w:tcPr>
            <w:tcW w:w="1383" w:type="dxa"/>
            <w:tcBorders>
              <w:top w:val="single" w:sz="4" w:space="0" w:color="auto"/>
              <w:left w:val="single" w:sz="4" w:space="0" w:color="auto"/>
              <w:bottom w:val="single" w:sz="4" w:space="0" w:color="auto"/>
              <w:right w:val="single" w:sz="4" w:space="0" w:color="auto"/>
            </w:tcBorders>
            <w:textDirection w:val="lrTb"/>
            <w:vAlign w:val="top"/>
          </w:tcPr>
          <w:p w:rsidR="00A6029E" w:rsidRPr="003727BA" w:rsidP="00BB3760">
            <w:pPr>
              <w:bidi w:val="0"/>
              <w:spacing w:after="0" w:line="240" w:lineRule="auto"/>
              <w:jc w:val="center"/>
              <w:rPr>
                <w:b/>
                <w:sz w:val="20"/>
                <w:szCs w:val="20"/>
              </w:rPr>
            </w:pPr>
          </w:p>
          <w:p w:rsidR="00A6029E" w:rsidRPr="003727BA" w:rsidP="00BB3760">
            <w:pPr>
              <w:bidi w:val="0"/>
              <w:spacing w:after="0" w:line="240" w:lineRule="auto"/>
              <w:jc w:val="center"/>
              <w:rPr>
                <w:b/>
                <w:sz w:val="20"/>
                <w:szCs w:val="20"/>
              </w:rPr>
            </w:pPr>
          </w:p>
          <w:p w:rsidR="00A6029E" w:rsidRPr="003727BA" w:rsidP="00BB3760">
            <w:pPr>
              <w:bidi w:val="0"/>
              <w:spacing w:after="0" w:line="240" w:lineRule="auto"/>
              <w:jc w:val="center"/>
              <w:rPr>
                <w:b/>
                <w:sz w:val="20"/>
                <w:szCs w:val="20"/>
              </w:rPr>
            </w:pPr>
            <w:r w:rsidRPr="003727BA">
              <w:rPr>
                <w:b/>
                <w:sz w:val="20"/>
                <w:szCs w:val="20"/>
              </w:rPr>
              <w:t>+</w:t>
            </w:r>
            <w:r w:rsidRPr="003727BA" w:rsidR="004C5434">
              <w:rPr>
                <w:b/>
                <w:sz w:val="20"/>
                <w:szCs w:val="20"/>
              </w:rPr>
              <w:t xml:space="preserve"> </w:t>
            </w:r>
            <w:r w:rsidRPr="003727BA">
              <w:rPr>
                <w:b/>
                <w:sz w:val="20"/>
                <w:szCs w:val="20"/>
              </w:rPr>
              <w:t>6</w:t>
            </w:r>
            <w:r w:rsidRPr="003727BA" w:rsidR="00913F81">
              <w:rPr>
                <w:b/>
                <w:sz w:val="20"/>
                <w:szCs w:val="20"/>
              </w:rPr>
              <w:t> </w:t>
            </w:r>
            <w:r w:rsidRPr="003727BA">
              <w:rPr>
                <w:b/>
                <w:sz w:val="20"/>
                <w:szCs w:val="20"/>
              </w:rPr>
              <w:t>1</w:t>
            </w:r>
            <w:r w:rsidRPr="003727BA" w:rsidR="00913F81">
              <w:rPr>
                <w:b/>
                <w:sz w:val="20"/>
                <w:szCs w:val="20"/>
              </w:rPr>
              <w:t>29 091</w:t>
            </w:r>
            <w:r w:rsidRPr="003727BA">
              <w:rPr>
                <w:b/>
                <w:sz w:val="20"/>
                <w:szCs w:val="20"/>
              </w:rPr>
              <w:t xml:space="preserve">  </w:t>
            </w:r>
          </w:p>
        </w:tc>
      </w:tr>
    </w:tbl>
    <w:p w:rsidR="00A6029E" w:rsidRPr="003727BA" w:rsidP="00A6029E">
      <w:pPr>
        <w:autoSpaceDE w:val="0"/>
        <w:autoSpaceDN w:val="0"/>
        <w:bidi w:val="0"/>
        <w:adjustRightInd w:val="0"/>
        <w:jc w:val="both"/>
        <w:rPr>
          <w:sz w:val="18"/>
          <w:szCs w:val="18"/>
        </w:rPr>
      </w:pPr>
      <w:r w:rsidRPr="003727BA">
        <w:rPr>
          <w:sz w:val="18"/>
          <w:szCs w:val="18"/>
          <w:lang w:eastAsia="sk-SK"/>
        </w:rPr>
        <w:t xml:space="preserve">Pozn. </w:t>
      </w:r>
      <w:r w:rsidRPr="003727BA">
        <w:rPr>
          <w:sz w:val="18"/>
          <w:szCs w:val="18"/>
        </w:rPr>
        <w:t>Z dôvodu vyšších príjmov na sociálne poistenie bol kvantifikovaný vplyv na tvorbu správneho fondu Sociálnej poisťovne vo výške 2,4 % z prijatého poistného a 0,25 % z postúpených príspevkov na starobné dôchodkové sporenie, pričom v uvedenej výške sa očakáva nárast výdavkov Sociálnej poisťovne. Vplyv na tvorbu správneho fondu sa predpokladá nasledovný: 30 814 eur v roku 2018 a</w:t>
      </w:r>
      <w:r w:rsidRPr="003727BA" w:rsidR="00913F81">
        <w:rPr>
          <w:sz w:val="18"/>
          <w:szCs w:val="18"/>
        </w:rPr>
        <w:t> </w:t>
      </w:r>
      <w:r w:rsidRPr="003727BA">
        <w:rPr>
          <w:sz w:val="18"/>
          <w:szCs w:val="18"/>
        </w:rPr>
        <w:t>14</w:t>
      </w:r>
      <w:r w:rsidRPr="003727BA" w:rsidR="00913F81">
        <w:rPr>
          <w:sz w:val="18"/>
          <w:szCs w:val="18"/>
        </w:rPr>
        <w:t>7</w:t>
      </w:r>
      <w:r w:rsidRPr="003727BA" w:rsidR="00F40832">
        <w:rPr>
          <w:sz w:val="18"/>
          <w:szCs w:val="18"/>
        </w:rPr>
        <w:t> </w:t>
      </w:r>
      <w:r w:rsidRPr="003727BA" w:rsidR="00913F81">
        <w:rPr>
          <w:sz w:val="18"/>
          <w:szCs w:val="18"/>
        </w:rPr>
        <w:t>987</w:t>
      </w:r>
      <w:r w:rsidRPr="003727BA" w:rsidR="00F40832">
        <w:rPr>
          <w:sz w:val="18"/>
          <w:szCs w:val="18"/>
        </w:rPr>
        <w:t xml:space="preserve"> </w:t>
      </w:r>
      <w:r w:rsidRPr="003727BA">
        <w:rPr>
          <w:sz w:val="18"/>
          <w:szCs w:val="18"/>
        </w:rPr>
        <w:t>eur v roku 2019</w:t>
      </w:r>
      <w:r w:rsidRPr="003727BA">
        <w:rPr>
          <w:sz w:val="18"/>
          <w:szCs w:val="18"/>
          <w:lang w:eastAsia="sk-SK"/>
        </w:rPr>
        <w:t>. Predpokladá sa postúpenie príspevkov na starobné dôchodkové sporenie v sume 69 917 eur v roku 2018 a</w:t>
      </w:r>
      <w:r w:rsidRPr="003727BA" w:rsidR="00913F81">
        <w:rPr>
          <w:sz w:val="18"/>
          <w:szCs w:val="18"/>
          <w:lang w:eastAsia="sk-SK"/>
        </w:rPr>
        <w:t> </w:t>
      </w:r>
      <w:r w:rsidRPr="003727BA">
        <w:rPr>
          <w:sz w:val="18"/>
          <w:szCs w:val="18"/>
          <w:lang w:eastAsia="sk-SK"/>
        </w:rPr>
        <w:t>35</w:t>
      </w:r>
      <w:r w:rsidRPr="003727BA" w:rsidR="00913F81">
        <w:rPr>
          <w:sz w:val="18"/>
          <w:szCs w:val="18"/>
          <w:lang w:eastAsia="sk-SK"/>
        </w:rPr>
        <w:t>5 400</w:t>
      </w:r>
      <w:r w:rsidRPr="003727BA">
        <w:rPr>
          <w:sz w:val="18"/>
          <w:szCs w:val="18"/>
          <w:lang w:eastAsia="sk-SK"/>
        </w:rPr>
        <w:t xml:space="preserve"> eur v roku 2019. </w:t>
      </w:r>
    </w:p>
    <w:p w:rsidR="00A6029E" w:rsidRPr="003727BA" w:rsidP="00A6029E">
      <w:pPr>
        <w:bidi w:val="0"/>
        <w:spacing w:after="0" w:line="240" w:lineRule="auto"/>
        <w:ind w:firstLine="708"/>
        <w:jc w:val="both"/>
        <w:rPr>
          <w:rFonts w:ascii="Times New Roman" w:hAnsi="Times New Roman"/>
          <w:sz w:val="24"/>
          <w:szCs w:val="24"/>
          <w:lang w:eastAsia="sk-SK"/>
        </w:rPr>
      </w:pPr>
    </w:p>
    <w:p w:rsidR="00821BCB" w:rsidRPr="003727BA" w:rsidP="00A6029E">
      <w:pPr>
        <w:bidi w:val="0"/>
        <w:spacing w:after="0" w:line="240" w:lineRule="auto"/>
        <w:ind w:firstLine="708"/>
        <w:jc w:val="both"/>
        <w:rPr>
          <w:rFonts w:ascii="Times New Roman" w:hAnsi="Times New Roman"/>
          <w:sz w:val="24"/>
          <w:szCs w:val="24"/>
          <w:lang w:eastAsia="sk-SK"/>
        </w:rPr>
      </w:pPr>
    </w:p>
    <w:p w:rsidR="00821BCB" w:rsidRPr="003727BA" w:rsidP="00A6029E">
      <w:pPr>
        <w:bidi w:val="0"/>
        <w:spacing w:after="0" w:line="240" w:lineRule="auto"/>
        <w:ind w:firstLine="708"/>
        <w:jc w:val="both"/>
        <w:rPr>
          <w:rFonts w:ascii="Times New Roman" w:hAnsi="Times New Roman"/>
          <w:sz w:val="24"/>
          <w:szCs w:val="24"/>
          <w:lang w:eastAsia="sk-SK"/>
        </w:rPr>
      </w:pPr>
    </w:p>
    <w:tbl>
      <w:tblPr>
        <w:tblStyle w:val="TableGrid"/>
        <w:tblW w:w="0" w:type="auto"/>
        <w:tblLayout w:type="fixed"/>
        <w:tblLook w:val="04A0"/>
      </w:tblPr>
      <w:tblGrid>
        <w:gridCol w:w="3369"/>
        <w:gridCol w:w="1559"/>
        <w:gridCol w:w="1559"/>
        <w:gridCol w:w="1418"/>
        <w:gridCol w:w="1383"/>
      </w:tblGrid>
      <w:tr>
        <w:tblPrEx>
          <w:tblW w:w="0" w:type="auto"/>
          <w:tblLayout w:type="fixed"/>
          <w:tblLook w:val="04A0"/>
        </w:tblPrEx>
        <w:tc>
          <w:tcPr>
            <w:tcW w:w="3369"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6029E" w:rsidRPr="003727BA" w:rsidP="00BB3760">
            <w:pPr>
              <w:bidi w:val="0"/>
              <w:spacing w:after="0" w:line="240" w:lineRule="auto"/>
              <w:rPr>
                <w:b/>
                <w:sz w:val="20"/>
                <w:szCs w:val="20"/>
              </w:rPr>
            </w:pPr>
            <w:r w:rsidRPr="003727BA">
              <w:rPr>
                <w:b/>
                <w:sz w:val="20"/>
                <w:szCs w:val="20"/>
              </w:rPr>
              <w:t>Finančný vplyv na výdavky MPSVR SR (- úspora, + zvýšenie výdavkov) v €</w:t>
            </w:r>
          </w:p>
          <w:p w:rsidR="00A6029E" w:rsidRPr="003727BA" w:rsidP="00BB3760">
            <w:pPr>
              <w:bidi w:val="0"/>
              <w:spacing w:after="0" w:line="240" w:lineRule="auto"/>
              <w:rPr>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6029E" w:rsidRPr="003727BA" w:rsidP="00BB3760">
            <w:pPr>
              <w:bidi w:val="0"/>
              <w:spacing w:after="0" w:line="240" w:lineRule="auto"/>
              <w:jc w:val="center"/>
              <w:rPr>
                <w:sz w:val="20"/>
                <w:szCs w:val="20"/>
              </w:rPr>
            </w:pPr>
            <w:r w:rsidRPr="003727BA">
              <w:rPr>
                <w:sz w:val="20"/>
                <w:szCs w:val="20"/>
              </w:rPr>
              <w:t>2016</w:t>
            </w:r>
          </w:p>
          <w:p w:rsidR="00A6029E" w:rsidRPr="003727BA" w:rsidP="00BB3760">
            <w:pPr>
              <w:bidi w:val="0"/>
              <w:spacing w:after="0" w:line="240" w:lineRule="auto"/>
              <w:jc w:val="center"/>
            </w:pPr>
          </w:p>
        </w:tc>
        <w:tc>
          <w:tcPr>
            <w:tcW w:w="1559"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6029E" w:rsidRPr="003727BA" w:rsidP="00BB3760">
            <w:pPr>
              <w:bidi w:val="0"/>
              <w:spacing w:after="0" w:line="240" w:lineRule="auto"/>
              <w:jc w:val="center"/>
              <w:rPr>
                <w:sz w:val="20"/>
                <w:szCs w:val="20"/>
              </w:rPr>
            </w:pPr>
            <w:r w:rsidRPr="003727BA">
              <w:rPr>
                <w:sz w:val="20"/>
                <w:szCs w:val="20"/>
              </w:rPr>
              <w:t>2017</w:t>
            </w:r>
          </w:p>
        </w:tc>
        <w:tc>
          <w:tcPr>
            <w:tcW w:w="1418"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6029E" w:rsidRPr="003727BA" w:rsidP="00BB3760">
            <w:pPr>
              <w:bidi w:val="0"/>
              <w:spacing w:after="0" w:line="240" w:lineRule="auto"/>
              <w:jc w:val="center"/>
              <w:rPr>
                <w:sz w:val="20"/>
                <w:szCs w:val="20"/>
              </w:rPr>
            </w:pPr>
            <w:r w:rsidRPr="003727BA">
              <w:rPr>
                <w:sz w:val="20"/>
                <w:szCs w:val="20"/>
              </w:rPr>
              <w:t>2018</w:t>
            </w:r>
          </w:p>
        </w:tc>
        <w:tc>
          <w:tcPr>
            <w:tcW w:w="1383"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6029E" w:rsidRPr="003727BA" w:rsidP="00BB3760">
            <w:pPr>
              <w:bidi w:val="0"/>
              <w:spacing w:after="0" w:line="240" w:lineRule="auto"/>
              <w:jc w:val="center"/>
              <w:rPr>
                <w:sz w:val="20"/>
                <w:szCs w:val="20"/>
              </w:rPr>
            </w:pPr>
            <w:r w:rsidRPr="003727BA">
              <w:rPr>
                <w:sz w:val="20"/>
                <w:szCs w:val="20"/>
              </w:rPr>
              <w:t>2019</w:t>
            </w:r>
          </w:p>
        </w:tc>
      </w:tr>
      <w:tr>
        <w:tblPrEx>
          <w:tblW w:w="0" w:type="auto"/>
          <w:tblLayout w:type="fixed"/>
          <w:tblLook w:val="04A0"/>
        </w:tblPrEx>
        <w:tc>
          <w:tcPr>
            <w:tcW w:w="3369"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6029E" w:rsidRPr="003727BA" w:rsidP="00BB3760">
            <w:pPr>
              <w:bidi w:val="0"/>
              <w:spacing w:after="0" w:line="240" w:lineRule="auto"/>
              <w:jc w:val="both"/>
              <w:rPr>
                <w:b/>
                <w:sz w:val="20"/>
                <w:szCs w:val="20"/>
              </w:rPr>
            </w:pPr>
            <w:r w:rsidRPr="003727BA">
              <w:rPr>
                <w:b/>
                <w:sz w:val="20"/>
                <w:szCs w:val="20"/>
              </w:rPr>
              <w:t>Z dôvodu  zvýšenia peňažného príspevku na opatrovanie</w:t>
            </w:r>
          </w:p>
        </w:tc>
        <w:tc>
          <w:tcPr>
            <w:tcW w:w="1559" w:type="dxa"/>
            <w:tcBorders>
              <w:top w:val="single" w:sz="4" w:space="0" w:color="auto"/>
              <w:left w:val="single" w:sz="4" w:space="0" w:color="auto"/>
              <w:bottom w:val="single" w:sz="4" w:space="0" w:color="auto"/>
              <w:right w:val="single" w:sz="4" w:space="0" w:color="auto"/>
            </w:tcBorders>
            <w:textDirection w:val="lrTb"/>
            <w:vAlign w:val="bottom"/>
          </w:tcPr>
          <w:p w:rsidR="00A6029E" w:rsidRPr="003727BA" w:rsidP="00BB3760">
            <w:pPr>
              <w:bidi w:val="0"/>
              <w:spacing w:after="0" w:line="240" w:lineRule="auto"/>
              <w:jc w:val="center"/>
              <w:rPr>
                <w:sz w:val="20"/>
                <w:szCs w:val="20"/>
              </w:rPr>
            </w:pPr>
            <w:r w:rsidRPr="003727BA">
              <w:rPr>
                <w:sz w:val="20"/>
                <w:szCs w:val="20"/>
              </w:rPr>
              <w:t>0</w:t>
            </w:r>
          </w:p>
        </w:tc>
        <w:tc>
          <w:tcPr>
            <w:tcW w:w="1559" w:type="dxa"/>
            <w:tcBorders>
              <w:top w:val="single" w:sz="4" w:space="0" w:color="auto"/>
              <w:left w:val="single" w:sz="4" w:space="0" w:color="auto"/>
              <w:bottom w:val="single" w:sz="4" w:space="0" w:color="auto"/>
              <w:right w:val="single" w:sz="4" w:space="0" w:color="auto"/>
            </w:tcBorders>
            <w:textDirection w:val="lrTb"/>
            <w:vAlign w:val="bottom"/>
          </w:tcPr>
          <w:p w:rsidR="00A6029E" w:rsidRPr="003727BA" w:rsidP="00D851FF">
            <w:pPr>
              <w:bidi w:val="0"/>
              <w:spacing w:after="0" w:line="240" w:lineRule="auto"/>
              <w:jc w:val="center"/>
              <w:rPr>
                <w:sz w:val="20"/>
                <w:szCs w:val="20"/>
              </w:rPr>
            </w:pPr>
            <w:r w:rsidRPr="003727BA">
              <w:rPr>
                <w:sz w:val="20"/>
                <w:szCs w:val="20"/>
              </w:rPr>
              <w:t>+ 11 </w:t>
            </w:r>
            <w:r w:rsidRPr="003727BA" w:rsidR="00D851FF">
              <w:rPr>
                <w:sz w:val="20"/>
                <w:szCs w:val="20"/>
              </w:rPr>
              <w:t>150</w:t>
            </w:r>
            <w:r w:rsidRPr="003727BA">
              <w:rPr>
                <w:sz w:val="20"/>
                <w:szCs w:val="20"/>
              </w:rPr>
              <w:t xml:space="preserve"> </w:t>
            </w:r>
            <w:r w:rsidRPr="003727BA" w:rsidR="00D851FF">
              <w:rPr>
                <w:sz w:val="20"/>
                <w:szCs w:val="20"/>
              </w:rPr>
              <w:t>100</w:t>
            </w:r>
          </w:p>
        </w:tc>
        <w:tc>
          <w:tcPr>
            <w:tcW w:w="1418" w:type="dxa"/>
            <w:tcBorders>
              <w:top w:val="single" w:sz="4" w:space="0" w:color="auto"/>
              <w:left w:val="single" w:sz="4" w:space="0" w:color="auto"/>
              <w:bottom w:val="single" w:sz="4" w:space="0" w:color="auto"/>
              <w:right w:val="single" w:sz="4" w:space="0" w:color="auto"/>
            </w:tcBorders>
            <w:textDirection w:val="lrTb"/>
            <w:vAlign w:val="bottom"/>
          </w:tcPr>
          <w:p w:rsidR="00A6029E" w:rsidRPr="003727BA" w:rsidP="00D851FF">
            <w:pPr>
              <w:bidi w:val="0"/>
              <w:spacing w:after="0" w:line="240" w:lineRule="auto"/>
              <w:jc w:val="center"/>
              <w:rPr>
                <w:sz w:val="20"/>
                <w:szCs w:val="20"/>
              </w:rPr>
            </w:pPr>
            <w:r w:rsidRPr="003727BA">
              <w:rPr>
                <w:sz w:val="20"/>
                <w:szCs w:val="20"/>
              </w:rPr>
              <w:t>+ 11 </w:t>
            </w:r>
            <w:r w:rsidRPr="003727BA" w:rsidR="00D851FF">
              <w:rPr>
                <w:sz w:val="20"/>
                <w:szCs w:val="20"/>
              </w:rPr>
              <w:t>455</w:t>
            </w:r>
            <w:r w:rsidRPr="003727BA">
              <w:rPr>
                <w:sz w:val="20"/>
                <w:szCs w:val="20"/>
              </w:rPr>
              <w:t xml:space="preserve"> 000</w:t>
            </w:r>
          </w:p>
        </w:tc>
        <w:tc>
          <w:tcPr>
            <w:tcW w:w="1383" w:type="dxa"/>
            <w:tcBorders>
              <w:top w:val="single" w:sz="4" w:space="0" w:color="auto"/>
              <w:left w:val="single" w:sz="4" w:space="0" w:color="auto"/>
              <w:bottom w:val="single" w:sz="4" w:space="0" w:color="auto"/>
              <w:right w:val="single" w:sz="4" w:space="0" w:color="auto"/>
            </w:tcBorders>
            <w:textDirection w:val="lrTb"/>
            <w:vAlign w:val="bottom"/>
          </w:tcPr>
          <w:p w:rsidR="00A6029E" w:rsidRPr="003727BA" w:rsidP="00D851FF">
            <w:pPr>
              <w:bidi w:val="0"/>
              <w:spacing w:after="0" w:line="240" w:lineRule="auto"/>
              <w:jc w:val="center"/>
              <w:rPr>
                <w:sz w:val="20"/>
                <w:szCs w:val="20"/>
              </w:rPr>
            </w:pPr>
            <w:r w:rsidRPr="003727BA">
              <w:rPr>
                <w:sz w:val="20"/>
                <w:szCs w:val="20"/>
              </w:rPr>
              <w:t>+ 12 </w:t>
            </w:r>
            <w:r w:rsidRPr="003727BA" w:rsidR="00D851FF">
              <w:rPr>
                <w:sz w:val="20"/>
                <w:szCs w:val="20"/>
              </w:rPr>
              <w:t>470</w:t>
            </w:r>
            <w:r w:rsidRPr="003727BA">
              <w:rPr>
                <w:sz w:val="20"/>
                <w:szCs w:val="20"/>
              </w:rPr>
              <w:t xml:space="preserve"> 400</w:t>
            </w:r>
          </w:p>
        </w:tc>
      </w:tr>
      <w:tr>
        <w:tblPrEx>
          <w:tblW w:w="0" w:type="auto"/>
          <w:tblLayout w:type="fixed"/>
          <w:tblLook w:val="04A0"/>
        </w:tblPrEx>
        <w:trPr>
          <w:trHeight w:val="440"/>
        </w:trPr>
        <w:tc>
          <w:tcPr>
            <w:tcW w:w="3369"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6029E" w:rsidRPr="003727BA" w:rsidP="00BB3760">
            <w:pPr>
              <w:bidi w:val="0"/>
              <w:spacing w:after="0" w:line="240" w:lineRule="auto"/>
              <w:jc w:val="both"/>
              <w:rPr>
                <w:b/>
                <w:sz w:val="20"/>
                <w:szCs w:val="20"/>
              </w:rPr>
            </w:pPr>
            <w:r w:rsidRPr="003727BA">
              <w:rPr>
                <w:b/>
                <w:sz w:val="20"/>
                <w:szCs w:val="20"/>
              </w:rPr>
              <w:t>Z dôvodu zvýšenie ochrany príjmu    FO s ŤZP</w:t>
            </w:r>
          </w:p>
        </w:tc>
        <w:tc>
          <w:tcPr>
            <w:tcW w:w="1559" w:type="dxa"/>
            <w:tcBorders>
              <w:top w:val="single" w:sz="4" w:space="0" w:color="auto"/>
              <w:left w:val="single" w:sz="4" w:space="0" w:color="auto"/>
              <w:bottom w:val="single" w:sz="4" w:space="0" w:color="auto"/>
              <w:right w:val="single" w:sz="4" w:space="0" w:color="auto"/>
            </w:tcBorders>
            <w:textDirection w:val="lrTb"/>
            <w:vAlign w:val="bottom"/>
          </w:tcPr>
          <w:p w:rsidR="00A6029E" w:rsidRPr="003727BA" w:rsidP="00BB3760">
            <w:pPr>
              <w:bidi w:val="0"/>
              <w:spacing w:after="0" w:line="240" w:lineRule="auto"/>
              <w:jc w:val="center"/>
              <w:rPr>
                <w:sz w:val="20"/>
                <w:szCs w:val="20"/>
              </w:rPr>
            </w:pPr>
            <w:r w:rsidRPr="003727BA">
              <w:rPr>
                <w:sz w:val="20"/>
                <w:szCs w:val="20"/>
              </w:rPr>
              <w:t>0</w:t>
            </w:r>
          </w:p>
        </w:tc>
        <w:tc>
          <w:tcPr>
            <w:tcW w:w="1559" w:type="dxa"/>
            <w:tcBorders>
              <w:top w:val="single" w:sz="4" w:space="0" w:color="auto"/>
              <w:left w:val="single" w:sz="4" w:space="0" w:color="auto"/>
              <w:bottom w:val="single" w:sz="4" w:space="0" w:color="auto"/>
              <w:right w:val="single" w:sz="4" w:space="0" w:color="auto"/>
            </w:tcBorders>
            <w:textDirection w:val="lrTb"/>
            <w:vAlign w:val="bottom"/>
          </w:tcPr>
          <w:p w:rsidR="00A6029E" w:rsidRPr="003727BA" w:rsidP="00567CA3">
            <w:pPr>
              <w:bidi w:val="0"/>
              <w:spacing w:after="0" w:line="240" w:lineRule="auto"/>
              <w:jc w:val="center"/>
              <w:rPr>
                <w:sz w:val="20"/>
                <w:szCs w:val="20"/>
              </w:rPr>
            </w:pPr>
            <w:r w:rsidRPr="003727BA">
              <w:rPr>
                <w:sz w:val="20"/>
                <w:szCs w:val="20"/>
              </w:rPr>
              <w:t>+ 17 </w:t>
            </w:r>
            <w:r w:rsidRPr="003727BA" w:rsidR="00567CA3">
              <w:rPr>
                <w:sz w:val="20"/>
                <w:szCs w:val="20"/>
              </w:rPr>
              <w:t>590</w:t>
            </w:r>
            <w:r w:rsidRPr="003727BA">
              <w:rPr>
                <w:sz w:val="20"/>
                <w:szCs w:val="20"/>
              </w:rPr>
              <w:t xml:space="preserve"> </w:t>
            </w:r>
            <w:r w:rsidRPr="003727BA" w:rsidR="00567CA3">
              <w:rPr>
                <w:sz w:val="20"/>
                <w:szCs w:val="20"/>
              </w:rPr>
              <w:t>452</w:t>
            </w:r>
          </w:p>
        </w:tc>
        <w:tc>
          <w:tcPr>
            <w:tcW w:w="1418" w:type="dxa"/>
            <w:tcBorders>
              <w:top w:val="single" w:sz="4" w:space="0" w:color="auto"/>
              <w:left w:val="single" w:sz="4" w:space="0" w:color="auto"/>
              <w:bottom w:val="single" w:sz="4" w:space="0" w:color="auto"/>
              <w:right w:val="single" w:sz="4" w:space="0" w:color="auto"/>
            </w:tcBorders>
            <w:textDirection w:val="lrTb"/>
            <w:vAlign w:val="bottom"/>
          </w:tcPr>
          <w:p w:rsidR="00A6029E" w:rsidRPr="003727BA" w:rsidP="00567CA3">
            <w:pPr>
              <w:bidi w:val="0"/>
              <w:spacing w:after="0" w:line="240" w:lineRule="auto"/>
              <w:jc w:val="center"/>
              <w:rPr>
                <w:sz w:val="20"/>
                <w:szCs w:val="20"/>
              </w:rPr>
            </w:pPr>
            <w:r w:rsidRPr="003727BA">
              <w:rPr>
                <w:sz w:val="20"/>
                <w:szCs w:val="20"/>
              </w:rPr>
              <w:t>+ 19 3</w:t>
            </w:r>
            <w:r w:rsidRPr="003727BA" w:rsidR="00567CA3">
              <w:rPr>
                <w:sz w:val="20"/>
                <w:szCs w:val="20"/>
              </w:rPr>
              <w:t>25</w:t>
            </w:r>
            <w:r w:rsidRPr="003727BA">
              <w:rPr>
                <w:sz w:val="20"/>
                <w:szCs w:val="20"/>
              </w:rPr>
              <w:t xml:space="preserve"> </w:t>
            </w:r>
            <w:r w:rsidRPr="003727BA" w:rsidR="00567CA3">
              <w:rPr>
                <w:sz w:val="20"/>
                <w:szCs w:val="20"/>
              </w:rPr>
              <w:t>889</w:t>
            </w:r>
          </w:p>
        </w:tc>
        <w:tc>
          <w:tcPr>
            <w:tcW w:w="1383" w:type="dxa"/>
            <w:tcBorders>
              <w:top w:val="single" w:sz="4" w:space="0" w:color="auto"/>
              <w:left w:val="single" w:sz="4" w:space="0" w:color="auto"/>
              <w:bottom w:val="single" w:sz="4" w:space="0" w:color="auto"/>
              <w:right w:val="single" w:sz="4" w:space="0" w:color="auto"/>
            </w:tcBorders>
            <w:textDirection w:val="lrTb"/>
            <w:vAlign w:val="bottom"/>
          </w:tcPr>
          <w:p w:rsidR="00A6029E" w:rsidRPr="003727BA" w:rsidP="00D851FF">
            <w:pPr>
              <w:bidi w:val="0"/>
              <w:spacing w:after="0" w:line="240" w:lineRule="auto"/>
              <w:jc w:val="center"/>
              <w:rPr>
                <w:sz w:val="20"/>
                <w:szCs w:val="20"/>
              </w:rPr>
            </w:pPr>
            <w:r w:rsidRPr="003727BA">
              <w:rPr>
                <w:sz w:val="20"/>
                <w:szCs w:val="20"/>
              </w:rPr>
              <w:t>+ 21</w:t>
            </w:r>
            <w:r w:rsidRPr="003727BA" w:rsidR="00D851FF">
              <w:rPr>
                <w:sz w:val="20"/>
                <w:szCs w:val="20"/>
              </w:rPr>
              <w:t> 433 968</w:t>
            </w:r>
          </w:p>
        </w:tc>
      </w:tr>
      <w:tr>
        <w:tblPrEx>
          <w:tblW w:w="0" w:type="auto"/>
          <w:tblLayout w:type="fixed"/>
          <w:tblLook w:val="04A0"/>
        </w:tblPrEx>
        <w:trPr>
          <w:trHeight w:val="440"/>
        </w:trPr>
        <w:tc>
          <w:tcPr>
            <w:tcW w:w="3369"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82CAF" w:rsidRPr="003727BA" w:rsidP="00BB3760">
            <w:pPr>
              <w:bidi w:val="0"/>
              <w:spacing w:after="0" w:line="240" w:lineRule="auto"/>
              <w:jc w:val="both"/>
              <w:rPr>
                <w:b/>
                <w:sz w:val="20"/>
                <w:szCs w:val="20"/>
              </w:rPr>
            </w:pPr>
            <w:r w:rsidRPr="003727BA">
              <w:rPr>
                <w:rFonts w:ascii="Times New Roman" w:hAnsi="Times New Roman"/>
                <w:b/>
                <w:bCs/>
                <w:sz w:val="20"/>
                <w:szCs w:val="20"/>
              </w:rPr>
              <w:t xml:space="preserve">Peňažné príspevky na kompenzáciu odkázanosti na individuálnu prepravu osobným motorovým vozidlom pre FO s ŤZP s cystickou fibrózou  </w:t>
            </w:r>
          </w:p>
        </w:tc>
        <w:tc>
          <w:tcPr>
            <w:tcW w:w="1559" w:type="dxa"/>
            <w:tcBorders>
              <w:top w:val="single" w:sz="4" w:space="0" w:color="auto"/>
              <w:left w:val="single" w:sz="4" w:space="0" w:color="auto"/>
              <w:bottom w:val="single" w:sz="4" w:space="0" w:color="auto"/>
              <w:right w:val="single" w:sz="4" w:space="0" w:color="auto"/>
            </w:tcBorders>
            <w:textDirection w:val="lrTb"/>
            <w:vAlign w:val="bottom"/>
          </w:tcPr>
          <w:p w:rsidR="00782CAF" w:rsidRPr="003727BA" w:rsidP="00BB3760">
            <w:pPr>
              <w:bidi w:val="0"/>
              <w:spacing w:after="0" w:line="240" w:lineRule="auto"/>
              <w:jc w:val="center"/>
              <w:rPr>
                <w:sz w:val="20"/>
                <w:szCs w:val="20"/>
              </w:rPr>
            </w:pPr>
            <w:r w:rsidRPr="003727BA">
              <w:rPr>
                <w:sz w:val="20"/>
                <w:szCs w:val="20"/>
              </w:rPr>
              <w:t>0</w:t>
            </w:r>
          </w:p>
        </w:tc>
        <w:tc>
          <w:tcPr>
            <w:tcW w:w="1559" w:type="dxa"/>
            <w:tcBorders>
              <w:top w:val="single" w:sz="4" w:space="0" w:color="auto"/>
              <w:left w:val="single" w:sz="4" w:space="0" w:color="auto"/>
              <w:bottom w:val="single" w:sz="4" w:space="0" w:color="auto"/>
              <w:right w:val="single" w:sz="4" w:space="0" w:color="auto"/>
            </w:tcBorders>
            <w:textDirection w:val="lrTb"/>
            <w:vAlign w:val="bottom"/>
          </w:tcPr>
          <w:p w:rsidR="00782CAF" w:rsidRPr="003727BA" w:rsidP="000D6ACD">
            <w:pPr>
              <w:bidi w:val="0"/>
              <w:spacing w:after="0" w:line="240" w:lineRule="auto"/>
              <w:jc w:val="center"/>
              <w:rPr>
                <w:rFonts w:ascii="Arial Narrow" w:hAnsi="Arial Narrow"/>
                <w:bCs/>
                <w:sz w:val="20"/>
                <w:szCs w:val="20"/>
              </w:rPr>
            </w:pPr>
            <w:r w:rsidRPr="003727BA" w:rsidR="00C90CBB">
              <w:rPr>
                <w:rFonts w:ascii="Arial Narrow" w:hAnsi="Arial Narrow"/>
                <w:bCs/>
                <w:sz w:val="20"/>
                <w:szCs w:val="20"/>
              </w:rPr>
              <w:t xml:space="preserve">+ </w:t>
            </w:r>
            <w:r w:rsidRPr="003727BA">
              <w:rPr>
                <w:rFonts w:ascii="Arial Narrow" w:hAnsi="Arial Narrow"/>
                <w:bCs/>
                <w:sz w:val="20"/>
                <w:szCs w:val="20"/>
              </w:rPr>
              <w:t>793 377</w:t>
            </w:r>
          </w:p>
        </w:tc>
        <w:tc>
          <w:tcPr>
            <w:tcW w:w="1418" w:type="dxa"/>
            <w:tcBorders>
              <w:top w:val="single" w:sz="4" w:space="0" w:color="auto"/>
              <w:left w:val="single" w:sz="4" w:space="0" w:color="auto"/>
              <w:bottom w:val="single" w:sz="4" w:space="0" w:color="auto"/>
              <w:right w:val="single" w:sz="4" w:space="0" w:color="auto"/>
            </w:tcBorders>
            <w:textDirection w:val="lrTb"/>
            <w:vAlign w:val="bottom"/>
          </w:tcPr>
          <w:p w:rsidR="00782CAF" w:rsidRPr="003727BA" w:rsidP="000D6ACD">
            <w:pPr>
              <w:bidi w:val="0"/>
              <w:spacing w:after="0" w:line="240" w:lineRule="auto"/>
              <w:jc w:val="center"/>
              <w:rPr>
                <w:rFonts w:ascii="Arial Narrow" w:hAnsi="Arial Narrow"/>
                <w:bCs/>
                <w:sz w:val="20"/>
                <w:szCs w:val="20"/>
              </w:rPr>
            </w:pPr>
            <w:r w:rsidRPr="003727BA" w:rsidR="00C90CBB">
              <w:rPr>
                <w:rFonts w:ascii="Arial Narrow" w:hAnsi="Arial Narrow"/>
                <w:bCs/>
                <w:sz w:val="20"/>
                <w:szCs w:val="20"/>
              </w:rPr>
              <w:t xml:space="preserve">+ </w:t>
            </w:r>
            <w:r w:rsidRPr="003727BA">
              <w:rPr>
                <w:rFonts w:ascii="Arial Narrow" w:hAnsi="Arial Narrow"/>
                <w:bCs/>
                <w:sz w:val="20"/>
                <w:szCs w:val="20"/>
              </w:rPr>
              <w:t>820 231</w:t>
            </w:r>
          </w:p>
        </w:tc>
        <w:tc>
          <w:tcPr>
            <w:tcW w:w="1383" w:type="dxa"/>
            <w:tcBorders>
              <w:top w:val="single" w:sz="4" w:space="0" w:color="auto"/>
              <w:left w:val="single" w:sz="4" w:space="0" w:color="auto"/>
              <w:bottom w:val="single" w:sz="4" w:space="0" w:color="auto"/>
              <w:right w:val="single" w:sz="4" w:space="0" w:color="auto"/>
            </w:tcBorders>
            <w:textDirection w:val="lrTb"/>
            <w:vAlign w:val="bottom"/>
          </w:tcPr>
          <w:p w:rsidR="00782CAF" w:rsidRPr="003727BA" w:rsidP="000D6ACD">
            <w:pPr>
              <w:bidi w:val="0"/>
              <w:spacing w:after="0" w:line="240" w:lineRule="auto"/>
              <w:jc w:val="center"/>
              <w:rPr>
                <w:rFonts w:ascii="Arial Narrow" w:hAnsi="Arial Narrow"/>
                <w:bCs/>
                <w:sz w:val="20"/>
                <w:szCs w:val="20"/>
              </w:rPr>
            </w:pPr>
            <w:r w:rsidRPr="003727BA" w:rsidR="00C90CBB">
              <w:rPr>
                <w:rFonts w:ascii="Arial Narrow" w:hAnsi="Arial Narrow"/>
                <w:bCs/>
                <w:sz w:val="20"/>
                <w:szCs w:val="20"/>
              </w:rPr>
              <w:t xml:space="preserve">+ </w:t>
            </w:r>
            <w:r w:rsidRPr="003727BA">
              <w:rPr>
                <w:rFonts w:ascii="Arial Narrow" w:hAnsi="Arial Narrow"/>
                <w:bCs/>
                <w:sz w:val="20"/>
                <w:szCs w:val="20"/>
              </w:rPr>
              <w:t>841 124</w:t>
            </w:r>
          </w:p>
        </w:tc>
      </w:tr>
      <w:tr>
        <w:tblPrEx>
          <w:tblW w:w="0" w:type="auto"/>
          <w:tblLayout w:type="fixed"/>
          <w:tblLook w:val="04A0"/>
        </w:tblPrEx>
        <w:trPr>
          <w:trHeight w:val="440"/>
        </w:trPr>
        <w:tc>
          <w:tcPr>
            <w:tcW w:w="3369"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82CAF" w:rsidRPr="003727BA" w:rsidP="00BB3760">
            <w:pPr>
              <w:bidi w:val="0"/>
              <w:spacing w:after="0" w:line="240" w:lineRule="auto"/>
              <w:jc w:val="both"/>
              <w:rPr>
                <w:b/>
                <w:sz w:val="20"/>
                <w:szCs w:val="20"/>
              </w:rPr>
            </w:pPr>
            <w:r w:rsidRPr="003727BA">
              <w:rPr>
                <w:b/>
                <w:sz w:val="20"/>
                <w:szCs w:val="20"/>
              </w:rPr>
              <w:t xml:space="preserve">Z dôvodu zrušenia hranice 12 rokov na účely platenia poistného štátom na dôchodkové poistenie </w:t>
            </w:r>
          </w:p>
        </w:tc>
        <w:tc>
          <w:tcPr>
            <w:tcW w:w="1559" w:type="dxa"/>
            <w:tcBorders>
              <w:top w:val="single" w:sz="4" w:space="0" w:color="auto"/>
              <w:left w:val="single" w:sz="4" w:space="0" w:color="auto"/>
              <w:bottom w:val="single" w:sz="4" w:space="0" w:color="auto"/>
              <w:right w:val="single" w:sz="4" w:space="0" w:color="auto"/>
            </w:tcBorders>
            <w:textDirection w:val="lrTb"/>
            <w:vAlign w:val="bottom"/>
          </w:tcPr>
          <w:p w:rsidR="00782CAF" w:rsidRPr="003727BA" w:rsidP="00BB3760">
            <w:pPr>
              <w:bidi w:val="0"/>
              <w:spacing w:after="0" w:line="240" w:lineRule="auto"/>
              <w:jc w:val="center"/>
              <w:rPr>
                <w:sz w:val="20"/>
                <w:szCs w:val="20"/>
              </w:rPr>
            </w:pPr>
            <w:r w:rsidRPr="003727BA">
              <w:rPr>
                <w:sz w:val="20"/>
                <w:szCs w:val="20"/>
              </w:rPr>
              <w:t>0</w:t>
            </w:r>
          </w:p>
        </w:tc>
        <w:tc>
          <w:tcPr>
            <w:tcW w:w="1559" w:type="dxa"/>
            <w:tcBorders>
              <w:top w:val="single" w:sz="4" w:space="0" w:color="auto"/>
              <w:left w:val="single" w:sz="4" w:space="0" w:color="auto"/>
              <w:bottom w:val="single" w:sz="4" w:space="0" w:color="auto"/>
              <w:right w:val="single" w:sz="4" w:space="0" w:color="auto"/>
            </w:tcBorders>
            <w:textDirection w:val="lrTb"/>
            <w:vAlign w:val="bottom"/>
          </w:tcPr>
          <w:p w:rsidR="00782CAF" w:rsidRPr="003727BA" w:rsidP="00BB3760">
            <w:pPr>
              <w:bidi w:val="0"/>
              <w:spacing w:after="0" w:line="240" w:lineRule="auto"/>
              <w:jc w:val="center"/>
              <w:rPr>
                <w:sz w:val="20"/>
                <w:szCs w:val="20"/>
              </w:rPr>
            </w:pPr>
            <w:r w:rsidRPr="003727BA">
              <w:rPr>
                <w:sz w:val="20"/>
                <w:szCs w:val="20"/>
              </w:rPr>
              <w:t>0</w:t>
            </w:r>
          </w:p>
        </w:tc>
        <w:tc>
          <w:tcPr>
            <w:tcW w:w="1418" w:type="dxa"/>
            <w:tcBorders>
              <w:top w:val="single" w:sz="4" w:space="0" w:color="auto"/>
              <w:left w:val="single" w:sz="4" w:space="0" w:color="auto"/>
              <w:bottom w:val="single" w:sz="4" w:space="0" w:color="auto"/>
              <w:right w:val="single" w:sz="4" w:space="0" w:color="auto"/>
            </w:tcBorders>
            <w:textDirection w:val="lrTb"/>
            <w:vAlign w:val="bottom"/>
          </w:tcPr>
          <w:p w:rsidR="00782CAF" w:rsidRPr="003727BA" w:rsidP="00BB3760">
            <w:pPr>
              <w:bidi w:val="0"/>
              <w:spacing w:after="0" w:line="240" w:lineRule="auto"/>
              <w:jc w:val="center"/>
              <w:rPr>
                <w:sz w:val="20"/>
                <w:szCs w:val="20"/>
              </w:rPr>
            </w:pPr>
            <w:r w:rsidRPr="003727BA">
              <w:rPr>
                <w:sz w:val="20"/>
                <w:szCs w:val="20"/>
              </w:rPr>
              <w:t>+ 1 346 549</w:t>
            </w:r>
          </w:p>
        </w:tc>
        <w:tc>
          <w:tcPr>
            <w:tcW w:w="1383" w:type="dxa"/>
            <w:tcBorders>
              <w:top w:val="single" w:sz="4" w:space="0" w:color="auto"/>
              <w:left w:val="single" w:sz="4" w:space="0" w:color="auto"/>
              <w:bottom w:val="single" w:sz="4" w:space="0" w:color="auto"/>
              <w:right w:val="single" w:sz="4" w:space="0" w:color="auto"/>
            </w:tcBorders>
            <w:textDirection w:val="lrTb"/>
            <w:vAlign w:val="bottom"/>
          </w:tcPr>
          <w:p w:rsidR="00782CAF" w:rsidRPr="003727BA" w:rsidP="00BB3760">
            <w:pPr>
              <w:bidi w:val="0"/>
              <w:spacing w:after="0" w:line="240" w:lineRule="auto"/>
              <w:jc w:val="center"/>
              <w:rPr>
                <w:sz w:val="20"/>
                <w:szCs w:val="20"/>
              </w:rPr>
            </w:pPr>
            <w:r w:rsidRPr="003727BA">
              <w:rPr>
                <w:sz w:val="20"/>
                <w:szCs w:val="20"/>
              </w:rPr>
              <w:t xml:space="preserve">+ 6 484 491 </w:t>
            </w:r>
          </w:p>
        </w:tc>
      </w:tr>
      <w:tr>
        <w:tblPrEx>
          <w:tblW w:w="0" w:type="auto"/>
          <w:tblLayout w:type="fixed"/>
          <w:tblLook w:val="04A0"/>
        </w:tblPrEx>
        <w:tc>
          <w:tcPr>
            <w:tcW w:w="3369"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82CAF" w:rsidRPr="003727BA" w:rsidP="00BB3760">
            <w:pPr>
              <w:bidi w:val="0"/>
              <w:spacing w:after="0" w:line="240" w:lineRule="auto"/>
              <w:rPr>
                <w:b/>
                <w:sz w:val="20"/>
                <w:szCs w:val="20"/>
              </w:rPr>
            </w:pPr>
          </w:p>
          <w:p w:rsidR="00782CAF" w:rsidRPr="003727BA" w:rsidP="00BB3760">
            <w:pPr>
              <w:bidi w:val="0"/>
              <w:spacing w:after="0" w:line="240" w:lineRule="auto"/>
              <w:rPr>
                <w:b/>
                <w:sz w:val="20"/>
                <w:szCs w:val="20"/>
              </w:rPr>
            </w:pPr>
            <w:r w:rsidRPr="003727BA">
              <w:rPr>
                <w:b/>
                <w:sz w:val="20"/>
                <w:szCs w:val="20"/>
              </w:rPr>
              <w:t>SPOLU</w:t>
            </w:r>
          </w:p>
        </w:tc>
        <w:tc>
          <w:tcPr>
            <w:tcW w:w="1559" w:type="dxa"/>
            <w:tcBorders>
              <w:top w:val="single" w:sz="4" w:space="0" w:color="auto"/>
              <w:left w:val="single" w:sz="4" w:space="0" w:color="auto"/>
              <w:bottom w:val="single" w:sz="4" w:space="0" w:color="auto"/>
              <w:right w:val="single" w:sz="4" w:space="0" w:color="auto"/>
            </w:tcBorders>
            <w:textDirection w:val="lrTb"/>
            <w:vAlign w:val="bottom"/>
          </w:tcPr>
          <w:p w:rsidR="00782CAF" w:rsidRPr="003727BA" w:rsidP="00BB3760">
            <w:pPr>
              <w:bidi w:val="0"/>
              <w:spacing w:after="0" w:line="240" w:lineRule="auto"/>
              <w:jc w:val="center"/>
              <w:rPr>
                <w:b/>
                <w:sz w:val="20"/>
                <w:szCs w:val="20"/>
              </w:rPr>
            </w:pPr>
            <w:r w:rsidRPr="003727BA">
              <w:rPr>
                <w:b/>
                <w:sz w:val="20"/>
                <w:szCs w:val="20"/>
              </w:rPr>
              <w:t>0</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782CAF" w:rsidRPr="003727BA" w:rsidP="00BB3760">
            <w:pPr>
              <w:bidi w:val="0"/>
              <w:spacing w:after="0" w:line="240" w:lineRule="auto"/>
              <w:jc w:val="center"/>
              <w:rPr>
                <w:b/>
                <w:sz w:val="20"/>
                <w:szCs w:val="20"/>
              </w:rPr>
            </w:pPr>
          </w:p>
          <w:p w:rsidR="00782CAF" w:rsidRPr="003727BA" w:rsidP="00C90CBB">
            <w:pPr>
              <w:bidi w:val="0"/>
              <w:spacing w:after="0" w:line="240" w:lineRule="auto"/>
              <w:jc w:val="center"/>
              <w:rPr>
                <w:b/>
                <w:sz w:val="20"/>
                <w:szCs w:val="20"/>
              </w:rPr>
            </w:pPr>
            <w:r w:rsidRPr="003727BA">
              <w:rPr>
                <w:b/>
                <w:sz w:val="20"/>
                <w:szCs w:val="20"/>
              </w:rPr>
              <w:t>+ 2</w:t>
            </w:r>
            <w:r w:rsidRPr="003727BA" w:rsidR="00C90CBB">
              <w:rPr>
                <w:b/>
                <w:sz w:val="20"/>
                <w:szCs w:val="20"/>
              </w:rPr>
              <w:t>9</w:t>
            </w:r>
            <w:r w:rsidRPr="003727BA">
              <w:rPr>
                <w:b/>
                <w:sz w:val="20"/>
                <w:szCs w:val="20"/>
              </w:rPr>
              <w:t xml:space="preserve"> </w:t>
            </w:r>
            <w:r w:rsidRPr="003727BA" w:rsidR="00C90CBB">
              <w:rPr>
                <w:b/>
                <w:sz w:val="20"/>
                <w:szCs w:val="20"/>
              </w:rPr>
              <w:t>533</w:t>
            </w:r>
            <w:r w:rsidRPr="003727BA">
              <w:rPr>
                <w:b/>
                <w:sz w:val="20"/>
                <w:szCs w:val="20"/>
              </w:rPr>
              <w:t> </w:t>
            </w:r>
            <w:r w:rsidRPr="003727BA" w:rsidR="00C90CBB">
              <w:rPr>
                <w:b/>
                <w:sz w:val="20"/>
                <w:szCs w:val="20"/>
              </w:rPr>
              <w:t>929</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782CAF" w:rsidRPr="003727BA" w:rsidP="00BB3760">
            <w:pPr>
              <w:bidi w:val="0"/>
              <w:spacing w:after="0" w:line="240" w:lineRule="auto"/>
              <w:jc w:val="center"/>
              <w:rPr>
                <w:b/>
                <w:sz w:val="20"/>
                <w:szCs w:val="20"/>
              </w:rPr>
            </w:pPr>
          </w:p>
          <w:p w:rsidR="00782CAF" w:rsidRPr="003727BA" w:rsidP="004B46F9">
            <w:pPr>
              <w:bidi w:val="0"/>
              <w:spacing w:after="0" w:line="240" w:lineRule="auto"/>
              <w:jc w:val="center"/>
              <w:rPr>
                <w:b/>
                <w:sz w:val="20"/>
                <w:szCs w:val="20"/>
              </w:rPr>
            </w:pPr>
            <w:r w:rsidRPr="003727BA">
              <w:rPr>
                <w:b/>
                <w:sz w:val="20"/>
                <w:szCs w:val="20"/>
              </w:rPr>
              <w:t>+ 32 </w:t>
            </w:r>
            <w:r w:rsidRPr="003727BA" w:rsidR="004B46F9">
              <w:rPr>
                <w:b/>
                <w:sz w:val="20"/>
                <w:szCs w:val="20"/>
              </w:rPr>
              <w:t>947</w:t>
            </w:r>
            <w:r w:rsidRPr="003727BA">
              <w:rPr>
                <w:b/>
                <w:sz w:val="20"/>
                <w:szCs w:val="20"/>
              </w:rPr>
              <w:t> </w:t>
            </w:r>
            <w:r w:rsidRPr="003727BA" w:rsidR="004B46F9">
              <w:rPr>
                <w:b/>
                <w:sz w:val="20"/>
                <w:szCs w:val="20"/>
              </w:rPr>
              <w:t>669</w:t>
            </w:r>
          </w:p>
        </w:tc>
        <w:tc>
          <w:tcPr>
            <w:tcW w:w="1383" w:type="dxa"/>
            <w:tcBorders>
              <w:top w:val="single" w:sz="4" w:space="0" w:color="auto"/>
              <w:left w:val="single" w:sz="4" w:space="0" w:color="auto"/>
              <w:bottom w:val="single" w:sz="4" w:space="0" w:color="auto"/>
              <w:right w:val="single" w:sz="4" w:space="0" w:color="auto"/>
            </w:tcBorders>
            <w:textDirection w:val="lrTb"/>
            <w:vAlign w:val="top"/>
          </w:tcPr>
          <w:p w:rsidR="00782CAF" w:rsidRPr="003727BA" w:rsidP="00BB3760">
            <w:pPr>
              <w:bidi w:val="0"/>
              <w:spacing w:after="0" w:line="240" w:lineRule="auto"/>
              <w:jc w:val="center"/>
              <w:rPr>
                <w:b/>
                <w:sz w:val="20"/>
                <w:szCs w:val="20"/>
              </w:rPr>
            </w:pPr>
          </w:p>
          <w:p w:rsidR="00782CAF" w:rsidRPr="003727BA" w:rsidP="004B46F9">
            <w:pPr>
              <w:bidi w:val="0"/>
              <w:spacing w:after="0" w:line="240" w:lineRule="auto"/>
              <w:jc w:val="center"/>
              <w:rPr>
                <w:b/>
                <w:sz w:val="20"/>
                <w:szCs w:val="20"/>
              </w:rPr>
            </w:pPr>
            <w:r w:rsidRPr="003727BA">
              <w:rPr>
                <w:b/>
                <w:sz w:val="20"/>
                <w:szCs w:val="20"/>
              </w:rPr>
              <w:t>+ 4</w:t>
            </w:r>
            <w:r w:rsidRPr="003727BA" w:rsidR="004B46F9">
              <w:rPr>
                <w:b/>
                <w:sz w:val="20"/>
                <w:szCs w:val="20"/>
              </w:rPr>
              <w:t>1</w:t>
            </w:r>
            <w:r w:rsidRPr="003727BA">
              <w:rPr>
                <w:b/>
                <w:sz w:val="20"/>
                <w:szCs w:val="20"/>
              </w:rPr>
              <w:t> </w:t>
            </w:r>
            <w:r w:rsidRPr="003727BA" w:rsidR="004B46F9">
              <w:rPr>
                <w:b/>
                <w:sz w:val="20"/>
                <w:szCs w:val="20"/>
              </w:rPr>
              <w:t>229</w:t>
            </w:r>
            <w:r w:rsidRPr="003727BA">
              <w:rPr>
                <w:b/>
                <w:sz w:val="20"/>
                <w:szCs w:val="20"/>
              </w:rPr>
              <w:t xml:space="preserve"> </w:t>
            </w:r>
            <w:r w:rsidRPr="003727BA" w:rsidR="004B46F9">
              <w:rPr>
                <w:b/>
                <w:sz w:val="20"/>
                <w:szCs w:val="20"/>
              </w:rPr>
              <w:t>983</w:t>
            </w:r>
          </w:p>
        </w:tc>
      </w:tr>
    </w:tbl>
    <w:p w:rsidR="00A6029E" w:rsidRPr="003727BA" w:rsidP="00A6029E">
      <w:pPr>
        <w:bidi w:val="0"/>
        <w:spacing w:after="0" w:line="240" w:lineRule="auto"/>
        <w:ind w:firstLine="708"/>
        <w:jc w:val="center"/>
        <w:rPr>
          <w:rFonts w:ascii="Times New Roman" w:hAnsi="Times New Roman"/>
          <w:sz w:val="24"/>
          <w:szCs w:val="24"/>
          <w:lang w:eastAsia="sk-SK"/>
        </w:rPr>
      </w:pPr>
    </w:p>
    <w:p w:rsidR="00A6029E" w:rsidRPr="003727BA" w:rsidP="00A6029E">
      <w:pPr>
        <w:bidi w:val="0"/>
        <w:spacing w:after="0" w:line="240" w:lineRule="auto"/>
        <w:jc w:val="both"/>
        <w:rPr>
          <w:rFonts w:ascii="Times New Roman" w:hAnsi="Times New Roman"/>
          <w:sz w:val="24"/>
          <w:szCs w:val="24"/>
          <w:lang w:eastAsia="sk-SK"/>
        </w:rPr>
      </w:pPr>
    </w:p>
    <w:p w:rsidR="00A6029E" w:rsidRPr="003727BA" w:rsidP="00A6029E">
      <w:pPr>
        <w:pStyle w:val="NoSpacing"/>
        <w:bidi w:val="0"/>
        <w:jc w:val="both"/>
        <w:rPr>
          <w:rFonts w:ascii="Times New Roman" w:hAnsi="Times New Roman"/>
          <w:sz w:val="24"/>
          <w:szCs w:val="24"/>
        </w:rPr>
      </w:pPr>
      <w:r w:rsidRPr="003727BA">
        <w:rPr>
          <w:rFonts w:ascii="Times New Roman" w:hAnsi="Times New Roman"/>
          <w:sz w:val="24"/>
          <w:szCs w:val="24"/>
        </w:rPr>
        <w:t>Pri odhade vplyvu na rozpočet verejnej správy boli zohľadnené nasledovné ukazovatele:</w:t>
      </w:r>
    </w:p>
    <w:p w:rsidR="00A6029E" w:rsidRPr="003727BA" w:rsidP="00A6029E">
      <w:pPr>
        <w:pStyle w:val="ListParagraph"/>
        <w:bidi w:val="0"/>
        <w:ind w:left="0"/>
        <w:jc w:val="both"/>
        <w:rPr>
          <w:rFonts w:ascii="Times New Roman" w:hAnsi="Times New Roman"/>
          <w:sz w:val="24"/>
          <w:szCs w:val="24"/>
        </w:rPr>
      </w:pPr>
    </w:p>
    <w:p w:rsidR="00A6029E" w:rsidRPr="003727BA" w:rsidP="00A6029E">
      <w:pPr>
        <w:pStyle w:val="ListParagraph"/>
        <w:bidi w:val="0"/>
        <w:spacing w:line="240" w:lineRule="auto"/>
        <w:ind w:left="0"/>
        <w:jc w:val="both"/>
        <w:rPr>
          <w:rFonts w:ascii="Times New Roman" w:hAnsi="Times New Roman"/>
          <w:sz w:val="24"/>
          <w:szCs w:val="24"/>
        </w:rPr>
      </w:pPr>
      <w:r w:rsidRPr="003727BA">
        <w:rPr>
          <w:rFonts w:ascii="Times New Roman" w:hAnsi="Times New Roman"/>
          <w:sz w:val="24"/>
          <w:szCs w:val="24"/>
        </w:rPr>
        <w:t xml:space="preserve">- odhad počtu poberateľov, ktorých sa navrhované zmeny dotknú. Pri odhade boli zohľadnené údaje o počtoch poberateľov z predchádzajúceho obdobia čerpaného z IS RSD MIS, predpokladaný nárast počtu poberateľov o nových, ale aj tých, ktorí sa môžu vrátiť do systému z dôvodu pripravovaných zmien;  </w:t>
      </w:r>
    </w:p>
    <w:p w:rsidR="00A6029E" w:rsidRPr="003727BA" w:rsidP="00A6029E">
      <w:pPr>
        <w:pStyle w:val="NoSpacing"/>
        <w:bidi w:val="0"/>
        <w:jc w:val="both"/>
        <w:rPr>
          <w:rFonts w:ascii="Times New Roman" w:hAnsi="Times New Roman"/>
          <w:sz w:val="24"/>
          <w:szCs w:val="24"/>
        </w:rPr>
      </w:pPr>
      <w:r w:rsidRPr="003727BA">
        <w:rPr>
          <w:rFonts w:ascii="Times New Roman" w:hAnsi="Times New Roman"/>
          <w:sz w:val="24"/>
          <w:szCs w:val="24"/>
        </w:rPr>
        <w:t>- pri vyčíslení predpokladaných finančných vplyvov sa vychádzalo z údajov o čerpaní finančných  prostriedkov z predchádzajúceho obdobia čerpaného z IS RSD MIS a z poslednej (</w:t>
      </w:r>
      <w:r w:rsidRPr="003727BA" w:rsidR="00913F81">
        <w:rPr>
          <w:rFonts w:ascii="Times New Roman" w:hAnsi="Times New Roman"/>
          <w:sz w:val="24"/>
          <w:szCs w:val="24"/>
        </w:rPr>
        <w:t>júnovej</w:t>
      </w:r>
      <w:r w:rsidRPr="003727BA">
        <w:rPr>
          <w:rFonts w:ascii="Times New Roman" w:hAnsi="Times New Roman"/>
          <w:sz w:val="24"/>
          <w:szCs w:val="24"/>
        </w:rPr>
        <w:t>) makroprognózy IFP, podľa ktorej predpokladaná valorizácia sumy životného minima pre jednu plnoletú fyzickú osobu  pre  rok 2017  je to  1,</w:t>
      </w:r>
      <w:r w:rsidRPr="003727BA" w:rsidR="00794583">
        <w:rPr>
          <w:rFonts w:ascii="Times New Roman" w:hAnsi="Times New Roman"/>
          <w:sz w:val="24"/>
          <w:szCs w:val="24"/>
        </w:rPr>
        <w:t>2</w:t>
      </w:r>
      <w:r w:rsidRPr="003727BA">
        <w:rPr>
          <w:rFonts w:ascii="Times New Roman" w:hAnsi="Times New Roman"/>
          <w:sz w:val="24"/>
          <w:szCs w:val="24"/>
        </w:rPr>
        <w:t xml:space="preserve"> %, 1,</w:t>
      </w:r>
      <w:r w:rsidRPr="003727BA" w:rsidR="00794583">
        <w:rPr>
          <w:rFonts w:ascii="Times New Roman" w:hAnsi="Times New Roman"/>
          <w:sz w:val="24"/>
          <w:szCs w:val="24"/>
        </w:rPr>
        <w:t>6</w:t>
      </w:r>
      <w:r w:rsidRPr="003727BA">
        <w:rPr>
          <w:rFonts w:ascii="Times New Roman" w:hAnsi="Times New Roman"/>
          <w:sz w:val="24"/>
          <w:szCs w:val="24"/>
        </w:rPr>
        <w:t xml:space="preserve"> % pre rok  2018  a</w:t>
      </w:r>
      <w:r w:rsidRPr="003727BA" w:rsidR="00794583">
        <w:rPr>
          <w:rFonts w:ascii="Times New Roman" w:hAnsi="Times New Roman"/>
          <w:sz w:val="24"/>
          <w:szCs w:val="24"/>
        </w:rPr>
        <w:t> 1,9</w:t>
      </w:r>
      <w:r w:rsidRPr="003727BA">
        <w:rPr>
          <w:rFonts w:ascii="Times New Roman" w:hAnsi="Times New Roman"/>
          <w:sz w:val="24"/>
          <w:szCs w:val="24"/>
        </w:rPr>
        <w:t xml:space="preserve"> % pre rok 2019;</w:t>
      </w:r>
    </w:p>
    <w:p w:rsidR="00A6029E" w:rsidRPr="003727BA" w:rsidP="00A6029E">
      <w:pPr>
        <w:pStyle w:val="NoSpacing"/>
        <w:bidi w:val="0"/>
        <w:jc w:val="both"/>
        <w:rPr>
          <w:rFonts w:ascii="Times New Roman" w:hAnsi="Times New Roman"/>
          <w:sz w:val="24"/>
          <w:szCs w:val="24"/>
        </w:rPr>
      </w:pPr>
    </w:p>
    <w:p w:rsidR="00A6029E" w:rsidRPr="003727BA" w:rsidP="00A6029E">
      <w:pPr>
        <w:pStyle w:val="NoSpacing"/>
        <w:bidi w:val="0"/>
        <w:jc w:val="both"/>
        <w:rPr>
          <w:rFonts w:ascii="Times New Roman" w:hAnsi="Times New Roman"/>
          <w:sz w:val="24"/>
          <w:szCs w:val="24"/>
        </w:rPr>
      </w:pPr>
      <w:r w:rsidRPr="003727BA">
        <w:rPr>
          <w:rFonts w:ascii="Times New Roman" w:hAnsi="Times New Roman"/>
          <w:sz w:val="24"/>
          <w:szCs w:val="24"/>
        </w:rPr>
        <w:t>- v súlade s makroekonomickou prognózou IFP z</w:t>
      </w:r>
      <w:r w:rsidRPr="003727BA" w:rsidR="00913F81">
        <w:rPr>
          <w:rFonts w:ascii="Times New Roman" w:hAnsi="Times New Roman"/>
          <w:sz w:val="24"/>
          <w:szCs w:val="24"/>
        </w:rPr>
        <w:t>  júna</w:t>
      </w:r>
      <w:r w:rsidRPr="003727BA">
        <w:rPr>
          <w:rFonts w:ascii="Times New Roman" w:hAnsi="Times New Roman"/>
          <w:sz w:val="24"/>
          <w:szCs w:val="24"/>
        </w:rPr>
        <w:t xml:space="preserve"> 2016 sa predpokladá mesačný vymeriavací základ dotknutej skupiny osôb v sume 455,5 eura v roku 2018 a 47</w:t>
      </w:r>
      <w:r w:rsidRPr="003727BA" w:rsidR="00913F81">
        <w:rPr>
          <w:rFonts w:ascii="Times New Roman" w:hAnsi="Times New Roman"/>
          <w:sz w:val="24"/>
          <w:szCs w:val="24"/>
        </w:rPr>
        <w:t>5</w:t>
      </w:r>
      <w:r w:rsidRPr="003727BA">
        <w:rPr>
          <w:rFonts w:ascii="Times New Roman" w:hAnsi="Times New Roman"/>
          <w:sz w:val="24"/>
          <w:szCs w:val="24"/>
        </w:rPr>
        <w:t xml:space="preserve">,0 eura v roku 2019; použitá sadzba štátu na dôchodkové poistenie vo výške 26 %; predpokladá sa  30 % účasť dotknutých osôb v II. kapitalizačnom pilieri. </w:t>
      </w:r>
    </w:p>
    <w:p w:rsidR="00A6029E" w:rsidRPr="003727BA" w:rsidP="00A6029E">
      <w:pPr>
        <w:pStyle w:val="NoSpacing"/>
        <w:bidi w:val="0"/>
        <w:jc w:val="both"/>
        <w:rPr>
          <w:rFonts w:ascii="Times New Roman" w:hAnsi="Times New Roman"/>
          <w:sz w:val="24"/>
          <w:szCs w:val="24"/>
        </w:rPr>
      </w:pPr>
    </w:p>
    <w:p w:rsidR="00A6029E" w:rsidRPr="003727BA" w:rsidP="00A6029E">
      <w:pPr>
        <w:pStyle w:val="NoSpacing"/>
        <w:bidi w:val="0"/>
        <w:jc w:val="both"/>
        <w:rPr>
          <w:rFonts w:ascii="Times New Roman" w:hAnsi="Times New Roman"/>
          <w:sz w:val="24"/>
          <w:szCs w:val="24"/>
        </w:rPr>
      </w:pPr>
    </w:p>
    <w:p w:rsidR="00A6029E" w:rsidRPr="003727BA" w:rsidP="00A6029E">
      <w:pPr>
        <w:pStyle w:val="NoSpacing"/>
        <w:bidi w:val="0"/>
        <w:jc w:val="both"/>
        <w:rPr>
          <w:rFonts w:ascii="Times New Roman" w:hAnsi="Times New Roman"/>
          <w:sz w:val="24"/>
          <w:szCs w:val="24"/>
        </w:rPr>
      </w:pPr>
      <w:r w:rsidRPr="003727BA">
        <w:rPr>
          <w:rFonts w:ascii="Times New Roman" w:hAnsi="Times New Roman"/>
          <w:sz w:val="24"/>
          <w:szCs w:val="24"/>
        </w:rPr>
        <w:t xml:space="preserve">Vplyvy na roky 2017 – 2019 boli odhadované za obdobie zodpovedajúce predpokladanej účinnosti navrhovaných legislatívnych zmien t.j. od 1. 1. 2017. </w:t>
      </w:r>
    </w:p>
    <w:p w:rsidR="00A6029E" w:rsidRPr="003727BA" w:rsidP="00A6029E">
      <w:pPr>
        <w:pStyle w:val="NoSpacing"/>
        <w:bidi w:val="0"/>
        <w:jc w:val="both"/>
        <w:rPr>
          <w:rFonts w:ascii="Times New Roman" w:hAnsi="Times New Roman"/>
          <w:sz w:val="24"/>
          <w:szCs w:val="24"/>
        </w:rPr>
      </w:pPr>
    </w:p>
    <w:p w:rsidR="00A6029E" w:rsidRPr="003727BA" w:rsidP="00A6029E">
      <w:pPr>
        <w:tabs>
          <w:tab w:val="num" w:pos="1080"/>
        </w:tabs>
        <w:bidi w:val="0"/>
        <w:spacing w:after="0" w:line="240" w:lineRule="auto"/>
        <w:jc w:val="both"/>
        <w:rPr>
          <w:rFonts w:ascii="Times New Roman" w:hAnsi="Times New Roman"/>
          <w:bCs/>
          <w:sz w:val="24"/>
          <w:szCs w:val="20"/>
          <w:lang w:eastAsia="sk-SK"/>
        </w:rPr>
        <w:sectPr w:rsidSect="00BB3760">
          <w:headerReference w:type="even" r:id="rId4"/>
          <w:headerReference w:type="default" r:id="rId5"/>
          <w:footerReference w:type="even" r:id="rId6"/>
          <w:footerReference w:type="default" r:id="rId7"/>
          <w:headerReference w:type="first" r:id="rId8"/>
          <w:footerReference w:type="first" r:id="rId9"/>
          <w:pgSz w:w="11906" w:h="16838"/>
          <w:pgMar w:top="1417" w:right="1417" w:bottom="1276" w:left="1417" w:header="708" w:footer="708" w:gutter="0"/>
          <w:lnNumType w:distance="0"/>
          <w:pgNumType w:start="1"/>
          <w:cols w:space="708"/>
          <w:noEndnote w:val="0"/>
          <w:bidi w:val="0"/>
          <w:docGrid w:linePitch="360"/>
        </w:sectPr>
      </w:pPr>
    </w:p>
    <w:p w:rsidR="00A6029E" w:rsidRPr="003727BA" w:rsidP="00A6029E">
      <w:pPr>
        <w:tabs>
          <w:tab w:val="num" w:pos="1080"/>
        </w:tabs>
        <w:bidi w:val="0"/>
        <w:spacing w:after="0" w:line="240" w:lineRule="auto"/>
        <w:jc w:val="right"/>
        <w:rPr>
          <w:rFonts w:ascii="Times New Roman" w:hAnsi="Times New Roman"/>
          <w:bCs/>
          <w:sz w:val="24"/>
          <w:szCs w:val="24"/>
          <w:lang w:eastAsia="sk-SK"/>
        </w:rPr>
      </w:pPr>
      <w:r w:rsidRPr="003727BA">
        <w:rPr>
          <w:rFonts w:ascii="Times New Roman" w:hAnsi="Times New Roman"/>
          <w:bCs/>
          <w:sz w:val="24"/>
          <w:szCs w:val="24"/>
          <w:lang w:eastAsia="sk-SK"/>
        </w:rPr>
        <w:t xml:space="preserve">Tabuľka č. 3 </w:t>
      </w:r>
    </w:p>
    <w:p w:rsidR="00A6029E" w:rsidRPr="003727BA" w:rsidP="00A6029E">
      <w:pPr>
        <w:tabs>
          <w:tab w:val="num" w:pos="1080"/>
        </w:tabs>
        <w:bidi w:val="0"/>
        <w:spacing w:after="0" w:line="240" w:lineRule="auto"/>
        <w:jc w:val="both"/>
        <w:rPr>
          <w:rFonts w:ascii="Times New Roman" w:hAnsi="Times New Roman"/>
          <w:bCs/>
          <w:sz w:val="24"/>
          <w:szCs w:val="20"/>
          <w:lang w:eastAsia="sk-SK"/>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Vplyv na rozpočet Sociálnej poisťovne</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A6029E" w:rsidRPr="003727BA" w:rsidP="00BB3760">
            <w:pPr>
              <w:bidi w:val="0"/>
              <w:spacing w:after="0" w:line="240" w:lineRule="auto"/>
              <w:rPr>
                <w:rFonts w:ascii="Times New Roman" w:hAnsi="Times New Roman"/>
                <w:b/>
                <w:bCs/>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2016</w:t>
            </w:r>
          </w:p>
        </w:tc>
        <w:tc>
          <w:tcPr>
            <w:tcW w:w="1500" w:type="dxa"/>
            <w:tcBorders>
              <w:top w:val="nil"/>
              <w:left w:val="nil"/>
              <w:bottom w:val="single" w:sz="4" w:space="0" w:color="auto"/>
              <w:right w:val="single" w:sz="4" w:space="0" w:color="auto"/>
            </w:tcBorders>
            <w:shd w:val="clear" w:color="auto" w:fill="BFBFBF"/>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2017</w:t>
            </w:r>
          </w:p>
        </w:tc>
        <w:tc>
          <w:tcPr>
            <w:tcW w:w="1500" w:type="dxa"/>
            <w:tcBorders>
              <w:top w:val="nil"/>
              <w:left w:val="nil"/>
              <w:bottom w:val="single" w:sz="4" w:space="0" w:color="auto"/>
              <w:right w:val="single" w:sz="4" w:space="0" w:color="auto"/>
            </w:tcBorders>
            <w:shd w:val="clear" w:color="auto" w:fill="BFBFBF"/>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2019</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A6029E" w:rsidRPr="003727BA" w:rsidP="00BB3760">
            <w:pPr>
              <w:bidi w:val="0"/>
              <w:spacing w:after="0" w:line="240" w:lineRule="auto"/>
              <w:rPr>
                <w:rFonts w:ascii="Times New Roman" w:hAnsi="Times New Roman"/>
                <w:b/>
                <w:bCs/>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A6029E" w:rsidRPr="003727BA" w:rsidP="00BB3760">
            <w:pPr>
              <w:bidi w:val="0"/>
              <w:spacing w:after="0" w:line="240" w:lineRule="auto"/>
              <w:rPr>
                <w:rFonts w:ascii="Times New Roman" w:hAnsi="Times New Roman"/>
                <w:b/>
                <w:bCs/>
                <w:vertAlign w:val="superscript"/>
                <w:lang w:eastAsia="sk-SK"/>
              </w:rPr>
            </w:pPr>
            <w:r w:rsidRPr="003727BA">
              <w:rPr>
                <w:rFonts w:ascii="Times New Roman" w:hAnsi="Times New Roman"/>
                <w:b/>
                <w:bCs/>
                <w:lang w:eastAsia="sk-SK"/>
              </w:rPr>
              <w:t>Daňové príjmy (100)</w:t>
            </w:r>
            <w:r w:rsidRPr="003727BA">
              <w:rPr>
                <w:rFonts w:ascii="Times New Roman" w:hAnsi="Times New Roman"/>
                <w:b/>
                <w:bCs/>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0</w:t>
            </w:r>
          </w:p>
        </w:tc>
        <w:tc>
          <w:tcPr>
            <w:tcW w:w="1500"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0</w:t>
            </w:r>
          </w:p>
        </w:tc>
        <w:tc>
          <w:tcPr>
            <w:tcW w:w="1500"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1 276 632</w:t>
            </w:r>
          </w:p>
        </w:tc>
        <w:tc>
          <w:tcPr>
            <w:tcW w:w="1500"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6</w:t>
            </w:r>
            <w:r w:rsidRPr="003727BA" w:rsidR="00EB19DC">
              <w:rPr>
                <w:rFonts w:ascii="Times New Roman" w:hAnsi="Times New Roman"/>
                <w:b/>
                <w:bCs/>
                <w:lang w:eastAsia="sk-SK"/>
              </w:rPr>
              <w:t> </w:t>
            </w:r>
            <w:r w:rsidRPr="003727BA">
              <w:rPr>
                <w:rFonts w:ascii="Times New Roman" w:hAnsi="Times New Roman"/>
                <w:b/>
                <w:bCs/>
                <w:lang w:eastAsia="sk-SK"/>
              </w:rPr>
              <w:t>1</w:t>
            </w:r>
            <w:r w:rsidRPr="003727BA" w:rsidR="00EB19DC">
              <w:rPr>
                <w:rFonts w:ascii="Times New Roman" w:hAnsi="Times New Roman"/>
                <w:b/>
                <w:bCs/>
                <w:lang w:eastAsia="sk-SK"/>
              </w:rPr>
              <w:t>29 091</w:t>
            </w:r>
          </w:p>
        </w:tc>
        <w:tc>
          <w:tcPr>
            <w:tcW w:w="3000" w:type="dxa"/>
            <w:tcBorders>
              <w:top w:val="nil"/>
              <w:left w:val="nil"/>
              <w:bottom w:val="single" w:sz="4" w:space="0" w:color="auto"/>
              <w:right w:val="single" w:sz="4" w:space="0" w:color="auto"/>
            </w:tcBorders>
            <w:noWrap/>
            <w:textDirection w:val="lrTb"/>
            <w:vAlign w:val="bottom"/>
          </w:tcPr>
          <w:p w:rsidR="00A6029E" w:rsidRPr="003727BA" w:rsidP="00BB3760">
            <w:pPr>
              <w:bidi w:val="0"/>
              <w:spacing w:after="0" w:line="240" w:lineRule="auto"/>
              <w:rPr>
                <w:rFonts w:ascii="Times New Roman" w:hAnsi="Times New Roman"/>
                <w:lang w:eastAsia="sk-SK"/>
              </w:rPr>
            </w:pPr>
            <w:r w:rsidRPr="003727BA">
              <w:rPr>
                <w:rFonts w:ascii="Times New Roman" w:hAnsi="Times New Roman"/>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A6029E" w:rsidRPr="003727BA" w:rsidP="00BB3760">
            <w:pPr>
              <w:bidi w:val="0"/>
              <w:spacing w:after="0" w:line="240" w:lineRule="auto"/>
              <w:rPr>
                <w:rFonts w:ascii="Times New Roman" w:hAnsi="Times New Roman"/>
                <w:bCs/>
                <w:i/>
                <w:lang w:eastAsia="sk-SK"/>
              </w:rPr>
            </w:pPr>
            <w:r w:rsidRPr="003727BA">
              <w:rPr>
                <w:rFonts w:ascii="Times New Roman" w:hAnsi="Times New Roman"/>
                <w:bCs/>
                <w:i/>
                <w:lang w:eastAsia="sk-SK"/>
              </w:rPr>
              <w:t>Poistné (150)</w:t>
            </w:r>
          </w:p>
        </w:tc>
        <w:tc>
          <w:tcPr>
            <w:tcW w:w="1500"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Cs/>
                <w:i/>
                <w:lang w:eastAsia="sk-SK"/>
              </w:rPr>
            </w:pPr>
            <w:r w:rsidRPr="003727BA">
              <w:rPr>
                <w:rFonts w:ascii="Times New Roman" w:hAnsi="Times New Roman"/>
                <w:bCs/>
                <w:i/>
                <w:lang w:eastAsia="sk-SK"/>
              </w:rPr>
              <w:t>0</w:t>
            </w:r>
          </w:p>
        </w:tc>
        <w:tc>
          <w:tcPr>
            <w:tcW w:w="1500"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Cs/>
                <w:i/>
                <w:lang w:eastAsia="sk-SK"/>
              </w:rPr>
            </w:pPr>
            <w:r w:rsidRPr="003727BA">
              <w:rPr>
                <w:rFonts w:ascii="Times New Roman" w:hAnsi="Times New Roman"/>
                <w:bCs/>
                <w:i/>
                <w:lang w:eastAsia="sk-SK"/>
              </w:rPr>
              <w:t>0</w:t>
            </w:r>
          </w:p>
        </w:tc>
        <w:tc>
          <w:tcPr>
            <w:tcW w:w="1500"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Cs/>
                <w:i/>
                <w:lang w:eastAsia="sk-SK"/>
              </w:rPr>
            </w:pPr>
            <w:r w:rsidRPr="003727BA">
              <w:rPr>
                <w:rFonts w:ascii="Times New Roman" w:hAnsi="Times New Roman"/>
                <w:bCs/>
                <w:i/>
                <w:lang w:eastAsia="sk-SK"/>
              </w:rPr>
              <w:t>1 276 632</w:t>
            </w:r>
          </w:p>
        </w:tc>
        <w:tc>
          <w:tcPr>
            <w:tcW w:w="1500"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Cs/>
                <w:i/>
                <w:lang w:eastAsia="sk-SK"/>
              </w:rPr>
            </w:pPr>
            <w:r w:rsidRPr="003727BA">
              <w:rPr>
                <w:rFonts w:ascii="Times New Roman" w:hAnsi="Times New Roman"/>
                <w:bCs/>
                <w:i/>
                <w:lang w:eastAsia="sk-SK"/>
              </w:rPr>
              <w:t>6</w:t>
            </w:r>
            <w:r w:rsidRPr="003727BA" w:rsidR="00EB19DC">
              <w:rPr>
                <w:rFonts w:ascii="Times New Roman" w:hAnsi="Times New Roman"/>
                <w:bCs/>
                <w:i/>
                <w:lang w:eastAsia="sk-SK"/>
              </w:rPr>
              <w:t> </w:t>
            </w:r>
            <w:r w:rsidRPr="003727BA">
              <w:rPr>
                <w:rFonts w:ascii="Times New Roman" w:hAnsi="Times New Roman"/>
                <w:bCs/>
                <w:i/>
                <w:lang w:eastAsia="sk-SK"/>
              </w:rPr>
              <w:t>1</w:t>
            </w:r>
            <w:r w:rsidRPr="003727BA" w:rsidR="00EB19DC">
              <w:rPr>
                <w:rFonts w:ascii="Times New Roman" w:hAnsi="Times New Roman"/>
                <w:bCs/>
                <w:i/>
                <w:lang w:eastAsia="sk-SK"/>
              </w:rPr>
              <w:t>29 091</w:t>
            </w:r>
          </w:p>
        </w:tc>
        <w:tc>
          <w:tcPr>
            <w:tcW w:w="3000" w:type="dxa"/>
            <w:tcBorders>
              <w:top w:val="nil"/>
              <w:left w:val="nil"/>
              <w:bottom w:val="single" w:sz="4" w:space="0" w:color="auto"/>
              <w:right w:val="single" w:sz="4" w:space="0" w:color="auto"/>
            </w:tcBorders>
            <w:noWrap/>
            <w:textDirection w:val="lrTb"/>
            <w:vAlign w:val="bottom"/>
          </w:tcPr>
          <w:p w:rsidR="00A6029E" w:rsidRPr="003727BA" w:rsidP="00BB3760">
            <w:pPr>
              <w:bidi w:val="0"/>
              <w:spacing w:after="0" w:line="240" w:lineRule="auto"/>
              <w:rPr>
                <w:rFonts w:ascii="Times New Roman" w:hAnsi="Times New Roman"/>
                <w:i/>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A6029E" w:rsidRPr="003727BA" w:rsidP="00BB3760">
            <w:pPr>
              <w:bidi w:val="0"/>
              <w:spacing w:after="0" w:line="240" w:lineRule="auto"/>
              <w:rPr>
                <w:rFonts w:ascii="Times New Roman" w:hAnsi="Times New Roman"/>
                <w:bCs/>
                <w:lang w:eastAsia="sk-SK"/>
              </w:rPr>
            </w:pPr>
            <w:r w:rsidRPr="003727BA">
              <w:rPr>
                <w:rFonts w:ascii="Times New Roman" w:hAnsi="Times New Roman"/>
                <w:bCs/>
                <w:lang w:eastAsia="sk-SK"/>
              </w:rPr>
              <w:t>Poistné na starobné poistenie (152), Poistné do rezervného fondu solidarity (157), Poistné na invalidné poistenie (158)</w:t>
            </w:r>
          </w:p>
        </w:tc>
        <w:tc>
          <w:tcPr>
            <w:tcW w:w="1500"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Cs/>
                <w:lang w:eastAsia="sk-SK"/>
              </w:rPr>
            </w:pPr>
          </w:p>
          <w:p w:rsidR="00A6029E" w:rsidRPr="003727BA" w:rsidP="00BB3760">
            <w:pPr>
              <w:bidi w:val="0"/>
              <w:spacing w:after="0" w:line="240" w:lineRule="auto"/>
              <w:jc w:val="center"/>
              <w:rPr>
                <w:rFonts w:ascii="Times New Roman" w:hAnsi="Times New Roman"/>
                <w:bCs/>
                <w:lang w:eastAsia="sk-SK"/>
              </w:rPr>
            </w:pPr>
            <w:r w:rsidRPr="003727BA">
              <w:rPr>
                <w:rFonts w:ascii="Times New Roman" w:hAnsi="Times New Roman"/>
                <w:bCs/>
                <w:lang w:eastAsia="sk-SK"/>
              </w:rPr>
              <w:t>0</w:t>
            </w:r>
          </w:p>
        </w:tc>
        <w:tc>
          <w:tcPr>
            <w:tcW w:w="1500"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Cs/>
                <w:lang w:eastAsia="sk-SK"/>
              </w:rPr>
            </w:pPr>
          </w:p>
          <w:p w:rsidR="00A6029E" w:rsidRPr="003727BA" w:rsidP="00BB3760">
            <w:pPr>
              <w:bidi w:val="0"/>
              <w:spacing w:after="0" w:line="240" w:lineRule="auto"/>
              <w:jc w:val="center"/>
              <w:rPr>
                <w:rFonts w:ascii="Times New Roman" w:hAnsi="Times New Roman"/>
                <w:bCs/>
                <w:lang w:eastAsia="sk-SK"/>
              </w:rPr>
            </w:pPr>
            <w:r w:rsidRPr="003727BA">
              <w:rPr>
                <w:rFonts w:ascii="Times New Roman" w:hAnsi="Times New Roman"/>
                <w:bCs/>
                <w:lang w:eastAsia="sk-SK"/>
              </w:rPr>
              <w:t>0</w:t>
            </w:r>
          </w:p>
        </w:tc>
        <w:tc>
          <w:tcPr>
            <w:tcW w:w="1500"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Cs/>
                <w:lang w:eastAsia="sk-SK"/>
              </w:rPr>
            </w:pPr>
          </w:p>
          <w:p w:rsidR="00A6029E" w:rsidRPr="003727BA" w:rsidP="00BB3760">
            <w:pPr>
              <w:bidi w:val="0"/>
              <w:spacing w:after="0" w:line="240" w:lineRule="auto"/>
              <w:jc w:val="center"/>
              <w:rPr>
                <w:rFonts w:ascii="Times New Roman" w:hAnsi="Times New Roman"/>
                <w:bCs/>
                <w:lang w:eastAsia="sk-SK"/>
              </w:rPr>
            </w:pPr>
            <w:r w:rsidRPr="003727BA">
              <w:rPr>
                <w:rFonts w:ascii="Times New Roman" w:hAnsi="Times New Roman"/>
                <w:bCs/>
                <w:lang w:eastAsia="sk-SK"/>
              </w:rPr>
              <w:t>1 276 632</w:t>
            </w:r>
          </w:p>
        </w:tc>
        <w:tc>
          <w:tcPr>
            <w:tcW w:w="1500"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Cs/>
                <w:lang w:eastAsia="sk-SK"/>
              </w:rPr>
            </w:pPr>
          </w:p>
          <w:p w:rsidR="00A6029E" w:rsidRPr="003727BA" w:rsidP="00BB3760">
            <w:pPr>
              <w:bidi w:val="0"/>
              <w:spacing w:after="0" w:line="240" w:lineRule="auto"/>
              <w:jc w:val="center"/>
              <w:rPr>
                <w:rFonts w:ascii="Times New Roman" w:hAnsi="Times New Roman"/>
                <w:bCs/>
                <w:lang w:eastAsia="sk-SK"/>
              </w:rPr>
            </w:pPr>
            <w:r w:rsidRPr="003727BA">
              <w:rPr>
                <w:rFonts w:ascii="Times New Roman" w:hAnsi="Times New Roman"/>
                <w:bCs/>
                <w:lang w:eastAsia="sk-SK"/>
              </w:rPr>
              <w:t>6</w:t>
            </w:r>
            <w:r w:rsidRPr="003727BA" w:rsidR="00EB19DC">
              <w:rPr>
                <w:rFonts w:ascii="Times New Roman" w:hAnsi="Times New Roman"/>
                <w:bCs/>
                <w:lang w:eastAsia="sk-SK"/>
              </w:rPr>
              <w:t> </w:t>
            </w:r>
            <w:r w:rsidRPr="003727BA">
              <w:rPr>
                <w:rFonts w:ascii="Times New Roman" w:hAnsi="Times New Roman"/>
                <w:bCs/>
                <w:lang w:eastAsia="sk-SK"/>
              </w:rPr>
              <w:t>1</w:t>
            </w:r>
            <w:r w:rsidRPr="003727BA" w:rsidR="00EB19DC">
              <w:rPr>
                <w:rFonts w:ascii="Times New Roman" w:hAnsi="Times New Roman"/>
                <w:bCs/>
                <w:lang w:eastAsia="sk-SK"/>
              </w:rPr>
              <w:t>29 091</w:t>
            </w:r>
          </w:p>
        </w:tc>
        <w:tc>
          <w:tcPr>
            <w:tcW w:w="3000" w:type="dxa"/>
            <w:tcBorders>
              <w:top w:val="nil"/>
              <w:left w:val="nil"/>
              <w:bottom w:val="single" w:sz="4" w:space="0" w:color="auto"/>
              <w:right w:val="single" w:sz="4" w:space="0" w:color="auto"/>
            </w:tcBorders>
            <w:noWrap/>
            <w:textDirection w:val="lrTb"/>
            <w:vAlign w:val="bottom"/>
          </w:tcPr>
          <w:p w:rsidR="00A6029E" w:rsidRPr="003727BA" w:rsidP="00BB3760">
            <w:pPr>
              <w:bidi w:val="0"/>
              <w:spacing w:after="0" w:line="240" w:lineRule="auto"/>
              <w:rPr>
                <w:rFonts w:ascii="Times New Roman" w:hAnsi="Times New Roman"/>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A6029E" w:rsidRPr="003727BA" w:rsidP="00BB3760">
            <w:pPr>
              <w:bidi w:val="0"/>
              <w:spacing w:after="0" w:line="240" w:lineRule="auto"/>
              <w:rPr>
                <w:rFonts w:ascii="Times New Roman" w:hAnsi="Times New Roman"/>
                <w:b/>
                <w:bCs/>
                <w:lang w:eastAsia="sk-SK"/>
              </w:rPr>
            </w:pPr>
            <w:r w:rsidRPr="003727BA">
              <w:rPr>
                <w:rFonts w:ascii="Times New Roman" w:hAnsi="Times New Roman"/>
                <w:b/>
                <w:bCs/>
                <w:lang w:eastAsia="sk-SK"/>
              </w:rPr>
              <w:t>Nedaňové príjmy (200)</w:t>
            </w:r>
            <w:r w:rsidRPr="003727BA">
              <w:rPr>
                <w:rFonts w:ascii="Times New Roman" w:hAnsi="Times New Roman"/>
                <w:b/>
                <w:bCs/>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lang w:eastAsia="sk-SK"/>
              </w:rPr>
            </w:pPr>
          </w:p>
        </w:tc>
        <w:tc>
          <w:tcPr>
            <w:tcW w:w="1500"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lang w:eastAsia="sk-SK"/>
              </w:rPr>
            </w:pPr>
          </w:p>
        </w:tc>
        <w:tc>
          <w:tcPr>
            <w:tcW w:w="1500"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lang w:eastAsia="sk-SK"/>
              </w:rPr>
            </w:pPr>
          </w:p>
        </w:tc>
        <w:tc>
          <w:tcPr>
            <w:tcW w:w="1500"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lang w:eastAsia="sk-SK"/>
              </w:rPr>
            </w:pPr>
          </w:p>
        </w:tc>
        <w:tc>
          <w:tcPr>
            <w:tcW w:w="3000" w:type="dxa"/>
            <w:tcBorders>
              <w:top w:val="nil"/>
              <w:left w:val="nil"/>
              <w:bottom w:val="single" w:sz="4" w:space="0" w:color="auto"/>
              <w:right w:val="single" w:sz="4" w:space="0" w:color="auto"/>
            </w:tcBorders>
            <w:noWrap/>
            <w:textDirection w:val="lrTb"/>
            <w:vAlign w:val="bottom"/>
          </w:tcPr>
          <w:p w:rsidR="00A6029E" w:rsidRPr="003727BA" w:rsidP="00BB3760">
            <w:pPr>
              <w:bidi w:val="0"/>
              <w:spacing w:after="0" w:line="240" w:lineRule="auto"/>
              <w:rPr>
                <w:rFonts w:ascii="Times New Roman" w:hAnsi="Times New Roman"/>
                <w:lang w:eastAsia="sk-SK"/>
              </w:rPr>
            </w:pPr>
            <w:r w:rsidRPr="003727BA">
              <w:rPr>
                <w:rFonts w:ascii="Times New Roman" w:hAnsi="Times New Roman"/>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A6029E" w:rsidRPr="003727BA" w:rsidP="00BB3760">
            <w:pPr>
              <w:bidi w:val="0"/>
              <w:spacing w:after="0" w:line="240" w:lineRule="auto"/>
              <w:rPr>
                <w:rFonts w:ascii="Times New Roman" w:hAnsi="Times New Roman"/>
                <w:b/>
                <w:bCs/>
                <w:lang w:eastAsia="sk-SK"/>
              </w:rPr>
            </w:pPr>
            <w:r w:rsidRPr="003727BA">
              <w:rPr>
                <w:rFonts w:ascii="Times New Roman" w:hAnsi="Times New Roman"/>
                <w:b/>
                <w:bCs/>
                <w:lang w:eastAsia="sk-SK"/>
              </w:rPr>
              <w:t>Granty a transfery (300)</w:t>
            </w:r>
            <w:r w:rsidRPr="003727BA">
              <w:rPr>
                <w:rFonts w:ascii="Times New Roman" w:hAnsi="Times New Roman"/>
                <w:b/>
                <w:bCs/>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lang w:eastAsia="sk-SK"/>
              </w:rPr>
            </w:pPr>
          </w:p>
        </w:tc>
        <w:tc>
          <w:tcPr>
            <w:tcW w:w="1500"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lang w:eastAsia="sk-SK"/>
              </w:rPr>
            </w:pPr>
          </w:p>
        </w:tc>
        <w:tc>
          <w:tcPr>
            <w:tcW w:w="1500"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lang w:eastAsia="sk-SK"/>
              </w:rPr>
            </w:pPr>
          </w:p>
        </w:tc>
        <w:tc>
          <w:tcPr>
            <w:tcW w:w="1500"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lang w:eastAsia="sk-SK"/>
              </w:rPr>
            </w:pPr>
          </w:p>
        </w:tc>
        <w:tc>
          <w:tcPr>
            <w:tcW w:w="3000" w:type="dxa"/>
            <w:tcBorders>
              <w:top w:val="nil"/>
              <w:left w:val="nil"/>
              <w:bottom w:val="single" w:sz="4" w:space="0" w:color="auto"/>
              <w:right w:val="single" w:sz="4" w:space="0" w:color="auto"/>
            </w:tcBorders>
            <w:noWrap/>
            <w:textDirection w:val="lrTb"/>
            <w:vAlign w:val="bottom"/>
          </w:tcPr>
          <w:p w:rsidR="00A6029E" w:rsidRPr="003727BA" w:rsidP="00BB3760">
            <w:pPr>
              <w:bidi w:val="0"/>
              <w:spacing w:after="0" w:line="240" w:lineRule="auto"/>
              <w:rPr>
                <w:rFonts w:ascii="Times New Roman" w:hAnsi="Times New Roman"/>
                <w:lang w:eastAsia="sk-SK"/>
              </w:rPr>
            </w:pPr>
            <w:r w:rsidRPr="003727BA">
              <w:rPr>
                <w:rFonts w:ascii="Times New Roman" w:hAnsi="Times New Roman"/>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A6029E" w:rsidRPr="003727BA" w:rsidP="00BB3760">
            <w:pPr>
              <w:bidi w:val="0"/>
              <w:spacing w:after="0" w:line="240" w:lineRule="auto"/>
              <w:rPr>
                <w:rFonts w:ascii="Times New Roman" w:hAnsi="Times New Roman"/>
                <w:b/>
                <w:bCs/>
                <w:lang w:eastAsia="sk-SK"/>
              </w:rPr>
            </w:pPr>
            <w:r w:rsidRPr="003727BA">
              <w:rPr>
                <w:rFonts w:ascii="Times New Roman" w:hAnsi="Times New Roman"/>
                <w:b/>
                <w:bCs/>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 </w:t>
            </w:r>
          </w:p>
        </w:tc>
        <w:tc>
          <w:tcPr>
            <w:tcW w:w="3000" w:type="dxa"/>
            <w:tcBorders>
              <w:top w:val="nil"/>
              <w:left w:val="nil"/>
              <w:bottom w:val="single" w:sz="4" w:space="0" w:color="auto"/>
              <w:right w:val="single" w:sz="4" w:space="0" w:color="auto"/>
            </w:tcBorders>
            <w:noWrap/>
            <w:textDirection w:val="lrTb"/>
            <w:vAlign w:val="bottom"/>
          </w:tcPr>
          <w:p w:rsidR="00A6029E" w:rsidRPr="003727BA" w:rsidP="00BB3760">
            <w:pPr>
              <w:bidi w:val="0"/>
              <w:spacing w:after="0" w:line="240" w:lineRule="auto"/>
              <w:rPr>
                <w:rFonts w:ascii="Times New Roman" w:hAnsi="Times New Roman"/>
                <w:lang w:eastAsia="sk-SK"/>
              </w:rPr>
            </w:pPr>
            <w:r w:rsidRPr="003727BA">
              <w:rPr>
                <w:rFonts w:ascii="Times New Roman" w:hAnsi="Times New Roman"/>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A6029E" w:rsidRPr="003727BA" w:rsidP="00BB3760">
            <w:pPr>
              <w:bidi w:val="0"/>
              <w:spacing w:after="0" w:line="240" w:lineRule="auto"/>
              <w:rPr>
                <w:rFonts w:ascii="Times New Roman" w:hAnsi="Times New Roman"/>
                <w:b/>
                <w:bCs/>
                <w:lang w:eastAsia="sk-SK"/>
              </w:rPr>
            </w:pPr>
            <w:r w:rsidRPr="003727BA">
              <w:rPr>
                <w:rFonts w:ascii="Times New Roman" w:hAnsi="Times New Roman"/>
                <w:b/>
                <w:bCs/>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 </w:t>
            </w:r>
          </w:p>
        </w:tc>
        <w:tc>
          <w:tcPr>
            <w:tcW w:w="3000" w:type="dxa"/>
            <w:tcBorders>
              <w:top w:val="nil"/>
              <w:left w:val="nil"/>
              <w:bottom w:val="single" w:sz="4" w:space="0" w:color="auto"/>
              <w:right w:val="single" w:sz="4" w:space="0" w:color="auto"/>
            </w:tcBorders>
            <w:noWrap/>
            <w:textDirection w:val="lrTb"/>
            <w:vAlign w:val="bottom"/>
          </w:tcPr>
          <w:p w:rsidR="00A6029E" w:rsidRPr="003727BA" w:rsidP="00BB3760">
            <w:pPr>
              <w:bidi w:val="0"/>
              <w:spacing w:after="0" w:line="240" w:lineRule="auto"/>
              <w:rPr>
                <w:rFonts w:ascii="Times New Roman" w:hAnsi="Times New Roman"/>
                <w:lang w:eastAsia="sk-SK"/>
              </w:rPr>
            </w:pPr>
            <w:r w:rsidRPr="003727BA">
              <w:rPr>
                <w:rFonts w:ascii="Times New Roman" w:hAnsi="Times New Roman"/>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A6029E" w:rsidRPr="003727BA" w:rsidP="00BB3760">
            <w:pPr>
              <w:bidi w:val="0"/>
              <w:spacing w:after="0" w:line="240" w:lineRule="auto"/>
              <w:rPr>
                <w:rFonts w:ascii="Times New Roman" w:hAnsi="Times New Roman"/>
                <w:b/>
                <w:bCs/>
                <w:lang w:eastAsia="sk-SK"/>
              </w:rPr>
            </w:pPr>
            <w:r w:rsidRPr="003727BA">
              <w:rPr>
                <w:rFonts w:ascii="Times New Roman" w:hAnsi="Times New Roman"/>
                <w:b/>
                <w:bCs/>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1 276 632</w:t>
            </w:r>
          </w:p>
        </w:tc>
        <w:tc>
          <w:tcPr>
            <w:tcW w:w="1500" w:type="dxa"/>
            <w:tcBorders>
              <w:top w:val="nil"/>
              <w:left w:val="nil"/>
              <w:bottom w:val="single" w:sz="4" w:space="0" w:color="auto"/>
              <w:right w:val="single" w:sz="4" w:space="0" w:color="auto"/>
            </w:tcBorders>
            <w:shd w:val="clear" w:color="auto" w:fill="BFBFBF"/>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6</w:t>
            </w:r>
            <w:r w:rsidRPr="003727BA" w:rsidR="00EB19DC">
              <w:rPr>
                <w:rFonts w:ascii="Times New Roman" w:hAnsi="Times New Roman"/>
                <w:b/>
                <w:bCs/>
                <w:lang w:eastAsia="sk-SK"/>
              </w:rPr>
              <w:t> </w:t>
            </w:r>
            <w:r w:rsidRPr="003727BA">
              <w:rPr>
                <w:rFonts w:ascii="Times New Roman" w:hAnsi="Times New Roman"/>
                <w:b/>
                <w:bCs/>
                <w:lang w:eastAsia="sk-SK"/>
              </w:rPr>
              <w:t>1</w:t>
            </w:r>
            <w:r w:rsidRPr="003727BA" w:rsidR="00EB19DC">
              <w:rPr>
                <w:rFonts w:ascii="Times New Roman" w:hAnsi="Times New Roman"/>
                <w:b/>
                <w:bCs/>
                <w:lang w:eastAsia="sk-SK"/>
              </w:rPr>
              <w:t>29 091</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A6029E" w:rsidRPr="003727BA" w:rsidP="00BB3760">
            <w:pPr>
              <w:bidi w:val="0"/>
              <w:spacing w:after="0" w:line="240" w:lineRule="auto"/>
              <w:rPr>
                <w:rFonts w:ascii="Times New Roman" w:hAnsi="Times New Roman"/>
                <w:lang w:eastAsia="sk-SK"/>
              </w:rPr>
            </w:pPr>
            <w:r w:rsidRPr="003727BA">
              <w:rPr>
                <w:rFonts w:ascii="Times New Roman" w:hAnsi="Times New Roman"/>
                <w:lang w:eastAsia="sk-SK"/>
              </w:rPr>
              <w:t> </w:t>
            </w:r>
          </w:p>
        </w:tc>
      </w:tr>
    </w:tbl>
    <w:p w:rsidR="00A6029E" w:rsidRPr="003727BA" w:rsidP="00A6029E">
      <w:pPr>
        <w:tabs>
          <w:tab w:val="num" w:pos="1080"/>
        </w:tabs>
        <w:bidi w:val="0"/>
        <w:spacing w:after="0" w:line="240" w:lineRule="auto"/>
        <w:jc w:val="both"/>
        <w:rPr>
          <w:rFonts w:ascii="Times New Roman" w:hAnsi="Times New Roman"/>
          <w:bCs/>
          <w:sz w:val="20"/>
          <w:szCs w:val="20"/>
          <w:lang w:eastAsia="sk-SK"/>
        </w:rPr>
      </w:pPr>
      <w:r w:rsidRPr="003727BA">
        <w:rPr>
          <w:rFonts w:ascii="Times New Roman" w:hAnsi="Times New Roman"/>
          <w:bCs/>
          <w:sz w:val="20"/>
          <w:szCs w:val="20"/>
          <w:lang w:eastAsia="sk-SK"/>
        </w:rPr>
        <w:t>1 –  príjmy rozpísať až do položiek platnej ekonomickej klasifikácie</w:t>
      </w:r>
    </w:p>
    <w:p w:rsidR="00A6029E" w:rsidRPr="003727BA" w:rsidP="00A6029E">
      <w:pPr>
        <w:tabs>
          <w:tab w:val="num" w:pos="1080"/>
        </w:tabs>
        <w:bidi w:val="0"/>
        <w:spacing w:after="0" w:line="240" w:lineRule="auto"/>
        <w:jc w:val="both"/>
        <w:rPr>
          <w:rFonts w:ascii="Times New Roman" w:hAnsi="Times New Roman"/>
          <w:bCs/>
          <w:sz w:val="24"/>
          <w:szCs w:val="20"/>
          <w:lang w:eastAsia="sk-SK"/>
        </w:rPr>
      </w:pPr>
    </w:p>
    <w:p w:rsidR="00A6029E" w:rsidRPr="003727BA" w:rsidP="00A6029E">
      <w:pPr>
        <w:tabs>
          <w:tab w:val="num" w:pos="1080"/>
        </w:tabs>
        <w:bidi w:val="0"/>
        <w:spacing w:after="0" w:line="240" w:lineRule="auto"/>
        <w:jc w:val="both"/>
        <w:rPr>
          <w:rFonts w:ascii="Times New Roman" w:hAnsi="Times New Roman"/>
          <w:b/>
          <w:bCs/>
          <w:sz w:val="24"/>
          <w:szCs w:val="20"/>
          <w:lang w:eastAsia="sk-SK"/>
        </w:rPr>
      </w:pPr>
      <w:r w:rsidRPr="003727BA">
        <w:rPr>
          <w:rFonts w:ascii="Times New Roman" w:hAnsi="Times New Roman"/>
          <w:b/>
          <w:bCs/>
          <w:sz w:val="24"/>
          <w:szCs w:val="20"/>
          <w:lang w:eastAsia="sk-SK"/>
        </w:rPr>
        <w:t>Poznámka:</w:t>
      </w:r>
    </w:p>
    <w:p w:rsidR="00A6029E" w:rsidRPr="003727BA" w:rsidP="00A6029E">
      <w:pPr>
        <w:tabs>
          <w:tab w:val="num" w:pos="1080"/>
        </w:tabs>
        <w:bidi w:val="0"/>
        <w:spacing w:after="0" w:line="240" w:lineRule="auto"/>
        <w:jc w:val="both"/>
        <w:rPr>
          <w:rFonts w:ascii="Times New Roman" w:hAnsi="Times New Roman"/>
          <w:bCs/>
          <w:sz w:val="24"/>
          <w:szCs w:val="20"/>
          <w:lang w:eastAsia="sk-SK"/>
        </w:rPr>
      </w:pPr>
      <w:r w:rsidRPr="003727BA">
        <w:rPr>
          <w:rFonts w:ascii="Times New Roman" w:hAnsi="Times New Roman"/>
          <w:bCs/>
          <w:sz w:val="24"/>
          <w:szCs w:val="20"/>
          <w:lang w:eastAsia="sk-SK"/>
        </w:rPr>
        <w:t>Ak sa vplyv týka viacerých subjektov verejnej správy, vypĺňa sa samostatná tabuľka za každý subjekt.</w:t>
      </w:r>
    </w:p>
    <w:p w:rsidR="00A6029E" w:rsidRPr="003727BA" w:rsidP="00A6029E">
      <w:pPr>
        <w:tabs>
          <w:tab w:val="num" w:pos="1080"/>
        </w:tabs>
        <w:bidi w:val="0"/>
        <w:spacing w:after="0" w:line="240" w:lineRule="auto"/>
        <w:ind w:right="-578"/>
        <w:jc w:val="right"/>
        <w:rPr>
          <w:rFonts w:ascii="Times New Roman" w:hAnsi="Times New Roman"/>
          <w:bCs/>
          <w:sz w:val="24"/>
          <w:szCs w:val="24"/>
          <w:lang w:eastAsia="sk-SK"/>
        </w:rPr>
      </w:pPr>
      <w:r w:rsidRPr="003727BA">
        <w:rPr>
          <w:rFonts w:ascii="Times New Roman" w:hAnsi="Times New Roman"/>
          <w:bCs/>
          <w:sz w:val="24"/>
          <w:szCs w:val="24"/>
          <w:lang w:eastAsia="sk-SK"/>
        </w:rPr>
        <w:t xml:space="preserve"> </w:t>
      </w:r>
    </w:p>
    <w:p w:rsidR="00A6029E" w:rsidRPr="003727BA" w:rsidP="00A6029E">
      <w:pPr>
        <w:tabs>
          <w:tab w:val="num" w:pos="1080"/>
        </w:tabs>
        <w:bidi w:val="0"/>
        <w:spacing w:after="0" w:line="240" w:lineRule="auto"/>
        <w:ind w:right="-578"/>
        <w:jc w:val="right"/>
        <w:rPr>
          <w:rFonts w:ascii="Times New Roman" w:hAnsi="Times New Roman"/>
          <w:bCs/>
          <w:sz w:val="24"/>
          <w:szCs w:val="24"/>
          <w:lang w:eastAsia="sk-SK"/>
        </w:rPr>
      </w:pPr>
    </w:p>
    <w:p w:rsidR="00A6029E" w:rsidRPr="003727BA" w:rsidP="00A6029E">
      <w:pPr>
        <w:tabs>
          <w:tab w:val="num" w:pos="1080"/>
        </w:tabs>
        <w:bidi w:val="0"/>
        <w:spacing w:after="0" w:line="240" w:lineRule="auto"/>
        <w:ind w:right="-578"/>
        <w:jc w:val="right"/>
        <w:rPr>
          <w:rFonts w:ascii="Times New Roman" w:hAnsi="Times New Roman"/>
          <w:bCs/>
          <w:sz w:val="24"/>
          <w:szCs w:val="24"/>
          <w:lang w:eastAsia="sk-SK"/>
        </w:rPr>
      </w:pPr>
    </w:p>
    <w:p w:rsidR="00A6029E" w:rsidRPr="003727BA" w:rsidP="00A6029E">
      <w:pPr>
        <w:tabs>
          <w:tab w:val="num" w:pos="1080"/>
        </w:tabs>
        <w:bidi w:val="0"/>
        <w:spacing w:after="0" w:line="240" w:lineRule="auto"/>
        <w:ind w:right="-578"/>
        <w:jc w:val="right"/>
        <w:rPr>
          <w:rFonts w:ascii="Times New Roman" w:hAnsi="Times New Roman"/>
          <w:bCs/>
          <w:sz w:val="24"/>
          <w:szCs w:val="24"/>
          <w:lang w:eastAsia="sk-SK"/>
        </w:rPr>
      </w:pPr>
    </w:p>
    <w:p w:rsidR="00A6029E" w:rsidRPr="003727BA" w:rsidP="00A6029E">
      <w:pPr>
        <w:tabs>
          <w:tab w:val="num" w:pos="1080"/>
        </w:tabs>
        <w:bidi w:val="0"/>
        <w:spacing w:after="0" w:line="240" w:lineRule="auto"/>
        <w:ind w:right="-578"/>
        <w:jc w:val="right"/>
        <w:rPr>
          <w:rFonts w:ascii="Times New Roman" w:hAnsi="Times New Roman"/>
          <w:bCs/>
          <w:sz w:val="24"/>
          <w:szCs w:val="24"/>
          <w:lang w:eastAsia="sk-SK"/>
        </w:rPr>
      </w:pPr>
    </w:p>
    <w:p w:rsidR="00A6029E" w:rsidRPr="003727BA" w:rsidP="00A6029E">
      <w:pPr>
        <w:tabs>
          <w:tab w:val="num" w:pos="1080"/>
        </w:tabs>
        <w:bidi w:val="0"/>
        <w:spacing w:after="0" w:line="240" w:lineRule="auto"/>
        <w:ind w:right="-578"/>
        <w:jc w:val="right"/>
        <w:rPr>
          <w:rFonts w:ascii="Times New Roman" w:hAnsi="Times New Roman"/>
          <w:bCs/>
          <w:sz w:val="24"/>
          <w:szCs w:val="24"/>
          <w:lang w:eastAsia="sk-SK"/>
        </w:rPr>
      </w:pPr>
    </w:p>
    <w:p w:rsidR="00A6029E" w:rsidRPr="003727BA" w:rsidP="00A6029E">
      <w:pPr>
        <w:tabs>
          <w:tab w:val="num" w:pos="1080"/>
        </w:tabs>
        <w:bidi w:val="0"/>
        <w:spacing w:after="0" w:line="240" w:lineRule="auto"/>
        <w:ind w:right="-578"/>
        <w:jc w:val="right"/>
        <w:rPr>
          <w:rFonts w:ascii="Times New Roman" w:hAnsi="Times New Roman"/>
          <w:bCs/>
          <w:sz w:val="24"/>
          <w:szCs w:val="24"/>
          <w:lang w:eastAsia="sk-SK"/>
        </w:rPr>
      </w:pPr>
    </w:p>
    <w:p w:rsidR="00A6029E" w:rsidRPr="003727BA" w:rsidP="00A6029E">
      <w:pPr>
        <w:tabs>
          <w:tab w:val="num" w:pos="1080"/>
        </w:tabs>
        <w:bidi w:val="0"/>
        <w:spacing w:after="0" w:line="240" w:lineRule="auto"/>
        <w:ind w:right="-578"/>
        <w:jc w:val="right"/>
        <w:rPr>
          <w:rFonts w:ascii="Times New Roman" w:hAnsi="Times New Roman"/>
          <w:bCs/>
          <w:sz w:val="24"/>
          <w:szCs w:val="24"/>
          <w:lang w:eastAsia="sk-SK"/>
        </w:rPr>
      </w:pPr>
    </w:p>
    <w:p w:rsidR="00A6029E" w:rsidRPr="003727BA" w:rsidP="00A6029E">
      <w:pPr>
        <w:tabs>
          <w:tab w:val="num" w:pos="1080"/>
        </w:tabs>
        <w:bidi w:val="0"/>
        <w:spacing w:after="0" w:line="240" w:lineRule="auto"/>
        <w:ind w:right="-578"/>
        <w:jc w:val="right"/>
        <w:rPr>
          <w:rFonts w:ascii="Times New Roman" w:hAnsi="Times New Roman"/>
          <w:bCs/>
          <w:sz w:val="24"/>
          <w:szCs w:val="24"/>
          <w:lang w:eastAsia="sk-SK"/>
        </w:rPr>
      </w:pPr>
    </w:p>
    <w:p w:rsidR="00A6029E" w:rsidRPr="003727BA" w:rsidP="00A6029E">
      <w:pPr>
        <w:tabs>
          <w:tab w:val="num" w:pos="1080"/>
        </w:tabs>
        <w:bidi w:val="0"/>
        <w:spacing w:after="0" w:line="240" w:lineRule="auto"/>
        <w:ind w:right="-578"/>
        <w:rPr>
          <w:rFonts w:ascii="Times New Roman" w:hAnsi="Times New Roman"/>
          <w:bCs/>
          <w:sz w:val="24"/>
          <w:szCs w:val="24"/>
          <w:lang w:eastAsia="sk-SK"/>
        </w:rPr>
      </w:pPr>
    </w:p>
    <w:p w:rsidR="00A6029E" w:rsidRPr="003727BA" w:rsidP="00A6029E">
      <w:pPr>
        <w:tabs>
          <w:tab w:val="num" w:pos="1080"/>
        </w:tabs>
        <w:bidi w:val="0"/>
        <w:spacing w:after="0" w:line="240" w:lineRule="auto"/>
        <w:ind w:right="-578"/>
        <w:rPr>
          <w:rFonts w:ascii="Times New Roman" w:hAnsi="Times New Roman"/>
          <w:bCs/>
          <w:sz w:val="24"/>
          <w:szCs w:val="24"/>
          <w:lang w:eastAsia="sk-SK"/>
        </w:rPr>
      </w:pPr>
    </w:p>
    <w:p w:rsidR="00A6029E" w:rsidRPr="003727BA" w:rsidP="00A6029E">
      <w:pPr>
        <w:tabs>
          <w:tab w:val="num" w:pos="1080"/>
        </w:tabs>
        <w:bidi w:val="0"/>
        <w:spacing w:after="0" w:line="240" w:lineRule="auto"/>
        <w:ind w:right="-578"/>
        <w:jc w:val="right"/>
        <w:rPr>
          <w:rFonts w:ascii="Times New Roman" w:hAnsi="Times New Roman"/>
          <w:bCs/>
          <w:sz w:val="24"/>
          <w:szCs w:val="24"/>
          <w:lang w:eastAsia="sk-SK"/>
        </w:rPr>
      </w:pPr>
    </w:p>
    <w:p w:rsidR="00A6029E" w:rsidRPr="003727BA" w:rsidP="00A6029E">
      <w:pPr>
        <w:tabs>
          <w:tab w:val="num" w:pos="1080"/>
        </w:tabs>
        <w:bidi w:val="0"/>
        <w:spacing w:after="0" w:line="240" w:lineRule="auto"/>
        <w:ind w:right="-32"/>
        <w:jc w:val="right"/>
        <w:rPr>
          <w:rFonts w:ascii="Times New Roman" w:hAnsi="Times New Roman"/>
          <w:bCs/>
          <w:sz w:val="24"/>
          <w:szCs w:val="24"/>
          <w:lang w:eastAsia="sk-SK"/>
        </w:rPr>
      </w:pPr>
      <w:r w:rsidRPr="003727BA">
        <w:rPr>
          <w:rFonts w:ascii="Times New Roman" w:hAnsi="Times New Roman"/>
          <w:bCs/>
          <w:sz w:val="24"/>
          <w:szCs w:val="24"/>
          <w:lang w:eastAsia="sk-SK"/>
        </w:rPr>
        <w:t xml:space="preserve">Tabuľka č. 4 </w:t>
      </w:r>
    </w:p>
    <w:p w:rsidR="00A6029E" w:rsidRPr="003727BA" w:rsidP="00A6029E">
      <w:pPr>
        <w:tabs>
          <w:tab w:val="num" w:pos="1080"/>
        </w:tabs>
        <w:bidi w:val="0"/>
        <w:spacing w:after="0" w:line="240" w:lineRule="auto"/>
        <w:jc w:val="both"/>
        <w:rPr>
          <w:rFonts w:ascii="Times New Roman" w:hAnsi="Times New Roman"/>
          <w:bCs/>
          <w:sz w:val="24"/>
          <w:szCs w:val="20"/>
          <w:lang w:eastAsia="sk-SK"/>
        </w:rPr>
      </w:pPr>
    </w:p>
    <w:tbl>
      <w:tblPr>
        <w:tblStyle w:val="TableNormal"/>
        <w:tblpPr w:leftFromText="141" w:rightFromText="141" w:vertAnchor="text" w:horzAnchor="page" w:tblpX="629" w:tblpY="2"/>
        <w:tblW w:w="14954" w:type="dxa"/>
        <w:tblCellMar>
          <w:left w:w="70" w:type="dxa"/>
          <w:right w:w="70" w:type="dxa"/>
        </w:tblCellMar>
      </w:tblPr>
      <w:tblGrid>
        <w:gridCol w:w="7070"/>
        <w:gridCol w:w="1364"/>
        <w:gridCol w:w="1417"/>
        <w:gridCol w:w="1701"/>
        <w:gridCol w:w="1678"/>
        <w:gridCol w:w="1724"/>
      </w:tblGrid>
      <w:tr>
        <w:tblPrEx>
          <w:tblW w:w="14954"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Vplyv na rozpočet verejnej správy</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poznámka</w:t>
            </w:r>
          </w:p>
        </w:tc>
      </w:tr>
      <w:tr>
        <w:tblPrEx>
          <w:tblW w:w="14954"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A6029E" w:rsidRPr="003727BA" w:rsidP="00BB3760">
            <w:pPr>
              <w:bidi w:val="0"/>
              <w:spacing w:after="0" w:line="240" w:lineRule="auto"/>
              <w:rPr>
                <w:rFonts w:ascii="Times New Roman" w:hAnsi="Times New Roman"/>
                <w:b/>
                <w:bCs/>
                <w:lang w:eastAsia="sk-SK"/>
              </w:rPr>
            </w:pPr>
          </w:p>
        </w:tc>
        <w:tc>
          <w:tcPr>
            <w:tcW w:w="1364" w:type="dxa"/>
            <w:tcBorders>
              <w:top w:val="nil"/>
              <w:left w:val="nil"/>
              <w:bottom w:val="single" w:sz="4" w:space="0" w:color="auto"/>
              <w:right w:val="single" w:sz="4" w:space="0" w:color="auto"/>
            </w:tcBorders>
            <w:shd w:val="clear" w:color="auto" w:fill="BFBFBF"/>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2016</w:t>
            </w:r>
          </w:p>
        </w:tc>
        <w:tc>
          <w:tcPr>
            <w:tcW w:w="1417" w:type="dxa"/>
            <w:tcBorders>
              <w:top w:val="nil"/>
              <w:left w:val="nil"/>
              <w:bottom w:val="single" w:sz="4" w:space="0" w:color="auto"/>
              <w:right w:val="single" w:sz="4" w:space="0" w:color="auto"/>
            </w:tcBorders>
            <w:shd w:val="clear" w:color="auto" w:fill="BFBFBF"/>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2017</w:t>
            </w:r>
          </w:p>
        </w:tc>
        <w:tc>
          <w:tcPr>
            <w:tcW w:w="1701" w:type="dxa"/>
            <w:tcBorders>
              <w:top w:val="nil"/>
              <w:left w:val="nil"/>
              <w:bottom w:val="single" w:sz="4" w:space="0" w:color="auto"/>
              <w:right w:val="single" w:sz="4" w:space="0" w:color="auto"/>
            </w:tcBorders>
            <w:shd w:val="clear" w:color="auto" w:fill="BFBFBF"/>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2018</w:t>
            </w:r>
          </w:p>
        </w:tc>
        <w:tc>
          <w:tcPr>
            <w:tcW w:w="1678" w:type="dxa"/>
            <w:tcBorders>
              <w:top w:val="nil"/>
              <w:left w:val="nil"/>
              <w:bottom w:val="single" w:sz="4" w:space="0" w:color="auto"/>
              <w:right w:val="single" w:sz="4" w:space="0" w:color="auto"/>
            </w:tcBorders>
            <w:shd w:val="clear" w:color="auto" w:fill="BFBFBF"/>
            <w:textDirection w:val="lrTb"/>
            <w:vAlign w:val="top"/>
          </w:tcPr>
          <w:p w:rsidR="00A6029E" w:rsidRPr="003727BA" w:rsidP="00BB3760">
            <w:pPr>
              <w:bidi w:val="0"/>
              <w:spacing w:after="0" w:line="240" w:lineRule="auto"/>
              <w:jc w:val="center"/>
              <w:rPr>
                <w:rFonts w:ascii="Times New Roman" w:hAnsi="Times New Roman"/>
                <w:b/>
                <w:bCs/>
                <w:lang w:eastAsia="sk-SK"/>
              </w:rPr>
            </w:pPr>
            <w:r w:rsidRPr="003727BA">
              <w:rPr>
                <w:rFonts w:ascii="Times New Roman" w:hAnsi="Times New Roman"/>
                <w:b/>
                <w:bCs/>
                <w:lang w:eastAsia="sk-SK"/>
              </w:rPr>
              <w:t>2019</w:t>
            </w:r>
          </w:p>
        </w:tc>
        <w:tc>
          <w:tcPr>
            <w:tcW w:w="1724" w:type="dxa"/>
            <w:vMerge/>
            <w:tcBorders>
              <w:top w:val="single" w:sz="4" w:space="0" w:color="auto"/>
              <w:left w:val="single" w:sz="4" w:space="0" w:color="auto"/>
              <w:bottom w:val="single" w:sz="4" w:space="0" w:color="auto"/>
              <w:right w:val="single" w:sz="4" w:space="0" w:color="auto"/>
            </w:tcBorders>
            <w:textDirection w:val="lrTb"/>
            <w:vAlign w:val="center"/>
          </w:tcPr>
          <w:p w:rsidR="00A6029E" w:rsidRPr="003727BA" w:rsidP="00BB3760">
            <w:pPr>
              <w:bidi w:val="0"/>
              <w:spacing w:after="0" w:line="240" w:lineRule="auto"/>
              <w:rPr>
                <w:rFonts w:ascii="Times New Roman" w:hAnsi="Times New Roman"/>
                <w:b/>
                <w:bCs/>
                <w:lang w:eastAsia="sk-SK"/>
              </w:rPr>
            </w:pPr>
          </w:p>
        </w:tc>
      </w:tr>
      <w:tr>
        <w:tblPrEx>
          <w:tblW w:w="14954" w:type="dxa"/>
          <w:tblCellMar>
            <w:left w:w="70" w:type="dxa"/>
            <w:right w:w="70" w:type="dxa"/>
          </w:tblCellMar>
        </w:tblPrEx>
        <w:trPr>
          <w:trHeight w:val="280"/>
        </w:trPr>
        <w:tc>
          <w:tcPr>
            <w:tcW w:w="7070" w:type="dxa"/>
            <w:tcBorders>
              <w:top w:val="nil"/>
              <w:left w:val="single" w:sz="4" w:space="0" w:color="auto"/>
              <w:bottom w:val="single" w:sz="4" w:space="0" w:color="auto"/>
              <w:right w:val="single" w:sz="4" w:space="0" w:color="auto"/>
            </w:tcBorders>
            <w:textDirection w:val="lrTb"/>
            <w:vAlign w:val="top"/>
          </w:tcPr>
          <w:p w:rsidR="00A6029E" w:rsidRPr="003727BA" w:rsidP="00BB3760">
            <w:pPr>
              <w:bidi w:val="0"/>
              <w:spacing w:after="0" w:line="240" w:lineRule="auto"/>
              <w:rPr>
                <w:rFonts w:ascii="Times New Roman" w:hAnsi="Times New Roman"/>
                <w:b/>
                <w:bCs/>
                <w:lang w:eastAsia="sk-SK"/>
              </w:rPr>
            </w:pPr>
            <w:r w:rsidRPr="003727BA">
              <w:rPr>
                <w:rFonts w:ascii="Times New Roman" w:hAnsi="Times New Roman"/>
                <w:b/>
                <w:bCs/>
                <w:lang w:eastAsia="sk-SK"/>
              </w:rPr>
              <w:t>Bežné výdavky (600)</w:t>
            </w:r>
          </w:p>
        </w:tc>
        <w:tc>
          <w:tcPr>
            <w:tcW w:w="1364"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rPr>
            </w:pPr>
            <w:r w:rsidRPr="003727BA">
              <w:rPr>
                <w:rFonts w:ascii="Times New Roman" w:hAnsi="Times New Roman"/>
                <w:b/>
              </w:rPr>
              <w:t>0</w:t>
            </w:r>
          </w:p>
        </w:tc>
        <w:tc>
          <w:tcPr>
            <w:tcW w:w="1417" w:type="dxa"/>
            <w:tcBorders>
              <w:top w:val="nil"/>
              <w:left w:val="nil"/>
              <w:bottom w:val="single" w:sz="4" w:space="0" w:color="auto"/>
              <w:right w:val="single" w:sz="4" w:space="0" w:color="auto"/>
            </w:tcBorders>
            <w:textDirection w:val="lrTb"/>
            <w:vAlign w:val="top"/>
          </w:tcPr>
          <w:p w:rsidR="00A6029E" w:rsidRPr="003727BA" w:rsidP="00F7134B">
            <w:pPr>
              <w:bidi w:val="0"/>
              <w:spacing w:after="0" w:line="240" w:lineRule="auto"/>
              <w:jc w:val="center"/>
              <w:rPr>
                <w:rFonts w:ascii="Times New Roman" w:hAnsi="Times New Roman"/>
                <w:b/>
              </w:rPr>
            </w:pPr>
            <w:r w:rsidRPr="003727BA">
              <w:rPr>
                <w:rFonts w:ascii="Times New Roman" w:hAnsi="Times New Roman"/>
                <w:b/>
              </w:rPr>
              <w:t>2</w:t>
            </w:r>
            <w:r w:rsidRPr="003727BA" w:rsidR="00F7134B">
              <w:rPr>
                <w:rFonts w:ascii="Times New Roman" w:hAnsi="Times New Roman"/>
                <w:b/>
              </w:rPr>
              <w:t>9</w:t>
            </w:r>
            <w:r w:rsidRPr="003727BA">
              <w:rPr>
                <w:rFonts w:ascii="Times New Roman" w:hAnsi="Times New Roman"/>
                <w:b/>
              </w:rPr>
              <w:t> </w:t>
            </w:r>
            <w:r w:rsidRPr="003727BA" w:rsidR="00F7134B">
              <w:rPr>
                <w:rFonts w:ascii="Times New Roman" w:hAnsi="Times New Roman"/>
                <w:b/>
              </w:rPr>
              <w:t>533</w:t>
            </w:r>
            <w:r w:rsidRPr="003727BA">
              <w:rPr>
                <w:rFonts w:ascii="Times New Roman" w:hAnsi="Times New Roman"/>
                <w:b/>
              </w:rPr>
              <w:t xml:space="preserve"> </w:t>
            </w:r>
            <w:r w:rsidRPr="003727BA" w:rsidR="00F7134B">
              <w:rPr>
                <w:rFonts w:ascii="Times New Roman" w:hAnsi="Times New Roman"/>
                <w:b/>
              </w:rPr>
              <w:t>929</w:t>
            </w:r>
          </w:p>
        </w:tc>
        <w:tc>
          <w:tcPr>
            <w:tcW w:w="1701" w:type="dxa"/>
            <w:tcBorders>
              <w:top w:val="nil"/>
              <w:left w:val="nil"/>
              <w:bottom w:val="single" w:sz="4" w:space="0" w:color="auto"/>
              <w:right w:val="single" w:sz="4" w:space="0" w:color="auto"/>
            </w:tcBorders>
            <w:textDirection w:val="lrTb"/>
            <w:vAlign w:val="top"/>
          </w:tcPr>
          <w:p w:rsidR="00A6029E" w:rsidRPr="003727BA" w:rsidP="00F7134B">
            <w:pPr>
              <w:bidi w:val="0"/>
              <w:spacing w:after="0" w:line="240" w:lineRule="auto"/>
              <w:jc w:val="center"/>
              <w:rPr>
                <w:rFonts w:ascii="Times New Roman" w:hAnsi="Times New Roman"/>
                <w:b/>
              </w:rPr>
            </w:pPr>
            <w:r w:rsidRPr="003727BA">
              <w:rPr>
                <w:rFonts w:ascii="Times New Roman" w:hAnsi="Times New Roman"/>
                <w:b/>
              </w:rPr>
              <w:t xml:space="preserve">32 </w:t>
            </w:r>
            <w:r w:rsidRPr="003727BA" w:rsidR="00F7134B">
              <w:rPr>
                <w:rFonts w:ascii="Times New Roman" w:hAnsi="Times New Roman"/>
                <w:b/>
              </w:rPr>
              <w:t>947</w:t>
            </w:r>
            <w:r w:rsidRPr="003727BA">
              <w:rPr>
                <w:rFonts w:ascii="Times New Roman" w:hAnsi="Times New Roman"/>
                <w:b/>
              </w:rPr>
              <w:t> </w:t>
            </w:r>
            <w:r w:rsidRPr="003727BA" w:rsidR="00F7134B">
              <w:rPr>
                <w:rFonts w:ascii="Times New Roman" w:hAnsi="Times New Roman"/>
                <w:b/>
              </w:rPr>
              <w:t>669</w:t>
            </w:r>
          </w:p>
        </w:tc>
        <w:tc>
          <w:tcPr>
            <w:tcW w:w="1678" w:type="dxa"/>
            <w:tcBorders>
              <w:top w:val="nil"/>
              <w:left w:val="nil"/>
              <w:bottom w:val="single" w:sz="4" w:space="0" w:color="auto"/>
              <w:right w:val="single" w:sz="4" w:space="0" w:color="auto"/>
            </w:tcBorders>
            <w:textDirection w:val="lrTb"/>
            <w:vAlign w:val="top"/>
          </w:tcPr>
          <w:p w:rsidR="00A6029E" w:rsidRPr="003727BA" w:rsidP="00F7134B">
            <w:pPr>
              <w:bidi w:val="0"/>
              <w:spacing w:after="0" w:line="240" w:lineRule="auto"/>
              <w:jc w:val="center"/>
              <w:rPr>
                <w:rFonts w:ascii="Times New Roman" w:hAnsi="Times New Roman"/>
                <w:b/>
              </w:rPr>
            </w:pPr>
            <w:r w:rsidRPr="003727BA">
              <w:rPr>
                <w:rFonts w:ascii="Times New Roman" w:hAnsi="Times New Roman"/>
                <w:b/>
              </w:rPr>
              <w:t>4</w:t>
            </w:r>
            <w:r w:rsidRPr="003727BA" w:rsidR="00F7134B">
              <w:rPr>
                <w:rFonts w:ascii="Times New Roman" w:hAnsi="Times New Roman"/>
                <w:b/>
              </w:rPr>
              <w:t>1</w:t>
            </w:r>
            <w:r w:rsidRPr="003727BA" w:rsidR="005B0D28">
              <w:rPr>
                <w:rFonts w:ascii="Times New Roman" w:hAnsi="Times New Roman"/>
                <w:b/>
              </w:rPr>
              <w:t> </w:t>
            </w:r>
            <w:r w:rsidRPr="003727BA" w:rsidR="00F7134B">
              <w:rPr>
                <w:rFonts w:ascii="Times New Roman" w:hAnsi="Times New Roman"/>
                <w:b/>
              </w:rPr>
              <w:t>229</w:t>
            </w:r>
            <w:r w:rsidRPr="003727BA" w:rsidR="005B0D28">
              <w:rPr>
                <w:rFonts w:ascii="Times New Roman" w:hAnsi="Times New Roman"/>
                <w:b/>
              </w:rPr>
              <w:t xml:space="preserve"> </w:t>
            </w:r>
            <w:r w:rsidRPr="003727BA" w:rsidR="00F7134B">
              <w:rPr>
                <w:rFonts w:ascii="Times New Roman" w:hAnsi="Times New Roman"/>
                <w:b/>
              </w:rPr>
              <w:t>983</w:t>
            </w:r>
          </w:p>
        </w:tc>
        <w:tc>
          <w:tcPr>
            <w:tcW w:w="1724" w:type="dxa"/>
            <w:tcBorders>
              <w:top w:val="nil"/>
              <w:left w:val="nil"/>
              <w:bottom w:val="single" w:sz="4" w:space="0" w:color="auto"/>
              <w:right w:val="single" w:sz="4" w:space="0" w:color="auto"/>
            </w:tcBorders>
            <w:noWrap/>
            <w:textDirection w:val="lrTb"/>
            <w:vAlign w:val="bottom"/>
          </w:tcPr>
          <w:p w:rsidR="00A6029E" w:rsidRPr="003727BA" w:rsidP="00BB3760">
            <w:pPr>
              <w:bidi w:val="0"/>
              <w:spacing w:after="0" w:line="240" w:lineRule="auto"/>
              <w:rPr>
                <w:rFonts w:ascii="Times New Roman" w:hAnsi="Times New Roman"/>
                <w:lang w:eastAsia="sk-SK"/>
              </w:rPr>
            </w:pPr>
            <w:r w:rsidRPr="003727BA">
              <w:rPr>
                <w:rFonts w:ascii="Times New Roman" w:hAnsi="Times New Roman"/>
                <w:lang w:eastAsia="sk-SK"/>
              </w:rPr>
              <w:t> </w:t>
            </w:r>
          </w:p>
        </w:tc>
      </w:tr>
      <w:tr>
        <w:tblPrEx>
          <w:tblW w:w="14954"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A6029E" w:rsidRPr="003727BA" w:rsidP="00BB3760">
            <w:pPr>
              <w:bidi w:val="0"/>
              <w:spacing w:after="0" w:line="240" w:lineRule="auto"/>
              <w:rPr>
                <w:rFonts w:ascii="Times New Roman" w:hAnsi="Times New Roman"/>
                <w:lang w:eastAsia="sk-SK"/>
              </w:rPr>
            </w:pPr>
            <w:r w:rsidRPr="003727BA">
              <w:rPr>
                <w:rFonts w:ascii="Times New Roman" w:hAnsi="Times New Roman"/>
                <w:lang w:eastAsia="sk-SK"/>
              </w:rPr>
              <w:t xml:space="preserve">  Mzdy, platy, služobné príjmy a ostatné osobné vyrovnania (610)</w:t>
            </w:r>
          </w:p>
        </w:tc>
        <w:tc>
          <w:tcPr>
            <w:tcW w:w="1364"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lang w:eastAsia="sk-SK"/>
              </w:rPr>
            </w:pPr>
          </w:p>
        </w:tc>
        <w:tc>
          <w:tcPr>
            <w:tcW w:w="1417"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lang w:eastAsia="sk-SK"/>
              </w:rPr>
            </w:pPr>
          </w:p>
        </w:tc>
        <w:tc>
          <w:tcPr>
            <w:tcW w:w="1701"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lang w:eastAsia="sk-SK"/>
              </w:rPr>
            </w:pPr>
          </w:p>
        </w:tc>
        <w:tc>
          <w:tcPr>
            <w:tcW w:w="1678"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lang w:eastAsia="sk-SK"/>
              </w:rPr>
            </w:pPr>
          </w:p>
        </w:tc>
        <w:tc>
          <w:tcPr>
            <w:tcW w:w="1724" w:type="dxa"/>
            <w:tcBorders>
              <w:top w:val="nil"/>
              <w:left w:val="nil"/>
              <w:bottom w:val="single" w:sz="4" w:space="0" w:color="auto"/>
              <w:right w:val="single" w:sz="4" w:space="0" w:color="auto"/>
            </w:tcBorders>
            <w:noWrap/>
            <w:textDirection w:val="lrTb"/>
            <w:vAlign w:val="bottom"/>
          </w:tcPr>
          <w:p w:rsidR="00A6029E" w:rsidRPr="003727BA" w:rsidP="00BB3760">
            <w:pPr>
              <w:bidi w:val="0"/>
              <w:spacing w:after="0" w:line="240" w:lineRule="auto"/>
              <w:rPr>
                <w:rFonts w:ascii="Times New Roman" w:hAnsi="Times New Roman"/>
                <w:lang w:eastAsia="sk-SK"/>
              </w:rPr>
            </w:pPr>
            <w:r w:rsidRPr="003727BA">
              <w:rPr>
                <w:rFonts w:ascii="Times New Roman" w:hAnsi="Times New Roman"/>
                <w:lang w:eastAsia="sk-SK"/>
              </w:rPr>
              <w:t> </w:t>
            </w:r>
          </w:p>
        </w:tc>
      </w:tr>
      <w:tr>
        <w:tblPrEx>
          <w:tblW w:w="14954"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A6029E" w:rsidRPr="003727BA" w:rsidP="00BB3760">
            <w:pPr>
              <w:bidi w:val="0"/>
              <w:spacing w:after="0" w:line="240" w:lineRule="auto"/>
              <w:rPr>
                <w:rFonts w:ascii="Times New Roman" w:hAnsi="Times New Roman"/>
                <w:vertAlign w:val="superscript"/>
                <w:lang w:eastAsia="sk-SK"/>
              </w:rPr>
            </w:pPr>
            <w:r w:rsidRPr="003727BA">
              <w:rPr>
                <w:rFonts w:ascii="Times New Roman" w:hAnsi="Times New Roman"/>
                <w:lang w:eastAsia="sk-SK"/>
              </w:rPr>
              <w:t xml:space="preserve">  Poistné a príspevok do poisťovní (620)</w:t>
            </w:r>
          </w:p>
        </w:tc>
        <w:tc>
          <w:tcPr>
            <w:tcW w:w="1364"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lang w:eastAsia="sk-SK"/>
              </w:rPr>
            </w:pPr>
          </w:p>
        </w:tc>
        <w:tc>
          <w:tcPr>
            <w:tcW w:w="1417"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lang w:eastAsia="sk-SK"/>
              </w:rPr>
            </w:pPr>
          </w:p>
        </w:tc>
        <w:tc>
          <w:tcPr>
            <w:tcW w:w="1701"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lang w:eastAsia="sk-SK"/>
              </w:rPr>
            </w:pPr>
          </w:p>
        </w:tc>
        <w:tc>
          <w:tcPr>
            <w:tcW w:w="1678"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lang w:eastAsia="sk-SK"/>
              </w:rPr>
            </w:pPr>
          </w:p>
        </w:tc>
        <w:tc>
          <w:tcPr>
            <w:tcW w:w="1724" w:type="dxa"/>
            <w:tcBorders>
              <w:top w:val="nil"/>
              <w:left w:val="nil"/>
              <w:bottom w:val="single" w:sz="4" w:space="0" w:color="auto"/>
              <w:right w:val="single" w:sz="4" w:space="0" w:color="auto"/>
            </w:tcBorders>
            <w:noWrap/>
            <w:textDirection w:val="lrTb"/>
            <w:vAlign w:val="bottom"/>
          </w:tcPr>
          <w:p w:rsidR="00A6029E" w:rsidRPr="003727BA" w:rsidP="00BB3760">
            <w:pPr>
              <w:bidi w:val="0"/>
              <w:spacing w:after="0" w:line="240" w:lineRule="auto"/>
              <w:rPr>
                <w:rFonts w:ascii="Times New Roman" w:hAnsi="Times New Roman"/>
                <w:lang w:eastAsia="sk-SK"/>
              </w:rPr>
            </w:pPr>
            <w:r w:rsidRPr="003727BA">
              <w:rPr>
                <w:rFonts w:ascii="Times New Roman" w:hAnsi="Times New Roman"/>
                <w:lang w:eastAsia="sk-SK"/>
              </w:rPr>
              <w:t> </w:t>
            </w:r>
          </w:p>
        </w:tc>
      </w:tr>
      <w:tr>
        <w:tblPrEx>
          <w:tblW w:w="14954"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A6029E" w:rsidRPr="003727BA" w:rsidP="00BB3760">
            <w:pPr>
              <w:bidi w:val="0"/>
              <w:spacing w:after="0" w:line="240" w:lineRule="auto"/>
              <w:rPr>
                <w:rFonts w:ascii="Times New Roman" w:hAnsi="Times New Roman"/>
                <w:vertAlign w:val="superscript"/>
                <w:lang w:eastAsia="sk-SK"/>
              </w:rPr>
            </w:pPr>
            <w:r w:rsidRPr="003727BA">
              <w:rPr>
                <w:rFonts w:ascii="Times New Roman" w:hAnsi="Times New Roman"/>
                <w:lang w:eastAsia="sk-SK"/>
              </w:rPr>
              <w:t xml:space="preserve">  Tovary a služby (630)</w:t>
            </w:r>
            <w:r w:rsidRPr="003727BA">
              <w:rPr>
                <w:rFonts w:ascii="Times New Roman" w:hAnsi="Times New Roman"/>
                <w:vertAlign w:val="superscript"/>
                <w:lang w:eastAsia="sk-SK"/>
              </w:rPr>
              <w:t>2</w:t>
            </w:r>
          </w:p>
        </w:tc>
        <w:tc>
          <w:tcPr>
            <w:tcW w:w="1364"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lang w:eastAsia="sk-SK"/>
              </w:rPr>
            </w:pPr>
          </w:p>
        </w:tc>
        <w:tc>
          <w:tcPr>
            <w:tcW w:w="1417"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lang w:eastAsia="sk-SK"/>
              </w:rPr>
            </w:pPr>
          </w:p>
        </w:tc>
        <w:tc>
          <w:tcPr>
            <w:tcW w:w="1701"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lang w:eastAsia="sk-SK"/>
              </w:rPr>
            </w:pPr>
          </w:p>
        </w:tc>
        <w:tc>
          <w:tcPr>
            <w:tcW w:w="1678"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lang w:eastAsia="sk-SK"/>
              </w:rPr>
            </w:pPr>
          </w:p>
        </w:tc>
        <w:tc>
          <w:tcPr>
            <w:tcW w:w="1724" w:type="dxa"/>
            <w:tcBorders>
              <w:top w:val="nil"/>
              <w:left w:val="nil"/>
              <w:bottom w:val="single" w:sz="4" w:space="0" w:color="auto"/>
              <w:right w:val="single" w:sz="4" w:space="0" w:color="auto"/>
            </w:tcBorders>
            <w:noWrap/>
            <w:textDirection w:val="lrTb"/>
            <w:vAlign w:val="bottom"/>
          </w:tcPr>
          <w:p w:rsidR="00A6029E" w:rsidRPr="003727BA" w:rsidP="00BB3760">
            <w:pPr>
              <w:bidi w:val="0"/>
              <w:spacing w:after="0" w:line="240" w:lineRule="auto"/>
              <w:rPr>
                <w:rFonts w:ascii="Times New Roman" w:hAnsi="Times New Roman"/>
                <w:lang w:eastAsia="sk-SK"/>
              </w:rPr>
            </w:pPr>
            <w:r w:rsidRPr="003727BA">
              <w:rPr>
                <w:rFonts w:ascii="Times New Roman" w:hAnsi="Times New Roman"/>
                <w:lang w:eastAsia="sk-SK"/>
              </w:rPr>
              <w:t> </w:t>
            </w:r>
          </w:p>
        </w:tc>
      </w:tr>
      <w:tr>
        <w:tblPrEx>
          <w:tblW w:w="14954"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F7134B" w:rsidRPr="003727BA" w:rsidP="00F7134B">
            <w:pPr>
              <w:bidi w:val="0"/>
              <w:spacing w:after="0" w:line="240" w:lineRule="auto"/>
              <w:rPr>
                <w:rFonts w:ascii="Times New Roman" w:hAnsi="Times New Roman"/>
                <w:vertAlign w:val="superscript"/>
                <w:lang w:eastAsia="sk-SK"/>
              </w:rPr>
            </w:pPr>
            <w:r w:rsidRPr="003727BA">
              <w:rPr>
                <w:rFonts w:ascii="Times New Roman" w:hAnsi="Times New Roman"/>
                <w:lang w:eastAsia="sk-SK"/>
              </w:rPr>
              <w:t xml:space="preserve">  Bežné transfery (640)</w:t>
            </w:r>
            <w:r w:rsidRPr="003727BA">
              <w:rPr>
                <w:rFonts w:ascii="Times New Roman" w:hAnsi="Times New Roman"/>
                <w:vertAlign w:val="superscript"/>
                <w:lang w:eastAsia="sk-SK"/>
              </w:rPr>
              <w:t>2</w:t>
            </w:r>
            <w:r w:rsidRPr="003727BA">
              <w:rPr>
                <w:rFonts w:ascii="Times New Roman" w:hAnsi="Times New Roman"/>
                <w:lang w:eastAsia="sk-SK"/>
              </w:rPr>
              <w:t xml:space="preserve"> </w:t>
            </w:r>
          </w:p>
        </w:tc>
        <w:tc>
          <w:tcPr>
            <w:tcW w:w="1364" w:type="dxa"/>
            <w:tcBorders>
              <w:top w:val="nil"/>
              <w:left w:val="nil"/>
              <w:bottom w:val="single" w:sz="4" w:space="0" w:color="auto"/>
              <w:right w:val="single" w:sz="4" w:space="0" w:color="auto"/>
            </w:tcBorders>
            <w:textDirection w:val="lrTb"/>
            <w:vAlign w:val="top"/>
          </w:tcPr>
          <w:p w:rsidR="00F7134B" w:rsidRPr="003727BA" w:rsidP="00F7134B">
            <w:pPr>
              <w:bidi w:val="0"/>
              <w:spacing w:after="0" w:line="240" w:lineRule="auto"/>
              <w:jc w:val="center"/>
              <w:rPr>
                <w:rFonts w:ascii="Times New Roman" w:hAnsi="Times New Roman"/>
              </w:rPr>
            </w:pPr>
            <w:r w:rsidRPr="003727BA">
              <w:rPr>
                <w:rFonts w:ascii="Times New Roman" w:hAnsi="Times New Roman"/>
              </w:rPr>
              <w:t>0</w:t>
            </w:r>
          </w:p>
        </w:tc>
        <w:tc>
          <w:tcPr>
            <w:tcW w:w="1417" w:type="dxa"/>
            <w:tcBorders>
              <w:top w:val="nil"/>
              <w:left w:val="nil"/>
              <w:bottom w:val="single" w:sz="4" w:space="0" w:color="auto"/>
              <w:right w:val="single" w:sz="4" w:space="0" w:color="auto"/>
            </w:tcBorders>
            <w:textDirection w:val="lrTb"/>
            <w:vAlign w:val="top"/>
          </w:tcPr>
          <w:p w:rsidR="00F7134B" w:rsidRPr="003727BA" w:rsidP="00F7134B">
            <w:pPr>
              <w:bidi w:val="0"/>
              <w:spacing w:after="0" w:line="240" w:lineRule="auto"/>
              <w:jc w:val="center"/>
              <w:rPr>
                <w:rFonts w:ascii="Times New Roman" w:hAnsi="Times New Roman"/>
              </w:rPr>
            </w:pPr>
            <w:r w:rsidRPr="003727BA">
              <w:rPr>
                <w:rFonts w:ascii="Times New Roman" w:hAnsi="Times New Roman"/>
              </w:rPr>
              <w:t>29 533 929</w:t>
            </w:r>
          </w:p>
        </w:tc>
        <w:tc>
          <w:tcPr>
            <w:tcW w:w="1701" w:type="dxa"/>
            <w:tcBorders>
              <w:top w:val="nil"/>
              <w:left w:val="nil"/>
              <w:bottom w:val="single" w:sz="4" w:space="0" w:color="auto"/>
              <w:right w:val="single" w:sz="4" w:space="0" w:color="auto"/>
            </w:tcBorders>
            <w:textDirection w:val="lrTb"/>
            <w:vAlign w:val="top"/>
          </w:tcPr>
          <w:p w:rsidR="00F7134B" w:rsidRPr="003727BA" w:rsidP="00F7134B">
            <w:pPr>
              <w:bidi w:val="0"/>
              <w:spacing w:after="0" w:line="240" w:lineRule="auto"/>
              <w:jc w:val="center"/>
              <w:rPr>
                <w:rFonts w:ascii="Times New Roman" w:hAnsi="Times New Roman"/>
              </w:rPr>
            </w:pPr>
            <w:r w:rsidRPr="003727BA">
              <w:rPr>
                <w:rFonts w:ascii="Times New Roman" w:hAnsi="Times New Roman"/>
              </w:rPr>
              <w:t>32 947 669</w:t>
            </w:r>
          </w:p>
        </w:tc>
        <w:tc>
          <w:tcPr>
            <w:tcW w:w="1678" w:type="dxa"/>
            <w:tcBorders>
              <w:top w:val="nil"/>
              <w:left w:val="nil"/>
              <w:bottom w:val="single" w:sz="4" w:space="0" w:color="auto"/>
              <w:right w:val="single" w:sz="4" w:space="0" w:color="auto"/>
            </w:tcBorders>
            <w:textDirection w:val="lrTb"/>
            <w:vAlign w:val="top"/>
          </w:tcPr>
          <w:p w:rsidR="00F7134B" w:rsidRPr="003727BA" w:rsidP="00F7134B">
            <w:pPr>
              <w:bidi w:val="0"/>
              <w:spacing w:after="0" w:line="240" w:lineRule="auto"/>
              <w:jc w:val="center"/>
              <w:rPr>
                <w:rFonts w:ascii="Times New Roman" w:hAnsi="Times New Roman"/>
              </w:rPr>
            </w:pPr>
            <w:r w:rsidRPr="003727BA">
              <w:rPr>
                <w:rFonts w:ascii="Times New Roman" w:hAnsi="Times New Roman"/>
              </w:rPr>
              <w:t>41 229 983</w:t>
            </w:r>
          </w:p>
        </w:tc>
        <w:tc>
          <w:tcPr>
            <w:tcW w:w="1724" w:type="dxa"/>
            <w:tcBorders>
              <w:top w:val="nil"/>
              <w:left w:val="nil"/>
              <w:bottom w:val="single" w:sz="4" w:space="0" w:color="auto"/>
              <w:right w:val="single" w:sz="4" w:space="0" w:color="auto"/>
            </w:tcBorders>
            <w:noWrap/>
            <w:textDirection w:val="lrTb"/>
            <w:vAlign w:val="bottom"/>
          </w:tcPr>
          <w:p w:rsidR="00F7134B" w:rsidRPr="003727BA" w:rsidP="00F7134B">
            <w:pPr>
              <w:bidi w:val="0"/>
              <w:spacing w:after="0" w:line="240" w:lineRule="auto"/>
              <w:rPr>
                <w:rFonts w:ascii="Times New Roman" w:hAnsi="Times New Roman"/>
                <w:lang w:eastAsia="sk-SK"/>
              </w:rPr>
            </w:pPr>
            <w:r w:rsidRPr="003727BA">
              <w:rPr>
                <w:rFonts w:ascii="Times New Roman" w:hAnsi="Times New Roman"/>
                <w:lang w:eastAsia="sk-SK"/>
              </w:rPr>
              <w:t> </w:t>
            </w:r>
          </w:p>
        </w:tc>
      </w:tr>
      <w:tr>
        <w:tblPrEx>
          <w:tblW w:w="14954"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F7134B" w:rsidRPr="003727BA" w:rsidP="00F7134B">
            <w:pPr>
              <w:bidi w:val="0"/>
              <w:spacing w:after="0" w:line="240" w:lineRule="auto"/>
              <w:rPr>
                <w:rFonts w:ascii="Times New Roman" w:hAnsi="Times New Roman"/>
                <w:lang w:eastAsia="sk-SK"/>
              </w:rPr>
            </w:pPr>
            <w:r w:rsidRPr="003727BA">
              <w:rPr>
                <w:rFonts w:ascii="Times New Roman" w:hAnsi="Times New Roman"/>
                <w:sz w:val="24"/>
                <w:szCs w:val="24"/>
                <w:vertAlign w:val="superscript"/>
                <w:lang w:eastAsia="sk-SK"/>
              </w:rPr>
              <w:t xml:space="preserve"> </w:t>
            </w:r>
            <w:r w:rsidRPr="003727BA">
              <w:rPr>
                <w:rFonts w:ascii="Times New Roman" w:hAnsi="Times New Roman"/>
              </w:rPr>
              <w:t xml:space="preserve"> Transfery jednotlivcom a neziskovým právnickým osobám (642)</w:t>
            </w:r>
          </w:p>
        </w:tc>
        <w:tc>
          <w:tcPr>
            <w:tcW w:w="1364" w:type="dxa"/>
            <w:tcBorders>
              <w:top w:val="nil"/>
              <w:left w:val="nil"/>
              <w:bottom w:val="single" w:sz="4" w:space="0" w:color="auto"/>
              <w:right w:val="single" w:sz="4" w:space="0" w:color="auto"/>
            </w:tcBorders>
            <w:textDirection w:val="lrTb"/>
            <w:vAlign w:val="top"/>
          </w:tcPr>
          <w:p w:rsidR="00F7134B" w:rsidRPr="003727BA" w:rsidP="00F7134B">
            <w:pPr>
              <w:bidi w:val="0"/>
              <w:spacing w:after="0" w:line="240" w:lineRule="auto"/>
              <w:jc w:val="center"/>
              <w:rPr>
                <w:rFonts w:ascii="Times New Roman" w:hAnsi="Times New Roman"/>
              </w:rPr>
            </w:pPr>
            <w:r w:rsidRPr="003727BA">
              <w:rPr>
                <w:rFonts w:ascii="Times New Roman" w:hAnsi="Times New Roman"/>
              </w:rPr>
              <w:t>0</w:t>
            </w:r>
          </w:p>
        </w:tc>
        <w:tc>
          <w:tcPr>
            <w:tcW w:w="1417" w:type="dxa"/>
            <w:tcBorders>
              <w:top w:val="nil"/>
              <w:left w:val="nil"/>
              <w:bottom w:val="single" w:sz="4" w:space="0" w:color="auto"/>
              <w:right w:val="single" w:sz="4" w:space="0" w:color="auto"/>
            </w:tcBorders>
            <w:textDirection w:val="lrTb"/>
            <w:vAlign w:val="top"/>
          </w:tcPr>
          <w:p w:rsidR="00F7134B" w:rsidRPr="003727BA" w:rsidP="00F7134B">
            <w:pPr>
              <w:bidi w:val="0"/>
              <w:spacing w:after="0" w:line="240" w:lineRule="auto"/>
              <w:jc w:val="center"/>
              <w:rPr>
                <w:rFonts w:ascii="Times New Roman" w:hAnsi="Times New Roman"/>
              </w:rPr>
            </w:pPr>
            <w:r w:rsidRPr="003727BA">
              <w:rPr>
                <w:rFonts w:ascii="Times New Roman" w:hAnsi="Times New Roman"/>
              </w:rPr>
              <w:t>29 533 929</w:t>
            </w:r>
          </w:p>
        </w:tc>
        <w:tc>
          <w:tcPr>
            <w:tcW w:w="1701" w:type="dxa"/>
            <w:tcBorders>
              <w:top w:val="nil"/>
              <w:left w:val="nil"/>
              <w:bottom w:val="single" w:sz="4" w:space="0" w:color="auto"/>
              <w:right w:val="single" w:sz="4" w:space="0" w:color="auto"/>
            </w:tcBorders>
            <w:textDirection w:val="lrTb"/>
            <w:vAlign w:val="top"/>
          </w:tcPr>
          <w:p w:rsidR="00F7134B" w:rsidRPr="003727BA" w:rsidP="00F7134B">
            <w:pPr>
              <w:bidi w:val="0"/>
              <w:spacing w:after="0" w:line="240" w:lineRule="auto"/>
              <w:jc w:val="center"/>
              <w:rPr>
                <w:rFonts w:ascii="Times New Roman" w:hAnsi="Times New Roman"/>
              </w:rPr>
            </w:pPr>
            <w:r w:rsidRPr="003727BA">
              <w:rPr>
                <w:rFonts w:ascii="Times New Roman" w:hAnsi="Times New Roman"/>
              </w:rPr>
              <w:t>32 947 669</w:t>
            </w:r>
          </w:p>
        </w:tc>
        <w:tc>
          <w:tcPr>
            <w:tcW w:w="1678" w:type="dxa"/>
            <w:tcBorders>
              <w:top w:val="nil"/>
              <w:left w:val="nil"/>
              <w:bottom w:val="single" w:sz="4" w:space="0" w:color="auto"/>
              <w:right w:val="single" w:sz="4" w:space="0" w:color="auto"/>
            </w:tcBorders>
            <w:textDirection w:val="lrTb"/>
            <w:vAlign w:val="top"/>
          </w:tcPr>
          <w:p w:rsidR="00F7134B" w:rsidRPr="003727BA" w:rsidP="00F7134B">
            <w:pPr>
              <w:bidi w:val="0"/>
              <w:spacing w:after="0" w:line="240" w:lineRule="auto"/>
              <w:jc w:val="center"/>
              <w:rPr>
                <w:rFonts w:ascii="Times New Roman" w:hAnsi="Times New Roman"/>
              </w:rPr>
            </w:pPr>
            <w:r w:rsidRPr="003727BA">
              <w:rPr>
                <w:rFonts w:ascii="Times New Roman" w:hAnsi="Times New Roman"/>
              </w:rPr>
              <w:t>41 229 983</w:t>
            </w:r>
          </w:p>
        </w:tc>
        <w:tc>
          <w:tcPr>
            <w:tcW w:w="1724" w:type="dxa"/>
            <w:tcBorders>
              <w:top w:val="nil"/>
              <w:left w:val="nil"/>
              <w:bottom w:val="single" w:sz="4" w:space="0" w:color="auto"/>
              <w:right w:val="single" w:sz="4" w:space="0" w:color="auto"/>
            </w:tcBorders>
            <w:noWrap/>
            <w:textDirection w:val="lrTb"/>
            <w:vAlign w:val="bottom"/>
          </w:tcPr>
          <w:p w:rsidR="00F7134B" w:rsidRPr="003727BA" w:rsidP="00F7134B">
            <w:pPr>
              <w:bidi w:val="0"/>
              <w:spacing w:after="0" w:line="240" w:lineRule="auto"/>
              <w:rPr>
                <w:rFonts w:ascii="Times New Roman" w:hAnsi="Times New Roman"/>
                <w:lang w:eastAsia="sk-SK"/>
              </w:rPr>
            </w:pPr>
          </w:p>
        </w:tc>
      </w:tr>
      <w:tr>
        <w:tblPrEx>
          <w:tblW w:w="14954"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F7134B" w:rsidRPr="003727BA" w:rsidP="00F7134B">
            <w:pPr>
              <w:bidi w:val="0"/>
              <w:spacing w:after="0" w:line="240" w:lineRule="auto"/>
              <w:rPr>
                <w:rFonts w:ascii="Times New Roman" w:hAnsi="Times New Roman"/>
                <w:lang w:eastAsia="sk-SK"/>
              </w:rPr>
            </w:pPr>
            <w:r w:rsidRPr="003727BA">
              <w:rPr>
                <w:rFonts w:ascii="Times New Roman" w:hAnsi="Times New Roman"/>
                <w:lang w:eastAsia="sk-SK"/>
              </w:rPr>
              <w:t xml:space="preserve">  Splácanie úrokov a ostatné platby súvisiace s </w:t>
            </w:r>
            <w:r w:rsidRPr="003727BA">
              <w:rPr>
                <w:rFonts w:ascii="Times New Roman" w:hAnsi="Times New Roman"/>
              </w:rPr>
              <w:t xml:space="preserve"> </w:t>
            </w:r>
            <w:r w:rsidRPr="003727BA">
              <w:rPr>
                <w:rFonts w:ascii="Times New Roman" w:hAnsi="Times New Roman"/>
                <w:lang w:eastAsia="sk-SK"/>
              </w:rPr>
              <w:t>úverom, pôžičkou, návratnou finančnou výpomocou a finančným prenájmom (650)</w:t>
            </w:r>
            <w:r w:rsidRPr="003727BA">
              <w:rPr>
                <w:rFonts w:ascii="Times New Roman" w:hAnsi="Times New Roman"/>
                <w:vertAlign w:val="superscript"/>
                <w:lang w:eastAsia="sk-SK"/>
              </w:rPr>
              <w:t>2</w:t>
            </w:r>
          </w:p>
        </w:tc>
        <w:tc>
          <w:tcPr>
            <w:tcW w:w="1364" w:type="dxa"/>
            <w:tcBorders>
              <w:top w:val="nil"/>
              <w:left w:val="nil"/>
              <w:bottom w:val="single" w:sz="4" w:space="0" w:color="auto"/>
              <w:right w:val="single" w:sz="4" w:space="0" w:color="auto"/>
            </w:tcBorders>
            <w:textDirection w:val="lrTb"/>
            <w:vAlign w:val="top"/>
          </w:tcPr>
          <w:p w:rsidR="00F7134B" w:rsidRPr="003727BA" w:rsidP="00F7134B">
            <w:pPr>
              <w:bidi w:val="0"/>
              <w:spacing w:after="0" w:line="240" w:lineRule="auto"/>
              <w:jc w:val="center"/>
              <w:rPr>
                <w:rFonts w:ascii="Times New Roman" w:hAnsi="Times New Roman"/>
                <w:lang w:eastAsia="sk-SK"/>
              </w:rPr>
            </w:pPr>
          </w:p>
        </w:tc>
        <w:tc>
          <w:tcPr>
            <w:tcW w:w="1417" w:type="dxa"/>
            <w:tcBorders>
              <w:top w:val="nil"/>
              <w:left w:val="nil"/>
              <w:bottom w:val="single" w:sz="4" w:space="0" w:color="auto"/>
              <w:right w:val="single" w:sz="4" w:space="0" w:color="auto"/>
            </w:tcBorders>
            <w:textDirection w:val="lrTb"/>
            <w:vAlign w:val="top"/>
          </w:tcPr>
          <w:p w:rsidR="00F7134B" w:rsidRPr="003727BA" w:rsidP="00F7134B">
            <w:pPr>
              <w:bidi w:val="0"/>
              <w:spacing w:after="0" w:line="240" w:lineRule="auto"/>
              <w:jc w:val="center"/>
              <w:rPr>
                <w:rFonts w:ascii="Times New Roman" w:hAnsi="Times New Roman"/>
                <w:lang w:eastAsia="sk-SK"/>
              </w:rPr>
            </w:pPr>
          </w:p>
        </w:tc>
        <w:tc>
          <w:tcPr>
            <w:tcW w:w="1701" w:type="dxa"/>
            <w:tcBorders>
              <w:top w:val="nil"/>
              <w:left w:val="nil"/>
              <w:bottom w:val="single" w:sz="4" w:space="0" w:color="auto"/>
              <w:right w:val="single" w:sz="4" w:space="0" w:color="auto"/>
            </w:tcBorders>
            <w:textDirection w:val="lrTb"/>
            <w:vAlign w:val="top"/>
          </w:tcPr>
          <w:p w:rsidR="00F7134B" w:rsidRPr="003727BA" w:rsidP="00F7134B">
            <w:pPr>
              <w:bidi w:val="0"/>
              <w:spacing w:after="0" w:line="240" w:lineRule="auto"/>
              <w:jc w:val="center"/>
              <w:rPr>
                <w:rFonts w:ascii="Times New Roman" w:hAnsi="Times New Roman"/>
                <w:lang w:eastAsia="sk-SK"/>
              </w:rPr>
            </w:pPr>
          </w:p>
        </w:tc>
        <w:tc>
          <w:tcPr>
            <w:tcW w:w="1678" w:type="dxa"/>
            <w:tcBorders>
              <w:top w:val="nil"/>
              <w:left w:val="nil"/>
              <w:bottom w:val="single" w:sz="4" w:space="0" w:color="auto"/>
              <w:right w:val="single" w:sz="4" w:space="0" w:color="auto"/>
            </w:tcBorders>
            <w:textDirection w:val="lrTb"/>
            <w:vAlign w:val="top"/>
          </w:tcPr>
          <w:p w:rsidR="00F7134B" w:rsidRPr="003727BA" w:rsidP="00F7134B">
            <w:pPr>
              <w:bidi w:val="0"/>
              <w:spacing w:after="0" w:line="240" w:lineRule="auto"/>
              <w:jc w:val="center"/>
              <w:rPr>
                <w:rFonts w:ascii="Times New Roman" w:hAnsi="Times New Roman"/>
                <w:lang w:eastAsia="sk-SK"/>
              </w:rPr>
            </w:pPr>
          </w:p>
        </w:tc>
        <w:tc>
          <w:tcPr>
            <w:tcW w:w="1724" w:type="dxa"/>
            <w:tcBorders>
              <w:top w:val="nil"/>
              <w:left w:val="nil"/>
              <w:bottom w:val="single" w:sz="4" w:space="0" w:color="auto"/>
              <w:right w:val="single" w:sz="4" w:space="0" w:color="auto"/>
            </w:tcBorders>
            <w:noWrap/>
            <w:textDirection w:val="lrTb"/>
            <w:vAlign w:val="bottom"/>
          </w:tcPr>
          <w:p w:rsidR="00F7134B" w:rsidRPr="003727BA" w:rsidP="00F7134B">
            <w:pPr>
              <w:bidi w:val="0"/>
              <w:spacing w:after="0" w:line="240" w:lineRule="auto"/>
              <w:rPr>
                <w:rFonts w:ascii="Times New Roman" w:hAnsi="Times New Roman"/>
                <w:lang w:eastAsia="sk-SK"/>
              </w:rPr>
            </w:pPr>
          </w:p>
        </w:tc>
      </w:tr>
      <w:tr>
        <w:tblPrEx>
          <w:tblW w:w="14954"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F7134B" w:rsidRPr="003727BA" w:rsidP="00F7134B">
            <w:pPr>
              <w:bidi w:val="0"/>
              <w:spacing w:after="0" w:line="240" w:lineRule="auto"/>
              <w:rPr>
                <w:rFonts w:ascii="Times New Roman" w:hAnsi="Times New Roman"/>
                <w:b/>
                <w:bCs/>
                <w:lang w:eastAsia="sk-SK"/>
              </w:rPr>
            </w:pPr>
            <w:r w:rsidRPr="003727BA">
              <w:rPr>
                <w:rFonts w:ascii="Times New Roman" w:hAnsi="Times New Roman"/>
                <w:b/>
                <w:bCs/>
                <w:lang w:eastAsia="sk-SK"/>
              </w:rPr>
              <w:t>Kapitálové výdavky (700)</w:t>
            </w:r>
          </w:p>
        </w:tc>
        <w:tc>
          <w:tcPr>
            <w:tcW w:w="1364" w:type="dxa"/>
            <w:tcBorders>
              <w:top w:val="nil"/>
              <w:left w:val="nil"/>
              <w:bottom w:val="single" w:sz="4" w:space="0" w:color="auto"/>
              <w:right w:val="single" w:sz="4" w:space="0" w:color="auto"/>
            </w:tcBorders>
            <w:textDirection w:val="lrTb"/>
            <w:vAlign w:val="top"/>
          </w:tcPr>
          <w:p w:rsidR="00F7134B" w:rsidRPr="003727BA" w:rsidP="00F7134B">
            <w:pPr>
              <w:bidi w:val="0"/>
              <w:spacing w:after="0" w:line="240" w:lineRule="auto"/>
              <w:jc w:val="center"/>
              <w:rPr>
                <w:rFonts w:ascii="Times New Roman" w:hAnsi="Times New Roman"/>
                <w:b/>
                <w:bCs/>
                <w:lang w:eastAsia="sk-SK"/>
              </w:rPr>
            </w:pPr>
          </w:p>
        </w:tc>
        <w:tc>
          <w:tcPr>
            <w:tcW w:w="1417" w:type="dxa"/>
            <w:tcBorders>
              <w:top w:val="nil"/>
              <w:left w:val="nil"/>
              <w:bottom w:val="single" w:sz="4" w:space="0" w:color="auto"/>
              <w:right w:val="single" w:sz="4" w:space="0" w:color="auto"/>
            </w:tcBorders>
            <w:textDirection w:val="lrTb"/>
            <w:vAlign w:val="top"/>
          </w:tcPr>
          <w:p w:rsidR="00F7134B" w:rsidRPr="003727BA" w:rsidP="00F7134B">
            <w:pPr>
              <w:bidi w:val="0"/>
              <w:spacing w:after="0" w:line="240" w:lineRule="auto"/>
              <w:jc w:val="center"/>
              <w:rPr>
                <w:rFonts w:ascii="Times New Roman" w:hAnsi="Times New Roman"/>
                <w:b/>
                <w:bCs/>
                <w:lang w:eastAsia="sk-SK"/>
              </w:rPr>
            </w:pPr>
          </w:p>
        </w:tc>
        <w:tc>
          <w:tcPr>
            <w:tcW w:w="1701" w:type="dxa"/>
            <w:tcBorders>
              <w:top w:val="nil"/>
              <w:left w:val="nil"/>
              <w:bottom w:val="single" w:sz="4" w:space="0" w:color="auto"/>
              <w:right w:val="single" w:sz="4" w:space="0" w:color="auto"/>
            </w:tcBorders>
            <w:textDirection w:val="lrTb"/>
            <w:vAlign w:val="top"/>
          </w:tcPr>
          <w:p w:rsidR="00F7134B" w:rsidRPr="003727BA" w:rsidP="00F7134B">
            <w:pPr>
              <w:bidi w:val="0"/>
              <w:spacing w:after="0" w:line="240" w:lineRule="auto"/>
              <w:jc w:val="center"/>
              <w:rPr>
                <w:rFonts w:ascii="Times New Roman" w:hAnsi="Times New Roman"/>
                <w:b/>
                <w:bCs/>
                <w:lang w:eastAsia="sk-SK"/>
              </w:rPr>
            </w:pPr>
          </w:p>
        </w:tc>
        <w:tc>
          <w:tcPr>
            <w:tcW w:w="1678" w:type="dxa"/>
            <w:tcBorders>
              <w:top w:val="nil"/>
              <w:left w:val="nil"/>
              <w:bottom w:val="single" w:sz="4" w:space="0" w:color="auto"/>
              <w:right w:val="single" w:sz="4" w:space="0" w:color="auto"/>
            </w:tcBorders>
            <w:textDirection w:val="lrTb"/>
            <w:vAlign w:val="top"/>
          </w:tcPr>
          <w:p w:rsidR="00F7134B" w:rsidRPr="003727BA" w:rsidP="00F7134B">
            <w:pPr>
              <w:bidi w:val="0"/>
              <w:spacing w:after="0" w:line="240" w:lineRule="auto"/>
              <w:jc w:val="center"/>
              <w:rPr>
                <w:rFonts w:ascii="Times New Roman" w:hAnsi="Times New Roman"/>
                <w:b/>
                <w:bCs/>
                <w:lang w:eastAsia="sk-SK"/>
              </w:rPr>
            </w:pPr>
          </w:p>
        </w:tc>
        <w:tc>
          <w:tcPr>
            <w:tcW w:w="1724" w:type="dxa"/>
            <w:tcBorders>
              <w:top w:val="nil"/>
              <w:left w:val="nil"/>
              <w:bottom w:val="single" w:sz="4" w:space="0" w:color="auto"/>
              <w:right w:val="single" w:sz="4" w:space="0" w:color="auto"/>
            </w:tcBorders>
            <w:noWrap/>
            <w:textDirection w:val="lrTb"/>
            <w:vAlign w:val="bottom"/>
          </w:tcPr>
          <w:p w:rsidR="00F7134B" w:rsidRPr="003727BA" w:rsidP="00F7134B">
            <w:pPr>
              <w:bidi w:val="0"/>
              <w:spacing w:after="0" w:line="240" w:lineRule="auto"/>
              <w:rPr>
                <w:rFonts w:ascii="Times New Roman" w:hAnsi="Times New Roman"/>
                <w:lang w:eastAsia="sk-SK"/>
              </w:rPr>
            </w:pPr>
            <w:r w:rsidRPr="003727BA">
              <w:rPr>
                <w:rFonts w:ascii="Times New Roman" w:hAnsi="Times New Roman"/>
                <w:lang w:eastAsia="sk-SK"/>
              </w:rPr>
              <w:t> </w:t>
            </w:r>
          </w:p>
        </w:tc>
      </w:tr>
      <w:tr>
        <w:tblPrEx>
          <w:tblW w:w="14954"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F7134B" w:rsidRPr="003727BA" w:rsidP="00F7134B">
            <w:pPr>
              <w:bidi w:val="0"/>
              <w:spacing w:after="0" w:line="240" w:lineRule="auto"/>
              <w:rPr>
                <w:rFonts w:ascii="Times New Roman" w:hAnsi="Times New Roman"/>
                <w:lang w:eastAsia="sk-SK"/>
              </w:rPr>
            </w:pPr>
            <w:r w:rsidRPr="003727BA">
              <w:rPr>
                <w:rFonts w:ascii="Times New Roman" w:hAnsi="Times New Roman"/>
                <w:lang w:eastAsia="sk-SK"/>
              </w:rPr>
              <w:t xml:space="preserve">  Obstarávanie kapitálových aktív (710)</w:t>
            </w:r>
            <w:r w:rsidRPr="003727BA">
              <w:rPr>
                <w:rFonts w:ascii="Times New Roman" w:hAnsi="Times New Roman"/>
                <w:vertAlign w:val="superscript"/>
                <w:lang w:eastAsia="sk-SK"/>
              </w:rPr>
              <w:t>2</w:t>
            </w:r>
          </w:p>
        </w:tc>
        <w:tc>
          <w:tcPr>
            <w:tcW w:w="1364" w:type="dxa"/>
            <w:tcBorders>
              <w:top w:val="nil"/>
              <w:left w:val="nil"/>
              <w:bottom w:val="single" w:sz="4" w:space="0" w:color="auto"/>
              <w:right w:val="single" w:sz="4" w:space="0" w:color="auto"/>
            </w:tcBorders>
            <w:textDirection w:val="lrTb"/>
            <w:vAlign w:val="top"/>
          </w:tcPr>
          <w:p w:rsidR="00F7134B" w:rsidRPr="003727BA" w:rsidP="00F7134B">
            <w:pPr>
              <w:bidi w:val="0"/>
              <w:spacing w:after="0" w:line="240" w:lineRule="auto"/>
              <w:jc w:val="center"/>
              <w:rPr>
                <w:rFonts w:ascii="Times New Roman" w:hAnsi="Times New Roman"/>
                <w:lang w:eastAsia="sk-SK"/>
              </w:rPr>
            </w:pPr>
          </w:p>
        </w:tc>
        <w:tc>
          <w:tcPr>
            <w:tcW w:w="1417" w:type="dxa"/>
            <w:tcBorders>
              <w:top w:val="nil"/>
              <w:left w:val="nil"/>
              <w:bottom w:val="single" w:sz="4" w:space="0" w:color="auto"/>
              <w:right w:val="single" w:sz="4" w:space="0" w:color="auto"/>
            </w:tcBorders>
            <w:textDirection w:val="lrTb"/>
            <w:vAlign w:val="top"/>
          </w:tcPr>
          <w:p w:rsidR="00F7134B" w:rsidRPr="003727BA" w:rsidP="00F7134B">
            <w:pPr>
              <w:bidi w:val="0"/>
              <w:spacing w:after="0" w:line="240" w:lineRule="auto"/>
              <w:jc w:val="center"/>
              <w:rPr>
                <w:rFonts w:ascii="Times New Roman" w:hAnsi="Times New Roman"/>
                <w:lang w:eastAsia="sk-SK"/>
              </w:rPr>
            </w:pPr>
          </w:p>
        </w:tc>
        <w:tc>
          <w:tcPr>
            <w:tcW w:w="1701" w:type="dxa"/>
            <w:tcBorders>
              <w:top w:val="nil"/>
              <w:left w:val="nil"/>
              <w:bottom w:val="single" w:sz="4" w:space="0" w:color="auto"/>
              <w:right w:val="single" w:sz="4" w:space="0" w:color="auto"/>
            </w:tcBorders>
            <w:textDirection w:val="lrTb"/>
            <w:vAlign w:val="top"/>
          </w:tcPr>
          <w:p w:rsidR="00F7134B" w:rsidRPr="003727BA" w:rsidP="00F7134B">
            <w:pPr>
              <w:bidi w:val="0"/>
              <w:spacing w:after="0" w:line="240" w:lineRule="auto"/>
              <w:jc w:val="center"/>
              <w:rPr>
                <w:rFonts w:ascii="Times New Roman" w:hAnsi="Times New Roman"/>
                <w:lang w:eastAsia="sk-SK"/>
              </w:rPr>
            </w:pPr>
          </w:p>
        </w:tc>
        <w:tc>
          <w:tcPr>
            <w:tcW w:w="1678" w:type="dxa"/>
            <w:tcBorders>
              <w:top w:val="nil"/>
              <w:left w:val="nil"/>
              <w:bottom w:val="single" w:sz="4" w:space="0" w:color="auto"/>
              <w:right w:val="single" w:sz="4" w:space="0" w:color="auto"/>
            </w:tcBorders>
            <w:textDirection w:val="lrTb"/>
            <w:vAlign w:val="top"/>
          </w:tcPr>
          <w:p w:rsidR="00F7134B" w:rsidRPr="003727BA" w:rsidP="00F7134B">
            <w:pPr>
              <w:bidi w:val="0"/>
              <w:spacing w:after="0" w:line="240" w:lineRule="auto"/>
              <w:jc w:val="center"/>
              <w:rPr>
                <w:rFonts w:ascii="Times New Roman" w:hAnsi="Times New Roman"/>
                <w:lang w:eastAsia="sk-SK"/>
              </w:rPr>
            </w:pPr>
          </w:p>
        </w:tc>
        <w:tc>
          <w:tcPr>
            <w:tcW w:w="1724" w:type="dxa"/>
            <w:tcBorders>
              <w:top w:val="nil"/>
              <w:left w:val="nil"/>
              <w:bottom w:val="single" w:sz="4" w:space="0" w:color="auto"/>
              <w:right w:val="single" w:sz="4" w:space="0" w:color="auto"/>
            </w:tcBorders>
            <w:noWrap/>
            <w:textDirection w:val="lrTb"/>
            <w:vAlign w:val="bottom"/>
          </w:tcPr>
          <w:p w:rsidR="00F7134B" w:rsidRPr="003727BA" w:rsidP="00F7134B">
            <w:pPr>
              <w:bidi w:val="0"/>
              <w:spacing w:after="0" w:line="240" w:lineRule="auto"/>
              <w:rPr>
                <w:rFonts w:ascii="Times New Roman" w:hAnsi="Times New Roman"/>
                <w:lang w:eastAsia="sk-SK"/>
              </w:rPr>
            </w:pPr>
            <w:r w:rsidRPr="003727BA">
              <w:rPr>
                <w:rFonts w:ascii="Times New Roman" w:hAnsi="Times New Roman"/>
                <w:lang w:eastAsia="sk-SK"/>
              </w:rPr>
              <w:t> </w:t>
            </w:r>
          </w:p>
        </w:tc>
      </w:tr>
      <w:tr>
        <w:tblPrEx>
          <w:tblW w:w="14954"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F7134B" w:rsidRPr="003727BA" w:rsidP="00F7134B">
            <w:pPr>
              <w:bidi w:val="0"/>
              <w:spacing w:after="0" w:line="240" w:lineRule="auto"/>
              <w:rPr>
                <w:rFonts w:ascii="Times New Roman" w:hAnsi="Times New Roman"/>
                <w:lang w:eastAsia="sk-SK"/>
              </w:rPr>
            </w:pPr>
            <w:r w:rsidRPr="003727BA">
              <w:rPr>
                <w:rFonts w:ascii="Times New Roman" w:hAnsi="Times New Roman"/>
                <w:lang w:eastAsia="sk-SK"/>
              </w:rPr>
              <w:t xml:space="preserve">  Kapitálové transfery (720)</w:t>
            </w:r>
            <w:r w:rsidRPr="003727BA">
              <w:rPr>
                <w:rFonts w:ascii="Times New Roman" w:hAnsi="Times New Roman"/>
                <w:vertAlign w:val="superscript"/>
                <w:lang w:eastAsia="sk-SK"/>
              </w:rPr>
              <w:t>2</w:t>
            </w:r>
          </w:p>
        </w:tc>
        <w:tc>
          <w:tcPr>
            <w:tcW w:w="1364" w:type="dxa"/>
            <w:tcBorders>
              <w:top w:val="nil"/>
              <w:left w:val="nil"/>
              <w:bottom w:val="single" w:sz="4" w:space="0" w:color="auto"/>
              <w:right w:val="single" w:sz="4" w:space="0" w:color="auto"/>
            </w:tcBorders>
            <w:textDirection w:val="lrTb"/>
            <w:vAlign w:val="top"/>
          </w:tcPr>
          <w:p w:rsidR="00F7134B" w:rsidRPr="003727BA" w:rsidP="00F7134B">
            <w:pPr>
              <w:bidi w:val="0"/>
              <w:spacing w:after="0" w:line="240" w:lineRule="auto"/>
              <w:jc w:val="center"/>
              <w:rPr>
                <w:rFonts w:ascii="Times New Roman" w:hAnsi="Times New Roman"/>
                <w:lang w:eastAsia="sk-SK"/>
              </w:rPr>
            </w:pPr>
          </w:p>
        </w:tc>
        <w:tc>
          <w:tcPr>
            <w:tcW w:w="1417" w:type="dxa"/>
            <w:tcBorders>
              <w:top w:val="nil"/>
              <w:left w:val="nil"/>
              <w:bottom w:val="single" w:sz="4" w:space="0" w:color="auto"/>
              <w:right w:val="single" w:sz="4" w:space="0" w:color="auto"/>
            </w:tcBorders>
            <w:textDirection w:val="lrTb"/>
            <w:vAlign w:val="top"/>
          </w:tcPr>
          <w:p w:rsidR="00F7134B" w:rsidRPr="003727BA" w:rsidP="00F7134B">
            <w:pPr>
              <w:bidi w:val="0"/>
              <w:spacing w:after="0" w:line="240" w:lineRule="auto"/>
              <w:jc w:val="center"/>
              <w:rPr>
                <w:rFonts w:ascii="Times New Roman" w:hAnsi="Times New Roman"/>
                <w:lang w:eastAsia="sk-SK"/>
              </w:rPr>
            </w:pPr>
          </w:p>
        </w:tc>
        <w:tc>
          <w:tcPr>
            <w:tcW w:w="1701" w:type="dxa"/>
            <w:tcBorders>
              <w:top w:val="nil"/>
              <w:left w:val="nil"/>
              <w:bottom w:val="single" w:sz="4" w:space="0" w:color="auto"/>
              <w:right w:val="single" w:sz="4" w:space="0" w:color="auto"/>
            </w:tcBorders>
            <w:textDirection w:val="lrTb"/>
            <w:vAlign w:val="top"/>
          </w:tcPr>
          <w:p w:rsidR="00F7134B" w:rsidRPr="003727BA" w:rsidP="00F7134B">
            <w:pPr>
              <w:bidi w:val="0"/>
              <w:spacing w:after="0" w:line="240" w:lineRule="auto"/>
              <w:jc w:val="center"/>
              <w:rPr>
                <w:rFonts w:ascii="Times New Roman" w:hAnsi="Times New Roman"/>
                <w:lang w:eastAsia="sk-SK"/>
              </w:rPr>
            </w:pPr>
          </w:p>
        </w:tc>
        <w:tc>
          <w:tcPr>
            <w:tcW w:w="1678" w:type="dxa"/>
            <w:tcBorders>
              <w:top w:val="nil"/>
              <w:left w:val="nil"/>
              <w:bottom w:val="single" w:sz="4" w:space="0" w:color="auto"/>
              <w:right w:val="single" w:sz="4" w:space="0" w:color="auto"/>
            </w:tcBorders>
            <w:textDirection w:val="lrTb"/>
            <w:vAlign w:val="top"/>
          </w:tcPr>
          <w:p w:rsidR="00F7134B" w:rsidRPr="003727BA" w:rsidP="00F7134B">
            <w:pPr>
              <w:bidi w:val="0"/>
              <w:spacing w:after="0" w:line="240" w:lineRule="auto"/>
              <w:jc w:val="center"/>
              <w:rPr>
                <w:rFonts w:ascii="Times New Roman" w:hAnsi="Times New Roman"/>
                <w:lang w:eastAsia="sk-SK"/>
              </w:rPr>
            </w:pPr>
          </w:p>
        </w:tc>
        <w:tc>
          <w:tcPr>
            <w:tcW w:w="1724" w:type="dxa"/>
            <w:tcBorders>
              <w:top w:val="nil"/>
              <w:left w:val="nil"/>
              <w:bottom w:val="single" w:sz="4" w:space="0" w:color="auto"/>
              <w:right w:val="single" w:sz="4" w:space="0" w:color="auto"/>
            </w:tcBorders>
            <w:noWrap/>
            <w:textDirection w:val="lrTb"/>
            <w:vAlign w:val="bottom"/>
          </w:tcPr>
          <w:p w:rsidR="00F7134B" w:rsidRPr="003727BA" w:rsidP="00F7134B">
            <w:pPr>
              <w:bidi w:val="0"/>
              <w:spacing w:after="0" w:line="240" w:lineRule="auto"/>
              <w:rPr>
                <w:rFonts w:ascii="Times New Roman" w:hAnsi="Times New Roman"/>
                <w:lang w:eastAsia="sk-SK"/>
              </w:rPr>
            </w:pPr>
            <w:r w:rsidRPr="003727BA">
              <w:rPr>
                <w:rFonts w:ascii="Times New Roman" w:hAnsi="Times New Roman"/>
                <w:lang w:eastAsia="sk-SK"/>
              </w:rPr>
              <w:t> </w:t>
            </w:r>
          </w:p>
        </w:tc>
      </w:tr>
      <w:tr>
        <w:tblPrEx>
          <w:tblW w:w="14954"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F7134B" w:rsidRPr="003727BA" w:rsidP="00F7134B">
            <w:pPr>
              <w:bidi w:val="0"/>
              <w:spacing w:after="0" w:line="240" w:lineRule="auto"/>
              <w:rPr>
                <w:rFonts w:ascii="Times New Roman" w:hAnsi="Times New Roman"/>
                <w:b/>
                <w:bCs/>
                <w:lang w:eastAsia="sk-SK"/>
              </w:rPr>
            </w:pPr>
            <w:r w:rsidRPr="003727BA">
              <w:rPr>
                <w:rFonts w:ascii="Times New Roman" w:hAnsi="Times New Roman"/>
                <w:b/>
                <w:bCs/>
                <w:lang w:eastAsia="sk-SK"/>
              </w:rPr>
              <w:t>Výdavky z transakcií s finančnými aktívami a finančnými pasívami (800)</w:t>
            </w:r>
          </w:p>
        </w:tc>
        <w:tc>
          <w:tcPr>
            <w:tcW w:w="1364" w:type="dxa"/>
            <w:tcBorders>
              <w:top w:val="nil"/>
              <w:left w:val="nil"/>
              <w:bottom w:val="single" w:sz="4" w:space="0" w:color="auto"/>
              <w:right w:val="single" w:sz="4" w:space="0" w:color="auto"/>
            </w:tcBorders>
            <w:shd w:val="clear" w:color="auto" w:fill="FFFF99"/>
            <w:textDirection w:val="lrTb"/>
            <w:vAlign w:val="top"/>
          </w:tcPr>
          <w:p w:rsidR="00F7134B" w:rsidRPr="003727BA" w:rsidP="00F7134B">
            <w:pPr>
              <w:bidi w:val="0"/>
              <w:spacing w:after="0" w:line="240" w:lineRule="auto"/>
              <w:jc w:val="center"/>
              <w:rPr>
                <w:rFonts w:ascii="Times New Roman" w:hAnsi="Times New Roman"/>
                <w:b/>
                <w:bCs/>
                <w:lang w:eastAsia="sk-SK"/>
              </w:rPr>
            </w:pPr>
          </w:p>
        </w:tc>
        <w:tc>
          <w:tcPr>
            <w:tcW w:w="1417" w:type="dxa"/>
            <w:tcBorders>
              <w:top w:val="nil"/>
              <w:left w:val="nil"/>
              <w:bottom w:val="single" w:sz="4" w:space="0" w:color="auto"/>
              <w:right w:val="single" w:sz="4" w:space="0" w:color="auto"/>
            </w:tcBorders>
            <w:shd w:val="clear" w:color="auto" w:fill="FFFF99"/>
            <w:textDirection w:val="lrTb"/>
            <w:vAlign w:val="top"/>
          </w:tcPr>
          <w:p w:rsidR="00F7134B" w:rsidRPr="003727BA" w:rsidP="00F7134B">
            <w:pPr>
              <w:bidi w:val="0"/>
              <w:spacing w:after="0" w:line="240" w:lineRule="auto"/>
              <w:jc w:val="center"/>
              <w:rPr>
                <w:rFonts w:ascii="Times New Roman" w:hAnsi="Times New Roman"/>
                <w:b/>
                <w:bCs/>
                <w:lang w:eastAsia="sk-SK"/>
              </w:rPr>
            </w:pPr>
          </w:p>
        </w:tc>
        <w:tc>
          <w:tcPr>
            <w:tcW w:w="1701" w:type="dxa"/>
            <w:tcBorders>
              <w:top w:val="nil"/>
              <w:left w:val="nil"/>
              <w:bottom w:val="single" w:sz="4" w:space="0" w:color="auto"/>
              <w:right w:val="single" w:sz="4" w:space="0" w:color="auto"/>
            </w:tcBorders>
            <w:shd w:val="clear" w:color="auto" w:fill="FFFF99"/>
            <w:textDirection w:val="lrTb"/>
            <w:vAlign w:val="top"/>
          </w:tcPr>
          <w:p w:rsidR="00F7134B" w:rsidRPr="003727BA" w:rsidP="00F7134B">
            <w:pPr>
              <w:bidi w:val="0"/>
              <w:spacing w:after="0" w:line="240" w:lineRule="auto"/>
              <w:jc w:val="center"/>
              <w:rPr>
                <w:rFonts w:ascii="Times New Roman" w:hAnsi="Times New Roman"/>
                <w:b/>
                <w:bCs/>
                <w:lang w:eastAsia="sk-SK"/>
              </w:rPr>
            </w:pPr>
          </w:p>
        </w:tc>
        <w:tc>
          <w:tcPr>
            <w:tcW w:w="1678" w:type="dxa"/>
            <w:tcBorders>
              <w:top w:val="nil"/>
              <w:left w:val="nil"/>
              <w:bottom w:val="single" w:sz="4" w:space="0" w:color="auto"/>
              <w:right w:val="single" w:sz="4" w:space="0" w:color="auto"/>
            </w:tcBorders>
            <w:shd w:val="clear" w:color="auto" w:fill="FFFF99"/>
            <w:textDirection w:val="lrTb"/>
            <w:vAlign w:val="top"/>
          </w:tcPr>
          <w:p w:rsidR="00F7134B" w:rsidRPr="003727BA" w:rsidP="00F7134B">
            <w:pPr>
              <w:bidi w:val="0"/>
              <w:spacing w:after="0" w:line="240" w:lineRule="auto"/>
              <w:jc w:val="center"/>
              <w:rPr>
                <w:rFonts w:ascii="Times New Roman" w:hAnsi="Times New Roman"/>
                <w:b/>
                <w:bCs/>
                <w:lang w:eastAsia="sk-SK"/>
              </w:rPr>
            </w:pPr>
          </w:p>
        </w:tc>
        <w:tc>
          <w:tcPr>
            <w:tcW w:w="1724" w:type="dxa"/>
            <w:tcBorders>
              <w:top w:val="nil"/>
              <w:left w:val="nil"/>
              <w:bottom w:val="single" w:sz="4" w:space="0" w:color="auto"/>
              <w:right w:val="single" w:sz="4" w:space="0" w:color="auto"/>
            </w:tcBorders>
            <w:noWrap/>
            <w:textDirection w:val="lrTb"/>
            <w:vAlign w:val="bottom"/>
          </w:tcPr>
          <w:p w:rsidR="00F7134B" w:rsidRPr="003727BA" w:rsidP="00F7134B">
            <w:pPr>
              <w:bidi w:val="0"/>
              <w:spacing w:after="0" w:line="240" w:lineRule="auto"/>
              <w:rPr>
                <w:rFonts w:ascii="Times New Roman" w:hAnsi="Times New Roman"/>
                <w:lang w:eastAsia="sk-SK"/>
              </w:rPr>
            </w:pPr>
            <w:r w:rsidRPr="003727BA">
              <w:rPr>
                <w:rFonts w:ascii="Times New Roman" w:hAnsi="Times New Roman"/>
                <w:lang w:eastAsia="sk-SK"/>
              </w:rPr>
              <w:t> </w:t>
            </w:r>
          </w:p>
        </w:tc>
      </w:tr>
      <w:tr>
        <w:tblPrEx>
          <w:tblW w:w="14954"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F7134B" w:rsidRPr="003727BA" w:rsidP="00F7134B">
            <w:pPr>
              <w:bidi w:val="0"/>
              <w:spacing w:after="0" w:line="240" w:lineRule="auto"/>
              <w:rPr>
                <w:rFonts w:ascii="Times New Roman" w:hAnsi="Times New Roman"/>
                <w:b/>
                <w:bCs/>
                <w:lang w:eastAsia="sk-SK"/>
              </w:rPr>
            </w:pPr>
            <w:r w:rsidRPr="003727BA">
              <w:rPr>
                <w:rFonts w:ascii="Times New Roman" w:hAnsi="Times New Roman"/>
                <w:b/>
                <w:bCs/>
                <w:lang w:eastAsia="sk-SK"/>
              </w:rPr>
              <w:t>Dopad na výdavky verejnej správy celkom</w:t>
            </w:r>
          </w:p>
        </w:tc>
        <w:tc>
          <w:tcPr>
            <w:tcW w:w="1364" w:type="dxa"/>
            <w:tcBorders>
              <w:top w:val="single" w:sz="4" w:space="0" w:color="auto"/>
              <w:left w:val="nil"/>
              <w:bottom w:val="single" w:sz="4" w:space="0" w:color="auto"/>
              <w:right w:val="single" w:sz="4" w:space="0" w:color="auto"/>
            </w:tcBorders>
            <w:shd w:val="clear" w:color="auto" w:fill="BFBFBF"/>
            <w:textDirection w:val="lrTb"/>
            <w:vAlign w:val="top"/>
          </w:tcPr>
          <w:p w:rsidR="00F7134B" w:rsidRPr="003727BA" w:rsidP="00F7134B">
            <w:pPr>
              <w:bidi w:val="0"/>
              <w:spacing w:after="0" w:line="240" w:lineRule="auto"/>
              <w:jc w:val="center"/>
              <w:rPr>
                <w:rFonts w:ascii="Times New Roman" w:hAnsi="Times New Roman"/>
                <w:b/>
              </w:rPr>
            </w:pPr>
            <w:r w:rsidRPr="003727BA">
              <w:rPr>
                <w:rFonts w:ascii="Times New Roman" w:hAnsi="Times New Roman"/>
                <w:b/>
              </w:rPr>
              <w:t>0</w:t>
            </w:r>
          </w:p>
        </w:tc>
        <w:tc>
          <w:tcPr>
            <w:tcW w:w="1417" w:type="dxa"/>
            <w:tcBorders>
              <w:top w:val="single" w:sz="4" w:space="0" w:color="auto"/>
              <w:left w:val="nil"/>
              <w:bottom w:val="single" w:sz="4" w:space="0" w:color="auto"/>
              <w:right w:val="single" w:sz="4" w:space="0" w:color="auto"/>
            </w:tcBorders>
            <w:shd w:val="clear" w:color="auto" w:fill="BFBFBF"/>
            <w:textDirection w:val="lrTb"/>
            <w:vAlign w:val="top"/>
          </w:tcPr>
          <w:p w:rsidR="00F7134B" w:rsidRPr="003727BA" w:rsidP="00F7134B">
            <w:pPr>
              <w:bidi w:val="0"/>
              <w:spacing w:after="0" w:line="240" w:lineRule="auto"/>
              <w:jc w:val="center"/>
              <w:rPr>
                <w:rFonts w:ascii="Times New Roman" w:hAnsi="Times New Roman"/>
                <w:b/>
              </w:rPr>
            </w:pPr>
            <w:r w:rsidRPr="003727BA">
              <w:rPr>
                <w:rFonts w:ascii="Times New Roman" w:hAnsi="Times New Roman"/>
                <w:b/>
              </w:rPr>
              <w:t>29 533 929</w:t>
            </w:r>
          </w:p>
        </w:tc>
        <w:tc>
          <w:tcPr>
            <w:tcW w:w="1701" w:type="dxa"/>
            <w:tcBorders>
              <w:top w:val="single" w:sz="4" w:space="0" w:color="auto"/>
              <w:left w:val="nil"/>
              <w:bottom w:val="single" w:sz="4" w:space="0" w:color="auto"/>
              <w:right w:val="single" w:sz="4" w:space="0" w:color="auto"/>
            </w:tcBorders>
            <w:shd w:val="clear" w:color="auto" w:fill="BFBFBF"/>
            <w:textDirection w:val="lrTb"/>
            <w:vAlign w:val="top"/>
          </w:tcPr>
          <w:p w:rsidR="00F7134B" w:rsidRPr="003727BA" w:rsidP="00F7134B">
            <w:pPr>
              <w:bidi w:val="0"/>
              <w:spacing w:after="0" w:line="240" w:lineRule="auto"/>
              <w:jc w:val="center"/>
              <w:rPr>
                <w:rFonts w:ascii="Times New Roman" w:hAnsi="Times New Roman"/>
                <w:b/>
              </w:rPr>
            </w:pPr>
            <w:r w:rsidRPr="003727BA">
              <w:rPr>
                <w:rFonts w:ascii="Times New Roman" w:hAnsi="Times New Roman"/>
                <w:b/>
              </w:rPr>
              <w:t>32 947 669</w:t>
            </w:r>
          </w:p>
        </w:tc>
        <w:tc>
          <w:tcPr>
            <w:tcW w:w="1678" w:type="dxa"/>
            <w:tcBorders>
              <w:top w:val="single" w:sz="4" w:space="0" w:color="auto"/>
              <w:left w:val="nil"/>
              <w:bottom w:val="single" w:sz="4" w:space="0" w:color="auto"/>
              <w:right w:val="single" w:sz="4" w:space="0" w:color="auto"/>
            </w:tcBorders>
            <w:shd w:val="clear" w:color="auto" w:fill="BFBFBF"/>
            <w:textDirection w:val="lrTb"/>
            <w:vAlign w:val="top"/>
          </w:tcPr>
          <w:p w:rsidR="00F7134B" w:rsidRPr="003727BA" w:rsidP="00F7134B">
            <w:pPr>
              <w:bidi w:val="0"/>
              <w:spacing w:after="0" w:line="240" w:lineRule="auto"/>
              <w:jc w:val="center"/>
              <w:rPr>
                <w:rFonts w:ascii="Times New Roman" w:hAnsi="Times New Roman"/>
                <w:b/>
              </w:rPr>
            </w:pPr>
            <w:r w:rsidRPr="003727BA">
              <w:rPr>
                <w:rFonts w:ascii="Times New Roman" w:hAnsi="Times New Roman"/>
                <w:b/>
              </w:rPr>
              <w:t>41 229 983</w:t>
            </w:r>
          </w:p>
        </w:tc>
        <w:tc>
          <w:tcPr>
            <w:tcW w:w="1724" w:type="dxa"/>
            <w:tcBorders>
              <w:top w:val="single" w:sz="4" w:space="0" w:color="auto"/>
              <w:left w:val="nil"/>
              <w:bottom w:val="single" w:sz="4" w:space="0" w:color="auto"/>
              <w:right w:val="single" w:sz="4" w:space="0" w:color="auto"/>
            </w:tcBorders>
            <w:shd w:val="clear" w:color="auto" w:fill="BFBFBF"/>
            <w:noWrap/>
            <w:textDirection w:val="lrTb"/>
            <w:vAlign w:val="bottom"/>
          </w:tcPr>
          <w:p w:rsidR="00F7134B" w:rsidRPr="003727BA" w:rsidP="00F7134B">
            <w:pPr>
              <w:bidi w:val="0"/>
              <w:spacing w:after="0" w:line="240" w:lineRule="auto"/>
              <w:rPr>
                <w:rFonts w:ascii="Times New Roman" w:hAnsi="Times New Roman"/>
                <w:lang w:eastAsia="sk-SK"/>
              </w:rPr>
            </w:pPr>
            <w:r w:rsidRPr="003727BA">
              <w:rPr>
                <w:rFonts w:ascii="Times New Roman" w:hAnsi="Times New Roman"/>
                <w:lang w:eastAsia="sk-SK"/>
              </w:rPr>
              <w:t> </w:t>
            </w:r>
          </w:p>
        </w:tc>
      </w:tr>
    </w:tbl>
    <w:p w:rsidR="00A6029E" w:rsidRPr="003727BA" w:rsidP="00A6029E">
      <w:pPr>
        <w:tabs>
          <w:tab w:val="num" w:pos="1080"/>
        </w:tabs>
        <w:bidi w:val="0"/>
        <w:spacing w:after="0" w:line="240" w:lineRule="auto"/>
        <w:ind w:left="-900"/>
        <w:jc w:val="both"/>
        <w:rPr>
          <w:rFonts w:ascii="Times New Roman" w:hAnsi="Times New Roman"/>
          <w:bCs/>
          <w:sz w:val="20"/>
          <w:szCs w:val="20"/>
          <w:lang w:eastAsia="sk-SK"/>
        </w:rPr>
      </w:pPr>
      <w:r w:rsidRPr="003727BA">
        <w:rPr>
          <w:rFonts w:ascii="Times New Roman" w:hAnsi="Times New Roman"/>
          <w:bCs/>
          <w:sz w:val="20"/>
          <w:szCs w:val="20"/>
          <w:lang w:eastAsia="sk-SK"/>
        </w:rPr>
        <w:t>2 –  výdavky rozpísať až do položiek platnej ekonomickej klasifikácie</w:t>
      </w:r>
    </w:p>
    <w:p w:rsidR="00A6029E" w:rsidRPr="003727BA" w:rsidP="00A6029E">
      <w:pPr>
        <w:tabs>
          <w:tab w:val="num" w:pos="1080"/>
        </w:tabs>
        <w:bidi w:val="0"/>
        <w:spacing w:after="0" w:line="240" w:lineRule="auto"/>
        <w:ind w:left="-900"/>
        <w:jc w:val="both"/>
        <w:rPr>
          <w:rFonts w:ascii="Times New Roman" w:hAnsi="Times New Roman"/>
          <w:bCs/>
          <w:sz w:val="24"/>
          <w:szCs w:val="20"/>
          <w:lang w:eastAsia="sk-SK"/>
        </w:rPr>
      </w:pPr>
    </w:p>
    <w:p w:rsidR="00A6029E" w:rsidRPr="003727BA" w:rsidP="00A6029E">
      <w:pPr>
        <w:tabs>
          <w:tab w:val="num" w:pos="1080"/>
        </w:tabs>
        <w:bidi w:val="0"/>
        <w:spacing w:after="0" w:line="240" w:lineRule="auto"/>
        <w:ind w:left="-900"/>
        <w:jc w:val="both"/>
        <w:rPr>
          <w:rFonts w:ascii="Times New Roman" w:hAnsi="Times New Roman"/>
          <w:b/>
          <w:bCs/>
          <w:sz w:val="20"/>
          <w:szCs w:val="20"/>
          <w:lang w:eastAsia="sk-SK"/>
        </w:rPr>
      </w:pPr>
      <w:r w:rsidRPr="003727BA">
        <w:rPr>
          <w:rFonts w:ascii="Times New Roman" w:hAnsi="Times New Roman"/>
          <w:b/>
          <w:bCs/>
          <w:sz w:val="24"/>
          <w:szCs w:val="20"/>
          <w:lang w:eastAsia="sk-SK"/>
        </w:rPr>
        <w:t>Poznámka:</w:t>
      </w:r>
    </w:p>
    <w:p w:rsidR="00A6029E" w:rsidRPr="003727BA" w:rsidP="00A6029E">
      <w:pPr>
        <w:tabs>
          <w:tab w:val="num" w:pos="1080"/>
        </w:tabs>
        <w:bidi w:val="0"/>
        <w:spacing w:after="0" w:line="240" w:lineRule="auto"/>
        <w:ind w:left="-900"/>
        <w:jc w:val="both"/>
        <w:rPr>
          <w:rFonts w:ascii="Times New Roman" w:hAnsi="Times New Roman"/>
          <w:bCs/>
          <w:sz w:val="20"/>
          <w:szCs w:val="20"/>
          <w:lang w:eastAsia="sk-SK"/>
        </w:rPr>
      </w:pPr>
      <w:r w:rsidRPr="003727BA">
        <w:rPr>
          <w:rFonts w:ascii="Times New Roman" w:hAnsi="Times New Roman"/>
          <w:bCs/>
          <w:sz w:val="24"/>
          <w:szCs w:val="20"/>
          <w:lang w:eastAsia="sk-SK"/>
        </w:rPr>
        <w:t>Ak sa vplyv týka viacerých subjektov verejnej správy, vypĺňa sa samostatná tabuľka za každý subjekt.</w:t>
      </w:r>
    </w:p>
    <w:p w:rsidR="00A6029E" w:rsidRPr="003727BA" w:rsidP="00A6029E">
      <w:pPr>
        <w:tabs>
          <w:tab w:val="num" w:pos="1080"/>
        </w:tabs>
        <w:bidi w:val="0"/>
        <w:spacing w:after="0" w:line="240" w:lineRule="auto"/>
        <w:ind w:left="-900"/>
        <w:jc w:val="both"/>
        <w:rPr>
          <w:rFonts w:ascii="Times New Roman" w:hAnsi="Times New Roman"/>
          <w:bCs/>
          <w:sz w:val="20"/>
          <w:szCs w:val="20"/>
          <w:lang w:eastAsia="sk-SK"/>
        </w:rPr>
      </w:pPr>
    </w:p>
    <w:p w:rsidR="00A6029E" w:rsidRPr="003727BA" w:rsidP="00A6029E">
      <w:pPr>
        <w:tabs>
          <w:tab w:val="num" w:pos="1080"/>
        </w:tabs>
        <w:bidi w:val="0"/>
        <w:spacing w:after="0" w:line="240" w:lineRule="auto"/>
        <w:ind w:left="-900"/>
        <w:jc w:val="both"/>
        <w:rPr>
          <w:rFonts w:ascii="Times New Roman" w:hAnsi="Times New Roman"/>
          <w:bCs/>
          <w:sz w:val="20"/>
          <w:szCs w:val="20"/>
          <w:lang w:eastAsia="sk-SK"/>
        </w:rPr>
      </w:pPr>
    </w:p>
    <w:p w:rsidR="00A6029E" w:rsidRPr="003727BA" w:rsidP="00A6029E">
      <w:pPr>
        <w:tabs>
          <w:tab w:val="num" w:pos="1080"/>
        </w:tabs>
        <w:bidi w:val="0"/>
        <w:spacing w:after="0" w:line="240" w:lineRule="auto"/>
        <w:ind w:left="-900"/>
        <w:jc w:val="both"/>
        <w:rPr>
          <w:rFonts w:ascii="Times New Roman" w:hAnsi="Times New Roman"/>
          <w:bCs/>
          <w:sz w:val="20"/>
          <w:szCs w:val="20"/>
          <w:lang w:eastAsia="sk-SK"/>
        </w:rPr>
      </w:pPr>
    </w:p>
    <w:p w:rsidR="00A6029E" w:rsidRPr="003727BA" w:rsidP="00A6029E">
      <w:pPr>
        <w:tabs>
          <w:tab w:val="num" w:pos="1080"/>
        </w:tabs>
        <w:bidi w:val="0"/>
        <w:spacing w:after="0" w:line="240" w:lineRule="auto"/>
        <w:ind w:left="-900"/>
        <w:jc w:val="both"/>
        <w:rPr>
          <w:rFonts w:ascii="Times New Roman" w:hAnsi="Times New Roman"/>
          <w:bCs/>
          <w:sz w:val="20"/>
          <w:szCs w:val="20"/>
          <w:lang w:eastAsia="sk-SK"/>
        </w:rPr>
      </w:pPr>
    </w:p>
    <w:p w:rsidR="00A6029E" w:rsidRPr="003727BA" w:rsidP="00A6029E">
      <w:pPr>
        <w:tabs>
          <w:tab w:val="num" w:pos="1080"/>
        </w:tabs>
        <w:bidi w:val="0"/>
        <w:spacing w:after="0" w:line="240" w:lineRule="auto"/>
        <w:ind w:left="-900"/>
        <w:jc w:val="both"/>
        <w:rPr>
          <w:rFonts w:ascii="Times New Roman" w:hAnsi="Times New Roman"/>
          <w:bCs/>
          <w:sz w:val="20"/>
          <w:szCs w:val="20"/>
          <w:lang w:eastAsia="sk-SK"/>
        </w:rPr>
      </w:pPr>
    </w:p>
    <w:p w:rsidR="00A6029E" w:rsidRPr="003727BA" w:rsidP="00A6029E">
      <w:pPr>
        <w:tabs>
          <w:tab w:val="num" w:pos="1080"/>
        </w:tabs>
        <w:bidi w:val="0"/>
        <w:spacing w:after="0" w:line="240" w:lineRule="auto"/>
        <w:ind w:left="-900"/>
        <w:jc w:val="both"/>
        <w:rPr>
          <w:rFonts w:ascii="Times New Roman" w:hAnsi="Times New Roman"/>
          <w:bCs/>
          <w:sz w:val="20"/>
          <w:szCs w:val="20"/>
          <w:lang w:eastAsia="sk-SK"/>
        </w:rPr>
      </w:pPr>
    </w:p>
    <w:p w:rsidR="00A6029E" w:rsidRPr="003727BA" w:rsidP="00A6029E">
      <w:pPr>
        <w:tabs>
          <w:tab w:val="num" w:pos="1080"/>
        </w:tabs>
        <w:bidi w:val="0"/>
        <w:spacing w:after="0" w:line="240" w:lineRule="auto"/>
        <w:ind w:left="-900"/>
        <w:jc w:val="both"/>
        <w:rPr>
          <w:rFonts w:ascii="Times New Roman" w:hAnsi="Times New Roman"/>
          <w:bCs/>
          <w:sz w:val="20"/>
          <w:szCs w:val="20"/>
          <w:lang w:eastAsia="sk-SK"/>
        </w:rPr>
      </w:pPr>
    </w:p>
    <w:p w:rsidR="00A6029E" w:rsidRPr="003727BA" w:rsidP="00A6029E">
      <w:pPr>
        <w:tabs>
          <w:tab w:val="num" w:pos="1080"/>
        </w:tabs>
        <w:bidi w:val="0"/>
        <w:spacing w:after="0" w:line="240" w:lineRule="auto"/>
        <w:ind w:left="-900"/>
        <w:jc w:val="both"/>
        <w:rPr>
          <w:rFonts w:ascii="Times New Roman" w:hAnsi="Times New Roman"/>
          <w:bCs/>
          <w:sz w:val="20"/>
          <w:szCs w:val="20"/>
          <w:lang w:eastAsia="sk-SK"/>
        </w:rPr>
      </w:pPr>
    </w:p>
    <w:p w:rsidR="00A6029E" w:rsidRPr="003727BA" w:rsidP="00A6029E">
      <w:pPr>
        <w:tabs>
          <w:tab w:val="num" w:pos="1080"/>
        </w:tabs>
        <w:bidi w:val="0"/>
        <w:spacing w:after="0" w:line="240" w:lineRule="auto"/>
        <w:ind w:left="-900"/>
        <w:jc w:val="both"/>
        <w:rPr>
          <w:rFonts w:ascii="Times New Roman" w:hAnsi="Times New Roman"/>
          <w:bCs/>
          <w:sz w:val="20"/>
          <w:szCs w:val="20"/>
          <w:lang w:eastAsia="sk-SK"/>
        </w:rPr>
      </w:pPr>
    </w:p>
    <w:p w:rsidR="00A6029E" w:rsidRPr="003727BA" w:rsidP="00A6029E">
      <w:pPr>
        <w:tabs>
          <w:tab w:val="num" w:pos="1080"/>
        </w:tabs>
        <w:bidi w:val="0"/>
        <w:spacing w:after="0" w:line="240" w:lineRule="auto"/>
        <w:ind w:left="-900"/>
        <w:jc w:val="both"/>
        <w:rPr>
          <w:rFonts w:ascii="Times New Roman" w:hAnsi="Times New Roman"/>
          <w:bCs/>
          <w:sz w:val="20"/>
          <w:szCs w:val="20"/>
          <w:lang w:eastAsia="sk-SK"/>
        </w:rPr>
      </w:pPr>
    </w:p>
    <w:p w:rsidR="00A6029E" w:rsidRPr="003727BA" w:rsidP="00A6029E">
      <w:pPr>
        <w:tabs>
          <w:tab w:val="num" w:pos="1080"/>
        </w:tabs>
        <w:bidi w:val="0"/>
        <w:spacing w:after="0" w:line="240" w:lineRule="auto"/>
        <w:ind w:left="-900"/>
        <w:jc w:val="both"/>
        <w:rPr>
          <w:rFonts w:ascii="Times New Roman" w:hAnsi="Times New Roman"/>
          <w:bCs/>
          <w:sz w:val="20"/>
          <w:szCs w:val="20"/>
          <w:lang w:eastAsia="sk-SK"/>
        </w:rPr>
      </w:pPr>
    </w:p>
    <w:p w:rsidR="00A6029E" w:rsidRPr="003727BA" w:rsidP="00A6029E">
      <w:pPr>
        <w:tabs>
          <w:tab w:val="num" w:pos="1080"/>
        </w:tabs>
        <w:bidi w:val="0"/>
        <w:spacing w:after="0" w:line="240" w:lineRule="auto"/>
        <w:ind w:left="-900"/>
        <w:jc w:val="both"/>
        <w:rPr>
          <w:rFonts w:ascii="Times New Roman" w:hAnsi="Times New Roman"/>
          <w:bCs/>
          <w:sz w:val="20"/>
          <w:szCs w:val="20"/>
          <w:lang w:eastAsia="sk-SK"/>
        </w:rPr>
      </w:pPr>
    </w:p>
    <w:p w:rsidR="00A6029E" w:rsidRPr="003727BA" w:rsidP="00A6029E">
      <w:pPr>
        <w:tabs>
          <w:tab w:val="num" w:pos="1080"/>
        </w:tabs>
        <w:bidi w:val="0"/>
        <w:spacing w:after="0" w:line="240" w:lineRule="auto"/>
        <w:jc w:val="both"/>
        <w:rPr>
          <w:rFonts w:ascii="Times New Roman" w:hAnsi="Times New Roman"/>
          <w:bCs/>
          <w:sz w:val="20"/>
          <w:szCs w:val="20"/>
          <w:lang w:eastAsia="sk-SK"/>
        </w:rPr>
      </w:pPr>
    </w:p>
    <w:p w:rsidR="00A6029E" w:rsidRPr="003727BA" w:rsidP="00A6029E">
      <w:pPr>
        <w:tabs>
          <w:tab w:val="num" w:pos="1080"/>
        </w:tabs>
        <w:bidi w:val="0"/>
        <w:spacing w:after="0" w:line="240" w:lineRule="auto"/>
        <w:jc w:val="both"/>
        <w:rPr>
          <w:rFonts w:ascii="Times New Roman" w:hAnsi="Times New Roman"/>
          <w:bCs/>
          <w:sz w:val="20"/>
          <w:szCs w:val="20"/>
          <w:lang w:eastAsia="sk-SK"/>
        </w:rPr>
      </w:pPr>
    </w:p>
    <w:p w:rsidR="00A6029E" w:rsidRPr="003727BA" w:rsidP="00A6029E">
      <w:pPr>
        <w:tabs>
          <w:tab w:val="num" w:pos="1080"/>
        </w:tabs>
        <w:bidi w:val="0"/>
        <w:spacing w:after="0" w:line="240" w:lineRule="auto"/>
        <w:jc w:val="right"/>
        <w:rPr>
          <w:rFonts w:ascii="Times New Roman" w:hAnsi="Times New Roman"/>
          <w:bCs/>
          <w:sz w:val="24"/>
          <w:szCs w:val="24"/>
          <w:lang w:eastAsia="sk-SK"/>
        </w:rPr>
      </w:pPr>
      <w:r w:rsidRPr="003727BA">
        <w:rPr>
          <w:rFonts w:ascii="Times New Roman" w:hAnsi="Times New Roman"/>
          <w:bCs/>
          <w:sz w:val="24"/>
          <w:szCs w:val="24"/>
          <w:lang w:eastAsia="sk-SK"/>
        </w:rPr>
        <w:t xml:space="preserve">                 Tabuľka č. 5 </w:t>
      </w:r>
    </w:p>
    <w:p w:rsidR="00A6029E" w:rsidRPr="003727BA" w:rsidP="00A6029E">
      <w:pPr>
        <w:tabs>
          <w:tab w:val="num" w:pos="1080"/>
        </w:tabs>
        <w:bidi w:val="0"/>
        <w:spacing w:after="0" w:line="240" w:lineRule="auto"/>
        <w:jc w:val="both"/>
        <w:rPr>
          <w:rFonts w:ascii="Times New Roman" w:hAnsi="Times New Roman"/>
          <w:bCs/>
          <w:sz w:val="24"/>
          <w:szCs w:val="20"/>
          <w:lang w:eastAsia="sk-SK"/>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6029E" w:rsidRPr="003727BA" w:rsidP="00BB3760">
            <w:pPr>
              <w:bidi w:val="0"/>
              <w:spacing w:after="0" w:line="240" w:lineRule="auto"/>
              <w:jc w:val="center"/>
              <w:rPr>
                <w:rFonts w:ascii="Times New Roman" w:hAnsi="Times New Roman"/>
                <w:b/>
                <w:bCs/>
                <w:sz w:val="24"/>
                <w:szCs w:val="24"/>
                <w:lang w:eastAsia="sk-SK"/>
              </w:rPr>
            </w:pPr>
            <w:r w:rsidRPr="003727BA">
              <w:rPr>
                <w:rFonts w:ascii="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r w:rsidRPr="003727BA">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A6029E" w:rsidRPr="003727BA" w:rsidP="00BB3760">
            <w:pPr>
              <w:bidi w:val="0"/>
              <w:spacing w:after="0" w:line="240" w:lineRule="auto"/>
              <w:jc w:val="center"/>
              <w:rPr>
                <w:rFonts w:ascii="Times New Roman" w:hAnsi="Times New Roman"/>
                <w:b/>
                <w:bCs/>
                <w:sz w:val="24"/>
                <w:szCs w:val="24"/>
                <w:lang w:eastAsia="sk-SK"/>
              </w:rPr>
            </w:pPr>
            <w:r w:rsidRPr="003727BA">
              <w:rPr>
                <w:rFonts w:ascii="Times New Roman" w:hAnsi="Times New Roman"/>
                <w:b/>
                <w:bCs/>
                <w:sz w:val="24"/>
                <w:szCs w:val="24"/>
                <w:lang w:eastAsia="sk-SK"/>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6029E" w:rsidRPr="003727BA" w:rsidP="00BB3760">
            <w:pPr>
              <w:bidi w:val="0"/>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r w:rsidRPr="003727BA">
              <w:rPr>
                <w:rFonts w:ascii="Times New Roman" w:hAnsi="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r w:rsidRPr="003727BA">
              <w:rPr>
                <w:rFonts w:ascii="Times New Roman" w:hAnsi="Times New Roman"/>
                <w:b/>
                <w:bCs/>
                <w:sz w:val="24"/>
                <w:szCs w:val="24"/>
                <w:lang w:eastAsia="sk-SK"/>
              </w:rPr>
              <w:t>r + 1</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r w:rsidRPr="003727BA">
              <w:rPr>
                <w:rFonts w:ascii="Times New Roman" w:hAnsi="Times New Roman"/>
                <w:b/>
                <w:bCs/>
                <w:sz w:val="24"/>
                <w:szCs w:val="24"/>
                <w:lang w:eastAsia="sk-SK"/>
              </w:rPr>
              <w:t>r + 2</w:t>
            </w:r>
          </w:p>
        </w:tc>
        <w:tc>
          <w:tcPr>
            <w:tcW w:w="1722" w:type="dxa"/>
            <w:tcBorders>
              <w:top w:val="nil"/>
              <w:left w:val="nil"/>
              <w:bottom w:val="single" w:sz="4" w:space="0" w:color="auto"/>
              <w:right w:val="single" w:sz="4" w:space="0" w:color="auto"/>
            </w:tcBorders>
            <w:shd w:val="clear" w:color="auto" w:fill="BFBFBF"/>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r w:rsidRPr="003727BA">
              <w:rPr>
                <w:rFonts w:ascii="Times New Roman" w:hAnsi="Times New Roman"/>
                <w:b/>
                <w:bCs/>
                <w:sz w:val="24"/>
                <w:szCs w:val="24"/>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A6029E" w:rsidRPr="003727BA" w:rsidP="00BB3760">
            <w:pPr>
              <w:bidi w:val="0"/>
              <w:spacing w:after="0" w:line="240" w:lineRule="auto"/>
              <w:rPr>
                <w:rFonts w:ascii="Times New Roman" w:hAnsi="Times New Roman"/>
                <w:b/>
                <w:bCs/>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A6029E" w:rsidRPr="003727BA" w:rsidP="00BB3760">
            <w:pPr>
              <w:bidi w:val="0"/>
              <w:spacing w:after="0" w:line="240" w:lineRule="auto"/>
              <w:rPr>
                <w:rFonts w:ascii="Times New Roman" w:hAnsi="Times New Roman"/>
                <w:b/>
                <w:bCs/>
                <w:sz w:val="24"/>
                <w:szCs w:val="24"/>
                <w:lang w:eastAsia="sk-SK"/>
              </w:rPr>
            </w:pPr>
            <w:r w:rsidRPr="003727BA">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A6029E" w:rsidRPr="003727BA" w:rsidP="00BB3760">
            <w:pPr>
              <w:bidi w:val="0"/>
              <w:spacing w:after="0" w:line="240" w:lineRule="auto"/>
              <w:rPr>
                <w:rFonts w:ascii="Times New Roman" w:hAnsi="Times New Roman"/>
                <w:sz w:val="24"/>
                <w:szCs w:val="24"/>
                <w:lang w:eastAsia="sk-SK"/>
              </w:rPr>
            </w:pPr>
            <w:r w:rsidRPr="003727BA">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A6029E" w:rsidRPr="003727BA" w:rsidP="00BB3760">
            <w:pPr>
              <w:bidi w:val="0"/>
              <w:spacing w:after="0" w:line="240" w:lineRule="auto"/>
              <w:rPr>
                <w:rFonts w:ascii="Times New Roman" w:hAnsi="Times New Roman"/>
                <w:b/>
                <w:bCs/>
                <w:sz w:val="24"/>
                <w:szCs w:val="24"/>
                <w:lang w:eastAsia="sk-SK"/>
              </w:rPr>
            </w:pPr>
            <w:r w:rsidRPr="003727BA">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A6029E" w:rsidRPr="003727BA" w:rsidP="00BB3760">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A6029E" w:rsidRPr="003727BA" w:rsidP="00BB3760">
            <w:pPr>
              <w:bidi w:val="0"/>
              <w:spacing w:after="0" w:line="240" w:lineRule="auto"/>
              <w:rPr>
                <w:rFonts w:ascii="Times New Roman" w:hAnsi="Times New Roman"/>
                <w:b/>
                <w:bCs/>
                <w:sz w:val="24"/>
                <w:szCs w:val="24"/>
                <w:lang w:eastAsia="sk-SK"/>
              </w:rPr>
            </w:pPr>
            <w:r w:rsidRPr="003727BA">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A6029E" w:rsidRPr="003727BA" w:rsidP="00BB3760">
            <w:pPr>
              <w:bidi w:val="0"/>
              <w:spacing w:after="0" w:line="240" w:lineRule="auto"/>
              <w:rPr>
                <w:rFonts w:ascii="Times New Roman" w:hAnsi="Times New Roman"/>
                <w:sz w:val="24"/>
                <w:szCs w:val="24"/>
                <w:lang w:eastAsia="sk-SK"/>
              </w:rPr>
            </w:pPr>
            <w:r w:rsidRPr="003727BA">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A6029E" w:rsidRPr="003727BA" w:rsidP="00BB3760">
            <w:pPr>
              <w:bidi w:val="0"/>
              <w:spacing w:after="0" w:line="240" w:lineRule="auto"/>
              <w:rPr>
                <w:rFonts w:ascii="Times New Roman" w:hAnsi="Times New Roman"/>
                <w:sz w:val="24"/>
                <w:szCs w:val="24"/>
                <w:lang w:eastAsia="sk-SK"/>
              </w:rPr>
            </w:pPr>
            <w:r w:rsidRPr="003727BA">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sz w:val="24"/>
                <w:szCs w:val="24"/>
                <w:lang w:eastAsia="sk-SK"/>
              </w:rPr>
            </w:pPr>
            <w:r w:rsidRPr="003727BA">
              <w:rPr>
                <w:rFonts w:ascii="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sz w:val="24"/>
                <w:szCs w:val="24"/>
                <w:lang w:eastAsia="sk-SK"/>
              </w:rPr>
            </w:pPr>
            <w:r w:rsidRPr="003727BA">
              <w:rPr>
                <w:rFonts w:ascii="Times New Roman" w:hAnsi="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sz w:val="24"/>
                <w:szCs w:val="24"/>
                <w:lang w:eastAsia="sk-SK"/>
              </w:rPr>
            </w:pPr>
            <w:r w:rsidRPr="003727BA">
              <w:rPr>
                <w:rFonts w:ascii="Times New Roman" w:hAnsi="Times New Roman"/>
                <w:sz w:val="24"/>
                <w:szCs w:val="24"/>
                <w:lang w:eastAsia="sk-SK"/>
              </w:rPr>
              <w:t> </w:t>
            </w:r>
          </w:p>
        </w:tc>
        <w:tc>
          <w:tcPr>
            <w:tcW w:w="1722" w:type="dxa"/>
            <w:tcBorders>
              <w:top w:val="single" w:sz="4" w:space="0" w:color="auto"/>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sz w:val="24"/>
                <w:szCs w:val="24"/>
                <w:lang w:eastAsia="sk-SK"/>
              </w:rPr>
            </w:pPr>
            <w:r w:rsidRPr="003727BA">
              <w:rPr>
                <w:rFonts w:ascii="Times New Roman" w:hAnsi="Times New Roman"/>
                <w:sz w:val="24"/>
                <w:szCs w:val="24"/>
                <w:lang w:eastAsia="sk-SK"/>
              </w:rPr>
              <w:t> </w:t>
            </w:r>
          </w:p>
        </w:tc>
        <w:tc>
          <w:tcPr>
            <w:tcW w:w="1620" w:type="dxa"/>
            <w:gridSpan w:val="2"/>
            <w:tcBorders>
              <w:top w:val="nil"/>
              <w:left w:val="nil"/>
              <w:bottom w:val="single" w:sz="4" w:space="0" w:color="auto"/>
              <w:right w:val="single" w:sz="4" w:space="0" w:color="auto"/>
            </w:tcBorders>
            <w:noWrap/>
            <w:textDirection w:val="lrTb"/>
            <w:vAlign w:val="bottom"/>
          </w:tcPr>
          <w:p w:rsidR="00A6029E" w:rsidRPr="003727BA" w:rsidP="00BB3760">
            <w:pPr>
              <w:bidi w:val="0"/>
              <w:spacing w:after="0" w:line="240" w:lineRule="auto"/>
              <w:rPr>
                <w:rFonts w:ascii="Times New Roman" w:hAnsi="Times New Roman"/>
                <w:sz w:val="24"/>
                <w:szCs w:val="24"/>
                <w:lang w:eastAsia="sk-SK"/>
              </w:rPr>
            </w:pPr>
            <w:r w:rsidRPr="003727BA">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A6029E" w:rsidRPr="003727BA" w:rsidP="00BB3760">
            <w:pPr>
              <w:bidi w:val="0"/>
              <w:spacing w:after="0" w:line="240" w:lineRule="auto"/>
              <w:rPr>
                <w:rFonts w:ascii="Times New Roman" w:hAnsi="Times New Roman"/>
                <w:b/>
                <w:bCs/>
                <w:sz w:val="24"/>
                <w:szCs w:val="24"/>
                <w:lang w:eastAsia="sk-SK"/>
              </w:rPr>
            </w:pPr>
            <w:r w:rsidRPr="003727BA">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r w:rsidRPr="003727BA">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r w:rsidRPr="003727BA">
              <w:rPr>
                <w:rFonts w:ascii="Times New Roman" w:hAnsi="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r w:rsidRPr="003727BA">
              <w:rPr>
                <w:rFonts w:ascii="Times New Roman" w:hAnsi="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r w:rsidRPr="003727BA">
              <w:rPr>
                <w:rFonts w:ascii="Times New Roman" w:hAnsi="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A6029E" w:rsidRPr="003727BA" w:rsidP="00BB3760">
            <w:pPr>
              <w:bidi w:val="0"/>
              <w:spacing w:after="0" w:line="240" w:lineRule="auto"/>
              <w:rPr>
                <w:rFonts w:ascii="Times New Roman" w:hAnsi="Times New Roman"/>
                <w:b/>
                <w:bCs/>
                <w:sz w:val="24"/>
                <w:szCs w:val="24"/>
                <w:lang w:eastAsia="sk-SK"/>
              </w:rPr>
            </w:pPr>
            <w:r w:rsidRPr="003727BA">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A6029E" w:rsidRPr="003727BA" w:rsidP="00BB3760">
            <w:pPr>
              <w:bidi w:val="0"/>
              <w:spacing w:after="0" w:line="240" w:lineRule="auto"/>
              <w:rPr>
                <w:rFonts w:ascii="Times New Roman" w:hAnsi="Times New Roman"/>
                <w:b/>
                <w:bCs/>
                <w:sz w:val="24"/>
                <w:szCs w:val="24"/>
                <w:lang w:eastAsia="sk-SK"/>
              </w:rPr>
            </w:pPr>
            <w:r w:rsidRPr="003727BA">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A6029E" w:rsidRPr="003727BA" w:rsidP="00BB3760">
            <w:pPr>
              <w:bidi w:val="0"/>
              <w:spacing w:after="0" w:line="240" w:lineRule="auto"/>
              <w:rPr>
                <w:rFonts w:ascii="Times New Roman" w:hAnsi="Times New Roman"/>
                <w:b/>
                <w:bCs/>
                <w:sz w:val="24"/>
                <w:szCs w:val="24"/>
                <w:lang w:eastAsia="sk-SK"/>
              </w:rPr>
            </w:pPr>
            <w:r w:rsidRPr="003727BA">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A6029E" w:rsidRPr="003727BA" w:rsidP="00BB3760">
            <w:pPr>
              <w:bidi w:val="0"/>
              <w:spacing w:after="0" w:line="240" w:lineRule="auto"/>
              <w:rPr>
                <w:rFonts w:ascii="Times New Roman" w:hAnsi="Times New Roman"/>
                <w:sz w:val="24"/>
                <w:szCs w:val="24"/>
                <w:lang w:eastAsia="sk-SK"/>
              </w:rPr>
            </w:pPr>
            <w:r w:rsidRPr="003727BA">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A6029E" w:rsidRPr="003727BA" w:rsidP="00BB3760">
            <w:pPr>
              <w:bidi w:val="0"/>
              <w:spacing w:after="0" w:line="240" w:lineRule="auto"/>
              <w:rPr>
                <w:rFonts w:ascii="Times New Roman" w:hAnsi="Times New Roman"/>
                <w:sz w:val="24"/>
                <w:szCs w:val="24"/>
                <w:lang w:eastAsia="sk-SK"/>
              </w:rPr>
            </w:pPr>
            <w:r w:rsidRPr="003727BA">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A6029E" w:rsidRPr="003727BA" w:rsidP="00BB3760">
            <w:pPr>
              <w:bidi w:val="0"/>
              <w:spacing w:after="0" w:line="240" w:lineRule="auto"/>
              <w:rPr>
                <w:rFonts w:ascii="Times New Roman" w:hAnsi="Times New Roman"/>
                <w:b/>
                <w:bCs/>
                <w:sz w:val="24"/>
                <w:szCs w:val="24"/>
                <w:lang w:eastAsia="sk-SK"/>
              </w:rPr>
            </w:pPr>
            <w:r w:rsidRPr="003727BA">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A6029E" w:rsidRPr="003727BA" w:rsidP="00BB3760">
            <w:pPr>
              <w:bidi w:val="0"/>
              <w:spacing w:after="0" w:line="240" w:lineRule="auto"/>
              <w:rPr>
                <w:rFonts w:ascii="Times New Roman" w:hAnsi="Times New Roman"/>
                <w:b/>
                <w:bCs/>
                <w:sz w:val="24"/>
                <w:szCs w:val="24"/>
                <w:lang w:eastAsia="sk-SK"/>
              </w:rPr>
            </w:pPr>
            <w:r w:rsidRPr="003727BA">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A6029E" w:rsidRPr="003727BA" w:rsidP="00BB3760">
            <w:pPr>
              <w:bidi w:val="0"/>
              <w:spacing w:after="0" w:line="240" w:lineRule="auto"/>
              <w:rPr>
                <w:rFonts w:ascii="Times New Roman" w:hAnsi="Times New Roman"/>
                <w:sz w:val="24"/>
                <w:szCs w:val="24"/>
                <w:lang w:eastAsia="sk-SK"/>
              </w:rPr>
            </w:pPr>
            <w:r w:rsidRPr="003727BA">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A6029E" w:rsidRPr="003727BA" w:rsidP="00BB3760">
            <w:pPr>
              <w:bidi w:val="0"/>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A6029E" w:rsidRPr="003727BA" w:rsidP="00BB3760">
            <w:pPr>
              <w:bidi w:val="0"/>
              <w:spacing w:after="0" w:line="240" w:lineRule="auto"/>
              <w:rPr>
                <w:rFonts w:ascii="Times New Roman" w:hAnsi="Times New Roman"/>
                <w:sz w:val="24"/>
                <w:szCs w:val="24"/>
                <w:lang w:eastAsia="sk-SK"/>
              </w:rPr>
            </w:pPr>
            <w:r w:rsidRPr="003727BA">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A6029E" w:rsidRPr="003727BA" w:rsidP="00BB3760">
            <w:pPr>
              <w:bidi w:val="0"/>
              <w:spacing w:after="0" w:line="240" w:lineRule="auto"/>
              <w:rPr>
                <w:rFonts w:ascii="Times New Roman" w:hAnsi="Times New Roman"/>
                <w:sz w:val="24"/>
                <w:szCs w:val="24"/>
                <w:lang w:eastAsia="sk-SK"/>
              </w:rPr>
            </w:pPr>
          </w:p>
        </w:tc>
        <w:tc>
          <w:tcPr>
            <w:tcW w:w="1698" w:type="dxa"/>
            <w:tcBorders>
              <w:top w:val="nil"/>
              <w:left w:val="nil"/>
              <w:bottom w:val="nil"/>
              <w:right w:val="nil"/>
            </w:tcBorders>
            <w:noWrap/>
            <w:textDirection w:val="lrTb"/>
            <w:vAlign w:val="bottom"/>
          </w:tcPr>
          <w:p w:rsidR="00A6029E" w:rsidRPr="003727BA" w:rsidP="00BB3760">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A6029E" w:rsidRPr="003727BA" w:rsidP="00BB3760">
            <w:pPr>
              <w:bidi w:val="0"/>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textDirection w:val="lrTb"/>
            <w:vAlign w:val="bottom"/>
          </w:tcPr>
          <w:p w:rsidR="00A6029E" w:rsidRPr="003727BA" w:rsidP="00BB3760">
            <w:pPr>
              <w:bidi w:val="0"/>
              <w:spacing w:after="0" w:line="240" w:lineRule="auto"/>
              <w:rPr>
                <w:rFonts w:ascii="Times New Roman" w:hAnsi="Times New Roman"/>
                <w:sz w:val="24"/>
                <w:szCs w:val="24"/>
                <w:lang w:eastAsia="sk-SK"/>
              </w:rPr>
            </w:pPr>
          </w:p>
        </w:tc>
        <w:tc>
          <w:tcPr>
            <w:tcW w:w="1722" w:type="dxa"/>
            <w:tcBorders>
              <w:top w:val="nil"/>
              <w:left w:val="nil"/>
              <w:bottom w:val="nil"/>
              <w:right w:val="nil"/>
            </w:tcBorders>
            <w:noWrap/>
            <w:textDirection w:val="lrTb"/>
            <w:vAlign w:val="bottom"/>
          </w:tcPr>
          <w:p w:rsidR="00A6029E" w:rsidRPr="003727BA" w:rsidP="00BB3760">
            <w:pPr>
              <w:bidi w:val="0"/>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textDirection w:val="lrTb"/>
            <w:vAlign w:val="bottom"/>
          </w:tcPr>
          <w:p w:rsidR="00A6029E" w:rsidRPr="003727BA" w:rsidP="00BB3760">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A6029E" w:rsidRPr="003727BA" w:rsidP="00BB3760">
            <w:pPr>
              <w:bidi w:val="0"/>
              <w:spacing w:after="0" w:line="240" w:lineRule="auto"/>
              <w:rPr>
                <w:rFonts w:ascii="Times New Roman" w:hAnsi="Times New Roman"/>
                <w:b/>
                <w:bCs/>
                <w:sz w:val="24"/>
                <w:szCs w:val="24"/>
                <w:lang w:eastAsia="sk-SK"/>
              </w:rPr>
            </w:pPr>
            <w:r w:rsidRPr="003727BA">
              <w:rPr>
                <w:rFonts w:ascii="Times New Roman" w:hAnsi="Times New Roman"/>
                <w:b/>
                <w:bCs/>
                <w:sz w:val="24"/>
                <w:szCs w:val="24"/>
                <w:lang w:eastAsia="sk-SK"/>
              </w:rPr>
              <w:t>Poznámky:</w:t>
            </w:r>
          </w:p>
        </w:tc>
        <w:tc>
          <w:tcPr>
            <w:tcW w:w="1698" w:type="dxa"/>
            <w:tcBorders>
              <w:top w:val="nil"/>
              <w:left w:val="nil"/>
              <w:bottom w:val="nil"/>
              <w:right w:val="nil"/>
            </w:tcBorders>
            <w:noWrap/>
            <w:textDirection w:val="lrTb"/>
            <w:vAlign w:val="bottom"/>
          </w:tcPr>
          <w:p w:rsidR="00A6029E" w:rsidRPr="003727BA" w:rsidP="00BB3760">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A6029E" w:rsidRPr="003727BA" w:rsidP="00BB3760">
            <w:pPr>
              <w:bidi w:val="0"/>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textDirection w:val="lrTb"/>
            <w:vAlign w:val="bottom"/>
          </w:tcPr>
          <w:p w:rsidR="00A6029E" w:rsidRPr="003727BA" w:rsidP="00BB3760">
            <w:pPr>
              <w:bidi w:val="0"/>
              <w:spacing w:after="0" w:line="240" w:lineRule="auto"/>
              <w:rPr>
                <w:rFonts w:ascii="Times New Roman" w:hAnsi="Times New Roman"/>
                <w:sz w:val="24"/>
                <w:szCs w:val="24"/>
                <w:lang w:eastAsia="sk-SK"/>
              </w:rPr>
            </w:pPr>
          </w:p>
        </w:tc>
        <w:tc>
          <w:tcPr>
            <w:tcW w:w="1722" w:type="dxa"/>
            <w:tcBorders>
              <w:top w:val="nil"/>
              <w:left w:val="nil"/>
              <w:bottom w:val="nil"/>
              <w:right w:val="nil"/>
            </w:tcBorders>
            <w:noWrap/>
            <w:textDirection w:val="lrTb"/>
            <w:vAlign w:val="bottom"/>
          </w:tcPr>
          <w:p w:rsidR="00A6029E" w:rsidRPr="003727BA" w:rsidP="00BB3760">
            <w:pPr>
              <w:bidi w:val="0"/>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textDirection w:val="lrTb"/>
            <w:vAlign w:val="bottom"/>
          </w:tcPr>
          <w:p w:rsidR="00A6029E" w:rsidRPr="003727BA" w:rsidP="00BB3760">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A6029E" w:rsidRPr="003727BA" w:rsidP="00BB3760">
            <w:pPr>
              <w:tabs>
                <w:tab w:val="num" w:pos="1080"/>
              </w:tabs>
              <w:bidi w:val="0"/>
              <w:spacing w:after="0" w:line="240" w:lineRule="auto"/>
              <w:jc w:val="both"/>
              <w:rPr>
                <w:rFonts w:ascii="Times New Roman" w:hAnsi="Times New Roman"/>
                <w:bCs/>
                <w:sz w:val="24"/>
                <w:szCs w:val="20"/>
                <w:lang w:eastAsia="sk-SK"/>
              </w:rPr>
            </w:pPr>
            <w:r w:rsidRPr="003727BA">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A6029E" w:rsidRPr="003727BA" w:rsidP="00BB3760">
            <w:pPr>
              <w:bidi w:val="0"/>
              <w:spacing w:after="0" w:line="240" w:lineRule="auto"/>
              <w:rPr>
                <w:rFonts w:ascii="Times New Roman" w:hAnsi="Times New Roman"/>
                <w:sz w:val="24"/>
                <w:szCs w:val="24"/>
                <w:lang w:eastAsia="sk-SK"/>
              </w:rPr>
            </w:pPr>
            <w:r w:rsidRPr="003727BA">
              <w:rPr>
                <w:rFonts w:ascii="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A6029E" w:rsidRPr="003727BA" w:rsidP="00BB3760">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A6029E" w:rsidRPr="003727BA" w:rsidP="00BB3760">
            <w:pPr>
              <w:bidi w:val="0"/>
              <w:spacing w:after="0" w:line="240" w:lineRule="auto"/>
              <w:rPr>
                <w:rFonts w:ascii="Times New Roman" w:hAnsi="Times New Roman"/>
                <w:sz w:val="24"/>
                <w:szCs w:val="24"/>
                <w:lang w:eastAsia="sk-SK"/>
              </w:rPr>
            </w:pPr>
            <w:r w:rsidRPr="003727BA">
              <w:rPr>
                <w:rFonts w:ascii="Times New Roman" w:hAnsi="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A6029E" w:rsidRPr="003727BA" w:rsidP="00BB3760">
            <w:pPr>
              <w:bidi w:val="0"/>
              <w:spacing w:after="0" w:line="240" w:lineRule="auto"/>
              <w:rPr>
                <w:rFonts w:ascii="Times New Roman" w:hAnsi="Times New Roman"/>
                <w:sz w:val="24"/>
                <w:szCs w:val="24"/>
                <w:lang w:eastAsia="sk-SK"/>
              </w:rPr>
            </w:pPr>
          </w:p>
        </w:tc>
        <w:tc>
          <w:tcPr>
            <w:tcW w:w="2352" w:type="dxa"/>
            <w:gridSpan w:val="2"/>
            <w:tcBorders>
              <w:top w:val="nil"/>
              <w:left w:val="nil"/>
              <w:bottom w:val="nil"/>
              <w:right w:val="nil"/>
            </w:tcBorders>
            <w:noWrap/>
            <w:textDirection w:val="lrTb"/>
            <w:vAlign w:val="bottom"/>
          </w:tcPr>
          <w:p w:rsidR="00A6029E" w:rsidRPr="003727BA" w:rsidP="00BB3760">
            <w:pPr>
              <w:bidi w:val="0"/>
              <w:spacing w:after="0" w:line="240" w:lineRule="auto"/>
              <w:rPr>
                <w:rFonts w:ascii="Times New Roman" w:hAnsi="Times New Roman"/>
                <w:sz w:val="24"/>
                <w:szCs w:val="24"/>
                <w:lang w:eastAsia="sk-SK"/>
              </w:rPr>
            </w:pPr>
          </w:p>
        </w:tc>
        <w:tc>
          <w:tcPr>
            <w:tcW w:w="990" w:type="dxa"/>
            <w:tcBorders>
              <w:top w:val="nil"/>
              <w:left w:val="nil"/>
              <w:bottom w:val="nil"/>
              <w:right w:val="nil"/>
            </w:tcBorders>
            <w:noWrap/>
            <w:textDirection w:val="lrTb"/>
            <w:vAlign w:val="bottom"/>
          </w:tcPr>
          <w:p w:rsidR="00A6029E" w:rsidRPr="003727BA" w:rsidP="00BB3760">
            <w:pPr>
              <w:bidi w:val="0"/>
              <w:spacing w:after="0" w:line="240" w:lineRule="auto"/>
              <w:rPr>
                <w:rFonts w:ascii="Times New Roman" w:hAnsi="Times New Roman"/>
                <w:sz w:val="24"/>
                <w:szCs w:val="24"/>
                <w:lang w:eastAsia="sk-SK"/>
              </w:rPr>
            </w:pPr>
          </w:p>
        </w:tc>
      </w:tr>
    </w:tbl>
    <w:p w:rsidR="00A6029E" w:rsidRPr="003727BA" w:rsidP="00A6029E">
      <w:pPr>
        <w:tabs>
          <w:tab w:val="left" w:pos="11237"/>
        </w:tabs>
        <w:bidi w:val="0"/>
        <w:rPr>
          <w:rFonts w:ascii="Times New Roman" w:hAnsi="Times New Roman"/>
          <w:sz w:val="24"/>
          <w:szCs w:val="24"/>
          <w:lang w:eastAsia="sk-SK"/>
        </w:rPr>
        <w:sectPr>
          <w:pgSz w:w="16838" w:h="11906" w:orient="landscape"/>
          <w:pgMar w:top="1418" w:right="1418" w:bottom="1418" w:left="1418" w:header="709" w:footer="709" w:gutter="0"/>
          <w:lnNumType w:distance="0"/>
          <w:cols w:space="708"/>
          <w:noEndnote w:val="0"/>
          <w:bidi w:val="0"/>
          <w:docGrid w:linePitch="360"/>
        </w:sectPr>
      </w:pPr>
    </w:p>
    <w:p w:rsidR="00A6029E" w:rsidRPr="003727BA" w:rsidP="00A6029E">
      <w:pPr>
        <w:bidi w:val="0"/>
      </w:pPr>
    </w:p>
    <w:p w:rsidR="005C4FB5" w:rsidRPr="003727BA">
      <w:pPr>
        <w:bidi w:val="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0000000000000000000"/>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E6">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BA3CE6">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E6">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DE60F4">
      <w:rPr>
        <w:rFonts w:ascii="Times New Roman" w:hAnsi="Times New Roman"/>
        <w:noProof/>
      </w:rPr>
      <w:t>4</w:t>
    </w:r>
    <w:r>
      <w:rPr>
        <w:rFonts w:ascii="Times New Roman" w:hAnsi="Times New Roman"/>
      </w:rPr>
      <w:fldChar w:fldCharType="end"/>
    </w:r>
  </w:p>
  <w:p w:rsidR="00BA3CE6">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E6">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BA3CE6">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E6" w:rsidP="00BB3760">
    <w:pPr>
      <w:pStyle w:val="Header"/>
      <w:bidi w:val="0"/>
      <w:jc w:val="right"/>
      <w:rPr>
        <w:rFonts w:ascii="Times New Roman" w:hAnsi="Times New Roman"/>
        <w:sz w:val="24"/>
        <w:szCs w:val="24"/>
      </w:rPr>
    </w:pPr>
    <w:r>
      <w:rPr>
        <w:rFonts w:ascii="Times New Roman" w:hAnsi="Times New Roman"/>
        <w:sz w:val="24"/>
        <w:szCs w:val="24"/>
      </w:rPr>
      <w:t>Príloha č. 2</w:t>
    </w:r>
  </w:p>
  <w:p w:rsidR="00BA3CE6" w:rsidRPr="00EB59C8" w:rsidP="00BB3760">
    <w:pPr>
      <w:pStyle w:val="Header"/>
      <w:bidi w:val="0"/>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E6" w:rsidRPr="0024067A">
    <w:pPr>
      <w:pStyle w:val="Header"/>
      <w:bidi w:val="0"/>
      <w:jc w:val="right"/>
      <w:rPr>
        <w:rFonts w:ascii="Times New Roman" w:hAnsi="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E6" w:rsidRPr="000A15AE" w:rsidP="00BB3760">
    <w:pPr>
      <w:pStyle w:val="Header"/>
      <w:bidi w:val="0"/>
      <w:jc w:val="right"/>
      <w:rPr>
        <w:rFonts w:ascii="Times New Roman" w:hAnsi="Times New Roman"/>
        <w:sz w:val="24"/>
        <w:szCs w:val="24"/>
      </w:rPr>
    </w:pPr>
    <w:r>
      <w:rPr>
        <w:rFonts w:ascii="Times New Roman" w:hAnsi="Times New Roman"/>
        <w:sz w:val="24"/>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80F75"/>
    <w:multiLevelType w:val="hybridMultilevel"/>
    <w:tmpl w:val="02860CAE"/>
    <w:lvl w:ilvl="0">
      <w:start w:val="1"/>
      <w:numFmt w:val="decimal"/>
      <w:lvlText w:val="%1."/>
      <w:lvlJc w:val="left"/>
      <w:pPr>
        <w:ind w:left="720" w:hanging="360"/>
      </w:pPr>
      <w:rPr>
        <w:rFonts w:cs="Times New Roman" w:hint="default"/>
        <w:b w:val="0"/>
        <w:i w:val="0"/>
        <w:caps w:val="0"/>
        <w:strike w:val="0"/>
        <w:dstrike w:val="0"/>
        <w:vanish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08"/>
  <w:hyphenationZone w:val="425"/>
  <w:characterSpacingControl w:val="doNotCompress"/>
  <w:compat/>
  <w:rsids>
    <w:rsidRoot w:val="00A6029E"/>
    <w:rsid w:val="00051E34"/>
    <w:rsid w:val="00081E41"/>
    <w:rsid w:val="00085140"/>
    <w:rsid w:val="000A15AE"/>
    <w:rsid w:val="000D4F7C"/>
    <w:rsid w:val="000D6ACD"/>
    <w:rsid w:val="001017C8"/>
    <w:rsid w:val="0011237B"/>
    <w:rsid w:val="00130A1B"/>
    <w:rsid w:val="0014720A"/>
    <w:rsid w:val="001743B1"/>
    <w:rsid w:val="00175666"/>
    <w:rsid w:val="00200F68"/>
    <w:rsid w:val="0020373F"/>
    <w:rsid w:val="0024067A"/>
    <w:rsid w:val="00250E5B"/>
    <w:rsid w:val="00277043"/>
    <w:rsid w:val="002C2AD9"/>
    <w:rsid w:val="0030425A"/>
    <w:rsid w:val="003327FD"/>
    <w:rsid w:val="00353EE3"/>
    <w:rsid w:val="003727BA"/>
    <w:rsid w:val="003A3FD0"/>
    <w:rsid w:val="003F075B"/>
    <w:rsid w:val="003F4002"/>
    <w:rsid w:val="00400DEB"/>
    <w:rsid w:val="0040395B"/>
    <w:rsid w:val="004264A4"/>
    <w:rsid w:val="004B46F9"/>
    <w:rsid w:val="004B62D9"/>
    <w:rsid w:val="004C5434"/>
    <w:rsid w:val="004E4901"/>
    <w:rsid w:val="005527B6"/>
    <w:rsid w:val="00567CA3"/>
    <w:rsid w:val="005B0D28"/>
    <w:rsid w:val="005C4FB5"/>
    <w:rsid w:val="005E03AD"/>
    <w:rsid w:val="005F4D72"/>
    <w:rsid w:val="00616669"/>
    <w:rsid w:val="006236F9"/>
    <w:rsid w:val="0063120F"/>
    <w:rsid w:val="00687EE9"/>
    <w:rsid w:val="006C7D05"/>
    <w:rsid w:val="0074243E"/>
    <w:rsid w:val="0076793E"/>
    <w:rsid w:val="00770689"/>
    <w:rsid w:val="00773B25"/>
    <w:rsid w:val="00773B47"/>
    <w:rsid w:val="00782CAF"/>
    <w:rsid w:val="00794583"/>
    <w:rsid w:val="007C7EB7"/>
    <w:rsid w:val="007F279E"/>
    <w:rsid w:val="00821BCB"/>
    <w:rsid w:val="00870038"/>
    <w:rsid w:val="008726BB"/>
    <w:rsid w:val="00895487"/>
    <w:rsid w:val="008B44E9"/>
    <w:rsid w:val="008E23CB"/>
    <w:rsid w:val="008F061B"/>
    <w:rsid w:val="00913F81"/>
    <w:rsid w:val="0097094C"/>
    <w:rsid w:val="00976DBF"/>
    <w:rsid w:val="0098282A"/>
    <w:rsid w:val="009B18C2"/>
    <w:rsid w:val="00A6029E"/>
    <w:rsid w:val="00A62A03"/>
    <w:rsid w:val="00A64B9B"/>
    <w:rsid w:val="00A769AA"/>
    <w:rsid w:val="00A82665"/>
    <w:rsid w:val="00A849D1"/>
    <w:rsid w:val="00A95C68"/>
    <w:rsid w:val="00AA7A15"/>
    <w:rsid w:val="00AB283C"/>
    <w:rsid w:val="00AF782B"/>
    <w:rsid w:val="00B0414D"/>
    <w:rsid w:val="00B07418"/>
    <w:rsid w:val="00B079F4"/>
    <w:rsid w:val="00B72013"/>
    <w:rsid w:val="00BA1201"/>
    <w:rsid w:val="00BA3CE6"/>
    <w:rsid w:val="00BB3760"/>
    <w:rsid w:val="00C35D8B"/>
    <w:rsid w:val="00C405DA"/>
    <w:rsid w:val="00C61929"/>
    <w:rsid w:val="00C75A7E"/>
    <w:rsid w:val="00C767DE"/>
    <w:rsid w:val="00C771EB"/>
    <w:rsid w:val="00C81826"/>
    <w:rsid w:val="00C85A82"/>
    <w:rsid w:val="00C90CBB"/>
    <w:rsid w:val="00C94A0D"/>
    <w:rsid w:val="00CB7589"/>
    <w:rsid w:val="00CE68EE"/>
    <w:rsid w:val="00D00132"/>
    <w:rsid w:val="00D26DB6"/>
    <w:rsid w:val="00D2704A"/>
    <w:rsid w:val="00D27C30"/>
    <w:rsid w:val="00D400A8"/>
    <w:rsid w:val="00D416C2"/>
    <w:rsid w:val="00D851FF"/>
    <w:rsid w:val="00D955C5"/>
    <w:rsid w:val="00D96B7B"/>
    <w:rsid w:val="00DE19B8"/>
    <w:rsid w:val="00DE60F4"/>
    <w:rsid w:val="00E32FD7"/>
    <w:rsid w:val="00E431AA"/>
    <w:rsid w:val="00E83B27"/>
    <w:rsid w:val="00E873A3"/>
    <w:rsid w:val="00EB19DC"/>
    <w:rsid w:val="00EB59C8"/>
    <w:rsid w:val="00EE7622"/>
    <w:rsid w:val="00F322E7"/>
    <w:rsid w:val="00F40832"/>
    <w:rsid w:val="00F7134B"/>
    <w:rsid w:val="00FB104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29E"/>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lavikaChar"/>
    <w:uiPriority w:val="99"/>
    <w:unhideWhenUsed/>
    <w:rsid w:val="00A6029E"/>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HlavikaChar">
    <w:name w:val="Hlavička Char"/>
    <w:basedOn w:val="DefaultParagraphFont"/>
    <w:link w:val="Header"/>
    <w:uiPriority w:val="99"/>
    <w:locked/>
    <w:rsid w:val="00A6029E"/>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A6029E"/>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PtaChar">
    <w:name w:val="Päta Char"/>
    <w:basedOn w:val="DefaultParagraphFont"/>
    <w:link w:val="Footer"/>
    <w:uiPriority w:val="99"/>
    <w:locked/>
    <w:rsid w:val="00A6029E"/>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A6029E"/>
    <w:rPr>
      <w:rFonts w:cs="Times New Roman"/>
      <w:rtl w:val="0"/>
      <w:cs w:val="0"/>
    </w:rPr>
  </w:style>
  <w:style w:type="paragraph" w:styleId="ListParagraph">
    <w:name w:val="List Paragraph"/>
    <w:basedOn w:val="Normal"/>
    <w:uiPriority w:val="34"/>
    <w:qFormat/>
    <w:rsid w:val="00A6029E"/>
    <w:pPr>
      <w:ind w:left="720"/>
      <w:contextualSpacing/>
      <w:jc w:val="left"/>
    </w:pPr>
  </w:style>
  <w:style w:type="table" w:styleId="TableGrid">
    <w:name w:val="Table Grid"/>
    <w:basedOn w:val="TableNormal"/>
    <w:uiPriority w:val="59"/>
    <w:rsid w:val="00A6029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029E"/>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BalloonText">
    <w:name w:val="Balloon Text"/>
    <w:basedOn w:val="Normal"/>
    <w:link w:val="TextbublinyChar"/>
    <w:uiPriority w:val="99"/>
    <w:semiHidden/>
    <w:unhideWhenUsed/>
    <w:rsid w:val="00D2704A"/>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D2704A"/>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9</Pages>
  <Words>2012</Words>
  <Characters>11472</Characters>
  <Application>Microsoft Office Word</Application>
  <DocSecurity>0</DocSecurity>
  <Lines>0</Lines>
  <Paragraphs>0</Paragraphs>
  <ScaleCrop>false</ScaleCrop>
  <Company>MPSVR SR</Company>
  <LinksUpToDate>false</LinksUpToDate>
  <CharactersWithSpaces>13458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Golkovska Vlasta</dc:creator>
  <cp:lastModifiedBy>Cebulakova Monika</cp:lastModifiedBy>
  <cp:revision>4</cp:revision>
  <cp:lastPrinted>2016-09-08T13:45:00Z</cp:lastPrinted>
  <dcterms:created xsi:type="dcterms:W3CDTF">2016-09-12T07:31:00Z</dcterms:created>
  <dcterms:modified xsi:type="dcterms:W3CDTF">2016-09-21T10:17:00Z</dcterms:modified>
</cp:coreProperties>
</file>