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  <w:t>NÁRODNÁ  RADA  SLOVENSKEJ  REPUBLIKY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sz w:val="32"/>
          <w:szCs w:val="32"/>
          <w:lang w:eastAsia="sk-SK"/>
        </w:rPr>
        <w:tab/>
        <w:tab/>
        <w:tab/>
        <w:tab/>
        <w:tab/>
      </w: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>VII. volebné obdobie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           ––––––––––––––––––––––––––––––––––––––––––––––––––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="00F74E11">
        <w:rPr>
          <w:rFonts w:ascii="Times New Roman" w:hAnsi="Times New Roman" w:cs="Times New Roman"/>
          <w:b/>
          <w:sz w:val="32"/>
          <w:szCs w:val="32"/>
        </w:rPr>
        <w:t>243</w:t>
      </w:r>
    </w:p>
    <w:p w:rsidR="001541D8" w:rsidRPr="001541D8" w:rsidP="001541D8">
      <w:pPr>
        <w:tabs>
          <w:tab w:val="left" w:pos="284"/>
        </w:tabs>
        <w:bidi w:val="0"/>
        <w:spacing w:line="240" w:lineRule="auto"/>
        <w:jc w:val="center"/>
        <w:rPr>
          <w:rFonts w:ascii="Times New Roman" w:hAnsi="Times New Roman" w:cs="Times New Roman"/>
          <w:b/>
          <w:lang w:eastAsia="sk-SK"/>
        </w:rPr>
      </w:pPr>
    </w:p>
    <w:p w:rsidR="001541D8" w:rsidRPr="001541D8" w:rsidP="001541D8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VLÁDNY  NÁVRH</w:t>
      </w:r>
    </w:p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sk-SK"/>
        </w:rPr>
      </w:pPr>
    </w:p>
    <w:p w:rsidR="005A3E97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1D8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D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541D8" w:rsidR="003D50F4">
        <w:rPr>
          <w:rFonts w:ascii="Times New Roman" w:hAnsi="Times New Roman" w:cs="Times New Roman"/>
          <w:b/>
          <w:bCs/>
          <w:sz w:val="24"/>
          <w:szCs w:val="24"/>
        </w:rPr>
        <w:t>ákon</w:t>
      </w: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01">
        <w:rPr>
          <w:rFonts w:ascii="Times New Roman" w:hAnsi="Times New Roman" w:cs="Times New Roman"/>
          <w:b/>
          <w:sz w:val="24"/>
          <w:szCs w:val="24"/>
        </w:rPr>
        <w:t>z .......</w:t>
      </w:r>
      <w:r w:rsidR="00DC1401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Pr="00DC1401">
        <w:rPr>
          <w:rFonts w:ascii="Times New Roman" w:hAnsi="Times New Roman" w:cs="Times New Roman"/>
          <w:b/>
          <w:sz w:val="24"/>
          <w:szCs w:val="24"/>
        </w:rPr>
        <w:t xml:space="preserve"> 2016,</w:t>
      </w:r>
    </w:p>
    <w:p w:rsidR="00A35EE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E3" w:rsidRPr="00A35EE3" w:rsidP="00A35EE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E3">
        <w:rPr>
          <w:rFonts w:ascii="Times New Roman" w:hAnsi="Times New Roman" w:cs="Times New Roman"/>
          <w:b/>
          <w:sz w:val="24"/>
          <w:szCs w:val="24"/>
        </w:rPr>
        <w:t>ktorým sa mení a dopĺňa zákon č. 447/2008 Z. z. o peňažných príspevkoch na kompenzáciu ťažkého zdravotného postihnutia a o zmene a doplnení niektorých zákonov  v znení neskorších predpisov a ktorým sa menia a dopĺňajú niektoré zákony</w:t>
      </w:r>
    </w:p>
    <w:p w:rsidR="00A35EE3" w:rsidRPr="00A35EE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64F" w:rsidP="00FC264F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FC264F" w:rsidP="00FC264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RPr="00F74E11" w:rsidP="00FC264F">
      <w:pPr>
        <w:bidi w:val="0"/>
        <w:spacing w:after="0" w:line="240" w:lineRule="auto"/>
        <w:ind w:firstLine="28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Zákon č. 447/2008 Z. z. o peňažných príspevkoch na kompenzáciu ťažkého zdravotného postihnutia a o zmene a doplnení niektorých zákonov v znení zákona č. </w:t>
      </w:r>
      <w:hyperlink r:id="rId6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551/2010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7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180/2011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8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468/2011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9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136/2013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>, zákona č. </w:t>
      </w:r>
      <w:hyperlink r:id="rId10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219/2014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11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263/2014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12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375/2014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13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353/2015 Z. 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</w:t>
      </w:r>
      <w:hyperlink r:id="rId14" w:history="1">
        <w:r w:rsidRPr="00F74E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effect w:val="none"/>
            <w:lang w:eastAsia="sk-SK"/>
          </w:rPr>
          <w:t>378/2015 Z. z.</w:t>
        </w:r>
      </w:hyperlink>
      <w:r w:rsidRPr="00F74E11">
        <w:rPr>
          <w:rFonts w:ascii="Times New Roman" w:hAnsi="Times New Roman" w:cs="Times New Roman"/>
          <w:sz w:val="24"/>
          <w:szCs w:val="24"/>
          <w:lang w:eastAsia="sk-SK"/>
        </w:rPr>
        <w:t xml:space="preserve"> a zákona č. 125/2016 Z. z. sa mení a dopĺňa takto: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14 ods. 6 písm. c) sa slovo „alebo“ nahrádza čiarkou a na konci sa pripájajú tieto slová: „alebo cystickej fibrózy s pľúcnymi a gastrointestinálnymi prejavmi“.  </w:t>
      </w: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 § 18 ods. 3 písmeno i) znie:</w:t>
      </w: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„i) jednorazové plnenia z poistenia osôb, ktoré nemajú charakter úrazovej renty, jednorazové plnenia zo starobného dôchodkového sporenia a  doplnkového dôchodkového sporenia,“.</w:t>
      </w:r>
    </w:p>
    <w:p w:rsidR="00FC264F" w:rsidP="00FC264F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 odkazu 25 sa vypúšťa.</w:t>
      </w:r>
    </w:p>
    <w:p w:rsidR="00FC264F" w:rsidP="00FC264F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18 ods. 3 písmeno p) znie:</w:t>
      </w:r>
    </w:p>
    <w:p w:rsidR="00FC264F" w:rsidP="00FC264F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„p) peňažné dary poskytnuté </w:t>
      </w:r>
    </w:p>
    <w:p w:rsidR="00FC264F" w:rsidP="00FC264F">
      <w:pPr>
        <w:bidi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1.</w:t>
        <w:tab/>
        <w:t>v kalendárnom roku v úhrne do výšky 12-násobku sumy životného minima pre jednu plnoletú fyzickú osobu ustanoveného osobitným predpisom,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FC264F" w:rsidP="00FC264F">
      <w:pPr>
        <w:bidi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2.</w:t>
        <w:tab/>
        <w:t xml:space="preserve">z prostriedkov nadácie, občianskeho združenia, neziskovej organizácie poskytujúcej všeobecne prospešné služby, neinvestičného fondu, cirkvi alebo náboženskej spoločnosti, alebo </w:t>
      </w:r>
    </w:p>
    <w:p w:rsidR="00FC264F" w:rsidP="00FC264F">
      <w:pPr>
        <w:bidi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3.</w:t>
        <w:tab/>
        <w:t>na účely posilnenia účinkov kompenzácie, zachovania alebo zlepšenia  zdravotného stavu,“.</w:t>
      </w:r>
    </w:p>
    <w:p w:rsidR="00FC264F" w:rsidP="00FC264F">
      <w:pPr>
        <w:bidi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18 ods. 3 písm. r) sa nad slovom „republiky“  odkaz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28a)</w:t>
      </w:r>
      <w:r>
        <w:rPr>
          <w:rFonts w:ascii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nahrádza odkazom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29a)</w:t>
      </w:r>
      <w:r>
        <w:rPr>
          <w:rFonts w:ascii="Times New Roman" w:hAnsi="Times New Roman" w:cs="Times New Roman"/>
          <w:sz w:val="24"/>
          <w:szCs w:val="24"/>
          <w:lang w:eastAsia="sk-SK"/>
        </w:rPr>
        <w:t>“ a poznámka pod čiarou k odkazu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28a)</w:t>
      </w:r>
      <w:r>
        <w:rPr>
          <w:rFonts w:ascii="Times New Roman" w:hAnsi="Times New Roman" w:cs="Times New Roman"/>
          <w:sz w:val="24"/>
          <w:szCs w:val="24"/>
          <w:lang w:eastAsia="sk-SK"/>
        </w:rPr>
        <w:t>“ sa označuje ako poznámka pod čiarou k odkazu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29a)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18 ods. 3 písm. s) sa nad slovom „predpisu“ odkaz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28b)</w:t>
      </w:r>
      <w:r>
        <w:rPr>
          <w:rFonts w:ascii="Times New Roman" w:hAnsi="Times New Roman" w:cs="Times New Roman"/>
          <w:sz w:val="24"/>
          <w:szCs w:val="24"/>
          <w:lang w:eastAsia="sk-SK"/>
        </w:rPr>
        <w:t>“ nahrádza odkazom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29b)</w:t>
      </w:r>
      <w:r>
        <w:rPr>
          <w:rFonts w:ascii="Times New Roman" w:hAnsi="Times New Roman" w:cs="Times New Roman"/>
          <w:sz w:val="24"/>
          <w:szCs w:val="24"/>
          <w:lang w:eastAsia="sk-SK"/>
        </w:rPr>
        <w:t>“ a poznámka pod čiarou k odkazu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28b)</w:t>
      </w:r>
      <w:r>
        <w:rPr>
          <w:rFonts w:ascii="Times New Roman" w:hAnsi="Times New Roman" w:cs="Times New Roman"/>
          <w:sz w:val="24"/>
          <w:szCs w:val="24"/>
          <w:lang w:eastAsia="sk-SK"/>
        </w:rPr>
        <w:t>“ sa označuje ako poznámka pod čiarou k odkazu 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29b)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18 ods. 19 sa za písmeno d) vkladá nové písmeno e), ktoré znie:</w:t>
      </w:r>
    </w:p>
    <w:p w:rsidR="00FC264F" w:rsidP="00FC264F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„e)  nehnuteľné veci  alebo hnuteľné veci nadobudnuté z peňažného daru podľa odseku 3 písm. p) alebo nepeňažné dary poskytnuté </w:t>
      </w:r>
    </w:p>
    <w:p w:rsidR="00FC264F" w:rsidP="00FC264F">
      <w:pPr>
        <w:bidi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1.</w:t>
        <w:tab/>
        <w:t>v kalendárnom roku v úhrnnej hodnote do výšky 12-násobku sumy životného minima pre jednu plnoletú fyzickú osobu ustanoveného osobitným predpisom,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</w:p>
    <w:p w:rsidR="00FC264F" w:rsidP="00FC264F">
      <w:pPr>
        <w:bidi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2.</w:t>
        <w:tab/>
        <w:t>nadáciou, občianskym združením, neziskovou organizáciou poskytujúcou všeobecne prospešné služby, neinvestičným fondom, cirkvou alebo náboženskou spoločnosťou, alebo</w:t>
      </w:r>
    </w:p>
    <w:p w:rsidR="00FC264F" w:rsidP="00FC264F">
      <w:pPr>
        <w:bidi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3.</w:t>
        <w:tab/>
        <w:t xml:space="preserve">na účely posilnenia účinkov kompenzácie, zachovania alebo zlepšenia  zdravotného stavu,“. </w:t>
      </w:r>
    </w:p>
    <w:p w:rsidR="00FC264F" w:rsidP="00FC264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C264F" w:rsidP="00FC264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Doterajšie písmeno e) sa označuje ako písmeno f). </w:t>
      </w:r>
    </w:p>
    <w:p w:rsidR="00FC264F" w:rsidP="00FC264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21 ods. 3 sa slová „denná pobytová sociálna služba“ nahrádzajú slovami „ambulantná forma sociálnej služby v zariadení sociálnych služieb“. 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31  odsek 1 znie: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64F" w:rsidP="00FC264F">
      <w:pPr>
        <w:bidi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„(1) Pomôcky sa zaraďujú do zoznamu pomôcok a vyraďujú sa zo zoznamu pomôcok najmenej raz ročne k 31. decembru, ak bol návrh podaný podľa § 30 ods. 2 a odporučený kategorizačnou komisiou.“.</w:t>
      </w: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40 ods. 2 sa slová „denná pobytová sociálna služba“ nahrádzajú slovami „ambulantná forma sociálnej služby“ a slová „dennej pobytovej sociálnej služby“ sa nahrádzajú slovami „ambulantnej formy sociálnej služby“.</w:t>
      </w:r>
    </w:p>
    <w:p w:rsidR="00FC264F" w:rsidP="00FC264F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40 ods. 7 sa slová „111,32 %“ nahrádzajú slovami „125 %“ a slová „148,42 %“ sa nahrádzajú slovami „162,1 %“.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40 ods. 8 sa slová „98,33 %“ nahrádzajú slovami „112,01 %“, slová „139,15 %“ sa nahrádzajú slovami „152,83 %“ a slová „denná pobytová sociálna služba“ sa v celom texte nahrádzajú slovami „ambulantná forma sociálnej služby“.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40 ods. 9 sa slová „144,71 %“ nahrádzajú slovami „158,39 %“ a slová „denná pobytová sociálna služba“ sa v celom texte nahrádzajú slovami „ambulantná forma sociálnej služby“.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40 ods. 12 sa slová „1,4 násobku“ nahrádzajú slovom „1,7-násobok“.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41 ods. 4 sa v celom texte slovo „zácvik“ nahrádza slovom „výcvik“. </w:t>
      </w:r>
    </w:p>
    <w:p w:rsidR="00FC264F" w:rsidP="00FC264F">
      <w:pPr>
        <w:bidi w:val="0"/>
        <w:spacing w:after="0" w:line="240" w:lineRule="auto"/>
        <w:ind w:left="720"/>
        <w:rPr>
          <w:rFonts w:ascii="Times New Roman" w:hAnsi="Times New Roman" w:cs="Times New Roman"/>
          <w:b/>
          <w:bCs/>
          <w:strike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51 znie:</w:t>
      </w:r>
    </w:p>
    <w:p w:rsidR="00FC264F" w:rsidP="00FC264F">
      <w:pPr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„51)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 45, § 48, § 56, § 60 a § 103 zákona č. 36/2005 Z. z. o rodine a o zmene a doplnení niektorých zákonov v znení zákona č. 175/2015 Z. z.“.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trike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64 odsek 1 znie:            </w:t>
      </w:r>
    </w:p>
    <w:p w:rsidR="00FC264F" w:rsidP="00FC264F">
      <w:pPr>
        <w:bidi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„(1) Príslušný orgán na účely plnenia úloh podľa tohto zákona spracúva osobné údaje podľa odseku 4 o osobách podľa odseku 5 v nevyhnutnom rozsahu v súlade s osobitným predpisom.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53)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“.  </w:t>
      </w: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 odkazu 53 znie:</w:t>
      </w: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53) </w:t>
      </w:r>
      <w:r>
        <w:rPr>
          <w:rFonts w:ascii="Times New Roman" w:hAnsi="Times New Roman" w:cs="Times New Roman"/>
          <w:sz w:val="24"/>
          <w:szCs w:val="24"/>
          <w:lang w:eastAsia="sk-SK"/>
        </w:rPr>
        <w:t>Zákon č. 122/2013 Z. z. o ochrane osobných údajov a o zmene a doplnení niektorých zákonov v znení zákona č. 84/2014 Z. z.“.</w:t>
      </w: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 § 64 odsek 2 znie:</w:t>
      </w:r>
    </w:p>
    <w:p w:rsidR="00FC264F" w:rsidP="00FC264F">
      <w:pPr>
        <w:bidi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„(2) Osobné údaje podľa odseku 4 možno bez súhlasu dotknutej fyzickej osoby spracúvať kopírovaním, skenovaním alebo iným zaznamenávaním úradných dokladov na nosič informácií.“. 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64 odsek 4 znie:       </w:t>
      </w:r>
    </w:p>
    <w:p w:rsidR="00FC264F" w:rsidP="00FC264F">
      <w:pPr>
        <w:bidi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„(4) Osobné údaje, ktoré príslušný orgán spracúva podľa tohto zákona o fyzickej osobe uvedenej v odseku 5, sú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meno, priezvisko a titul,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adresa trvalého pobytu,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adresa prechodného pobytu, 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adresa miesta, kde sa obvykle zdržiava,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druh povolenia na pobyt,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rodné číslo, ak je pridelené,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dátum narodenia,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úmrtia,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druh a číslo dokladu totožnosti,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štátne občianstvo,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rodinný stav,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kontaktné údaje,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bankové spojenie,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údaje o zdravotnom stave na účely lekárskej posudkovej činnosti,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údaje o pozbavení alebo obmedzení spôsobilosti na právne úkony,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údaje o poskytovaní sociálnej služby,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údaje o príjme,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údaje o majetku,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údaje o poskytnutých peňažných príspevkoch na kompenzáciu, o vyhotovených preukazoch a o vyhotovených parkovacích preukazoch, 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údaje o príbuzenskom vzťahu,</w:t>
      </w:r>
    </w:p>
    <w:p w:rsidR="00FC264F" w:rsidP="00FC264F">
      <w:pPr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ďalšie údaje, ktoré zodpovedajú účelu spracúvania a sú nevyhnutné na účel podľa odseku 1.“.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 § 64 sa odsek 5 dopĺňa písmenom d), ktoré znie:        </w:t>
      </w:r>
    </w:p>
    <w:p w:rsidR="00FC264F" w:rsidP="00FC264F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„d) o ďalšej fyzickej osobe označenej v dôkazných prostriedkoch v konaní vo veciach peňažných príspevkov na kompenzáciu, preukazu a parkovacieho preukazu.“.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 § 67c sa vkladá § 67d, ktorý vrátane nadpisu znie:  </w:t>
      </w:r>
    </w:p>
    <w:p w:rsidR="00FC264F" w:rsidP="00FC264F">
      <w:pPr>
        <w:bidi w:val="0"/>
        <w:spacing w:after="0" w:line="240" w:lineRule="auto"/>
        <w:ind w:left="426"/>
        <w:rPr>
          <w:rFonts w:ascii="Times New Roman" w:hAnsi="Times New Roman" w:cs="Times New Roman"/>
          <w:strike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„§ 67d</w:t>
      </w:r>
    </w:p>
    <w:p w:rsidR="00FC264F" w:rsidP="00FC264F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Prechodné ustanovenia účinné od 1. januára 2017</w:t>
      </w:r>
    </w:p>
    <w:p w:rsidR="00FC264F" w:rsidP="00FC264F">
      <w:pPr>
        <w:bidi w:val="0"/>
        <w:spacing w:after="0" w:line="240" w:lineRule="auto"/>
        <w:ind w:left="852" w:hanging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(1) O zmene výšky peňažného príspevku na opatrovanie, na ktorý vznikol nárok pred 1. januárom 2017 a trvá aj po 31. decembri 2016, príslušný orgán rozhodne do 31. marca  2017.   </w:t>
      </w:r>
    </w:p>
    <w:p w:rsidR="00FC264F" w:rsidP="00FC264F">
      <w:pPr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(2) Príslušný orgán rozhodne o odňatí peňažného príspevku na kompenzáciu zvýšených výdavkov, ak sa fyzickej osobe s ťažkým zdravotným postihnutím, ktorej bol peňažný príspevok na kompenzáciu zvýšených výdavkov priznaný podľa predpisov účinných pred 1. januárom 2009, poskytuje celoročná pobytová sociálna služba okrem sociálnej služby poskytovanej </w:t>
      </w:r>
    </w:p>
    <w:p w:rsidR="00FC264F" w:rsidP="00FC264F">
      <w:pPr>
        <w:numPr>
          <w:numId w:val="1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útulku, domove na polceste, zariadení núdzového bývania alebo v zariadení podporovaného bývania,</w:t>
      </w:r>
      <w:hyperlink r:id="rId15" w:anchor="poznamky.poznamka-1a" w:tooltip="Odkaz na predpis alebo ustanovenie" w:history="1">
        <w:r>
          <w:rPr>
            <w:rStyle w:val="Hyperlink"/>
            <w:rFonts w:ascii="Times New Roman" w:hAnsi="Times New Roman"/>
            <w:sz w:val="24"/>
            <w:szCs w:val="24"/>
            <w:u w:val="none"/>
            <w:effect w:val="none"/>
            <w:vertAlign w:val="superscript"/>
            <w:lang w:eastAsia="sk-SK"/>
          </w:rPr>
          <w:t>1a)</w:t>
        </w:r>
      </w:hyperlink>
      <w:r>
        <w:rPr>
          <w:rFonts w:ascii="Times New Roman" w:hAnsi="Times New Roman" w:cs="Times New Roman"/>
          <w:sz w:val="24"/>
          <w:szCs w:val="24"/>
          <w:lang w:eastAsia="sk-SK"/>
        </w:rPr>
        <w:t> alebo</w:t>
      </w:r>
    </w:p>
    <w:p w:rsidR="00FC264F" w:rsidP="00FC264F">
      <w:pPr>
        <w:numPr>
          <w:numId w:val="1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zariadení sociálnych služieb</w:t>
      </w:r>
      <w:hyperlink r:id="rId15" w:anchor="poznamky.poznamka-1a" w:tooltip="Odkaz na predpis alebo ustanovenie" w:history="1">
        <w:r>
          <w:rPr>
            <w:rStyle w:val="Hyperlink"/>
            <w:rFonts w:ascii="Times New Roman" w:hAnsi="Times New Roman"/>
            <w:sz w:val="24"/>
            <w:szCs w:val="24"/>
            <w:u w:val="none"/>
            <w:effect w:val="none"/>
            <w:vertAlign w:val="superscript"/>
            <w:lang w:eastAsia="sk-SK"/>
          </w:rPr>
          <w:t>1a)</w:t>
        </w:r>
      </w:hyperlink>
      <w:r>
        <w:rPr>
          <w:rFonts w:ascii="Times New Roman" w:hAnsi="Times New Roman" w:cs="Times New Roman"/>
          <w:sz w:val="24"/>
          <w:szCs w:val="24"/>
          <w:lang w:eastAsia="sk-SK"/>
        </w:rPr>
        <w:t xml:space="preserve"> na určitý čas, najviac 30 po sebe nasledujúcich dní.“. </w:t>
      </w:r>
    </w:p>
    <w:p w:rsidR="00FC264F" w:rsidP="00FC264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 prílohe č. 16 sa za slovom „rodiny“ bodka nahrádza bodkočiarkou a pripájajú sa tieto slová: „ak fyzická osoba s ťažkým zdravotným postihnutím pred podpísaním výkazu o odpracovaných hodinách osobnej asistencie zomrela, uvedie sa dátum jej úmrtia.“.</w:t>
      </w: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:rsidR="00FC264F" w:rsidP="00FC264F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Zákon č. 282/2002 Z. z., ktorým sa upravujú niektoré podmienky držania psov v znení zákona č. 102/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Z. z. sa mení a dopĺňa takto:</w:t>
      </w:r>
    </w:p>
    <w:p w:rsidR="00FC264F" w:rsidP="00FC264F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5"/>
        </w:num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Doterajší text § 2 sa označuje ako odsek 1 a dopĺňa sa odsekom 2, ktorý znie:</w:t>
      </w:r>
    </w:p>
    <w:p w:rsidR="00FC264F" w:rsidP="00FC264F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„(2) Za psa so špeciálnym výcvikom podľa tohto zákona sa považuje aj pes v špeciálnom výcviku v sprievode osoby odborne spôsobilej na výcvik psa so špeciálnym výcvikom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4a)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C264F" w:rsidP="00FC264F">
      <w:pPr>
        <w:bidi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4a znie:</w:t>
      </w:r>
    </w:p>
    <w:p w:rsidR="00FC264F" w:rsidP="00FC264F">
      <w:pPr>
        <w:bidi w:val="0"/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4a)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 25 zákona č. 447/2008 Z. z. o peňažných príspevkoch na kompenzáciu ťažkého zdravotného postihnutia a o zmene a doplnení niektorých zákonov. “.</w:t>
      </w:r>
    </w:p>
    <w:p w:rsidR="00FC264F" w:rsidP="00FC264F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5"/>
        </w:num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2 ods. 1 písm. a) šiesty bod znie:</w:t>
      </w:r>
    </w:p>
    <w:p w:rsidR="00FC264F" w:rsidP="00FC264F">
      <w:pPr>
        <w:bidi w:val="0"/>
        <w:spacing w:after="0" w:line="240" w:lineRule="auto"/>
        <w:ind w:left="710" w:hanging="3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„6. so špeciálnym výcvikom,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4a)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FC264F" w:rsidP="00FC264F">
      <w:pPr>
        <w:bidi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numPr>
          <w:numId w:val="15"/>
        </w:num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 § 4 sa vkladá § 4a, ktorý vrátane nadpisu znie:</w:t>
      </w:r>
    </w:p>
    <w:p w:rsidR="00FC264F" w:rsidP="00FC264F">
      <w:pPr>
        <w:bidi w:val="0"/>
        <w:spacing w:after="0" w:line="240" w:lineRule="auto"/>
        <w:ind w:left="284" w:hanging="42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8740A" w:rsidP="00FC264F">
      <w:pPr>
        <w:bidi w:val="0"/>
        <w:spacing w:after="0" w:line="240" w:lineRule="auto"/>
        <w:ind w:left="78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78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„§ 4a</w:t>
      </w:r>
    </w:p>
    <w:p w:rsidR="00FC264F" w:rsidP="00FC264F">
      <w:pPr>
        <w:bidi w:val="0"/>
        <w:spacing w:after="0" w:line="240" w:lineRule="auto"/>
        <w:ind w:left="78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Sprevádzanie psom so špeciálnym výcvikom</w:t>
      </w:r>
    </w:p>
    <w:p w:rsidR="00FC264F" w:rsidP="00FC264F">
      <w:pPr>
        <w:bidi w:val="0"/>
        <w:spacing w:after="0" w:line="240" w:lineRule="auto"/>
        <w:ind w:left="786" w:hanging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(1) Fyzická osoba s ťažkým zdravotným postihnutím odkázaná na sprevádzanie psom so špeciálnym výcvikom má právo byť sprevádzaná psom so špeciálnym výcvikom na verejne prístupných miestach. Na fyzickú osobu s ťažkým zdravotným postihnutím odkázanú na sprevádzanie psom so špeciálnym výcvikom sa nevzťahuje zákaz vstupu so psom na miesta vymedzené podľa § 5 ods. 1 písm. b).</w:t>
      </w:r>
    </w:p>
    <w:p w:rsidR="00FC264F" w:rsidP="00FC264F">
      <w:pPr>
        <w:bidi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(2) Použitie náhubku pre psa so špeciálnym výcvikom sa nevyžaduje pri výkone činnosti, na ktorú bol pes vycvičený.“.</w:t>
      </w:r>
    </w:p>
    <w:p w:rsidR="00FC264F" w:rsidP="00FC264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III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461/2003 Z. z. o sociálnom poistení v znení zákona č. 551/2003 Z. z., zákona č. 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 96/2013 Z. z., zákona č. 338/2013 Z. z., zákona č. 352/2013 Z. z., zákona č. 183/2014 Z. z., zákona č. 195/2014 Z. z., zákona č. 204/2014 Z. z., zákona č. 240/2014 Z. z., zákona č. 298/2014 Z. z., zákona č. 25/2015 Z. z., zákona č. 32/2015 Z. z.,  zákona č. 61/2015 Z. z., zákona č. 77/2015 Z. z., zákona č. 87/2015 Z. z., zákona č. 112/2015 Z. z., zákona č. 140/2015 Z. z., zákona č. 176/2015 Z. z., zákona č. 336/2015 Z. z., zákona č. 378/2015 Z. z., zákona č. 407/2015 Z. z., zákona č. 440/2015 Z. z. a zákona č. 125/2016 Z. z. sa mení takto: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05050"/>
          <w:sz w:val="24"/>
          <w:szCs w:val="24"/>
        </w:rPr>
        <w:t xml:space="preserve">  </w:t>
      </w:r>
    </w:p>
    <w:p w:rsidR="00FC264F" w:rsidP="00FC264F">
      <w:pPr>
        <w:numPr>
          <w:numId w:val="16"/>
        </w:num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 § 15 ods. 1 písm. e) sa vypúšťajú slová „v rozsahu najviac 12 rokov“, bodkočiarka sa nahrádza čiarkou a vypúšťajú sa slová „do obdobia 12 rokov dôchodkového poistenia sa započítava aj obdobie dôchodkového poistenia získané z dôvodu uvedeného v písmene d),“.</w:t>
      </w: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numPr>
          <w:numId w:val="16"/>
        </w:num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 § 22 ods. 1 v poslednej vete sa vypúšťajú slová „najneskôr dňom získania 12 rokov povinného dôchodkového poistenia podľa § 15 ods. 1 písm. e)“.</w:t>
      </w:r>
    </w:p>
    <w:p w:rsidR="00FC264F" w:rsidP="00FC264F">
      <w:pPr>
        <w:pStyle w:val="ListParagraph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8740A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8740A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8740A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FC264F" w:rsidP="00FC264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64F" w:rsidP="00FC264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355/2007 Z. z. o ochrane, podpore a rozvoji verejného zdravia a o zmene a doplnení niektorých zákonov v znení zákona č. 140/2008 Z. z., zákona č. 540/2008 Z. z., zákona č. 461/2008 Z. z., zákona č. 170/2009 Z. z., zákona č. 67/2010 Z. z., zákona č.132/2010 Z. z., zákona č. 136/2010 Z. z., zákona č. 132/2010 Z .z., zákona č. 172/2011 Z. z., zákona č.470/2011 Z. z., zákona  č. 306/2012 Z. z., zákona č. 74/2013 Z. z., zákona č. 153/2013 Z. z.  zákona  č. 204/2014 Z. z., zákona č. 77/2015 Z. z., zákona č. 403/2015 Z. z., zákona  č. 91/2016 Z. z. a  zákona  č. 125/2016 Z. z.  sa mení takto: </w:t>
      </w: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26 ods. 4 písm. a) sa slová „zrakovo postihnuté osoby aj v sprievode vodiaceho psa,“  nahrádzajú slovami „osoby so zdravotným postihnutím v sprievode psa so špeciálnym výcvikom,“. </w:t>
      </w: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F" w:rsidP="00FC264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64F" w:rsidP="00FC264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F" w:rsidP="00FC264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januára 2017.</w:t>
      </w: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4F" w:rsidP="00FC264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C264F" w:rsidP="00FC264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B3" w:rsidRPr="00DC1401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3666590"/>
    <w:multiLevelType w:val="hybridMultilevel"/>
    <w:tmpl w:val="2D4ADFD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D9B68AF"/>
    <w:multiLevelType w:val="hybridMultilevel"/>
    <w:tmpl w:val="B54A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4524DA"/>
    <w:multiLevelType w:val="hybridMultilevel"/>
    <w:tmpl w:val="FAEE30E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7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9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5E3D1F0E"/>
    <w:multiLevelType w:val="hybridMultilevel"/>
    <w:tmpl w:val="1C52E85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FAD58CF"/>
    <w:multiLevelType w:val="hybridMultilevel"/>
    <w:tmpl w:val="1A12AAFC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bCs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33B43"/>
    <w:rsid w:val="00071DAB"/>
    <w:rsid w:val="00071F04"/>
    <w:rsid w:val="00080EF0"/>
    <w:rsid w:val="000845FA"/>
    <w:rsid w:val="0008740A"/>
    <w:rsid w:val="000A6FCD"/>
    <w:rsid w:val="000B5D60"/>
    <w:rsid w:val="000E07B0"/>
    <w:rsid w:val="000E48BF"/>
    <w:rsid w:val="001010EA"/>
    <w:rsid w:val="00106B9D"/>
    <w:rsid w:val="001074A5"/>
    <w:rsid w:val="0011103B"/>
    <w:rsid w:val="0015035B"/>
    <w:rsid w:val="001541D8"/>
    <w:rsid w:val="001B375C"/>
    <w:rsid w:val="001B5064"/>
    <w:rsid w:val="001B5E28"/>
    <w:rsid w:val="001C5D57"/>
    <w:rsid w:val="001D1498"/>
    <w:rsid w:val="0024500F"/>
    <w:rsid w:val="00245B34"/>
    <w:rsid w:val="00252CF3"/>
    <w:rsid w:val="002557B8"/>
    <w:rsid w:val="00264FE4"/>
    <w:rsid w:val="00267B2E"/>
    <w:rsid w:val="002952B3"/>
    <w:rsid w:val="002B1908"/>
    <w:rsid w:val="002C15B3"/>
    <w:rsid w:val="002C1FC2"/>
    <w:rsid w:val="002C6671"/>
    <w:rsid w:val="002E378F"/>
    <w:rsid w:val="002F0FAC"/>
    <w:rsid w:val="0030544F"/>
    <w:rsid w:val="0032568D"/>
    <w:rsid w:val="00327FF3"/>
    <w:rsid w:val="00364A41"/>
    <w:rsid w:val="00370CA0"/>
    <w:rsid w:val="003932DF"/>
    <w:rsid w:val="00396731"/>
    <w:rsid w:val="003977F4"/>
    <w:rsid w:val="003C0CF9"/>
    <w:rsid w:val="003D50F4"/>
    <w:rsid w:val="003E0920"/>
    <w:rsid w:val="003E2F22"/>
    <w:rsid w:val="003E547B"/>
    <w:rsid w:val="003F3550"/>
    <w:rsid w:val="004060CD"/>
    <w:rsid w:val="0041327E"/>
    <w:rsid w:val="0041786D"/>
    <w:rsid w:val="004427B7"/>
    <w:rsid w:val="00460496"/>
    <w:rsid w:val="00461AE0"/>
    <w:rsid w:val="00461D70"/>
    <w:rsid w:val="00471B1D"/>
    <w:rsid w:val="00472948"/>
    <w:rsid w:val="00481567"/>
    <w:rsid w:val="004945DD"/>
    <w:rsid w:val="004963E4"/>
    <w:rsid w:val="00497815"/>
    <w:rsid w:val="004B6276"/>
    <w:rsid w:val="004E4C15"/>
    <w:rsid w:val="0051509C"/>
    <w:rsid w:val="00525EEF"/>
    <w:rsid w:val="005316A0"/>
    <w:rsid w:val="00557A38"/>
    <w:rsid w:val="005620BB"/>
    <w:rsid w:val="005843A8"/>
    <w:rsid w:val="00597626"/>
    <w:rsid w:val="005A33B0"/>
    <w:rsid w:val="005A3E7F"/>
    <w:rsid w:val="005A3E97"/>
    <w:rsid w:val="005B270F"/>
    <w:rsid w:val="005C313E"/>
    <w:rsid w:val="005C3E49"/>
    <w:rsid w:val="005C49CB"/>
    <w:rsid w:val="005D250E"/>
    <w:rsid w:val="005D4572"/>
    <w:rsid w:val="005F1D7C"/>
    <w:rsid w:val="00600195"/>
    <w:rsid w:val="00607937"/>
    <w:rsid w:val="00612816"/>
    <w:rsid w:val="00614147"/>
    <w:rsid w:val="00624DAF"/>
    <w:rsid w:val="00645D4F"/>
    <w:rsid w:val="00656A84"/>
    <w:rsid w:val="00681A5B"/>
    <w:rsid w:val="00690668"/>
    <w:rsid w:val="00691AD5"/>
    <w:rsid w:val="006B34F9"/>
    <w:rsid w:val="006C2FC4"/>
    <w:rsid w:val="006E4F74"/>
    <w:rsid w:val="00706A81"/>
    <w:rsid w:val="007155DC"/>
    <w:rsid w:val="0072508D"/>
    <w:rsid w:val="00726BCE"/>
    <w:rsid w:val="00733EC4"/>
    <w:rsid w:val="00735F00"/>
    <w:rsid w:val="00741887"/>
    <w:rsid w:val="007425E1"/>
    <w:rsid w:val="00761470"/>
    <w:rsid w:val="00763D74"/>
    <w:rsid w:val="00773DAD"/>
    <w:rsid w:val="00787AAB"/>
    <w:rsid w:val="007C2D4B"/>
    <w:rsid w:val="008518A7"/>
    <w:rsid w:val="008662A2"/>
    <w:rsid w:val="008760BD"/>
    <w:rsid w:val="00877726"/>
    <w:rsid w:val="00890103"/>
    <w:rsid w:val="008A7815"/>
    <w:rsid w:val="008B1291"/>
    <w:rsid w:val="008B3933"/>
    <w:rsid w:val="008C724D"/>
    <w:rsid w:val="009014AF"/>
    <w:rsid w:val="0090646B"/>
    <w:rsid w:val="00951B49"/>
    <w:rsid w:val="009904B5"/>
    <w:rsid w:val="009E4B13"/>
    <w:rsid w:val="00A05D9C"/>
    <w:rsid w:val="00A06492"/>
    <w:rsid w:val="00A11911"/>
    <w:rsid w:val="00A26125"/>
    <w:rsid w:val="00A35EE3"/>
    <w:rsid w:val="00A361C4"/>
    <w:rsid w:val="00A46A6E"/>
    <w:rsid w:val="00A6183A"/>
    <w:rsid w:val="00A631DA"/>
    <w:rsid w:val="00A759CC"/>
    <w:rsid w:val="00A96CDB"/>
    <w:rsid w:val="00AA714E"/>
    <w:rsid w:val="00AC69A4"/>
    <w:rsid w:val="00AC7CA4"/>
    <w:rsid w:val="00AF095F"/>
    <w:rsid w:val="00B01F16"/>
    <w:rsid w:val="00B07755"/>
    <w:rsid w:val="00B130C1"/>
    <w:rsid w:val="00B314E2"/>
    <w:rsid w:val="00B41E42"/>
    <w:rsid w:val="00B457F5"/>
    <w:rsid w:val="00B5001E"/>
    <w:rsid w:val="00B7448F"/>
    <w:rsid w:val="00B9058C"/>
    <w:rsid w:val="00BE0739"/>
    <w:rsid w:val="00BE376D"/>
    <w:rsid w:val="00BE7E79"/>
    <w:rsid w:val="00BF041D"/>
    <w:rsid w:val="00C0067B"/>
    <w:rsid w:val="00C15770"/>
    <w:rsid w:val="00C2591E"/>
    <w:rsid w:val="00C52600"/>
    <w:rsid w:val="00C52960"/>
    <w:rsid w:val="00C7672E"/>
    <w:rsid w:val="00C84CC7"/>
    <w:rsid w:val="00C97C7A"/>
    <w:rsid w:val="00CA03A0"/>
    <w:rsid w:val="00CD0391"/>
    <w:rsid w:val="00CD5C9D"/>
    <w:rsid w:val="00D0243D"/>
    <w:rsid w:val="00D02FFD"/>
    <w:rsid w:val="00D05240"/>
    <w:rsid w:val="00D05DA7"/>
    <w:rsid w:val="00D1784A"/>
    <w:rsid w:val="00D2315C"/>
    <w:rsid w:val="00D320D8"/>
    <w:rsid w:val="00D405CB"/>
    <w:rsid w:val="00D540A3"/>
    <w:rsid w:val="00D552B0"/>
    <w:rsid w:val="00D55D4E"/>
    <w:rsid w:val="00DB4F1D"/>
    <w:rsid w:val="00DB546C"/>
    <w:rsid w:val="00DC1401"/>
    <w:rsid w:val="00DF3971"/>
    <w:rsid w:val="00E0684E"/>
    <w:rsid w:val="00E1661A"/>
    <w:rsid w:val="00E51E3B"/>
    <w:rsid w:val="00E54DFC"/>
    <w:rsid w:val="00E607CC"/>
    <w:rsid w:val="00E65876"/>
    <w:rsid w:val="00E816A2"/>
    <w:rsid w:val="00E84000"/>
    <w:rsid w:val="00E95AC1"/>
    <w:rsid w:val="00E96B0E"/>
    <w:rsid w:val="00EA3CFF"/>
    <w:rsid w:val="00EA5039"/>
    <w:rsid w:val="00EB19FC"/>
    <w:rsid w:val="00ED6735"/>
    <w:rsid w:val="00EE3257"/>
    <w:rsid w:val="00EE4E13"/>
    <w:rsid w:val="00F043C7"/>
    <w:rsid w:val="00F04413"/>
    <w:rsid w:val="00F11BCF"/>
    <w:rsid w:val="00F475B2"/>
    <w:rsid w:val="00F61706"/>
    <w:rsid w:val="00F65299"/>
    <w:rsid w:val="00F74E11"/>
    <w:rsid w:val="00FA3C0D"/>
    <w:rsid w:val="00FA47AA"/>
    <w:rsid w:val="00FA4EDE"/>
    <w:rsid w:val="00FB116C"/>
    <w:rsid w:val="00FC264F"/>
    <w:rsid w:val="00FC3BAB"/>
    <w:rsid w:val="00FF6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epi.sk/zz/2014-219" TargetMode="External" /><Relationship Id="rId11" Type="http://schemas.openxmlformats.org/officeDocument/2006/relationships/hyperlink" Target="http://www.epi.sk/zz/2014-263" TargetMode="External" /><Relationship Id="rId12" Type="http://schemas.openxmlformats.org/officeDocument/2006/relationships/hyperlink" Target="http://www.epi.sk/zz/2014-375" TargetMode="External" /><Relationship Id="rId13" Type="http://schemas.openxmlformats.org/officeDocument/2006/relationships/hyperlink" Target="http://www.epi.sk/zz/2015-353" TargetMode="External" /><Relationship Id="rId14" Type="http://schemas.openxmlformats.org/officeDocument/2006/relationships/hyperlink" Target="http://www.epi.sk/zz/2015-378" TargetMode="External" /><Relationship Id="rId15" Type="http://schemas.openxmlformats.org/officeDocument/2006/relationships/hyperlink" Target="https://www.slov-lex.sk/pravne-predpisy/SK/ZZ/2008/447/20160102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www.epi.sk/zz/2010-551" TargetMode="External" /><Relationship Id="rId7" Type="http://schemas.openxmlformats.org/officeDocument/2006/relationships/hyperlink" Target="http://www.epi.sk/zz/2011-180" TargetMode="External" /><Relationship Id="rId8" Type="http://schemas.openxmlformats.org/officeDocument/2006/relationships/hyperlink" Target="http://www.epi.sk/zz/2011-468" TargetMode="External" /><Relationship Id="rId9" Type="http://schemas.openxmlformats.org/officeDocument/2006/relationships/hyperlink" Target="http://www.epi.sk/zz/2013-136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4_Vlastný-materiál"/>
    <f:field ref="objsubject" par="" edit="true" text=""/>
    <f:field ref="objcreatedby" par="" text="Hornáček, Vladimír, Mgr."/>
    <f:field ref="objcreatedat" par="" text="30.6.2016 8:27:15"/>
    <f:field ref="objchangedby" par="" text="Administrator, System"/>
    <f:field ref="objmodifiedat" par="" text="30.6.2016 8:2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56F6F44-C5CE-4C5F-B5DD-E9F4909AA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1834</Words>
  <Characters>10454</Characters>
  <Application>Microsoft Office Word</Application>
  <DocSecurity>0</DocSecurity>
  <Lines>0</Lines>
  <Paragraphs>0</Paragraphs>
  <ScaleCrop>false</ScaleCrop>
  <Company/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Štvrtecká Emília</dc:creator>
  <cp:lastModifiedBy>Cebulakova Monika</cp:lastModifiedBy>
  <cp:revision>7</cp:revision>
  <cp:lastPrinted>2016-05-17T10:27:00Z</cp:lastPrinted>
  <dcterms:created xsi:type="dcterms:W3CDTF">2016-09-20T07:22:00Z</dcterms:created>
  <dcterms:modified xsi:type="dcterms:W3CDTF">2016-09-21T11:31:00Z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COO.2145.1000.3.1484679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23. 6. 2016</vt:lpwstr>
  </property>
  <property fmtid="{D5CDD505-2E9C-101B-9397-08002B2CF9AE}" pid="6" name="FSC#SKEDITIONSLOVLEX@103.510:AttrDateDocPropZaciatokPKK">
    <vt:lpwstr>10. 6. 2016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na určenie valorizačného percenta pre rok 2017 bralo do úvahy 90 % rastu spotrebiteľských cien a 10 % rastu priemernej mzdy za prvý polrok 2016.  Na základe aktuálnej makroekonomickej prognózy IFP sa v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systémové dôchodkové dávky a úrazové dávky v porovnaní so zvyšovaním  podľa súčasného právneho stavu a podľa aktuálne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upravená,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vyjadruje nesúhlasné stanovisko s materiálom predloženým na predbežné pripomienkové konanie 10.06.2016 s odporúčaním, aby kvantifikácie uvedené v Analýze vplyvov na rozpočet verejnej správy, na zame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o&amp;nbsp; sociálnom poistení v&amp;nbsp;znení neskorších predpisov.&lt;/p&gt;&lt;p style="text-align: justi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zabezpečenia_x000D__x000D_Sociálne poistenie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12008/2016 – 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 sociálnom poistení v znení neskorších predpisov informovaná prostredníctvom predbežnej informácie zverejnenej na portáli, ktorý je súčasťou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