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Grid"/>
        <w:tblW w:w="0" w:type="auto"/>
        <w:tblLook w:val="04A0"/>
      </w:tblPr>
      <w:tblGrid>
        <w:gridCol w:w="9212"/>
      </w:tblGrid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9200D7">
            <w:pPr>
              <w:bidi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8A1252" w:rsidR="008A1252">
              <w:rPr>
                <w:rFonts w:ascii="Times New Roman" w:hAnsi="Times New Roman"/>
                <w:b/>
                <w:sz w:val="28"/>
              </w:rPr>
              <w:t xml:space="preserve">Analýza </w:t>
            </w:r>
            <w:r w:rsidR="008A1252">
              <w:rPr>
                <w:rFonts w:ascii="Times New Roman" w:hAnsi="Times New Roman"/>
                <w:b/>
                <w:sz w:val="28"/>
              </w:rPr>
              <w:t>v</w:t>
            </w:r>
            <w:r w:rsidRPr="00042C66">
              <w:rPr>
                <w:rFonts w:ascii="Times New Roman" w:hAnsi="Times New Roman"/>
                <w:b/>
                <w:sz w:val="28"/>
              </w:rPr>
              <w:t>plyv</w:t>
            </w:r>
            <w:r w:rsidR="008A1252">
              <w:rPr>
                <w:rFonts w:ascii="Times New Roman" w:hAnsi="Times New Roman"/>
                <w:b/>
                <w:sz w:val="28"/>
              </w:rPr>
              <w:t>ov</w:t>
            </w:r>
            <w:r w:rsidRPr="00042C66">
              <w:rPr>
                <w:rFonts w:ascii="Times New Roman" w:hAnsi="Times New Roman"/>
                <w:b/>
                <w:sz w:val="28"/>
              </w:rPr>
              <w:t xml:space="preserve"> na podnikateľské prostredie </w:t>
            </w:r>
          </w:p>
          <w:p w:rsidR="009F2DFA" w:rsidRPr="00F04CCD" w:rsidP="00780BA6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b/>
                <w:sz w:val="24"/>
              </w:rPr>
              <w:t xml:space="preserve">(vrátane </w:t>
            </w:r>
            <w:r w:rsidR="00780BA6">
              <w:rPr>
                <w:rFonts w:ascii="Times New Roman" w:hAnsi="Times New Roman"/>
                <w:b/>
                <w:sz w:val="24"/>
              </w:rPr>
              <w:t xml:space="preserve">testu </w:t>
            </w:r>
            <w:r w:rsidRPr="00042C66">
              <w:rPr>
                <w:rFonts w:ascii="Times New Roman" w:hAnsi="Times New Roman"/>
                <w:b/>
                <w:sz w:val="24"/>
              </w:rPr>
              <w:t>MSP)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9200D7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Pr="00042C66">
              <w:rPr>
                <w:rFonts w:ascii="Times New Roman" w:hAnsi="Times New Roman"/>
                <w:b/>
                <w:sz w:val="24"/>
              </w:rPr>
              <w:t>Materiál bude mať vplyv s ohľadom na veľkostnú kategóriu podnikov: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36"/>
              <w:gridCol w:w="8545"/>
            </w:tblGrid>
            <w:tr>
              <w:tblPrEx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lrTb"/>
                  <w:vAlign w:val="top"/>
                </w:tcPr>
                <w:p w:rsidR="009F2DFA" w:rsidRPr="00F04CCD" w:rsidP="009200D7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F04CCD">
                    <w:rPr>
                      <w:rFonts w:ascii="MS Mincho" w:eastAsia="MS Mincho" w:hAnsi="MS Mincho" w:cs="MS Mincho" w:hint="eastAsia"/>
                    </w:rPr>
                    <w:t>☐</w:t>
                  </w:r>
                </w:p>
              </w:tc>
              <w:tc>
                <w:tcPr>
                  <w:tcW w:w="8545" w:type="dxa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lrTb"/>
                  <w:vAlign w:val="top"/>
                </w:tcPr>
                <w:p w:rsidR="009F2DFA" w:rsidRPr="00F04CCD" w:rsidP="009200D7">
                  <w:pPr>
                    <w:bidi w:val="0"/>
                    <w:rPr>
                      <w:rFonts w:ascii="Times New Roman" w:hAnsi="Times New Roman"/>
                      <w:b/>
                    </w:rPr>
                  </w:pPr>
                  <w:r w:rsidRPr="00F04CCD">
                    <w:rPr>
                      <w:rFonts w:ascii="Times New Roman" w:hAnsi="Times New Roman"/>
                      <w:b/>
                    </w:rPr>
                    <w:t xml:space="preserve">iba na MSP (0 - 249 zamestnancov) 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lrTb"/>
                  <w:vAlign w:val="top"/>
                </w:tcPr>
                <w:p w:rsidR="009F2DFA" w:rsidRPr="00F04CCD" w:rsidP="009200D7">
                  <w:pPr>
                    <w:bidi w:val="0"/>
                    <w:jc w:val="center"/>
                    <w:rPr>
                      <w:rFonts w:ascii="Times New Roman" w:hAnsi="Times New Roman"/>
                    </w:rPr>
                  </w:pPr>
                  <w:r w:rsidRPr="00F04CCD">
                    <w:rPr>
                      <w:rFonts w:ascii="MS Mincho" w:eastAsia="MS Mincho" w:hAnsi="MS Mincho" w:cs="MS Mincho" w:hint="eastAsia"/>
                    </w:rPr>
                    <w:t>☐</w:t>
                  </w:r>
                </w:p>
              </w:tc>
              <w:tc>
                <w:tcPr>
                  <w:tcW w:w="8545" w:type="dxa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lrTb"/>
                  <w:vAlign w:val="top"/>
                </w:tcPr>
                <w:p w:rsidR="009F2DFA" w:rsidRPr="00F04CCD" w:rsidP="009200D7">
                  <w:pPr>
                    <w:bidi w:val="0"/>
                    <w:rPr>
                      <w:rFonts w:ascii="Times New Roman" w:hAnsi="Times New Roman"/>
                      <w:b/>
                    </w:rPr>
                  </w:pPr>
                  <w:r w:rsidRPr="00F04CCD">
                    <w:rPr>
                      <w:rFonts w:ascii="Times New Roman" w:hAnsi="Times New Roman"/>
                      <w:b/>
                    </w:rPr>
                    <w:t>iba na veľké podniky (250 a viac zamestnancov)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436" w:type="dxa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lrTb"/>
                  <w:vAlign w:val="top"/>
                </w:tcPr>
                <w:p w:rsidR="009F2DFA" w:rsidRPr="00F04CCD" w:rsidP="009200D7">
                  <w:pPr>
                    <w:bidi w:val="0"/>
                    <w:jc w:val="center"/>
                    <w:rPr>
                      <w:rFonts w:ascii="Times New Roman" w:hAnsi="Times New Roman"/>
                    </w:rPr>
                  </w:pPr>
                  <w:r w:rsidR="008C7386">
                    <w:rPr>
                      <w:rFonts w:ascii="MS Gothic" w:eastAsia="MS Gothic" w:hAnsi="MS Gothic" w:hint="eastAsia"/>
                    </w:rPr>
                    <w:t>☒</w:t>
                  </w:r>
                </w:p>
              </w:tc>
              <w:tc>
                <w:tcPr>
                  <w:tcW w:w="8545" w:type="dxa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lrTb"/>
                  <w:vAlign w:val="top"/>
                </w:tcPr>
                <w:p w:rsidR="009F2DFA" w:rsidRPr="00F04CCD" w:rsidP="009200D7">
                  <w:pPr>
                    <w:bidi w:val="0"/>
                    <w:rPr>
                      <w:rFonts w:ascii="Times New Roman" w:hAnsi="Times New Roman"/>
                    </w:rPr>
                  </w:pPr>
                  <w:r w:rsidRPr="00F04CCD">
                    <w:rPr>
                      <w:rFonts w:ascii="Times New Roman" w:hAnsi="Times New Roman"/>
                      <w:b/>
                    </w:rPr>
                    <w:t xml:space="preserve">na všetky </w:t>
                  </w:r>
                  <w:r>
                    <w:rPr>
                      <w:rFonts w:ascii="Times New Roman" w:hAnsi="Times New Roman"/>
                      <w:b/>
                    </w:rPr>
                    <w:t>kategórie</w:t>
                  </w:r>
                  <w:r w:rsidRPr="00F04CCD">
                    <w:rPr>
                      <w:rFonts w:ascii="Times New Roman" w:hAnsi="Times New Roman"/>
                      <w:b/>
                    </w:rPr>
                    <w:t xml:space="preserve"> podnikov</w:t>
                  </w:r>
                </w:p>
              </w:tc>
            </w:tr>
          </w:tbl>
          <w:p w:rsidR="009F2DFA" w:rsidRPr="00F04CCD" w:rsidP="009200D7">
            <w:pPr>
              <w:bidi w:val="0"/>
              <w:rPr>
                <w:rFonts w:ascii="Times New Roman" w:hAnsi="Times New Roman"/>
                <w:b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9200D7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>.1 Dotknuté podnikateľské subjekty</w:t>
            </w:r>
          </w:p>
          <w:p w:rsidR="009F2DFA" w:rsidRPr="00F04CCD" w:rsidP="009200D7">
            <w:pPr>
              <w:bidi w:val="0"/>
              <w:ind w:left="284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sz w:val="24"/>
              </w:rPr>
              <w:t xml:space="preserve"> 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9200D7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Uveďte, aké podnikateľské subjekty budú predkladaným návrhom ovplyvnené.</w:t>
            </w:r>
          </w:p>
          <w:p w:rsidR="009F2DFA" w:rsidRPr="00F04CCD" w:rsidP="009200D7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Aký je ich počet?</w:t>
            </w:r>
          </w:p>
        </w:tc>
      </w:tr>
      <w:tr>
        <w:tblPrEx>
          <w:tblW w:w="0" w:type="auto"/>
          <w:tblLook w:val="04A0"/>
        </w:tblPrEx>
        <w:trPr>
          <w:trHeight w:val="144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059D6" w:rsidP="008C7386">
            <w:pPr>
              <w:bidi w:val="0"/>
              <w:rPr>
                <w:rFonts w:ascii="Times New Roman" w:hAnsi="Times New Roman"/>
                <w:i/>
              </w:rPr>
            </w:pPr>
          </w:p>
          <w:p w:rsidR="00461E9A" w:rsidRPr="001E7390" w:rsidP="003B6AD9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E7390" w:rsidR="00327E76">
              <w:rPr>
                <w:rFonts w:ascii="Times New Roman" w:hAnsi="Times New Roman"/>
                <w:sz w:val="22"/>
                <w:szCs w:val="22"/>
              </w:rPr>
              <w:t>Úpravy navrhované v p</w:t>
            </w:r>
            <w:r w:rsidRPr="001E7390" w:rsidR="008C7386">
              <w:rPr>
                <w:rFonts w:ascii="Times New Roman" w:hAnsi="Times New Roman"/>
                <w:sz w:val="22"/>
                <w:szCs w:val="22"/>
              </w:rPr>
              <w:t>red</w:t>
            </w:r>
            <w:r w:rsidRPr="001E7390" w:rsidR="006C5978">
              <w:rPr>
                <w:rFonts w:ascii="Times New Roman" w:hAnsi="Times New Roman"/>
                <w:sz w:val="22"/>
                <w:szCs w:val="22"/>
              </w:rPr>
              <w:t>kladan</w:t>
            </w:r>
            <w:r w:rsidRPr="001E7390" w:rsidR="00327E76">
              <w:rPr>
                <w:rFonts w:ascii="Times New Roman" w:hAnsi="Times New Roman"/>
                <w:sz w:val="22"/>
                <w:szCs w:val="22"/>
              </w:rPr>
              <w:t>om</w:t>
            </w:r>
            <w:r w:rsidRPr="001E7390" w:rsidR="006C597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E7390" w:rsidR="008C7386">
              <w:rPr>
                <w:rFonts w:ascii="Times New Roman" w:hAnsi="Times New Roman"/>
                <w:sz w:val="22"/>
                <w:szCs w:val="22"/>
              </w:rPr>
              <w:t>návrh</w:t>
            </w:r>
            <w:r w:rsidR="002F4376">
              <w:rPr>
                <w:rFonts w:ascii="Times New Roman" w:hAnsi="Times New Roman"/>
                <w:sz w:val="22"/>
                <w:szCs w:val="22"/>
              </w:rPr>
              <w:t>u</w:t>
            </w:r>
            <w:r w:rsidRPr="001E7390" w:rsidR="008C73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E7390" w:rsidR="00327E76">
              <w:rPr>
                <w:rFonts w:ascii="Times New Roman" w:hAnsi="Times New Roman"/>
                <w:sz w:val="22"/>
                <w:szCs w:val="22"/>
              </w:rPr>
              <w:t>zákona</w:t>
            </w:r>
            <w:r w:rsidRPr="001E7390" w:rsidR="009A1F33">
              <w:rPr>
                <w:rFonts w:ascii="Times New Roman" w:hAnsi="Times New Roman"/>
                <w:sz w:val="22"/>
                <w:szCs w:val="22"/>
              </w:rPr>
              <w:t>, ktorým sa mení a dopĺňa zákon č. 171/2005 Z. z. o hazardných hrách a o zmene a doplnení niektorých zákonov v  znení  neskorších  predpisov</w:t>
            </w:r>
            <w:r w:rsidRPr="001E7390" w:rsidR="00D578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E7390" w:rsidR="007B3BD7">
              <w:rPr>
                <w:rFonts w:ascii="Times New Roman" w:hAnsi="Times New Roman"/>
                <w:sz w:val="22"/>
                <w:szCs w:val="22"/>
              </w:rPr>
              <w:t>a </w:t>
            </w:r>
            <w:r w:rsidRPr="002F4376" w:rsidR="007B3BD7">
              <w:rPr>
                <w:rFonts w:ascii="Times New Roman" w:hAnsi="Times New Roman"/>
                <w:sz w:val="22"/>
                <w:szCs w:val="22"/>
              </w:rPr>
              <w:t xml:space="preserve">ktorým sa menia a dopĺňajú niektoré zákony </w:t>
            </w:r>
            <w:r w:rsidRPr="002F4376" w:rsidR="00D578D2">
              <w:rPr>
                <w:rFonts w:ascii="Times New Roman" w:hAnsi="Times New Roman"/>
                <w:sz w:val="22"/>
                <w:szCs w:val="22"/>
              </w:rPr>
              <w:t>(ďalej len „</w:t>
            </w:r>
            <w:r w:rsidRPr="002F4376" w:rsidR="00F7588C">
              <w:rPr>
                <w:rFonts w:ascii="Times New Roman" w:hAnsi="Times New Roman"/>
                <w:sz w:val="22"/>
                <w:szCs w:val="22"/>
              </w:rPr>
              <w:t>materiál</w:t>
            </w:r>
            <w:r w:rsidRPr="002F4376" w:rsidR="00D578D2">
              <w:rPr>
                <w:rFonts w:ascii="Times New Roman" w:hAnsi="Times New Roman"/>
                <w:sz w:val="22"/>
                <w:szCs w:val="22"/>
              </w:rPr>
              <w:t xml:space="preserve">“) </w:t>
            </w:r>
            <w:r w:rsidRPr="002F4376" w:rsidR="008C7386">
              <w:rPr>
                <w:rFonts w:ascii="Times New Roman" w:hAnsi="Times New Roman"/>
                <w:sz w:val="22"/>
                <w:szCs w:val="22"/>
              </w:rPr>
              <w:t>sa týka</w:t>
            </w:r>
            <w:r w:rsidRPr="002F4376" w:rsidR="00FD6C29">
              <w:rPr>
                <w:rFonts w:ascii="Times New Roman" w:hAnsi="Times New Roman"/>
                <w:sz w:val="22"/>
                <w:szCs w:val="22"/>
              </w:rPr>
              <w:t>jú</w:t>
            </w:r>
            <w:r w:rsidRPr="002F4376" w:rsidR="008C7386">
              <w:rPr>
                <w:rFonts w:ascii="Times New Roman" w:hAnsi="Times New Roman"/>
                <w:sz w:val="22"/>
                <w:szCs w:val="22"/>
              </w:rPr>
              <w:t xml:space="preserve"> podnikateľských subjektov pôsobiacich</w:t>
            </w:r>
            <w:r w:rsidR="00C60956">
              <w:rPr>
                <w:rFonts w:ascii="Times New Roman" w:hAnsi="Times New Roman"/>
                <w:sz w:val="22"/>
                <w:szCs w:val="22"/>
              </w:rPr>
              <w:t xml:space="preserve"> v</w:t>
            </w:r>
            <w:r w:rsidRPr="002F4376" w:rsidR="008C7386">
              <w:rPr>
                <w:rFonts w:ascii="Times New Roman" w:hAnsi="Times New Roman"/>
                <w:sz w:val="22"/>
                <w:szCs w:val="22"/>
              </w:rPr>
              <w:t xml:space="preserve"> oblasti hazardných hier</w:t>
            </w:r>
            <w:r w:rsidRPr="002F4376" w:rsidR="00327E76">
              <w:rPr>
                <w:rFonts w:ascii="Times New Roman" w:hAnsi="Times New Roman"/>
                <w:sz w:val="22"/>
                <w:szCs w:val="22"/>
              </w:rPr>
              <w:t xml:space="preserve"> (cca </w:t>
            </w:r>
            <w:r w:rsidRPr="002F4376" w:rsidR="00C71E17">
              <w:rPr>
                <w:rFonts w:ascii="Times New Roman" w:hAnsi="Times New Roman"/>
                <w:sz w:val="22"/>
                <w:szCs w:val="22"/>
              </w:rPr>
              <w:t>170</w:t>
            </w:r>
            <w:r w:rsidRPr="002F4376" w:rsidR="0012710D">
              <w:rPr>
                <w:rFonts w:ascii="Times New Roman" w:hAnsi="Times New Roman"/>
                <w:sz w:val="22"/>
                <w:szCs w:val="22"/>
              </w:rPr>
              <w:t xml:space="preserve"> spoločností</w:t>
            </w:r>
            <w:r w:rsidRPr="002F4376" w:rsidR="00327E76">
              <w:rPr>
                <w:rFonts w:ascii="Times New Roman" w:hAnsi="Times New Roman"/>
                <w:sz w:val="22"/>
                <w:szCs w:val="22"/>
              </w:rPr>
              <w:t>), poskytovateľov sietí a služieb, ktorí poskytujú internetové pripojenia</w:t>
            </w:r>
            <w:r w:rsidRPr="002F4376" w:rsidR="00FD6C29">
              <w:rPr>
                <w:rFonts w:ascii="Times New Roman" w:hAnsi="Times New Roman"/>
                <w:sz w:val="22"/>
                <w:szCs w:val="22"/>
              </w:rPr>
              <w:t xml:space="preserve"> (cca 1000 spoločností)</w:t>
            </w:r>
            <w:r w:rsidRPr="002F4376" w:rsidR="00327E76">
              <w:rPr>
                <w:rFonts w:ascii="Times New Roman" w:hAnsi="Times New Roman"/>
                <w:sz w:val="22"/>
                <w:szCs w:val="22"/>
              </w:rPr>
              <w:t xml:space="preserve"> a</w:t>
            </w:r>
            <w:r w:rsidRPr="002F4376" w:rsidR="00FD6C29">
              <w:rPr>
                <w:rFonts w:ascii="Times New Roman" w:hAnsi="Times New Roman"/>
                <w:sz w:val="22"/>
                <w:szCs w:val="22"/>
              </w:rPr>
              <w:t> </w:t>
            </w:r>
            <w:r w:rsidRPr="002F4376" w:rsidR="00327E76">
              <w:rPr>
                <w:rFonts w:ascii="Times New Roman" w:hAnsi="Times New Roman"/>
                <w:sz w:val="22"/>
                <w:szCs w:val="22"/>
              </w:rPr>
              <w:t>bánk</w:t>
            </w:r>
            <w:r w:rsidRPr="002F4376" w:rsidR="00FD6C29">
              <w:rPr>
                <w:rFonts w:ascii="Times New Roman" w:hAnsi="Times New Roman"/>
                <w:sz w:val="22"/>
                <w:szCs w:val="22"/>
              </w:rPr>
              <w:t>, ktoré vedú účty FO (cca 20 spoločností)</w:t>
            </w:r>
            <w:r w:rsidR="00C60956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461E9A" w:rsidRPr="00327E76" w:rsidP="008C7386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  <w:p w:rsidR="009F2DFA" w:rsidRPr="00F04CCD" w:rsidP="00866484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0" w:type="auto"/>
          <w:tblLook w:val="04A0"/>
        </w:tblPrEx>
        <w:trPr>
          <w:trHeight w:val="339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9200D7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>.2 Vyhodnotenie konzultácií</w:t>
            </w:r>
          </w:p>
          <w:p w:rsidR="009F2DFA" w:rsidRPr="00F04CCD" w:rsidP="009200D7">
            <w:pPr>
              <w:bidi w:val="0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sz w:val="24"/>
              </w:rPr>
              <w:t xml:space="preserve">       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rPr>
          <w:trHeight w:val="55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9200D7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Uveďte, akou formou (verejné alebo cielené konzultácie a prečo)</w:t>
            </w:r>
            <w:r>
              <w:rPr>
                <w:rFonts w:ascii="Times New Roman" w:hAnsi="Times New Roman"/>
                <w:i/>
              </w:rPr>
              <w:t xml:space="preserve"> a </w:t>
            </w:r>
            <w:r w:rsidRPr="00F04CCD">
              <w:rPr>
                <w:rFonts w:ascii="Times New Roman" w:hAnsi="Times New Roman"/>
                <w:i/>
              </w:rPr>
              <w:t>s kým bol návrh konzultovaný.</w:t>
            </w:r>
          </w:p>
          <w:p w:rsidR="009F2DFA" w:rsidRPr="00F04CCD" w:rsidP="009200D7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Ako dlho trvali konzultácie?</w:t>
            </w:r>
          </w:p>
          <w:p w:rsidR="009F2DFA" w:rsidRPr="000D2622" w:rsidP="009200D7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Uveďte hlavné body konzultácií a výsledky konzultácií. </w:t>
            </w:r>
          </w:p>
        </w:tc>
      </w:tr>
      <w:tr>
        <w:tblPrEx>
          <w:tblW w:w="0" w:type="auto"/>
          <w:tblLook w:val="04A0"/>
        </w:tblPrEx>
        <w:trPr>
          <w:trHeight w:val="144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059D6" w:rsidP="009200D7">
            <w:pPr>
              <w:bidi w:val="0"/>
              <w:rPr>
                <w:rFonts w:ascii="Times New Roman" w:hAnsi="Times New Roman"/>
                <w:i/>
              </w:rPr>
            </w:pPr>
          </w:p>
          <w:p w:rsidR="00EE3E84" w:rsidRPr="00EE3E84" w:rsidP="00EE3E84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2785F" w:rsidR="00D70731">
              <w:rPr>
                <w:rFonts w:ascii="Times New Roman" w:hAnsi="Times New Roman"/>
                <w:sz w:val="22"/>
                <w:szCs w:val="22"/>
              </w:rPr>
              <w:t xml:space="preserve">Problematika týkajúca sa predkladaného návrhu bola </w:t>
            </w:r>
            <w:r w:rsidRPr="0042785F" w:rsidR="009200D7">
              <w:rPr>
                <w:rFonts w:ascii="Times New Roman" w:hAnsi="Times New Roman"/>
                <w:sz w:val="22"/>
                <w:szCs w:val="22"/>
              </w:rPr>
              <w:t xml:space="preserve">konzultovaná so zástupcami </w:t>
            </w:r>
            <w:r w:rsidRPr="0042785F" w:rsidR="0069376E">
              <w:rPr>
                <w:rFonts w:ascii="Times New Roman" w:hAnsi="Times New Roman"/>
                <w:sz w:val="22"/>
                <w:szCs w:val="22"/>
              </w:rPr>
              <w:t>profesných združení prevádzkovateľov</w:t>
            </w:r>
            <w:r w:rsidRPr="0042785F" w:rsidR="0042785F">
              <w:rPr>
                <w:rFonts w:ascii="Times New Roman" w:hAnsi="Times New Roman"/>
                <w:sz w:val="22"/>
                <w:szCs w:val="22"/>
              </w:rPr>
              <w:t xml:space="preserve"> hazardných hier</w:t>
            </w:r>
            <w:r w:rsidR="002F4376">
              <w:rPr>
                <w:rFonts w:ascii="Times New Roman" w:hAnsi="Times New Roman"/>
                <w:sz w:val="22"/>
                <w:szCs w:val="22"/>
              </w:rPr>
              <w:t xml:space="preserve">, a to </w:t>
            </w:r>
            <w:r w:rsidRPr="0042785F" w:rsidR="0042785F">
              <w:rPr>
                <w:rFonts w:ascii="Times New Roman" w:hAnsi="Times New Roman"/>
                <w:sz w:val="22"/>
                <w:szCs w:val="22"/>
              </w:rPr>
              <w:t>Asociáci</w:t>
            </w:r>
            <w:r w:rsidR="002F4376">
              <w:rPr>
                <w:rFonts w:ascii="Times New Roman" w:hAnsi="Times New Roman"/>
                <w:sz w:val="22"/>
                <w:szCs w:val="22"/>
              </w:rPr>
              <w:t>ou</w:t>
            </w:r>
            <w:r w:rsidRPr="0042785F" w:rsidR="0042785F">
              <w:rPr>
                <w:rFonts w:ascii="Times New Roman" w:hAnsi="Times New Roman"/>
                <w:sz w:val="22"/>
                <w:szCs w:val="22"/>
              </w:rPr>
              <w:t xml:space="preserve"> zábavy a hier, Asociáci</w:t>
            </w:r>
            <w:r w:rsidR="002F4376">
              <w:rPr>
                <w:rFonts w:ascii="Times New Roman" w:hAnsi="Times New Roman"/>
                <w:sz w:val="22"/>
                <w:szCs w:val="22"/>
              </w:rPr>
              <w:t>ou</w:t>
            </w:r>
            <w:r w:rsidRPr="0042785F" w:rsidR="0042785F">
              <w:rPr>
                <w:rFonts w:ascii="Times New Roman" w:hAnsi="Times New Roman"/>
                <w:sz w:val="22"/>
                <w:szCs w:val="22"/>
              </w:rPr>
              <w:t xml:space="preserve"> prevádzkovateľov videohier, Asociáci</w:t>
            </w:r>
            <w:r w:rsidR="002F4376">
              <w:rPr>
                <w:rFonts w:ascii="Times New Roman" w:hAnsi="Times New Roman"/>
                <w:sz w:val="22"/>
                <w:szCs w:val="22"/>
              </w:rPr>
              <w:t>ou</w:t>
            </w:r>
            <w:r w:rsidRPr="0042785F" w:rsidR="0042785F">
              <w:rPr>
                <w:rFonts w:ascii="Times New Roman" w:hAnsi="Times New Roman"/>
                <w:sz w:val="22"/>
                <w:szCs w:val="22"/>
              </w:rPr>
              <w:t xml:space="preserve"> stávkových spoločností SR, Asociáci</w:t>
            </w:r>
            <w:r w:rsidR="002F4376">
              <w:rPr>
                <w:rFonts w:ascii="Times New Roman" w:hAnsi="Times New Roman"/>
                <w:sz w:val="22"/>
                <w:szCs w:val="22"/>
              </w:rPr>
              <w:t>ou</w:t>
            </w:r>
            <w:r w:rsidRPr="0042785F" w:rsidR="0042785F">
              <w:rPr>
                <w:rFonts w:ascii="Times New Roman" w:hAnsi="Times New Roman"/>
                <w:sz w:val="22"/>
                <w:szCs w:val="22"/>
              </w:rPr>
              <w:t xml:space="preserve"> kasín</w:t>
            </w:r>
            <w:r w:rsidR="00DE33B0">
              <w:rPr>
                <w:rFonts w:ascii="Times New Roman" w:hAnsi="Times New Roman"/>
                <w:sz w:val="22"/>
                <w:szCs w:val="22"/>
              </w:rPr>
              <w:t xml:space="preserve"> Slovenska</w:t>
            </w:r>
            <w:r w:rsidRPr="0042785F" w:rsidR="0069376E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2F4376">
              <w:rPr>
                <w:rFonts w:ascii="Times New Roman" w:hAnsi="Times New Roman"/>
                <w:sz w:val="22"/>
                <w:szCs w:val="22"/>
              </w:rPr>
              <w:t xml:space="preserve">ďalej s </w:t>
            </w:r>
            <w:r w:rsidRPr="0042785F" w:rsidR="009200D7">
              <w:rPr>
                <w:rFonts w:ascii="Times New Roman" w:hAnsi="Times New Roman"/>
                <w:sz w:val="22"/>
                <w:szCs w:val="22"/>
              </w:rPr>
              <w:t>pracovníkmi vybraných odborných útvarov MF SR</w:t>
            </w:r>
            <w:r w:rsidRPr="0042785F" w:rsidR="0069376E">
              <w:rPr>
                <w:rFonts w:ascii="Times New Roman" w:hAnsi="Times New Roman"/>
                <w:sz w:val="22"/>
                <w:szCs w:val="22"/>
              </w:rPr>
              <w:t xml:space="preserve">, zástupcami </w:t>
            </w:r>
            <w:r w:rsidRPr="0042785F" w:rsidR="0042785F">
              <w:rPr>
                <w:rFonts w:ascii="Times New Roman" w:hAnsi="Times New Roman"/>
                <w:sz w:val="22"/>
                <w:szCs w:val="22"/>
              </w:rPr>
              <w:t>inštitúcií s pôsobnosťou ktorých navrhované úpravy súvisia</w:t>
            </w:r>
            <w:r w:rsidR="002F4376">
              <w:rPr>
                <w:rFonts w:ascii="Times New Roman" w:hAnsi="Times New Roman"/>
                <w:sz w:val="22"/>
                <w:szCs w:val="22"/>
              </w:rPr>
              <w:t xml:space="preserve">, so Slovenskou bankovou asociáciou, Správcom slovenskej domény najvyššej úrovne - Sk-nic. Konzultácie sa uskutočnili so všetkými ďalšími záujemcami, ktorí prejavili o ne záujem na základe zverejnenia predbežnej informácie na portáli Slov-lex, konkrétne </w:t>
            </w:r>
            <w:r w:rsidRPr="00EE3E84" w:rsidR="002F4376">
              <w:rPr>
                <w:rFonts w:ascii="Times New Roman" w:hAnsi="Times New Roman"/>
                <w:sz w:val="22"/>
                <w:szCs w:val="22"/>
              </w:rPr>
              <w:t>so zástupc</w:t>
            </w:r>
            <w:r w:rsidR="00C60956">
              <w:rPr>
                <w:rFonts w:ascii="Times New Roman" w:hAnsi="Times New Roman"/>
                <w:sz w:val="22"/>
                <w:szCs w:val="22"/>
              </w:rPr>
              <w:t>ami</w:t>
            </w:r>
            <w:r w:rsidRPr="00EE3E84">
              <w:rPr>
                <w:rFonts w:ascii="Times New Roman" w:hAnsi="Times New Roman"/>
                <w:sz w:val="22"/>
                <w:szCs w:val="22"/>
              </w:rPr>
              <w:t xml:space="preserve"> Aliancie za čisté hranie, Iniciatívy Zastavme h</w:t>
            </w:r>
            <w:r w:rsidR="00C60956">
              <w:rPr>
                <w:rFonts w:ascii="Times New Roman" w:hAnsi="Times New Roman"/>
                <w:sz w:val="22"/>
                <w:szCs w:val="22"/>
              </w:rPr>
              <w:t>azard, Zväzu cestovného ruchu SK a</w:t>
            </w:r>
            <w:r w:rsidRPr="00EE3E84">
              <w:rPr>
                <w:rFonts w:ascii="Times New Roman" w:hAnsi="Times New Roman"/>
                <w:sz w:val="22"/>
                <w:szCs w:val="22"/>
              </w:rPr>
              <w:t xml:space="preserve"> zástupcom prevádzkovateľa Rebuystars, s.r.o.</w:t>
            </w:r>
          </w:p>
          <w:p w:rsidR="00EE3E84" w:rsidP="00EE3E84">
            <w:pPr>
              <w:bidi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="002F4376">
              <w:rPr>
                <w:rFonts w:ascii="Arial Narrow" w:hAnsi="Arial Narrow"/>
                <w:sz w:val="22"/>
                <w:szCs w:val="22"/>
              </w:rPr>
              <w:tab/>
            </w:r>
          </w:p>
          <w:p w:rsidR="002F4376" w:rsidP="00EE3E84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3E84" w:rsidR="00EE3E84">
              <w:rPr>
                <w:rFonts w:ascii="Times New Roman" w:hAnsi="Times New Roman"/>
                <w:sz w:val="22"/>
                <w:szCs w:val="22"/>
              </w:rPr>
              <w:t>Konzultácie sa uskutočnili v pr</w:t>
            </w:r>
            <w:r w:rsidR="00EE3E84">
              <w:rPr>
                <w:rFonts w:ascii="Times New Roman" w:hAnsi="Times New Roman"/>
                <w:sz w:val="22"/>
                <w:szCs w:val="22"/>
              </w:rPr>
              <w:t>i</w:t>
            </w:r>
            <w:r w:rsidRPr="00EE3E84" w:rsidR="00EE3E84">
              <w:rPr>
                <w:rFonts w:ascii="Times New Roman" w:hAnsi="Times New Roman"/>
                <w:sz w:val="22"/>
                <w:szCs w:val="22"/>
              </w:rPr>
              <w:t>ebehu mesiaca jún 2016</w:t>
            </w:r>
            <w:r w:rsidR="00EE3E84">
              <w:rPr>
                <w:rFonts w:ascii="Times New Roman" w:hAnsi="Times New Roman"/>
                <w:sz w:val="22"/>
                <w:szCs w:val="22"/>
              </w:rPr>
              <w:t xml:space="preserve">, uskutočnili sa s každým subjektom samostatne, doba trvania konzultácie bola minimálne 1 hodinu. So zástupcami </w:t>
            </w:r>
            <w:r w:rsidRPr="0042785F" w:rsidR="00EE3E84">
              <w:rPr>
                <w:rFonts w:ascii="Times New Roman" w:hAnsi="Times New Roman"/>
                <w:sz w:val="22"/>
                <w:szCs w:val="22"/>
              </w:rPr>
              <w:t>profesných združení prevádzkovateľov hazardných hier</w:t>
            </w:r>
            <w:r w:rsidR="00EE3E84">
              <w:rPr>
                <w:rFonts w:ascii="Times New Roman" w:hAnsi="Times New Roman"/>
                <w:sz w:val="22"/>
                <w:szCs w:val="22"/>
              </w:rPr>
              <w:t xml:space="preserve"> sa konzultácie uskutočnili opakovane.</w:t>
            </w:r>
          </w:p>
          <w:p w:rsidR="00EE3E84" w:rsidRPr="00EE3E84" w:rsidP="00EE3E84">
            <w:pPr>
              <w:bidi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2F4376" w:rsidRPr="00EE3E84" w:rsidP="00EE3E84">
            <w:pPr>
              <w:bidi w:val="0"/>
              <w:ind w:left="142" w:hanging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3E84">
              <w:rPr>
                <w:rFonts w:ascii="Times New Roman" w:hAnsi="Times New Roman"/>
                <w:sz w:val="22"/>
                <w:szCs w:val="22"/>
              </w:rPr>
              <w:t xml:space="preserve">Každý subjekt bol informovaný o základných cieľoch právnej úpravy, a to </w:t>
            </w:r>
          </w:p>
          <w:p w:rsidR="002F4376" w:rsidRPr="00EE3E84" w:rsidP="00EE3E84">
            <w:pPr>
              <w:pStyle w:val="NormalWeb"/>
              <w:bidi w:val="0"/>
              <w:spacing w:before="0" w:beforeAutospacing="0" w:after="0" w:afterAutospacing="0"/>
              <w:ind w:left="142" w:hanging="142"/>
              <w:jc w:val="both"/>
              <w:rPr>
                <w:sz w:val="22"/>
                <w:szCs w:val="22"/>
                <w:lang w:val="sk-SK"/>
              </w:rPr>
            </w:pPr>
            <w:r w:rsidRPr="00EE3E84">
              <w:rPr>
                <w:rFonts w:hint="default"/>
                <w:color w:val="000000"/>
                <w:sz w:val="22"/>
                <w:szCs w:val="22"/>
                <w:lang w:val="sk-SK"/>
              </w:rPr>
              <w:t>- prehodnotenie prí</w:t>
            </w:r>
            <w:r w:rsidRPr="00EE3E84">
              <w:rPr>
                <w:rFonts w:hint="default"/>
                <w:color w:val="000000"/>
                <w:sz w:val="22"/>
                <w:szCs w:val="22"/>
                <w:lang w:val="sk-SK"/>
              </w:rPr>
              <w:t>stupu k </w:t>
            </w:r>
            <w:r w:rsidRPr="00EE3E84">
              <w:rPr>
                <w:rFonts w:hint="default"/>
                <w:color w:val="000000"/>
                <w:sz w:val="22"/>
                <w:szCs w:val="22"/>
                <w:lang w:val="sk-SK"/>
              </w:rPr>
              <w:t>regulá</w:t>
            </w:r>
            <w:r w:rsidRPr="00EE3E84">
              <w:rPr>
                <w:rFonts w:hint="default"/>
                <w:color w:val="000000"/>
                <w:sz w:val="22"/>
                <w:szCs w:val="22"/>
                <w:lang w:val="sk-SK"/>
              </w:rPr>
              <w:t>cii hazardný</w:t>
            </w:r>
            <w:r w:rsidRPr="00EE3E84">
              <w:rPr>
                <w:rFonts w:hint="default"/>
                <w:color w:val="000000"/>
                <w:sz w:val="22"/>
                <w:szCs w:val="22"/>
                <w:lang w:val="sk-SK"/>
              </w:rPr>
              <w:t>ch hier zmenou zá</w:t>
            </w:r>
            <w:r w:rsidRPr="00EE3E84">
              <w:rPr>
                <w:rFonts w:hint="default"/>
                <w:color w:val="000000"/>
                <w:sz w:val="22"/>
                <w:szCs w:val="22"/>
                <w:lang w:val="sk-SK"/>
              </w:rPr>
              <w:t>k</w:t>
            </w:r>
            <w:r w:rsidRPr="00EE3E84">
              <w:rPr>
                <w:rFonts w:hint="default"/>
                <w:color w:val="000000"/>
                <w:sz w:val="22"/>
                <w:szCs w:val="22"/>
                <w:lang w:val="sk-SK"/>
              </w:rPr>
              <w:t>ona o </w:t>
            </w:r>
            <w:r w:rsidRPr="00EE3E84">
              <w:rPr>
                <w:rFonts w:hint="default"/>
                <w:color w:val="000000"/>
                <w:sz w:val="22"/>
                <w:szCs w:val="22"/>
                <w:lang w:val="sk-SK"/>
              </w:rPr>
              <w:t>hazardný</w:t>
            </w:r>
            <w:r w:rsidRPr="00EE3E84">
              <w:rPr>
                <w:rFonts w:hint="default"/>
                <w:color w:val="000000"/>
                <w:sz w:val="22"/>
                <w:szCs w:val="22"/>
                <w:lang w:val="sk-SK"/>
              </w:rPr>
              <w:t>ch hrá</w:t>
            </w:r>
            <w:r w:rsidRPr="00EE3E84">
              <w:rPr>
                <w:rFonts w:hint="default"/>
                <w:color w:val="000000"/>
                <w:sz w:val="22"/>
                <w:szCs w:val="22"/>
                <w:lang w:val="sk-SK"/>
              </w:rPr>
              <w:t>ch v </w:t>
            </w:r>
            <w:r w:rsidRPr="00EE3E84">
              <w:rPr>
                <w:rFonts w:hint="default"/>
                <w:color w:val="000000"/>
                <w:sz w:val="22"/>
                <w:szCs w:val="22"/>
                <w:lang w:val="sk-SK"/>
              </w:rPr>
              <w:t>oblasti prevá</w:t>
            </w:r>
            <w:r w:rsidRPr="00EE3E84">
              <w:rPr>
                <w:rFonts w:hint="default"/>
                <w:color w:val="000000"/>
                <w:sz w:val="22"/>
                <w:szCs w:val="22"/>
                <w:lang w:val="sk-SK"/>
              </w:rPr>
              <w:t>dzkovania a </w:t>
            </w:r>
            <w:r w:rsidRPr="00EE3E84">
              <w:rPr>
                <w:rFonts w:hint="default"/>
                <w:color w:val="000000"/>
                <w:sz w:val="22"/>
                <w:szCs w:val="22"/>
                <w:lang w:val="sk-SK"/>
              </w:rPr>
              <w:t>propagovania hazardný</w:t>
            </w:r>
            <w:r w:rsidRPr="00EE3E84">
              <w:rPr>
                <w:rFonts w:hint="default"/>
                <w:color w:val="000000"/>
                <w:sz w:val="22"/>
                <w:szCs w:val="22"/>
                <w:lang w:val="sk-SK"/>
              </w:rPr>
              <w:t>ch hier zahranič</w:t>
            </w:r>
            <w:r w:rsidRPr="00EE3E84">
              <w:rPr>
                <w:rFonts w:hint="default"/>
                <w:color w:val="000000"/>
                <w:sz w:val="22"/>
                <w:szCs w:val="22"/>
                <w:lang w:val="sk-SK"/>
              </w:rPr>
              <w:t>ný</w:t>
            </w:r>
            <w:r w:rsidRPr="00EE3E84">
              <w:rPr>
                <w:rFonts w:hint="default"/>
                <w:color w:val="000000"/>
                <w:sz w:val="22"/>
                <w:szCs w:val="22"/>
                <w:lang w:val="sk-SK"/>
              </w:rPr>
              <w:t>mi subjektmi,</w:t>
            </w:r>
          </w:p>
          <w:p w:rsidR="002F4376" w:rsidRPr="00EE3E84" w:rsidP="00EE3E84">
            <w:pPr>
              <w:pStyle w:val="NormalWeb"/>
              <w:bidi w:val="0"/>
              <w:spacing w:before="0" w:beforeAutospacing="0" w:after="0" w:afterAutospacing="0"/>
              <w:ind w:left="142" w:hanging="142"/>
              <w:jc w:val="both"/>
              <w:rPr>
                <w:sz w:val="22"/>
                <w:szCs w:val="22"/>
                <w:lang w:val="sk-SK"/>
              </w:rPr>
            </w:pPr>
            <w:r w:rsidRPr="00EE3E84">
              <w:rPr>
                <w:color w:val="000000"/>
                <w:sz w:val="22"/>
                <w:szCs w:val="22"/>
                <w:lang w:val="sk-SK"/>
              </w:rPr>
              <w:t>-</w:t>
            </w:r>
            <w:r w:rsidRPr="00EE3E84">
              <w:rPr>
                <w:sz w:val="22"/>
                <w:szCs w:val="22"/>
                <w:lang w:val="sk-SK"/>
              </w:rPr>
              <w:t>  </w:t>
            </w:r>
            <w:r w:rsidRPr="00EE3E84">
              <w:rPr>
                <w:rFonts w:hint="default"/>
                <w:color w:val="000000"/>
                <w:sz w:val="22"/>
                <w:szCs w:val="22"/>
                <w:lang w:val="sk-SK"/>
              </w:rPr>
              <w:t>navrhnutie efektí</w:t>
            </w:r>
            <w:r w:rsidRPr="00EE3E84">
              <w:rPr>
                <w:rFonts w:hint="default"/>
                <w:color w:val="000000"/>
                <w:sz w:val="22"/>
                <w:szCs w:val="22"/>
                <w:lang w:val="sk-SK"/>
              </w:rPr>
              <w:t>vnejší</w:t>
            </w:r>
            <w:r w:rsidRPr="00EE3E84">
              <w:rPr>
                <w:rFonts w:hint="default"/>
                <w:color w:val="000000"/>
                <w:sz w:val="22"/>
                <w:szCs w:val="22"/>
                <w:lang w:val="sk-SK"/>
              </w:rPr>
              <w:t>ch pravidiel a podmienok v </w:t>
            </w:r>
            <w:r w:rsidRPr="00EE3E84">
              <w:rPr>
                <w:rFonts w:hint="default"/>
                <w:color w:val="000000"/>
                <w:sz w:val="22"/>
                <w:szCs w:val="22"/>
                <w:lang w:val="sk-SK"/>
              </w:rPr>
              <w:t>oblasti dozoru nad prevá</w:t>
            </w:r>
            <w:r w:rsidRPr="00EE3E84">
              <w:rPr>
                <w:rFonts w:hint="default"/>
                <w:color w:val="000000"/>
                <w:sz w:val="22"/>
                <w:szCs w:val="22"/>
                <w:lang w:val="sk-SK"/>
              </w:rPr>
              <w:t>dzkovaní</w:t>
            </w:r>
            <w:r w:rsidRPr="00EE3E84">
              <w:rPr>
                <w:rFonts w:hint="default"/>
                <w:color w:val="000000"/>
                <w:sz w:val="22"/>
                <w:szCs w:val="22"/>
                <w:lang w:val="sk-SK"/>
              </w:rPr>
              <w:t>m hazardný</w:t>
            </w:r>
            <w:r w:rsidRPr="00EE3E84">
              <w:rPr>
                <w:rFonts w:hint="default"/>
                <w:color w:val="000000"/>
                <w:sz w:val="22"/>
                <w:szCs w:val="22"/>
                <w:lang w:val="sk-SK"/>
              </w:rPr>
              <w:t>ch hier s </w:t>
            </w:r>
            <w:r w:rsidRPr="00EE3E84">
              <w:rPr>
                <w:rFonts w:hint="default"/>
                <w:color w:val="000000"/>
                <w:sz w:val="22"/>
                <w:szCs w:val="22"/>
                <w:lang w:val="sk-SK"/>
              </w:rPr>
              <w:t>dô</w:t>
            </w:r>
            <w:r w:rsidRPr="00EE3E84">
              <w:rPr>
                <w:rFonts w:hint="default"/>
                <w:color w:val="000000"/>
                <w:sz w:val="22"/>
                <w:szCs w:val="22"/>
                <w:lang w:val="sk-SK"/>
              </w:rPr>
              <w:t>razom na vý</w:t>
            </w:r>
            <w:r w:rsidRPr="00EE3E84">
              <w:rPr>
                <w:rFonts w:hint="default"/>
                <w:color w:val="000000"/>
                <w:sz w:val="22"/>
                <w:szCs w:val="22"/>
                <w:lang w:val="sk-SK"/>
              </w:rPr>
              <w:t>herné</w:t>
            </w:r>
            <w:r w:rsidRPr="00EE3E84">
              <w:rPr>
                <w:rFonts w:hint="default"/>
                <w:color w:val="000000"/>
                <w:sz w:val="22"/>
                <w:szCs w:val="22"/>
                <w:lang w:val="sk-SK"/>
              </w:rPr>
              <w:t xml:space="preserve"> prí</w:t>
            </w:r>
            <w:r w:rsidRPr="00EE3E84">
              <w:rPr>
                <w:rFonts w:hint="default"/>
                <w:color w:val="000000"/>
                <w:sz w:val="22"/>
                <w:szCs w:val="22"/>
                <w:lang w:val="sk-SK"/>
              </w:rPr>
              <w:t>stroje,</w:t>
            </w:r>
          </w:p>
          <w:p w:rsidR="002F4376" w:rsidRPr="00EE3E84" w:rsidP="00EE3E84">
            <w:pPr>
              <w:pStyle w:val="NormalWeb"/>
              <w:bidi w:val="0"/>
              <w:spacing w:before="0" w:beforeAutospacing="0" w:after="0" w:afterAutospacing="0"/>
              <w:ind w:left="142" w:hanging="142"/>
              <w:jc w:val="both"/>
              <w:rPr>
                <w:rFonts w:hint="default"/>
                <w:color w:val="000000"/>
                <w:sz w:val="22"/>
                <w:szCs w:val="22"/>
                <w:lang w:val="sk-SK"/>
              </w:rPr>
            </w:pPr>
            <w:r w:rsidRPr="00EE3E84">
              <w:rPr>
                <w:color w:val="000000"/>
                <w:sz w:val="22"/>
                <w:szCs w:val="22"/>
                <w:lang w:val="sk-SK"/>
              </w:rPr>
              <w:t>-</w:t>
            </w:r>
            <w:r w:rsidRPr="00EE3E84">
              <w:rPr>
                <w:sz w:val="22"/>
                <w:szCs w:val="22"/>
                <w:lang w:val="sk-SK"/>
              </w:rPr>
              <w:t>  </w:t>
            </w:r>
            <w:r w:rsidRPr="00EE3E84">
              <w:rPr>
                <w:rFonts w:hint="default"/>
                <w:color w:val="000000"/>
                <w:sz w:val="22"/>
                <w:szCs w:val="22"/>
                <w:lang w:val="sk-SK"/>
              </w:rPr>
              <w:t>zvýš</w:t>
            </w:r>
            <w:r w:rsidRPr="00EE3E84">
              <w:rPr>
                <w:rFonts w:hint="default"/>
                <w:color w:val="000000"/>
                <w:sz w:val="22"/>
                <w:szCs w:val="22"/>
                <w:lang w:val="sk-SK"/>
              </w:rPr>
              <w:t>enie ú</w:t>
            </w:r>
            <w:r w:rsidRPr="00EE3E84">
              <w:rPr>
                <w:rFonts w:hint="default"/>
                <w:color w:val="000000"/>
                <w:sz w:val="22"/>
                <w:szCs w:val="22"/>
                <w:lang w:val="sk-SK"/>
              </w:rPr>
              <w:t>rovne ochrany spotrebiteľ</w:t>
            </w:r>
            <w:r w:rsidRPr="00EE3E84">
              <w:rPr>
                <w:rFonts w:hint="default"/>
                <w:color w:val="000000"/>
                <w:sz w:val="22"/>
                <w:szCs w:val="22"/>
                <w:lang w:val="sk-SK"/>
              </w:rPr>
              <w:t>ov, hráč</w:t>
            </w:r>
            <w:r w:rsidRPr="00EE3E84">
              <w:rPr>
                <w:rFonts w:hint="default"/>
                <w:color w:val="000000"/>
                <w:sz w:val="22"/>
                <w:szCs w:val="22"/>
                <w:lang w:val="sk-SK"/>
              </w:rPr>
              <w:t>ov a </w:t>
            </w:r>
            <w:r w:rsidRPr="00EE3E84">
              <w:rPr>
                <w:rFonts w:hint="default"/>
                <w:color w:val="000000"/>
                <w:sz w:val="22"/>
                <w:szCs w:val="22"/>
                <w:lang w:val="sk-SK"/>
              </w:rPr>
              <w:t>maloletý</w:t>
            </w:r>
            <w:r w:rsidRPr="00EE3E84">
              <w:rPr>
                <w:rFonts w:hint="default"/>
                <w:color w:val="000000"/>
                <w:sz w:val="22"/>
                <w:szCs w:val="22"/>
                <w:lang w:val="sk-SK"/>
              </w:rPr>
              <w:t>ch v </w:t>
            </w:r>
            <w:r w:rsidRPr="00EE3E84">
              <w:rPr>
                <w:rFonts w:hint="default"/>
                <w:color w:val="000000"/>
                <w:sz w:val="22"/>
                <w:szCs w:val="22"/>
                <w:lang w:val="sk-SK"/>
              </w:rPr>
              <w:t>oblasti online hazardný</w:t>
            </w:r>
            <w:r w:rsidRPr="00EE3E84">
              <w:rPr>
                <w:rFonts w:hint="default"/>
                <w:color w:val="000000"/>
                <w:sz w:val="22"/>
                <w:szCs w:val="22"/>
                <w:lang w:val="sk-SK"/>
              </w:rPr>
              <w:t>ch hier v nadvä</w:t>
            </w:r>
            <w:r w:rsidRPr="00EE3E84">
              <w:rPr>
                <w:rFonts w:hint="default"/>
                <w:color w:val="000000"/>
                <w:sz w:val="22"/>
                <w:szCs w:val="22"/>
                <w:lang w:val="sk-SK"/>
              </w:rPr>
              <w:t>znosti na Odporúč</w:t>
            </w:r>
            <w:r w:rsidRPr="00EE3E84">
              <w:rPr>
                <w:rFonts w:hint="default"/>
                <w:color w:val="000000"/>
                <w:sz w:val="22"/>
                <w:szCs w:val="22"/>
                <w:lang w:val="sk-SK"/>
              </w:rPr>
              <w:t>anie EK vo sfé</w:t>
            </w:r>
            <w:r w:rsidRPr="00EE3E84">
              <w:rPr>
                <w:rFonts w:hint="default"/>
                <w:color w:val="000000"/>
                <w:sz w:val="22"/>
                <w:szCs w:val="22"/>
                <w:lang w:val="sk-SK"/>
              </w:rPr>
              <w:t>re poskytovania služ</w:t>
            </w:r>
            <w:r w:rsidRPr="00EE3E84">
              <w:rPr>
                <w:rFonts w:hint="default"/>
                <w:color w:val="000000"/>
                <w:sz w:val="22"/>
                <w:szCs w:val="22"/>
                <w:lang w:val="sk-SK"/>
              </w:rPr>
              <w:t>ieb online hazardný</w:t>
            </w:r>
            <w:r w:rsidRPr="00EE3E84">
              <w:rPr>
                <w:rFonts w:hint="default"/>
                <w:color w:val="000000"/>
                <w:sz w:val="22"/>
                <w:szCs w:val="22"/>
                <w:lang w:val="sk-SK"/>
              </w:rPr>
              <w:t>ch hier,</w:t>
            </w:r>
          </w:p>
          <w:p w:rsidR="002F4376" w:rsidRPr="00EE3E84" w:rsidP="00EE3E84">
            <w:pPr>
              <w:pStyle w:val="NormalWeb"/>
              <w:bidi w:val="0"/>
              <w:spacing w:before="0" w:beforeAutospacing="0" w:after="0" w:afterAutospacing="0"/>
              <w:ind w:left="284" w:hanging="284"/>
              <w:jc w:val="both"/>
              <w:rPr>
                <w:sz w:val="22"/>
                <w:szCs w:val="22"/>
                <w:lang w:val="sk-SK"/>
              </w:rPr>
            </w:pPr>
            <w:r w:rsidRPr="00EE3E84">
              <w:rPr>
                <w:rFonts w:hint="default"/>
                <w:color w:val="000000"/>
                <w:sz w:val="22"/>
                <w:szCs w:val="22"/>
                <w:lang w:val="sk-SK"/>
              </w:rPr>
              <w:t>- ú</w:t>
            </w:r>
            <w:r w:rsidRPr="00EE3E84">
              <w:rPr>
                <w:rFonts w:hint="default"/>
                <w:color w:val="000000"/>
                <w:sz w:val="22"/>
                <w:szCs w:val="22"/>
                <w:lang w:val="sk-SK"/>
              </w:rPr>
              <w:t>prava sadzieb vybraný</w:t>
            </w:r>
            <w:r w:rsidRPr="00EE3E84">
              <w:rPr>
                <w:rFonts w:hint="default"/>
                <w:color w:val="000000"/>
                <w:sz w:val="22"/>
                <w:szCs w:val="22"/>
                <w:lang w:val="sk-SK"/>
              </w:rPr>
              <w:t>ch odvodov.</w:t>
            </w:r>
          </w:p>
          <w:p w:rsidR="00EE3E84" w:rsidP="00EE3E84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EE3E84" w:rsidP="00EE3E84">
            <w:pPr>
              <w:bidi w:val="0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Relevantné návrhy vznesené v rámci </w:t>
            </w:r>
            <w:r w:rsidRPr="0042785F">
              <w:rPr>
                <w:rFonts w:ascii="Times New Roman" w:hAnsi="Times New Roman"/>
                <w:sz w:val="22"/>
                <w:szCs w:val="22"/>
              </w:rPr>
              <w:t xml:space="preserve">konzultácií boli premietnuté priamo do </w:t>
            </w:r>
            <w:r w:rsidR="005C7DB2">
              <w:rPr>
                <w:rFonts w:ascii="Times New Roman" w:hAnsi="Times New Roman"/>
                <w:sz w:val="22"/>
                <w:szCs w:val="22"/>
              </w:rPr>
              <w:t xml:space="preserve">predloženého </w:t>
            </w:r>
            <w:r w:rsidRPr="0042785F">
              <w:rPr>
                <w:rFonts w:ascii="Times New Roman" w:hAnsi="Times New Roman"/>
                <w:sz w:val="22"/>
                <w:szCs w:val="22"/>
              </w:rPr>
              <w:t>návrhu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novely zákona o hazardných hrách</w:t>
            </w:r>
            <w:r>
              <w:rPr>
                <w:rFonts w:ascii="Times New Roman" w:hAnsi="Times New Roman"/>
                <w:i/>
              </w:rPr>
              <w:t xml:space="preserve">. </w:t>
            </w:r>
          </w:p>
          <w:p w:rsidR="002F4376" w:rsidRPr="00BD05D1" w:rsidP="002F4376">
            <w:pPr>
              <w:bidi w:val="0"/>
              <w:ind w:left="284" w:hanging="284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3645AC" w:rsidRPr="00F04CCD" w:rsidP="00C60956">
            <w:pPr>
              <w:bidi w:val="0"/>
              <w:jc w:val="both"/>
              <w:rPr>
                <w:rFonts w:ascii="Times New Roman" w:hAnsi="Times New Roman"/>
                <w:i/>
              </w:rPr>
            </w:pPr>
            <w:r w:rsidRPr="00EE3E84" w:rsidR="002F4376">
              <w:rPr>
                <w:rFonts w:ascii="Times New Roman" w:hAnsi="Times New Roman"/>
                <w:sz w:val="22"/>
                <w:szCs w:val="22"/>
              </w:rPr>
              <w:t>Každý subjekt bol informovaný, že paragrafové znenie zákona o hazardných hier bude k dispozíci</w:t>
            </w:r>
            <w:r w:rsidR="003B6AD9">
              <w:rPr>
                <w:rFonts w:ascii="Times New Roman" w:hAnsi="Times New Roman"/>
                <w:sz w:val="22"/>
                <w:szCs w:val="22"/>
              </w:rPr>
              <w:t>i</w:t>
            </w:r>
            <w:r w:rsidRPr="00EE3E84" w:rsidR="002F4376">
              <w:rPr>
                <w:rFonts w:ascii="Times New Roman" w:hAnsi="Times New Roman"/>
                <w:sz w:val="22"/>
                <w:szCs w:val="22"/>
              </w:rPr>
              <w:t xml:space="preserve"> v medzirezortnom pripomienkovom konaní a v prípade otázok je možné si dohodnúť stretnutie na ďalšiu diskusiu</w:t>
            </w:r>
            <w:r w:rsidRPr="00BA037A" w:rsidR="002F4376">
              <w:rPr>
                <w:rFonts w:ascii="Arial Narrow" w:hAnsi="Arial Narrow"/>
                <w:sz w:val="22"/>
                <w:szCs w:val="22"/>
              </w:rPr>
              <w:t>.</w:t>
            </w:r>
            <w:r w:rsidR="002F4376">
              <w:rPr>
                <w:rFonts w:ascii="Arial Narrow" w:hAnsi="Arial Narrow"/>
                <w:sz w:val="22"/>
                <w:szCs w:val="22"/>
              </w:rPr>
              <w:tab/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9200D7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>.3 Náklady regulácie</w:t>
            </w:r>
          </w:p>
          <w:p w:rsidR="009F2DFA" w:rsidRPr="00F04CCD" w:rsidP="009200D7">
            <w:pPr>
              <w:bidi w:val="0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sz w:val="24"/>
              </w:rPr>
              <w:t xml:space="preserve">      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9200D7">
            <w:pPr>
              <w:bidi w:val="0"/>
              <w:rPr>
                <w:rFonts w:ascii="Times New Roman" w:hAnsi="Times New Roman"/>
                <w:b/>
                <w:i/>
              </w:rPr>
            </w:pPr>
            <w:r w:rsidR="002B1108">
              <w:rPr>
                <w:rFonts w:ascii="Times New Roman" w:hAnsi="Times New Roman"/>
                <w:b/>
                <w:i/>
              </w:rPr>
              <w:t>3</w:t>
            </w:r>
            <w:r w:rsidRPr="00F04CCD">
              <w:rPr>
                <w:rFonts w:ascii="Times New Roman" w:hAnsi="Times New Roman"/>
                <w:b/>
                <w:i/>
              </w:rPr>
              <w:t>.3.1 Priame finančné náklady</w:t>
            </w:r>
          </w:p>
          <w:p w:rsidR="0042785F" w:rsidRPr="00F04CCD" w:rsidP="0042785F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059D6" w:rsidP="009200D7">
            <w:pPr>
              <w:bidi w:val="0"/>
              <w:rPr>
                <w:rFonts w:ascii="Times New Roman" w:hAnsi="Times New Roman"/>
                <w:i/>
              </w:rPr>
            </w:pPr>
          </w:p>
          <w:p w:rsidR="00D578D2" w:rsidRPr="009F6125" w:rsidP="00D578D2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9F6125">
              <w:rPr>
                <w:rFonts w:ascii="Times New Roman" w:hAnsi="Times New Roman"/>
                <w:sz w:val="22"/>
                <w:szCs w:val="22"/>
              </w:rPr>
              <w:t xml:space="preserve">Dochádza k zvýšeniu/zníženiu priamych finančných nákladov (poplatky, odvody, dane clá...)? Ak áno, popíšte a vyčíslite ich. Uveďte tiež spôsob ich výpočtu. </w:t>
            </w:r>
          </w:p>
          <w:p w:rsidR="00D578D2" w:rsidP="00D578D2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  <w:p w:rsidR="00D578D2" w:rsidRPr="009F6125" w:rsidP="003B6AD9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="003B6AD9">
              <w:rPr>
                <w:rFonts w:ascii="Times New Roman" w:hAnsi="Times New Roman"/>
                <w:sz w:val="22"/>
                <w:szCs w:val="22"/>
              </w:rPr>
              <w:t>N</w:t>
            </w:r>
            <w:r w:rsidRPr="009F6125">
              <w:rPr>
                <w:rFonts w:ascii="Times New Roman" w:hAnsi="Times New Roman"/>
                <w:sz w:val="22"/>
                <w:szCs w:val="22"/>
              </w:rPr>
              <w:t xml:space="preserve">avrhuje </w:t>
            </w:r>
            <w:r w:rsidR="003B6AD9">
              <w:rPr>
                <w:rFonts w:ascii="Times New Roman" w:hAnsi="Times New Roman"/>
                <w:sz w:val="22"/>
                <w:szCs w:val="22"/>
              </w:rPr>
              <w:t xml:space="preserve">sa </w:t>
            </w:r>
            <w:r w:rsidRPr="009F6125">
              <w:rPr>
                <w:rFonts w:ascii="Times New Roman" w:hAnsi="Times New Roman"/>
                <w:sz w:val="22"/>
                <w:szCs w:val="22"/>
              </w:rPr>
              <w:t xml:space="preserve">úprava </w:t>
            </w: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 w:rsidRPr="009F6125">
              <w:rPr>
                <w:rFonts w:ascii="Times New Roman" w:hAnsi="Times New Roman"/>
                <w:sz w:val="22"/>
                <w:szCs w:val="22"/>
              </w:rPr>
              <w:t>dvodov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9F6125">
              <w:rPr>
                <w:rFonts w:ascii="Times New Roman" w:hAnsi="Times New Roman"/>
                <w:sz w:val="22"/>
                <w:szCs w:val="22"/>
              </w:rPr>
              <w:t xml:space="preserve"> ktoré </w:t>
            </w:r>
            <w:r>
              <w:rPr>
                <w:rFonts w:ascii="Times New Roman" w:hAnsi="Times New Roman"/>
                <w:sz w:val="22"/>
                <w:szCs w:val="22"/>
              </w:rPr>
              <w:t>sú povinní</w:t>
            </w:r>
            <w:r w:rsidRPr="009F6125">
              <w:rPr>
                <w:rFonts w:ascii="Times New Roman" w:hAnsi="Times New Roman"/>
                <w:sz w:val="22"/>
                <w:szCs w:val="22"/>
              </w:rPr>
              <w:t xml:space="preserve"> platiť prevádzkovatelia hazardný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ch </w:t>
            </w:r>
            <w:r w:rsidRPr="009F6125">
              <w:rPr>
                <w:rFonts w:ascii="Times New Roman" w:hAnsi="Times New Roman"/>
                <w:sz w:val="22"/>
                <w:szCs w:val="22"/>
              </w:rPr>
              <w:t>hie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r. Jedná sa o zvýšenie sadzieb pri vybraných druhoch hazardných hier, medziročné zvýšenie </w:t>
            </w:r>
            <w:r w:rsidR="001764D7">
              <w:rPr>
                <w:rFonts w:ascii="Times New Roman" w:hAnsi="Times New Roman"/>
                <w:sz w:val="22"/>
                <w:szCs w:val="22"/>
              </w:rPr>
              <w:t xml:space="preserve">odvodov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sa predpokladá o cca  </w:t>
            </w:r>
            <w:r w:rsidR="00B6664D">
              <w:rPr>
                <w:rFonts w:ascii="Times New Roman" w:hAnsi="Times New Roman"/>
                <w:sz w:val="22"/>
                <w:szCs w:val="22"/>
              </w:rPr>
              <w:t>17,8</w:t>
            </w:r>
            <w:r w:rsidRPr="00D169E3">
              <w:rPr>
                <w:rFonts w:ascii="Times New Roman" w:hAnsi="Times New Roman"/>
                <w:sz w:val="22"/>
                <w:szCs w:val="22"/>
              </w:rPr>
              <w:t xml:space="preserve"> mil. €.</w:t>
            </w:r>
          </w:p>
          <w:p w:rsidR="006C5978" w:rsidRPr="00F04CCD" w:rsidP="009200D7">
            <w:pPr>
              <w:bidi w:val="0"/>
              <w:rPr>
                <w:rFonts w:ascii="Times New Roman" w:hAnsi="Times New Roman"/>
                <w:b/>
                <w:i/>
              </w:rPr>
            </w:pPr>
          </w:p>
          <w:p w:rsidR="009F2DFA" w:rsidRPr="00F04CCD" w:rsidP="009200D7">
            <w:pPr>
              <w:bidi w:val="0"/>
              <w:rPr>
                <w:rFonts w:ascii="Times New Roman" w:hAnsi="Times New Roman"/>
                <w:b/>
                <w:i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9200D7">
            <w:pPr>
              <w:bidi w:val="0"/>
              <w:rPr>
                <w:rFonts w:ascii="Times New Roman" w:hAnsi="Times New Roman"/>
                <w:b/>
                <w:i/>
              </w:rPr>
            </w:pPr>
            <w:r w:rsidR="002B1108">
              <w:rPr>
                <w:rFonts w:ascii="Times New Roman" w:hAnsi="Times New Roman"/>
                <w:b/>
                <w:i/>
              </w:rPr>
              <w:t>3</w:t>
            </w:r>
            <w:r w:rsidRPr="00F04CCD">
              <w:rPr>
                <w:rFonts w:ascii="Times New Roman" w:hAnsi="Times New Roman"/>
                <w:b/>
                <w:i/>
              </w:rPr>
              <w:t>.3.2 Nepriame finančné náklady</w:t>
            </w:r>
          </w:p>
          <w:p w:rsidR="009F2DFA" w:rsidRPr="00F04CCD" w:rsidP="00B31A8E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Vyžaduje si predkladaný návrh dodatočné náklady na nákup tovarov alebo služieb? </w:t>
            </w:r>
            <w:r w:rsidR="00B31A8E">
              <w:rPr>
                <w:rFonts w:ascii="Times New Roman" w:hAnsi="Times New Roman"/>
                <w:i/>
              </w:rPr>
              <w:t xml:space="preserve">Zvyšuje predkladaný návrh náklady súvisiace so zamestnávaním? </w:t>
            </w:r>
            <w:r w:rsidRPr="00F04CCD">
              <w:rPr>
                <w:rFonts w:ascii="Times New Roman" w:hAnsi="Times New Roman"/>
                <w:i/>
              </w:rPr>
              <w:t>Ak áno, popíšte a vyčíslite ich. Uveďte tiež spôsob ich výpočtu.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9200D7">
            <w:pPr>
              <w:bidi w:val="0"/>
              <w:rPr>
                <w:rFonts w:ascii="Times New Roman" w:hAnsi="Times New Roman"/>
                <w:b/>
                <w:i/>
              </w:rPr>
            </w:pPr>
          </w:p>
          <w:p w:rsidR="001E7390" w:rsidRPr="000B4791" w:rsidP="003B6AD9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B4791" w:rsidR="00F7588C">
              <w:rPr>
                <w:rFonts w:ascii="Times New Roman" w:hAnsi="Times New Roman"/>
                <w:sz w:val="22"/>
                <w:szCs w:val="22"/>
              </w:rPr>
              <w:t xml:space="preserve">Úpravy navrhované v predkladanom materiáli </w:t>
            </w:r>
            <w:r w:rsidRPr="000B4791" w:rsidR="00D169E3">
              <w:rPr>
                <w:rFonts w:ascii="Times New Roman" w:hAnsi="Times New Roman"/>
                <w:sz w:val="22"/>
                <w:szCs w:val="22"/>
              </w:rPr>
              <w:t xml:space="preserve">sa </w:t>
            </w:r>
            <w:r w:rsidRPr="000B4791" w:rsidR="00F7588C">
              <w:rPr>
                <w:rFonts w:ascii="Times New Roman" w:hAnsi="Times New Roman"/>
                <w:sz w:val="22"/>
                <w:szCs w:val="22"/>
              </w:rPr>
              <w:t xml:space="preserve">budú týkať prevádzkovateľov hazardných hier, poskytovateľov sietí a služieb, ktorí poskytujú internetové pripojenia </w:t>
            </w:r>
            <w:r w:rsidRPr="000B4791" w:rsidR="007951B7">
              <w:rPr>
                <w:rFonts w:ascii="Times New Roman" w:hAnsi="Times New Roman"/>
                <w:sz w:val="22"/>
                <w:szCs w:val="22"/>
              </w:rPr>
              <w:t>(ISP)</w:t>
            </w:r>
            <w:r w:rsidRPr="000B4791" w:rsidR="00F7588C">
              <w:rPr>
                <w:rFonts w:ascii="Times New Roman" w:hAnsi="Times New Roman"/>
                <w:sz w:val="22"/>
                <w:szCs w:val="22"/>
              </w:rPr>
              <w:t xml:space="preserve"> a bánk, ktoré vedú účty FO</w:t>
            </w:r>
            <w:r w:rsidRPr="000B4791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F7588C" w:rsidRPr="000B4791" w:rsidP="00C059D6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  <w:r w:rsidRPr="000B47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4221D2" w:rsidRPr="000B4791" w:rsidP="00064D88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B4791" w:rsidR="00F7588C">
              <w:rPr>
                <w:rFonts w:ascii="Times New Roman" w:hAnsi="Times New Roman"/>
                <w:sz w:val="22"/>
                <w:szCs w:val="22"/>
              </w:rPr>
              <w:t xml:space="preserve">V rámci posilnenia </w:t>
            </w:r>
            <w:r w:rsidRPr="000B4791">
              <w:rPr>
                <w:rFonts w:ascii="Times New Roman" w:hAnsi="Times New Roman"/>
                <w:sz w:val="22"/>
                <w:szCs w:val="22"/>
              </w:rPr>
              <w:t xml:space="preserve">opatrení zameraných na ochranu spotrebiteľa sa navrhuje zavedenie registra osôb vylúčených z možnosti účasti na hazardných hrách. </w:t>
            </w:r>
            <w:r w:rsidRPr="000B4791" w:rsidR="00DA078D">
              <w:rPr>
                <w:rFonts w:ascii="Times New Roman" w:hAnsi="Times New Roman"/>
                <w:sz w:val="22"/>
                <w:szCs w:val="22"/>
              </w:rPr>
              <w:t>Hazardných hier sa tak nebude môcť zúčastniť  osoba, ktorá je zaevidovaná v registri fyzických osôb a osob</w:t>
            </w:r>
            <w:r w:rsidR="003B6AD9">
              <w:rPr>
                <w:rFonts w:ascii="Times New Roman" w:hAnsi="Times New Roman"/>
                <w:sz w:val="22"/>
                <w:szCs w:val="22"/>
              </w:rPr>
              <w:t>y</w:t>
            </w:r>
            <w:r w:rsidRPr="000B4791" w:rsidR="00DA078D">
              <w:rPr>
                <w:rFonts w:ascii="Times New Roman" w:hAnsi="Times New Roman"/>
                <w:sz w:val="22"/>
                <w:szCs w:val="22"/>
              </w:rPr>
              <w:t xml:space="preserve"> mladši</w:t>
            </w:r>
            <w:r w:rsidR="003B6AD9">
              <w:rPr>
                <w:rFonts w:ascii="Times New Roman" w:hAnsi="Times New Roman"/>
                <w:sz w:val="22"/>
                <w:szCs w:val="22"/>
              </w:rPr>
              <w:t>e</w:t>
            </w:r>
            <w:r w:rsidRPr="000B4791" w:rsidR="00DA078D">
              <w:rPr>
                <w:rFonts w:ascii="Times New Roman" w:hAnsi="Times New Roman"/>
                <w:sz w:val="22"/>
                <w:szCs w:val="22"/>
              </w:rPr>
              <w:t xml:space="preserve"> ako 18 rokov veku. Prevádzkovateľ hazardných hier bude povinný zabezpečiť, aby sa takéto osoby nemohli zúčastniť hazardných hier</w:t>
            </w:r>
            <w:r w:rsidRPr="000B4791" w:rsidR="00D578D2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0B4791" w:rsidR="00382284">
              <w:rPr>
                <w:rFonts w:ascii="Times New Roman" w:hAnsi="Times New Roman"/>
                <w:sz w:val="22"/>
                <w:szCs w:val="22"/>
              </w:rPr>
              <w:t>Overovanie sa bude</w:t>
            </w:r>
            <w:r w:rsidRPr="000B4791" w:rsidR="0066540D">
              <w:rPr>
                <w:rFonts w:ascii="Times New Roman" w:hAnsi="Times New Roman"/>
                <w:sz w:val="22"/>
                <w:szCs w:val="22"/>
              </w:rPr>
              <w:t xml:space="preserve"> uskutočňova</w:t>
            </w:r>
            <w:r w:rsidRPr="000B4791" w:rsidR="00382284">
              <w:rPr>
                <w:rFonts w:ascii="Times New Roman" w:hAnsi="Times New Roman"/>
                <w:sz w:val="22"/>
                <w:szCs w:val="22"/>
              </w:rPr>
              <w:t>ť</w:t>
            </w:r>
            <w:r w:rsidRPr="000B4791" w:rsidR="0066540D">
              <w:rPr>
                <w:rFonts w:ascii="Times New Roman" w:hAnsi="Times New Roman"/>
                <w:sz w:val="22"/>
                <w:szCs w:val="22"/>
              </w:rPr>
              <w:t xml:space="preserve"> s využitím  dodatočného technického zariadenia prepojeného na register </w:t>
            </w:r>
            <w:r w:rsidRPr="000B4791" w:rsidR="0012710D">
              <w:rPr>
                <w:rFonts w:ascii="Times New Roman" w:hAnsi="Times New Roman"/>
                <w:sz w:val="22"/>
                <w:szCs w:val="22"/>
              </w:rPr>
              <w:t>vylúčených osôb</w:t>
            </w:r>
            <w:r w:rsidRPr="000B4791" w:rsidR="0066540D">
              <w:rPr>
                <w:rFonts w:ascii="Times New Roman" w:hAnsi="Times New Roman"/>
                <w:sz w:val="22"/>
                <w:szCs w:val="22"/>
              </w:rPr>
              <w:t xml:space="preserve"> (SW</w:t>
            </w:r>
            <w:r w:rsidRPr="000B4791" w:rsidR="005D18EF">
              <w:rPr>
                <w:rFonts w:ascii="Times New Roman" w:hAnsi="Times New Roman"/>
                <w:sz w:val="22"/>
                <w:szCs w:val="22"/>
              </w:rPr>
              <w:t xml:space="preserve"> a HW vybavenie, prípadne čítačka preukazov totožnosti</w:t>
            </w:r>
            <w:r w:rsidRPr="000B4791" w:rsidR="0066540D">
              <w:rPr>
                <w:rFonts w:ascii="Times New Roman" w:hAnsi="Times New Roman"/>
                <w:sz w:val="22"/>
                <w:szCs w:val="22"/>
              </w:rPr>
              <w:t xml:space="preserve">), v on-line prostredí by po identifikácii </w:t>
            </w:r>
            <w:r w:rsidRPr="000B4791" w:rsidR="00D578D2">
              <w:rPr>
                <w:rFonts w:ascii="Times New Roman" w:hAnsi="Times New Roman"/>
                <w:sz w:val="22"/>
                <w:szCs w:val="22"/>
              </w:rPr>
              <w:t>vylúčenej osob</w:t>
            </w:r>
            <w:r w:rsidRPr="000B4791" w:rsidR="005D18EF">
              <w:rPr>
                <w:rFonts w:ascii="Times New Roman" w:hAnsi="Times New Roman"/>
                <w:sz w:val="22"/>
                <w:szCs w:val="22"/>
              </w:rPr>
              <w:t>y</w:t>
            </w:r>
            <w:r w:rsidRPr="000B4791" w:rsidR="00D578D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B4791" w:rsidR="0066540D">
              <w:rPr>
                <w:rFonts w:ascii="Times New Roman" w:hAnsi="Times New Roman"/>
                <w:sz w:val="22"/>
                <w:szCs w:val="22"/>
              </w:rPr>
              <w:t xml:space="preserve">nebola umožnená registrácia na príslušnej aplikácii. </w:t>
            </w:r>
            <w:r w:rsidRPr="000B4791" w:rsidR="00516D3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B4791" w:rsidR="0066540D">
              <w:rPr>
                <w:rFonts w:ascii="Times New Roman" w:hAnsi="Times New Roman"/>
                <w:sz w:val="22"/>
                <w:szCs w:val="22"/>
              </w:rPr>
              <w:t xml:space="preserve">Náklady </w:t>
            </w:r>
            <w:r w:rsidRPr="000B4791" w:rsidR="00D578D2">
              <w:rPr>
                <w:rFonts w:ascii="Times New Roman" w:hAnsi="Times New Roman"/>
                <w:sz w:val="22"/>
                <w:szCs w:val="22"/>
              </w:rPr>
              <w:t xml:space="preserve">pre prevádzkovateľov hazardných hier </w:t>
            </w:r>
            <w:r w:rsidRPr="000B4791" w:rsidR="0066540D">
              <w:rPr>
                <w:rFonts w:ascii="Times New Roman" w:hAnsi="Times New Roman"/>
                <w:sz w:val="22"/>
                <w:szCs w:val="22"/>
              </w:rPr>
              <w:t xml:space="preserve">predstavujú cca </w:t>
            </w:r>
            <w:r w:rsidRPr="000B4791" w:rsidR="00064D88">
              <w:rPr>
                <w:rFonts w:ascii="Times New Roman" w:hAnsi="Times New Roman"/>
                <w:sz w:val="22"/>
                <w:szCs w:val="22"/>
              </w:rPr>
              <w:t>1 mil.</w:t>
            </w:r>
            <w:r w:rsidRPr="000B4791" w:rsidR="005D18EF">
              <w:rPr>
                <w:rFonts w:ascii="Times New Roman" w:hAnsi="Times New Roman"/>
                <w:sz w:val="22"/>
                <w:szCs w:val="22"/>
              </w:rPr>
              <w:t xml:space="preserve"> €</w:t>
            </w:r>
            <w:r w:rsidRPr="000B4791" w:rsidR="0066540D">
              <w:rPr>
                <w:rFonts w:ascii="Times New Roman" w:hAnsi="Times New Roman"/>
                <w:sz w:val="22"/>
                <w:szCs w:val="22"/>
              </w:rPr>
              <w:t xml:space="preserve"> v</w:t>
            </w:r>
            <w:r w:rsidRPr="000B4791" w:rsidR="00D578D2">
              <w:rPr>
                <w:rFonts w:ascii="Times New Roman" w:hAnsi="Times New Roman"/>
                <w:sz w:val="22"/>
                <w:szCs w:val="22"/>
              </w:rPr>
              <w:t> of</w:t>
            </w:r>
            <w:r w:rsidRPr="000B4791" w:rsidR="0066540D">
              <w:rPr>
                <w:rFonts w:ascii="Times New Roman" w:hAnsi="Times New Roman"/>
                <w:sz w:val="22"/>
                <w:szCs w:val="22"/>
              </w:rPr>
              <w:t>f</w:t>
            </w:r>
            <w:r w:rsidRPr="000B4791" w:rsidR="00D578D2">
              <w:rPr>
                <w:rFonts w:ascii="Times New Roman" w:hAnsi="Times New Roman"/>
                <w:sz w:val="22"/>
                <w:szCs w:val="22"/>
              </w:rPr>
              <w:t>-</w:t>
            </w:r>
            <w:r w:rsidRPr="000B4791" w:rsidR="0066540D">
              <w:rPr>
                <w:rFonts w:ascii="Times New Roman" w:hAnsi="Times New Roman"/>
                <w:sz w:val="22"/>
                <w:szCs w:val="22"/>
              </w:rPr>
              <w:t xml:space="preserve">line prostredí </w:t>
            </w:r>
            <w:r w:rsidRPr="000B4791" w:rsidR="005D18EF">
              <w:rPr>
                <w:rFonts w:ascii="Times New Roman" w:hAnsi="Times New Roman"/>
                <w:sz w:val="22"/>
                <w:szCs w:val="22"/>
              </w:rPr>
              <w:t xml:space="preserve">pre všetkých prevádzkovateľov hazardných hier </w:t>
            </w:r>
            <w:r w:rsidR="00C60956"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 w:rsidRPr="000B4791" w:rsidR="005D18EF">
              <w:rPr>
                <w:rFonts w:ascii="Times New Roman" w:hAnsi="Times New Roman"/>
                <w:sz w:val="22"/>
                <w:szCs w:val="22"/>
              </w:rPr>
              <w:t xml:space="preserve">spolu </w:t>
            </w:r>
            <w:r w:rsidRPr="000B4791" w:rsidR="007951B7">
              <w:rPr>
                <w:rFonts w:ascii="Times New Roman" w:hAnsi="Times New Roman"/>
                <w:sz w:val="22"/>
                <w:szCs w:val="22"/>
              </w:rPr>
              <w:t xml:space="preserve">cca </w:t>
            </w:r>
            <w:r w:rsidR="002649DB">
              <w:rPr>
                <w:rFonts w:ascii="Times New Roman" w:hAnsi="Times New Roman"/>
                <w:sz w:val="22"/>
                <w:szCs w:val="22"/>
              </w:rPr>
              <w:t>100 000</w:t>
            </w:r>
            <w:r w:rsidRPr="000B4791" w:rsidR="0012710D">
              <w:rPr>
                <w:rFonts w:ascii="Times New Roman" w:hAnsi="Times New Roman"/>
                <w:sz w:val="22"/>
                <w:szCs w:val="22"/>
              </w:rPr>
              <w:t xml:space="preserve"> €</w:t>
            </w:r>
            <w:r w:rsidRPr="000B4791" w:rsidR="0066540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B4791" w:rsidR="00516D36">
              <w:rPr>
                <w:rFonts w:ascii="Times New Roman" w:hAnsi="Times New Roman"/>
                <w:sz w:val="22"/>
                <w:szCs w:val="22"/>
              </w:rPr>
              <w:t xml:space="preserve">ročne </w:t>
            </w:r>
            <w:r w:rsidRPr="000B4791" w:rsidR="0066540D">
              <w:rPr>
                <w:rFonts w:ascii="Times New Roman" w:hAnsi="Times New Roman"/>
                <w:sz w:val="22"/>
                <w:szCs w:val="22"/>
              </w:rPr>
              <w:t>v on-line pr</w:t>
            </w:r>
            <w:r w:rsidRPr="000B4791" w:rsidR="00D578D2">
              <w:rPr>
                <w:rFonts w:ascii="Times New Roman" w:hAnsi="Times New Roman"/>
                <w:sz w:val="22"/>
                <w:szCs w:val="22"/>
              </w:rPr>
              <w:t>ostredí</w:t>
            </w:r>
            <w:r w:rsidRPr="000B4791" w:rsidR="005D18EF">
              <w:rPr>
                <w:rFonts w:ascii="Times New Roman" w:hAnsi="Times New Roman"/>
                <w:sz w:val="22"/>
                <w:szCs w:val="22"/>
              </w:rPr>
              <w:t xml:space="preserve"> pre jedného prevádzkovateľa</w:t>
            </w:r>
            <w:r w:rsidR="003B6AD9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D578D2" w:rsidRPr="000B4791" w:rsidP="00064D88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F2DFA" w:rsidRPr="000B4791" w:rsidP="00064D88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B4791" w:rsidR="00F7588C">
              <w:rPr>
                <w:rFonts w:ascii="Times New Roman" w:hAnsi="Times New Roman"/>
                <w:sz w:val="22"/>
                <w:szCs w:val="22"/>
              </w:rPr>
              <w:t>V prípade zavedenia navrhovaného blokovania webových stránok s nelicencovanými hazardnými hrami budú poskytovatelia sietí a služieb, ktorí poskytujú internetové pripojenia</w:t>
            </w:r>
            <w:r w:rsidRPr="000B4791" w:rsidR="007951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B4791" w:rsidR="00F7588C">
              <w:rPr>
                <w:rFonts w:ascii="Times New Roman" w:hAnsi="Times New Roman"/>
                <w:sz w:val="22"/>
                <w:szCs w:val="22"/>
              </w:rPr>
              <w:t xml:space="preserve">povinní </w:t>
            </w:r>
            <w:r w:rsidR="00B6664D">
              <w:rPr>
                <w:rFonts w:ascii="Times New Roman" w:hAnsi="Times New Roman"/>
                <w:sz w:val="22"/>
                <w:szCs w:val="22"/>
              </w:rPr>
              <w:t>takéto</w:t>
            </w:r>
            <w:r w:rsidRPr="000B4791" w:rsidR="00F7588C">
              <w:rPr>
                <w:rFonts w:ascii="Times New Roman" w:hAnsi="Times New Roman"/>
                <w:sz w:val="22"/>
                <w:szCs w:val="22"/>
              </w:rPr>
              <w:t xml:space="preserve"> webov</w:t>
            </w:r>
            <w:r w:rsidR="00B6664D">
              <w:rPr>
                <w:rFonts w:ascii="Times New Roman" w:hAnsi="Times New Roman"/>
                <w:sz w:val="22"/>
                <w:szCs w:val="22"/>
              </w:rPr>
              <w:t>é</w:t>
            </w:r>
            <w:r w:rsidRPr="000B4791" w:rsidR="00F7588C">
              <w:rPr>
                <w:rFonts w:ascii="Times New Roman" w:hAnsi="Times New Roman"/>
                <w:sz w:val="22"/>
                <w:szCs w:val="22"/>
              </w:rPr>
              <w:t xml:space="preserve"> stránk</w:t>
            </w:r>
            <w:r w:rsidR="00B6664D">
              <w:rPr>
                <w:rFonts w:ascii="Times New Roman" w:hAnsi="Times New Roman"/>
                <w:sz w:val="22"/>
                <w:szCs w:val="22"/>
              </w:rPr>
              <w:t>y</w:t>
            </w:r>
            <w:r w:rsidRPr="000B4791" w:rsidR="00F7588C">
              <w:rPr>
                <w:rFonts w:ascii="Times New Roman" w:hAnsi="Times New Roman"/>
                <w:sz w:val="22"/>
                <w:szCs w:val="22"/>
              </w:rPr>
              <w:t xml:space="preserve"> zablokovať. Za týmto účelom bude </w:t>
            </w:r>
            <w:r w:rsidRPr="000B4791" w:rsidR="0012710D">
              <w:rPr>
                <w:rFonts w:ascii="Times New Roman" w:hAnsi="Times New Roman"/>
                <w:sz w:val="22"/>
                <w:szCs w:val="22"/>
              </w:rPr>
              <w:t xml:space="preserve">nutné realizovať </w:t>
            </w:r>
            <w:r w:rsidRPr="000B4791" w:rsidR="004666AB">
              <w:rPr>
                <w:rFonts w:ascii="Times New Roman" w:hAnsi="Times New Roman"/>
                <w:sz w:val="22"/>
                <w:szCs w:val="22"/>
              </w:rPr>
              <w:t>opatrenia na strane poskytovateľov internetového pripojenia</w:t>
            </w:r>
            <w:r w:rsidRPr="000B4791" w:rsidR="007951B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0B4791" w:rsidR="005D18EF">
              <w:rPr>
                <w:rFonts w:ascii="Times New Roman" w:hAnsi="Times New Roman"/>
                <w:sz w:val="22"/>
                <w:szCs w:val="22"/>
              </w:rPr>
              <w:t xml:space="preserve">pričom </w:t>
            </w:r>
            <w:r w:rsidRPr="000B4791" w:rsidR="007951B7">
              <w:rPr>
                <w:rFonts w:ascii="Times New Roman" w:hAnsi="Times New Roman"/>
                <w:sz w:val="22"/>
                <w:szCs w:val="22"/>
              </w:rPr>
              <w:t xml:space="preserve">predpokladané </w:t>
            </w:r>
            <w:r w:rsidRPr="000B4791" w:rsidR="00064D88">
              <w:rPr>
                <w:rFonts w:ascii="Times New Roman" w:hAnsi="Times New Roman"/>
                <w:sz w:val="22"/>
                <w:szCs w:val="22"/>
              </w:rPr>
              <w:t xml:space="preserve">prevádzkové </w:t>
            </w:r>
            <w:r w:rsidRPr="000B4791" w:rsidR="007951B7">
              <w:rPr>
                <w:rFonts w:ascii="Times New Roman" w:hAnsi="Times New Roman"/>
                <w:sz w:val="22"/>
                <w:szCs w:val="22"/>
              </w:rPr>
              <w:t>náklady</w:t>
            </w:r>
            <w:r w:rsidRPr="000B4791" w:rsidR="00516D36">
              <w:rPr>
                <w:rFonts w:ascii="Times New Roman" w:hAnsi="Times New Roman"/>
                <w:sz w:val="22"/>
                <w:szCs w:val="22"/>
              </w:rPr>
              <w:t xml:space="preserve"> celkovo</w:t>
            </w:r>
            <w:r w:rsidRPr="000B4791" w:rsidR="007951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B4791" w:rsidR="00064D88">
              <w:rPr>
                <w:rFonts w:ascii="Times New Roman" w:hAnsi="Times New Roman"/>
                <w:sz w:val="22"/>
                <w:szCs w:val="22"/>
              </w:rPr>
              <w:t>možno odhadnúť vo výške 10 mil. € ročne</w:t>
            </w:r>
            <w:r w:rsidRPr="000B4791" w:rsidR="005D18EF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4666AB" w:rsidRPr="000B4791" w:rsidP="00064D88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7A4FAD" w:rsidRPr="000B4791" w:rsidP="00064D88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="00C60956">
              <w:rPr>
                <w:rFonts w:ascii="Times New Roman" w:hAnsi="Times New Roman"/>
                <w:sz w:val="22"/>
                <w:szCs w:val="22"/>
              </w:rPr>
              <w:t>Ďalšou</w:t>
            </w:r>
            <w:r w:rsidRPr="000B4791" w:rsidR="007951B7">
              <w:rPr>
                <w:rFonts w:ascii="Times New Roman" w:hAnsi="Times New Roman"/>
                <w:sz w:val="22"/>
                <w:szCs w:val="22"/>
              </w:rPr>
              <w:t xml:space="preserve"> navrhovanou úpravou je blokovanie platieb súvisiacich s hrou na stránkach nelicencovaných operátorov. </w:t>
            </w:r>
            <w:r w:rsidRPr="000B4791">
              <w:rPr>
                <w:rFonts w:ascii="Times New Roman" w:hAnsi="Times New Roman"/>
                <w:sz w:val="22"/>
                <w:szCs w:val="22"/>
              </w:rPr>
              <w:t xml:space="preserve">Predpokladané náklady bánk v súvislosti s navrhovaným opatrením sú cca </w:t>
            </w:r>
            <w:r w:rsidRPr="000B4791" w:rsidR="00516D36">
              <w:rPr>
                <w:rFonts w:ascii="Times New Roman" w:hAnsi="Times New Roman"/>
                <w:sz w:val="22"/>
                <w:szCs w:val="22"/>
              </w:rPr>
              <w:t>5 mil</w:t>
            </w:r>
            <w:r w:rsidR="003B6AD9">
              <w:rPr>
                <w:rFonts w:ascii="Times New Roman" w:hAnsi="Times New Roman"/>
                <w:sz w:val="22"/>
                <w:szCs w:val="22"/>
              </w:rPr>
              <w:t>.</w:t>
            </w:r>
            <w:r w:rsidRPr="000B4791" w:rsidR="00516D36">
              <w:rPr>
                <w:rFonts w:ascii="Times New Roman" w:hAnsi="Times New Roman"/>
                <w:sz w:val="22"/>
                <w:szCs w:val="22"/>
              </w:rPr>
              <w:t xml:space="preserve"> € ročne</w:t>
            </w:r>
            <w:r w:rsidRPr="000B4791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4666AB" w:rsidRPr="000B4791" w:rsidP="009200D7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  <w:p w:rsidR="007951B7" w:rsidP="009200D7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  <w:p w:rsidR="00F7588C" w:rsidRPr="00F7588C" w:rsidP="009200D7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  <w:p w:rsidR="009F2DFA" w:rsidRPr="00F04CCD" w:rsidP="009200D7">
            <w:pPr>
              <w:bidi w:val="0"/>
              <w:rPr>
                <w:rFonts w:ascii="Times New Roman" w:hAnsi="Times New Roman"/>
                <w:b/>
                <w:i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9200D7">
            <w:pPr>
              <w:bidi w:val="0"/>
              <w:rPr>
                <w:rFonts w:ascii="Times New Roman" w:hAnsi="Times New Roman"/>
                <w:b/>
                <w:i/>
              </w:rPr>
            </w:pPr>
            <w:r w:rsidR="002B1108">
              <w:rPr>
                <w:rFonts w:ascii="Times New Roman" w:hAnsi="Times New Roman"/>
                <w:b/>
                <w:i/>
              </w:rPr>
              <w:t>3</w:t>
            </w:r>
            <w:r w:rsidRPr="00F04CCD">
              <w:rPr>
                <w:rFonts w:ascii="Times New Roman" w:hAnsi="Times New Roman"/>
                <w:b/>
                <w:i/>
              </w:rPr>
              <w:t>.3.3 Administratívne náklady</w:t>
            </w:r>
          </w:p>
          <w:p w:rsidR="009F2DFA" w:rsidRPr="00F04CCD" w:rsidP="009200D7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Dochádza k zavedeniu nových informačných povinností alebo odstráneniu, príp. úprave existujúcich informačných povinností? (napr. zmena požadovaných dát, zmena frekvencie reportovania, zmena formy predkladania a pod.) Ak áno, popíšte a vyčíslite administratívne náklady. Uveďte tiež spôsob ich výpočtu.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645AC" w:rsidP="009200D7">
            <w:pPr>
              <w:bidi w:val="0"/>
              <w:rPr>
                <w:rFonts w:ascii="Times New Roman" w:hAnsi="Times New Roman"/>
                <w:i/>
              </w:rPr>
            </w:pPr>
          </w:p>
          <w:p w:rsidR="009F2DFA" w:rsidRPr="00F04CCD" w:rsidP="009200D7">
            <w:pPr>
              <w:bidi w:val="0"/>
              <w:rPr>
                <w:rFonts w:ascii="Times New Roman" w:hAnsi="Times New Roman"/>
                <w:b/>
                <w:i/>
              </w:rPr>
            </w:pPr>
          </w:p>
          <w:p w:rsidR="009F2DFA" w:rsidRPr="00F04CCD" w:rsidP="009200D7">
            <w:pPr>
              <w:bidi w:val="0"/>
              <w:rPr>
                <w:rFonts w:ascii="Times New Roman" w:hAnsi="Times New Roman"/>
                <w:b/>
                <w:i/>
              </w:rPr>
            </w:pPr>
          </w:p>
          <w:p w:rsidR="009F2DFA" w:rsidRPr="00F04CCD" w:rsidP="009200D7">
            <w:pPr>
              <w:bidi w:val="0"/>
              <w:rPr>
                <w:rFonts w:ascii="Times New Roman" w:hAnsi="Times New Roman"/>
                <w:b/>
                <w:i/>
              </w:rPr>
            </w:pPr>
          </w:p>
          <w:p w:rsidR="009F2DFA" w:rsidRPr="00F04CCD" w:rsidP="009200D7">
            <w:pPr>
              <w:bidi w:val="0"/>
              <w:rPr>
                <w:rFonts w:ascii="Times New Roman" w:hAnsi="Times New Roman"/>
                <w:b/>
                <w:i/>
              </w:rPr>
            </w:pPr>
          </w:p>
          <w:p w:rsidR="009F2DFA" w:rsidRPr="00F04CCD" w:rsidP="009200D7">
            <w:pPr>
              <w:bidi w:val="0"/>
              <w:rPr>
                <w:rFonts w:ascii="Times New Roman" w:hAnsi="Times New Roman"/>
                <w:b/>
                <w:i/>
              </w:rPr>
            </w:pPr>
          </w:p>
        </w:tc>
      </w:tr>
      <w:tr>
        <w:tblPrEx>
          <w:tblW w:w="0" w:type="auto"/>
          <w:tblLook w:val="04A0"/>
        </w:tblPrEx>
        <w:trPr>
          <w:trHeight w:val="2318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9200D7">
            <w:pPr>
              <w:bidi w:val="0"/>
              <w:rPr>
                <w:rFonts w:ascii="Times New Roman" w:hAnsi="Times New Roman"/>
                <w:i/>
              </w:rPr>
            </w:pPr>
            <w:r w:rsidR="002B1108">
              <w:rPr>
                <w:rFonts w:ascii="Times New Roman" w:hAnsi="Times New Roman"/>
                <w:b/>
                <w:i/>
              </w:rPr>
              <w:t>3</w:t>
            </w:r>
            <w:r w:rsidRPr="00F04CCD">
              <w:rPr>
                <w:rFonts w:ascii="Times New Roman" w:hAnsi="Times New Roman"/>
                <w:b/>
                <w:i/>
              </w:rPr>
              <w:t>.3.4 Súhrnná tabuľka nákladov regulácie</w:t>
            </w:r>
          </w:p>
          <w:p w:rsidR="009F2DFA" w:rsidRPr="00F04CCD" w:rsidP="009200D7">
            <w:pPr>
              <w:bidi w:val="0"/>
              <w:rPr>
                <w:rFonts w:ascii="Times New Roman" w:hAnsi="Times New Roman"/>
                <w:i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2993"/>
              <w:gridCol w:w="2994"/>
              <w:gridCol w:w="2994"/>
            </w:tblGrid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9200D7">
                  <w:pPr>
                    <w:bidi w:val="0"/>
                    <w:spacing w:after="0" w:line="240" w:lineRule="auto"/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9200D7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Náklady na 1 podnikateľa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9200D7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Náklady na celé podnikateľské prostredie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9200D7">
                  <w:pPr>
                    <w:bidi w:val="0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Priame finančné náklady</w:t>
                  </w:r>
                  <w:r w:rsidR="00516D36">
                    <w:rPr>
                      <w:rFonts w:ascii="Times New Roman" w:hAnsi="Times New Roman"/>
                      <w:i/>
                    </w:rPr>
                    <w:t xml:space="preserve"> – prevádzkovatelia hazardných hier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3750F7" w:rsidP="00B6664D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3750F7" w:rsidR="003750F7">
                    <w:rPr>
                      <w:rFonts w:ascii="Times New Roman" w:hAnsi="Times New Roman"/>
                      <w:i/>
                    </w:rPr>
                    <w:t>1</w:t>
                  </w:r>
                  <w:r w:rsidR="00B6664D">
                    <w:rPr>
                      <w:rFonts w:ascii="Times New Roman" w:hAnsi="Times New Roman"/>
                      <w:i/>
                    </w:rPr>
                    <w:t>11</w:t>
                  </w:r>
                  <w:r w:rsidRPr="003750F7" w:rsidR="003750F7">
                    <w:rPr>
                      <w:rFonts w:ascii="Times New Roman" w:hAnsi="Times New Roman"/>
                      <w:i/>
                    </w:rPr>
                    <w:t> 00</w:t>
                  </w:r>
                  <w:r w:rsidRPr="003750F7">
                    <w:rPr>
                      <w:rFonts w:ascii="Times New Roman" w:hAnsi="Times New Roman"/>
                      <w:i/>
                    </w:rPr>
                    <w:t>0</w:t>
                  </w:r>
                  <w:r w:rsidRPr="003750F7" w:rsidR="003750F7">
                    <w:rPr>
                      <w:rFonts w:ascii="Times New Roman" w:hAnsi="Times New Roman"/>
                      <w:i/>
                    </w:rPr>
                    <w:t xml:space="preserve"> €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516D36" w:rsidP="00B6664D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="00B6664D">
                    <w:rPr>
                      <w:rFonts w:ascii="Times New Roman" w:hAnsi="Times New Roman"/>
                      <w:i/>
                    </w:rPr>
                    <w:t>17 800</w:t>
                  </w:r>
                  <w:r w:rsidRPr="00516D36" w:rsidR="00516D36">
                    <w:rPr>
                      <w:rFonts w:ascii="Times New Roman" w:hAnsi="Times New Roman"/>
                      <w:i/>
                    </w:rPr>
                    <w:t> 000 €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3750F7" w:rsidRPr="00F04CCD" w:rsidP="009200D7">
                  <w:pPr>
                    <w:bidi w:val="0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Priame finančné náklady</w:t>
                  </w:r>
                  <w:r>
                    <w:rPr>
                      <w:rFonts w:ascii="Times New Roman" w:hAnsi="Times New Roman"/>
                      <w:i/>
                    </w:rPr>
                    <w:t xml:space="preserve"> – poskytovatelia internetového pripojenia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3750F7" w:rsidRPr="003750F7" w:rsidP="009200D7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3750F7">
                    <w:rPr>
                      <w:rFonts w:ascii="Times New Roman" w:hAnsi="Times New Roman"/>
                      <w:i/>
                    </w:rPr>
                    <w:t>10 000 €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3750F7" w:rsidRPr="00516D36" w:rsidP="009200D7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10 000 000 €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3750F7" w:rsidRPr="00F04CCD" w:rsidP="009200D7">
                  <w:pPr>
                    <w:bidi w:val="0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Priame finančné náklady</w:t>
                  </w:r>
                  <w:r>
                    <w:rPr>
                      <w:rFonts w:ascii="Times New Roman" w:hAnsi="Times New Roman"/>
                      <w:i/>
                    </w:rPr>
                    <w:t xml:space="preserve"> – banky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3750F7" w:rsidRPr="003750F7" w:rsidP="009200D7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3750F7">
                    <w:rPr>
                      <w:rFonts w:ascii="Times New Roman" w:hAnsi="Times New Roman"/>
                      <w:i/>
                    </w:rPr>
                    <w:t>250 000 €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3750F7" w:rsidRPr="00516D36" w:rsidP="009200D7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5 000 000 €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0B4791" w:rsidRPr="00F04CCD" w:rsidP="009200D7">
                  <w:pPr>
                    <w:bidi w:val="0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Priame finančné náklady na overovanie vylúčených osôb z hrania – v on-line prostredí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0B4791" w:rsidRPr="003750F7" w:rsidP="009200D7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="003574DE">
                    <w:rPr>
                      <w:rFonts w:ascii="Times New Roman" w:hAnsi="Times New Roman"/>
                      <w:i/>
                    </w:rPr>
                    <w:t>100</w:t>
                  </w:r>
                  <w:r>
                    <w:rPr>
                      <w:rFonts w:ascii="Times New Roman" w:hAnsi="Times New Roman"/>
                      <w:i/>
                    </w:rPr>
                    <w:t> 000 €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0B4791" w:rsidRPr="00516D36" w:rsidP="003574DE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="003574DE">
                    <w:rPr>
                      <w:rFonts w:ascii="Times New Roman" w:hAnsi="Times New Roman"/>
                      <w:i/>
                    </w:rPr>
                    <w:t>100</w:t>
                  </w:r>
                  <w:r>
                    <w:rPr>
                      <w:rFonts w:ascii="Times New Roman" w:hAnsi="Times New Roman"/>
                      <w:i/>
                    </w:rPr>
                    <w:t> 000 €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0B4791" w:rsidRPr="00F04CCD" w:rsidP="009200D7">
                  <w:pPr>
                    <w:bidi w:val="0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Priame finančné náklady na overovanie vylúčených osôb z hrania – v off line prostredí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0B4791" w:rsidRPr="003750F7" w:rsidP="009200D7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6 000 €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0B4791" w:rsidRPr="00516D36" w:rsidP="009200D7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  <w:i/>
                    </w:rPr>
                    <w:t>1 000 000 €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9200D7">
                  <w:pPr>
                    <w:bidi w:val="0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Nepriame finančné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3750F7" w:rsidP="009200D7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3750F7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516D36" w:rsidP="009200D7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516D36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9200D7">
                  <w:pPr>
                    <w:bidi w:val="0"/>
                    <w:rPr>
                      <w:rFonts w:ascii="Times New Roman" w:hAnsi="Times New Roman"/>
                      <w:i/>
                    </w:rPr>
                  </w:pPr>
                  <w:r w:rsidRPr="00F04CCD">
                    <w:rPr>
                      <w:rFonts w:ascii="Times New Roman" w:hAnsi="Times New Roman"/>
                      <w:i/>
                    </w:rPr>
                    <w:t>Administratívne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3750F7" w:rsidP="009200D7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3750F7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516D36" w:rsidP="009200D7">
                  <w:pPr>
                    <w:bidi w:val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516D36">
                    <w:rPr>
                      <w:rFonts w:ascii="Times New Roman" w:hAnsi="Times New Roman"/>
                      <w:i/>
                    </w:rPr>
                    <w:t>0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F04CCD" w:rsidP="009200D7">
                  <w:pPr>
                    <w:bidi w:val="0"/>
                    <w:rPr>
                      <w:rFonts w:ascii="Times New Roman" w:hAnsi="Times New Roman"/>
                      <w:b/>
                      <w:i/>
                    </w:rPr>
                  </w:pPr>
                  <w:r w:rsidRPr="00F04CCD">
                    <w:rPr>
                      <w:rFonts w:ascii="Times New Roman" w:hAnsi="Times New Roman"/>
                      <w:b/>
                      <w:i/>
                    </w:rPr>
                    <w:t>Celkové náklady regulácie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3750F7" w:rsidP="00245352">
                  <w:pPr>
                    <w:bidi w:val="0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 w:rsidR="003574DE">
                    <w:rPr>
                      <w:rFonts w:ascii="Times New Roman" w:hAnsi="Times New Roman"/>
                      <w:b/>
                      <w:i/>
                    </w:rPr>
                    <w:t>4</w:t>
                  </w:r>
                  <w:r w:rsidR="00245352">
                    <w:rPr>
                      <w:rFonts w:ascii="Times New Roman" w:hAnsi="Times New Roman"/>
                      <w:b/>
                      <w:i/>
                    </w:rPr>
                    <w:t>77</w:t>
                  </w:r>
                  <w:r w:rsidR="003574DE">
                    <w:rPr>
                      <w:rFonts w:ascii="Times New Roman" w:hAnsi="Times New Roman"/>
                      <w:b/>
                      <w:i/>
                    </w:rPr>
                    <w:t> </w:t>
                  </w:r>
                  <w:r w:rsidR="000B4791">
                    <w:rPr>
                      <w:rFonts w:ascii="Times New Roman" w:hAnsi="Times New Roman"/>
                      <w:b/>
                      <w:i/>
                    </w:rPr>
                    <w:t>00</w:t>
                  </w:r>
                  <w:r w:rsidRPr="003750F7">
                    <w:rPr>
                      <w:rFonts w:ascii="Times New Roman" w:hAnsi="Times New Roman"/>
                      <w:b/>
                      <w:i/>
                    </w:rPr>
                    <w:t>0</w:t>
                  </w:r>
                  <w:r w:rsidR="003574DE">
                    <w:rPr>
                      <w:rFonts w:ascii="Times New Roman" w:hAnsi="Times New Roman"/>
                      <w:b/>
                      <w:i/>
                    </w:rPr>
                    <w:t xml:space="preserve"> €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516D36" w:rsidP="00B6664D">
                  <w:pPr>
                    <w:bidi w:val="0"/>
                    <w:jc w:val="center"/>
                    <w:rPr>
                      <w:rFonts w:ascii="Times New Roman" w:hAnsi="Times New Roman"/>
                      <w:b/>
                      <w:i/>
                    </w:rPr>
                  </w:pPr>
                  <w:r w:rsidR="003574DE">
                    <w:rPr>
                      <w:rFonts w:ascii="Times New Roman" w:hAnsi="Times New Roman"/>
                      <w:i/>
                    </w:rPr>
                    <w:t>3</w:t>
                  </w:r>
                  <w:r w:rsidR="00B6664D">
                    <w:rPr>
                      <w:rFonts w:ascii="Times New Roman" w:hAnsi="Times New Roman"/>
                      <w:i/>
                    </w:rPr>
                    <w:t>3</w:t>
                  </w:r>
                  <w:r w:rsidR="003574DE">
                    <w:rPr>
                      <w:rFonts w:ascii="Times New Roman" w:hAnsi="Times New Roman"/>
                      <w:i/>
                    </w:rPr>
                    <w:t xml:space="preserve"> </w:t>
                  </w:r>
                  <w:r w:rsidR="00B6664D">
                    <w:rPr>
                      <w:rFonts w:ascii="Times New Roman" w:hAnsi="Times New Roman"/>
                      <w:i/>
                    </w:rPr>
                    <w:t>9</w:t>
                  </w:r>
                  <w:r w:rsidRPr="00516D36" w:rsidR="00516D36">
                    <w:rPr>
                      <w:rFonts w:ascii="Times New Roman" w:hAnsi="Times New Roman"/>
                      <w:i/>
                    </w:rPr>
                    <w:t>00 000 €</w:t>
                  </w:r>
                </w:p>
              </w:tc>
            </w:tr>
          </w:tbl>
          <w:p w:rsidR="009F2DFA" w:rsidRPr="00F04CCD" w:rsidP="009200D7">
            <w:pPr>
              <w:bidi w:val="0"/>
              <w:rPr>
                <w:rFonts w:ascii="Times New Roman" w:hAnsi="Times New Roman"/>
                <w:i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9200D7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>.4 Konkurencieschopnosť a správanie sa podnikov na trhu</w:t>
            </w:r>
          </w:p>
          <w:p w:rsidR="009F2DFA" w:rsidRPr="00F04CCD" w:rsidP="009200D7">
            <w:pPr>
              <w:bidi w:val="0"/>
              <w:rPr>
                <w:rFonts w:ascii="Times New Roman" w:hAnsi="Times New Roman"/>
              </w:rPr>
            </w:pPr>
            <w:r w:rsidRPr="00042C66">
              <w:rPr>
                <w:rFonts w:ascii="Times New Roman" w:hAnsi="Times New Roman"/>
                <w:b/>
                <w:sz w:val="24"/>
              </w:rPr>
              <w:t xml:space="preserve">       </w:t>
            </w:r>
            <w:r w:rsidRPr="00042C66">
              <w:rPr>
                <w:rFonts w:ascii="Times New Roman" w:hAnsi="Times New Roman"/>
                <w:sz w:val="24"/>
              </w:rPr>
              <w:t xml:space="preserve">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9200D7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Dochádza k vytvoreniu bariér pre vstup na trh pre nových dodávateľov alebo poskytovateľov služieb? </w:t>
            </w:r>
            <w:r>
              <w:rPr>
                <w:rFonts w:ascii="Times New Roman" w:hAnsi="Times New Roman"/>
                <w:i/>
              </w:rPr>
              <w:t xml:space="preserve">Bude mať navrhovaná zmena za následok </w:t>
            </w:r>
            <w:r w:rsidRPr="00F04CCD">
              <w:rPr>
                <w:rFonts w:ascii="Times New Roman" w:hAnsi="Times New Roman"/>
                <w:i/>
              </w:rPr>
              <w:t>prísnejšiu reguláciu správania sa niektorých podnikov? Bude sa s niektorými podnikmi alebo produktmi zaobchádzať v porovnateľnej situácii rôzne (špeciálne režimy pre mikro, malé a stredné podniky tzv. MSP)? Ak áno, popíšte.</w:t>
            </w:r>
          </w:p>
          <w:p w:rsidR="009F2DFA" w:rsidRPr="00F04CCD" w:rsidP="009200D7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Aký vplyv bude mať navrhovaná zmena na obchodné bariéry? Bude mať vplyv na vyvolanie cezhraničných investícií (príliv /odliv zahraničných investícií resp. uplatnenie slovenských podnikov na zahraničných trhoch)? Ak áno, popíšte.</w:t>
            </w:r>
          </w:p>
          <w:p w:rsidR="009F2DFA" w:rsidRPr="00F04CCD" w:rsidP="009200D7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Ako ovplyvní cenu alebo dostupnosť základných zdrojov (suroviny, mechanizmy, pracovná sila, energie atď.)?</w:t>
            </w:r>
          </w:p>
          <w:p w:rsidR="009F2DFA" w:rsidRPr="00F04CCD" w:rsidP="009200D7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Ovplyvňuje prístup k financiám? Ak áno, ako?</w:t>
            </w:r>
          </w:p>
        </w:tc>
      </w:tr>
      <w:tr>
        <w:tblPrEx>
          <w:tblW w:w="0" w:type="auto"/>
          <w:tblLook w:val="04A0"/>
        </w:tblPrEx>
        <w:trPr>
          <w:trHeight w:val="128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A4FAD" w:rsidP="003B6AD9">
            <w:pPr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A4FAD">
              <w:rPr>
                <w:rFonts w:ascii="Times New Roman" w:hAnsi="Times New Roman"/>
                <w:sz w:val="22"/>
                <w:szCs w:val="22"/>
              </w:rPr>
              <w:t xml:space="preserve">Úpravy v predkladanom návrhu zákona by </w:t>
            </w:r>
            <w:r w:rsidR="003052AD">
              <w:rPr>
                <w:rFonts w:ascii="Times New Roman" w:hAnsi="Times New Roman"/>
                <w:sz w:val="22"/>
                <w:szCs w:val="22"/>
              </w:rPr>
              <w:t>mali zamedziť najmä poskytovaniu</w:t>
            </w:r>
            <w:r w:rsidRPr="007A4FAD">
              <w:rPr>
                <w:rFonts w:ascii="Times New Roman" w:hAnsi="Times New Roman"/>
                <w:sz w:val="22"/>
                <w:szCs w:val="22"/>
              </w:rPr>
              <w:t xml:space="preserve"> služieb spoločnosťami, ktoré nedisponujú príslušným oprávnením na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prevádzkovanie hazardných hier </w:t>
            </w:r>
            <w:r w:rsidRPr="007A4FAD">
              <w:rPr>
                <w:rFonts w:ascii="Times New Roman" w:hAnsi="Times New Roman"/>
                <w:sz w:val="22"/>
                <w:szCs w:val="22"/>
              </w:rPr>
              <w:t xml:space="preserve"> v zmysle zákona o hazardných hrách. </w:t>
            </w:r>
            <w:r w:rsidR="003052AD">
              <w:rPr>
                <w:rFonts w:ascii="Times New Roman" w:hAnsi="Times New Roman"/>
                <w:sz w:val="22"/>
                <w:szCs w:val="22"/>
              </w:rPr>
              <w:t xml:space="preserve">Ďalej by úpravy mali zamedziť prístup k hrám pre fyzické osoby, ktoré sú zaevidované v registri osôb vylúčených z hrania hazardných hier. </w:t>
            </w:r>
          </w:p>
          <w:p w:rsidR="007A4FAD" w:rsidP="007A4FAD">
            <w:pPr>
              <w:bidi w:val="0"/>
              <w:rPr>
                <w:rFonts w:ascii="Times New Roman" w:hAnsi="Times New Roman"/>
                <w:sz w:val="22"/>
                <w:szCs w:val="22"/>
              </w:rPr>
            </w:pPr>
          </w:p>
          <w:p w:rsidR="007A4FAD" w:rsidP="007A4FAD">
            <w:pPr>
              <w:bidi w:val="0"/>
              <w:rPr>
                <w:rFonts w:ascii="Times New Roman" w:hAnsi="Times New Roman"/>
                <w:i/>
              </w:rPr>
            </w:pPr>
          </w:p>
          <w:p w:rsidR="009F2DFA" w:rsidRPr="00F04CCD" w:rsidP="007A4FAD">
            <w:pPr>
              <w:bidi w:val="0"/>
              <w:rPr>
                <w:rFonts w:ascii="Times New Roman" w:hAnsi="Times New Roman"/>
                <w:i/>
              </w:rPr>
            </w:pPr>
            <w:r w:rsidR="007A4FAD">
              <w:rPr>
                <w:rFonts w:ascii="Times New Roman" w:hAnsi="Times New Roman"/>
                <w:i/>
              </w:rPr>
              <w:t xml:space="preserve"> 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042C66" w:rsidP="009200D7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042C66">
              <w:rPr>
                <w:rFonts w:ascii="Times New Roman" w:hAnsi="Times New Roman"/>
                <w:b/>
                <w:sz w:val="24"/>
              </w:rPr>
              <w:t xml:space="preserve">.5 Inovácie </w:t>
            </w:r>
          </w:p>
          <w:p w:rsidR="009F2DFA" w:rsidRPr="00F04CCD" w:rsidP="009200D7">
            <w:pPr>
              <w:bidi w:val="0"/>
              <w:rPr>
                <w:rFonts w:ascii="Times New Roman" w:hAnsi="Times New Roman"/>
                <w:b/>
              </w:rPr>
            </w:pPr>
            <w:r w:rsidRPr="00042C66">
              <w:rPr>
                <w:rFonts w:ascii="Times New Roman" w:hAnsi="Times New Roman"/>
                <w:sz w:val="24"/>
              </w:rPr>
              <w:t xml:space="preserve">       - </w:t>
            </w:r>
            <w:r w:rsidRPr="00042C66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F04CCD" w:rsidP="009200D7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Uveďte, ako podporuje navrhovaná zmena inovácie.</w:t>
            </w:r>
          </w:p>
          <w:p w:rsidR="009F2DFA" w:rsidRPr="00F04CCD" w:rsidP="009200D7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Zjednodušuje uvedenie alebo rozšírenie nových výrobných metód, technológií a výrobkov na trh?</w:t>
            </w:r>
          </w:p>
          <w:p w:rsidR="009F2DFA" w:rsidRPr="00F04CCD" w:rsidP="009200D7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 xml:space="preserve">Uveďte, ako vplýva navrhovaná zmena na </w:t>
            </w:r>
            <w:r w:rsidR="00904C9B">
              <w:rPr>
                <w:rFonts w:ascii="Times New Roman" w:hAnsi="Times New Roman"/>
                <w:i/>
              </w:rPr>
              <w:t xml:space="preserve">jednotlivé </w:t>
            </w:r>
            <w:r w:rsidRPr="00F04CCD">
              <w:rPr>
                <w:rFonts w:ascii="Times New Roman" w:hAnsi="Times New Roman"/>
                <w:i/>
              </w:rPr>
              <w:t>práva duševného vlastníctva (</w:t>
            </w:r>
            <w:r w:rsidR="00904C9B">
              <w:rPr>
                <w:rFonts w:ascii="Times New Roman" w:hAnsi="Times New Roman"/>
                <w:i/>
              </w:rPr>
              <w:t xml:space="preserve">napr. </w:t>
            </w:r>
            <w:r w:rsidRPr="00F04CCD">
              <w:rPr>
                <w:rFonts w:ascii="Times New Roman" w:hAnsi="Times New Roman"/>
                <w:i/>
              </w:rPr>
              <w:t xml:space="preserve">patenty, ochranné známky, </w:t>
            </w:r>
            <w:r w:rsidR="00904C9B">
              <w:rPr>
                <w:rFonts w:ascii="Times New Roman" w:hAnsi="Times New Roman"/>
                <w:i/>
              </w:rPr>
              <w:t>autorské práva</w:t>
            </w:r>
            <w:r w:rsidRPr="00F04CCD">
              <w:rPr>
                <w:rFonts w:ascii="Times New Roman" w:hAnsi="Times New Roman"/>
                <w:i/>
              </w:rPr>
              <w:t>, vlastníctvo know-how).</w:t>
            </w:r>
          </w:p>
          <w:p w:rsidR="009F2DFA" w:rsidP="009200D7">
            <w:pPr>
              <w:bidi w:val="0"/>
              <w:rPr>
                <w:rFonts w:ascii="Times New Roman" w:hAnsi="Times New Roman"/>
                <w:i/>
              </w:rPr>
            </w:pPr>
            <w:r w:rsidRPr="00F04CCD">
              <w:rPr>
                <w:rFonts w:ascii="Times New Roman" w:hAnsi="Times New Roman"/>
                <w:i/>
              </w:rPr>
              <w:t>Podporuje vyššiu efektivitu výroby/využívania zdrojov? Ak áno, ako?</w:t>
            </w:r>
          </w:p>
          <w:p w:rsidR="00837639" w:rsidRPr="00F04CCD" w:rsidP="009200D7">
            <w:pPr>
              <w:bidi w:val="0"/>
              <w:rPr>
                <w:rFonts w:ascii="Times New Roman" w:hAnsi="Times New Roman"/>
              </w:rPr>
            </w:pPr>
            <w:r w:rsidRPr="00154881">
              <w:rPr>
                <w:rFonts w:ascii="Times New Roman" w:hAnsi="Times New Roman"/>
                <w:i/>
              </w:rPr>
              <w:t>Vytvorí zmena nové pracovné miesta pre zamestnancov výskumu a vývoja v</w:t>
            </w:r>
            <w:r>
              <w:rPr>
                <w:rFonts w:ascii="Times New Roman" w:hAnsi="Times New Roman"/>
                <w:i/>
              </w:rPr>
              <w:t> </w:t>
            </w:r>
            <w:r w:rsidRPr="00154881">
              <w:rPr>
                <w:rFonts w:ascii="Times New Roman" w:hAnsi="Times New Roman"/>
                <w:i/>
              </w:rPr>
              <w:t>SR</w:t>
            </w:r>
            <w:r>
              <w:rPr>
                <w:rFonts w:ascii="Times New Roman" w:hAnsi="Times New Roman"/>
                <w:i/>
              </w:rPr>
              <w:t>?</w:t>
            </w:r>
          </w:p>
        </w:tc>
      </w:tr>
      <w:tr>
        <w:tblPrEx>
          <w:tblW w:w="0" w:type="auto"/>
          <w:tblLook w:val="04A0"/>
        </w:tblPrEx>
        <w:trPr>
          <w:trHeight w:val="174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6484" w:rsidP="00866484">
            <w:pPr>
              <w:bidi w:val="0"/>
              <w:rPr>
                <w:rFonts w:ascii="Times New Roman" w:hAnsi="Times New Roman"/>
                <w:i/>
              </w:rPr>
            </w:pPr>
          </w:p>
          <w:p w:rsidR="009F2DFA" w:rsidRPr="00F04CCD" w:rsidP="00866484">
            <w:pPr>
              <w:bidi w:val="0"/>
              <w:rPr>
                <w:rFonts w:ascii="Times New Roman" w:hAnsi="Times New Roman"/>
                <w:i/>
              </w:rPr>
            </w:pPr>
          </w:p>
        </w:tc>
      </w:tr>
    </w:tbl>
    <w:p w:rsidR="009F2DFA" w:rsidP="009F2DFA">
      <w:pPr>
        <w:bidi w:val="0"/>
        <w:rPr>
          <w:rFonts w:ascii="Times New Roman" w:hAnsi="Times New Roman"/>
          <w:b/>
          <w:sz w:val="24"/>
        </w:rPr>
      </w:pPr>
    </w:p>
    <w:sectPr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horndale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MS Gothic"/>
    <w:panose1 w:val="02020609040205080304"/>
    <w:charset w:val="80"/>
    <w:family w:val="roman"/>
    <w:pitch w:val="fixed"/>
    <w:sig w:usb0="00000000" w:usb1="00000000" w:usb2="00000000" w:usb3="00000000" w:csb0="00020000" w:csb1="00000000"/>
  </w:font>
  <w:font w:name="MS Gothic">
    <w:altName w:val="?l?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@MS Mincho">
    <w:panose1 w:val="00000000000000000000"/>
    <w:charset w:val="80"/>
    <w:family w:val="modern"/>
    <w:pitch w:val="fixed"/>
    <w:sig w:usb0="00000000" w:usb1="00000000" w:usb2="00000000" w:usb3="00000000" w:csb0="00020000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0D7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11142C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9200D7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0D7" w:rsidP="009F2DFA">
    <w:pPr>
      <w:pStyle w:val="Header"/>
      <w:bidi w:val="0"/>
      <w:jc w:val="right"/>
      <w:rPr>
        <w:rFonts w:ascii="Times New Roman" w:hAnsi="Times New Roman"/>
        <w:sz w:val="24"/>
        <w:szCs w:val="24"/>
      </w:rPr>
    </w:pPr>
    <w:r w:rsidRPr="000A15AE">
      <w:rPr>
        <w:rFonts w:ascii="Times New Roman" w:hAnsi="Times New Roman"/>
        <w:sz w:val="24"/>
        <w:szCs w:val="24"/>
      </w:rPr>
      <w:t>Príloha č</w:t>
    </w:r>
    <w:r>
      <w:rPr>
        <w:rFonts w:ascii="Times New Roman" w:hAnsi="Times New Roman"/>
        <w:sz w:val="24"/>
        <w:szCs w:val="24"/>
      </w:rPr>
      <w:t>. 3</w:t>
    </w:r>
  </w:p>
  <w:p w:rsidR="009200D7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20D9"/>
    <w:multiLevelType w:val="hybridMultilevel"/>
    <w:tmpl w:val="BE7EA20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B66859"/>
    <w:multiLevelType w:val="hybridMultilevel"/>
    <w:tmpl w:val="F4145CF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02D65B4"/>
    <w:multiLevelType w:val="hybridMultilevel"/>
    <w:tmpl w:val="05EEF732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A620081"/>
    <w:multiLevelType w:val="hybridMultilevel"/>
    <w:tmpl w:val="EFA4154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B2702CF"/>
    <w:multiLevelType w:val="hybridMultilevel"/>
    <w:tmpl w:val="B87C199E"/>
    <w:lvl w:ilvl="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4C7B1F"/>
    <w:multiLevelType w:val="hybridMultilevel"/>
    <w:tmpl w:val="5D6C53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0C2D03"/>
    <w:multiLevelType w:val="hybridMultilevel"/>
    <w:tmpl w:val="1EFC294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CCE19A5"/>
    <w:multiLevelType w:val="hybridMultilevel"/>
    <w:tmpl w:val="E66AFDB2"/>
    <w:lvl w:ilvl="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680BAD"/>
    <w:multiLevelType w:val="hybridMultilevel"/>
    <w:tmpl w:val="41D4CC1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5FE46C3F"/>
    <w:multiLevelType w:val="hybridMultilevel"/>
    <w:tmpl w:val="1C9CFF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833080"/>
    <w:multiLevelType w:val="hybridMultilevel"/>
    <w:tmpl w:val="E85A861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7F06E0"/>
    <w:multiLevelType w:val="hybridMultilevel"/>
    <w:tmpl w:val="33EA1EE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8"/>
  </w:num>
  <w:num w:numId="5">
    <w:abstractNumId w:val="1"/>
  </w:num>
  <w:num w:numId="6">
    <w:abstractNumId w:val="5"/>
  </w:num>
  <w:num w:numId="7">
    <w:abstractNumId w:val="10"/>
  </w:num>
  <w:num w:numId="8">
    <w:abstractNumId w:val="2"/>
  </w:num>
  <w:num w:numId="9">
    <w:abstractNumId w:val="0"/>
  </w:num>
  <w:num w:numId="10">
    <w:abstractNumId w:val="11"/>
  </w:num>
  <w:num w:numId="11">
    <w:abstractNumId w:val="6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oNotTrackMoves/>
  <w:defaultTabStop w:val="708"/>
  <w:hyphenationZone w:val="425"/>
  <w:characterSpacingControl w:val="doNotCompress"/>
  <w:compat/>
  <w:rsids>
    <w:rsidRoot w:val="00FB5C13"/>
    <w:rsid w:val="00042C66"/>
    <w:rsid w:val="00064D88"/>
    <w:rsid w:val="00077CE3"/>
    <w:rsid w:val="000A15AE"/>
    <w:rsid w:val="000B4791"/>
    <w:rsid w:val="000D2622"/>
    <w:rsid w:val="0011142C"/>
    <w:rsid w:val="00114661"/>
    <w:rsid w:val="0012710D"/>
    <w:rsid w:val="001523A5"/>
    <w:rsid w:val="00154881"/>
    <w:rsid w:val="001764D7"/>
    <w:rsid w:val="001D696E"/>
    <w:rsid w:val="001E7390"/>
    <w:rsid w:val="001F12B6"/>
    <w:rsid w:val="00201AD9"/>
    <w:rsid w:val="00245074"/>
    <w:rsid w:val="00245352"/>
    <w:rsid w:val="002649DB"/>
    <w:rsid w:val="002928DE"/>
    <w:rsid w:val="002B1108"/>
    <w:rsid w:val="002F4376"/>
    <w:rsid w:val="003052AD"/>
    <w:rsid w:val="003075C5"/>
    <w:rsid w:val="003160E9"/>
    <w:rsid w:val="00327E76"/>
    <w:rsid w:val="003574DE"/>
    <w:rsid w:val="003645AC"/>
    <w:rsid w:val="003750F7"/>
    <w:rsid w:val="00382284"/>
    <w:rsid w:val="003A5886"/>
    <w:rsid w:val="003B688B"/>
    <w:rsid w:val="003B6AD9"/>
    <w:rsid w:val="003C5858"/>
    <w:rsid w:val="00415025"/>
    <w:rsid w:val="004221D2"/>
    <w:rsid w:val="0042785F"/>
    <w:rsid w:val="00427B89"/>
    <w:rsid w:val="00461E9A"/>
    <w:rsid w:val="004666AB"/>
    <w:rsid w:val="004A6928"/>
    <w:rsid w:val="004B064A"/>
    <w:rsid w:val="004C245B"/>
    <w:rsid w:val="004D00E6"/>
    <w:rsid w:val="00516D36"/>
    <w:rsid w:val="0052297F"/>
    <w:rsid w:val="00561C1A"/>
    <w:rsid w:val="005B3B7E"/>
    <w:rsid w:val="005C7DB2"/>
    <w:rsid w:val="005D18EF"/>
    <w:rsid w:val="00630E18"/>
    <w:rsid w:val="006540C3"/>
    <w:rsid w:val="0066540D"/>
    <w:rsid w:val="0069376E"/>
    <w:rsid w:val="006C57A7"/>
    <w:rsid w:val="006C5978"/>
    <w:rsid w:val="00780BA6"/>
    <w:rsid w:val="007951B7"/>
    <w:rsid w:val="007A4FAD"/>
    <w:rsid w:val="007B3BD7"/>
    <w:rsid w:val="007C5EC3"/>
    <w:rsid w:val="008328E9"/>
    <w:rsid w:val="0083349A"/>
    <w:rsid w:val="00837639"/>
    <w:rsid w:val="00866484"/>
    <w:rsid w:val="00870146"/>
    <w:rsid w:val="008A1252"/>
    <w:rsid w:val="008C7386"/>
    <w:rsid w:val="008E41C0"/>
    <w:rsid w:val="00904C9B"/>
    <w:rsid w:val="009200D7"/>
    <w:rsid w:val="009A1F33"/>
    <w:rsid w:val="009B3C18"/>
    <w:rsid w:val="009F2DFA"/>
    <w:rsid w:val="009F6125"/>
    <w:rsid w:val="00A90534"/>
    <w:rsid w:val="00AC7331"/>
    <w:rsid w:val="00AE4CBC"/>
    <w:rsid w:val="00B31A8E"/>
    <w:rsid w:val="00B6664D"/>
    <w:rsid w:val="00BA037A"/>
    <w:rsid w:val="00BA073A"/>
    <w:rsid w:val="00BD05D1"/>
    <w:rsid w:val="00C059D6"/>
    <w:rsid w:val="00C07280"/>
    <w:rsid w:val="00C5788A"/>
    <w:rsid w:val="00C60956"/>
    <w:rsid w:val="00C71E17"/>
    <w:rsid w:val="00CA15DD"/>
    <w:rsid w:val="00CB3623"/>
    <w:rsid w:val="00D169E3"/>
    <w:rsid w:val="00D578D2"/>
    <w:rsid w:val="00D70731"/>
    <w:rsid w:val="00D86990"/>
    <w:rsid w:val="00DA078D"/>
    <w:rsid w:val="00DE2467"/>
    <w:rsid w:val="00DE33B0"/>
    <w:rsid w:val="00DF1031"/>
    <w:rsid w:val="00E86AD1"/>
    <w:rsid w:val="00E94981"/>
    <w:rsid w:val="00EB0429"/>
    <w:rsid w:val="00EB0948"/>
    <w:rsid w:val="00EC05D9"/>
    <w:rsid w:val="00EE3E84"/>
    <w:rsid w:val="00F04CCD"/>
    <w:rsid w:val="00F13D47"/>
    <w:rsid w:val="00F17713"/>
    <w:rsid w:val="00F41620"/>
    <w:rsid w:val="00F7588C"/>
    <w:rsid w:val="00F9314D"/>
    <w:rsid w:val="00FA2231"/>
    <w:rsid w:val="00FA3938"/>
    <w:rsid w:val="00FA4392"/>
    <w:rsid w:val="00FA508A"/>
    <w:rsid w:val="00FA710D"/>
    <w:rsid w:val="00FB5C13"/>
    <w:rsid w:val="00FB763F"/>
    <w:rsid w:val="00FD6C2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DF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F2DF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2DFA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customStyle="1" w:styleId="BodyText1">
    <w:name w:val="Body Text1"/>
    <w:qFormat/>
    <w:rsid w:val="009F2DFA"/>
    <w:pPr>
      <w:framePr w:wrap="auto"/>
      <w:widowControl/>
      <w:autoSpaceDE/>
      <w:autoSpaceDN/>
      <w:adjustRightInd/>
      <w:spacing w:after="120"/>
      <w:ind w:left="0" w:right="0"/>
      <w:jc w:val="left"/>
      <w:textAlignment w:val="auto"/>
    </w:pPr>
    <w:rPr>
      <w:rFonts w:ascii="Arial" w:hAnsi="Arial" w:cs="Times New Roman"/>
      <w:color w:val="000000"/>
      <w:sz w:val="19"/>
      <w:szCs w:val="48"/>
      <w:rtl w:val="0"/>
      <w:cs w:val="0"/>
      <w:lang w:val="sk-SK" w:eastAsia="en-US" w:bidi="ar-SA"/>
    </w:rPr>
  </w:style>
  <w:style w:type="paragraph" w:styleId="NormalWeb">
    <w:name w:val="Normal (Web)"/>
    <w:basedOn w:val="Normal"/>
    <w:uiPriority w:val="99"/>
    <w:unhideWhenUsed/>
    <w:rsid w:val="009F2DFA"/>
    <w:pPr>
      <w:spacing w:before="100" w:beforeAutospacing="1" w:after="100" w:afterAutospacing="1"/>
      <w:jc w:val="left"/>
    </w:pPr>
    <w:rPr>
      <w:rFonts w:ascii="Times New Roman" w:hAnsi="Times New Roman" w:eastAsiaTheme="minorEastAsia"/>
      <w:sz w:val="24"/>
      <w:szCs w:val="24"/>
      <w:lang w:val="en-US" w:eastAsia="en-US"/>
    </w:rPr>
  </w:style>
  <w:style w:type="paragraph" w:customStyle="1" w:styleId="Deloittebodytext">
    <w:name w:val="Deloitte body text"/>
    <w:qFormat/>
    <w:rsid w:val="009F2DFA"/>
    <w:pPr>
      <w:framePr w:wrap="auto"/>
      <w:widowControl/>
      <w:autoSpaceDE/>
      <w:autoSpaceDN/>
      <w:adjustRightInd/>
      <w:spacing w:after="240" w:line="280" w:lineRule="exact"/>
      <w:ind w:left="0" w:right="0"/>
      <w:jc w:val="both"/>
      <w:textAlignment w:val="auto"/>
    </w:pPr>
    <w:rPr>
      <w:rFonts w:ascii="Arial" w:hAnsi="Arial" w:cs="Times New Roman"/>
      <w:color w:val="000000"/>
      <w:sz w:val="22"/>
      <w:szCs w:val="48"/>
      <w:rtl w:val="0"/>
      <w:cs w:val="0"/>
      <w:lang w:val="sk-SK" w:eastAsia="en-US" w:bidi="ar-SA"/>
    </w:rPr>
  </w:style>
  <w:style w:type="paragraph" w:customStyle="1" w:styleId="TableColumnheader">
    <w:name w:val="Table Column header"/>
    <w:basedOn w:val="Normal"/>
    <w:rsid w:val="009F2DFA"/>
    <w:pPr>
      <w:spacing w:before="80" w:after="80"/>
      <w:jc w:val="left"/>
    </w:pPr>
    <w:rPr>
      <w:rFonts w:ascii="Arial" w:hAnsi="Arial"/>
      <w:b/>
      <w:noProof/>
      <w:color w:val="FFFFFF"/>
      <w:sz w:val="18"/>
      <w:szCs w:val="24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F2DF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F2DFA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9F2DF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F2DFA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9F2DF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F2DFA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customStyle="1" w:styleId="CharChar1">
    <w:name w:val="Char Char1"/>
    <w:basedOn w:val="Normal"/>
    <w:uiPriority w:val="99"/>
    <w:rsid w:val="004221D2"/>
    <w:pPr>
      <w:spacing w:after="160" w:line="240" w:lineRule="exact"/>
      <w:jc w:val="left"/>
    </w:pPr>
    <w:rPr>
      <w:rFonts w:ascii="Tahoma" w:hAnsi="Tahoma" w:cs="Tahom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2EC86-786E-4F45-868B-BC37D7B69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Pages>3</Pages>
  <Words>1216</Words>
  <Characters>6936</Characters>
  <Application>Microsoft Office Word</Application>
  <DocSecurity>0</DocSecurity>
  <Lines>0</Lines>
  <Paragraphs>0</Paragraphs>
  <ScaleCrop>false</ScaleCrop>
  <Company/>
  <LinksUpToDate>false</LinksUpToDate>
  <CharactersWithSpaces>8136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Konto Microsoft</cp:lastModifiedBy>
  <cp:revision>4</cp:revision>
  <cp:lastPrinted>2016-08-12T10:38:00Z</cp:lastPrinted>
  <dcterms:created xsi:type="dcterms:W3CDTF">2016-08-16T07:31:00Z</dcterms:created>
  <dcterms:modified xsi:type="dcterms:W3CDTF">2016-09-15T21:37:00Z</dcterms:modified>
</cp:coreProperties>
</file>