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76A0B" w:rsidRPr="004862A1" w:rsidP="000D029D">
      <w:pPr>
        <w:bidi w:val="0"/>
        <w:rPr>
          <w:rFonts w:ascii="Times New Roman" w:hAnsi="Times New Roman"/>
          <w:sz w:val="24"/>
          <w:szCs w:val="24"/>
        </w:rPr>
      </w:pPr>
      <w:r w:rsidRPr="004862A1" w:rsidR="000D029D">
        <w:rPr>
          <w:rFonts w:ascii="Times New Roman" w:hAnsi="Times New Roman"/>
          <w:sz w:val="24"/>
          <w:szCs w:val="24"/>
        </w:rPr>
        <w:t xml:space="preserve">B. </w:t>
      </w:r>
      <w:r w:rsidRPr="004862A1">
        <w:rPr>
          <w:rFonts w:ascii="Times New Roman" w:hAnsi="Times New Roman"/>
          <w:sz w:val="24"/>
          <w:szCs w:val="24"/>
        </w:rPr>
        <w:t>Osobitná časť</w:t>
      </w:r>
    </w:p>
    <w:p w:rsidR="00581F90" w:rsidRPr="004862A1" w:rsidP="00CE5363">
      <w:pPr>
        <w:bidi w:val="0"/>
        <w:rPr>
          <w:rFonts w:ascii="Times New Roman" w:hAnsi="Times New Roman"/>
          <w:sz w:val="24"/>
          <w:szCs w:val="24"/>
        </w:rPr>
      </w:pPr>
    </w:p>
    <w:p w:rsidR="000D029D" w:rsidRPr="004862A1" w:rsidP="00CE5363">
      <w:pPr>
        <w:bidi w:val="0"/>
        <w:rPr>
          <w:rFonts w:ascii="Times New Roman" w:hAnsi="Times New Roman"/>
          <w:sz w:val="24"/>
          <w:szCs w:val="24"/>
        </w:rPr>
      </w:pPr>
      <w:r w:rsidRPr="004862A1">
        <w:rPr>
          <w:rFonts w:ascii="Times New Roman" w:hAnsi="Times New Roman"/>
          <w:sz w:val="24"/>
          <w:szCs w:val="24"/>
        </w:rPr>
        <w:t>K čl. I.</w:t>
      </w:r>
    </w:p>
    <w:p w:rsidR="00427170" w:rsidRPr="004862A1" w:rsidP="00427170">
      <w:pPr>
        <w:bidi w:val="0"/>
        <w:spacing w:after="0" w:line="240" w:lineRule="auto"/>
        <w:rPr>
          <w:rFonts w:ascii="Times New Roman" w:hAnsi="Times New Roman"/>
          <w:sz w:val="24"/>
          <w:szCs w:val="24"/>
        </w:rPr>
      </w:pPr>
      <w:r w:rsidRPr="004862A1" w:rsidR="000D029D">
        <w:rPr>
          <w:rFonts w:ascii="Times New Roman" w:hAnsi="Times New Roman"/>
          <w:sz w:val="24"/>
          <w:szCs w:val="24"/>
        </w:rPr>
        <w:t>K bodu 1</w:t>
      </w:r>
    </w:p>
    <w:p w:rsidR="00B07872" w:rsidRPr="004862A1" w:rsidP="004862A1">
      <w:pPr>
        <w:pStyle w:val="ListParagraph"/>
        <w:bidi w:val="0"/>
        <w:spacing w:after="0"/>
        <w:ind w:left="0"/>
      </w:pPr>
      <w:r w:rsidRPr="004862A1" w:rsidR="00771188">
        <w:rPr>
          <w:rFonts w:ascii="Times New Roman" w:hAnsi="Times New Roman"/>
          <w:sz w:val="24"/>
          <w:szCs w:val="24"/>
        </w:rPr>
        <w:t>Navrhuje sa</w:t>
      </w:r>
      <w:r w:rsidRPr="004862A1" w:rsidR="00DA0484">
        <w:rPr>
          <w:rFonts w:ascii="Times New Roman" w:hAnsi="Times New Roman"/>
          <w:sz w:val="24"/>
          <w:szCs w:val="24"/>
        </w:rPr>
        <w:t xml:space="preserve">, aby v úvodných ustanoveniach zákona </w:t>
      </w:r>
      <w:r w:rsidRPr="004862A1" w:rsidR="00771188">
        <w:rPr>
          <w:rFonts w:ascii="Times New Roman" w:hAnsi="Times New Roman"/>
          <w:sz w:val="24"/>
          <w:szCs w:val="24"/>
        </w:rPr>
        <w:t xml:space="preserve">o hazardných hrách </w:t>
      </w:r>
      <w:r w:rsidRPr="004862A1" w:rsidR="00DA0484">
        <w:rPr>
          <w:rFonts w:ascii="Times New Roman" w:hAnsi="Times New Roman"/>
          <w:sz w:val="24"/>
          <w:szCs w:val="24"/>
        </w:rPr>
        <w:t xml:space="preserve">(predmet a účel zákona) bolo vyjadrené aj to, že predmetom úpravy v zákone </w:t>
      </w:r>
      <w:r w:rsidRPr="004862A1" w:rsidR="00771188">
        <w:rPr>
          <w:rFonts w:ascii="Times New Roman" w:hAnsi="Times New Roman"/>
          <w:sz w:val="24"/>
          <w:szCs w:val="24"/>
        </w:rPr>
        <w:t xml:space="preserve">o hazardných hrách </w:t>
      </w:r>
      <w:r w:rsidRPr="004862A1" w:rsidR="00DA0484">
        <w:rPr>
          <w:rFonts w:ascii="Times New Roman" w:hAnsi="Times New Roman"/>
          <w:sz w:val="24"/>
          <w:szCs w:val="24"/>
        </w:rPr>
        <w:t xml:space="preserve">nie sú len podmienky prevádzkovania hazardných hier, ale aj podmienky ich propagovania; navrhovaná úprava súvisí aj s navrhovanou úpravou znenia </w:t>
      </w:r>
      <w:r w:rsidRPr="004862A1" w:rsidR="00771188">
        <w:rPr>
          <w:rFonts w:ascii="Times New Roman" w:hAnsi="Times New Roman"/>
          <w:sz w:val="24"/>
          <w:szCs w:val="24"/>
        </w:rPr>
        <w:t>§ 1 písm.</w:t>
      </w:r>
      <w:r w:rsidRPr="004862A1" w:rsidR="00DA0484">
        <w:rPr>
          <w:rFonts w:ascii="Times New Roman" w:hAnsi="Times New Roman"/>
          <w:sz w:val="24"/>
          <w:szCs w:val="24"/>
        </w:rPr>
        <w:t xml:space="preserve"> f) zákona</w:t>
      </w:r>
      <w:r w:rsidRPr="004862A1" w:rsidR="00771188">
        <w:rPr>
          <w:rFonts w:ascii="Times New Roman" w:hAnsi="Times New Roman"/>
          <w:sz w:val="24"/>
          <w:szCs w:val="24"/>
        </w:rPr>
        <w:t xml:space="preserve"> o hazardných hrách</w:t>
      </w:r>
      <w:r w:rsidRPr="004862A1" w:rsidR="00771188">
        <w:t xml:space="preserve">.     </w:t>
      </w:r>
    </w:p>
    <w:p w:rsidR="00B07872" w:rsidRPr="004862A1" w:rsidP="004862A1">
      <w:pPr>
        <w:pStyle w:val="ListParagraph"/>
        <w:bidi w:val="0"/>
        <w:spacing w:after="0"/>
        <w:ind w:left="0"/>
      </w:pPr>
    </w:p>
    <w:p w:rsidR="00771188" w:rsidRPr="004862A1" w:rsidP="00427170">
      <w:pPr>
        <w:bidi w:val="0"/>
        <w:spacing w:after="0" w:line="240" w:lineRule="auto"/>
        <w:rPr>
          <w:rFonts w:ascii="Times New Roman" w:hAnsi="Times New Roman"/>
          <w:sz w:val="24"/>
          <w:szCs w:val="24"/>
        </w:rPr>
      </w:pPr>
      <w:r w:rsidRPr="004862A1">
        <w:rPr>
          <w:rFonts w:ascii="Times New Roman" w:hAnsi="Times New Roman"/>
          <w:sz w:val="24"/>
          <w:szCs w:val="24"/>
        </w:rPr>
        <w:t>K bodu 2</w:t>
      </w:r>
    </w:p>
    <w:p w:rsidR="00D76A0B" w:rsidRPr="004862A1" w:rsidP="00427170">
      <w:pPr>
        <w:bidi w:val="0"/>
        <w:spacing w:after="0" w:line="240" w:lineRule="auto"/>
        <w:rPr>
          <w:rFonts w:ascii="Times New Roman" w:hAnsi="Times New Roman"/>
          <w:sz w:val="24"/>
          <w:szCs w:val="24"/>
        </w:rPr>
      </w:pPr>
      <w:r w:rsidRPr="004862A1">
        <w:rPr>
          <w:rFonts w:ascii="Times New Roman" w:hAnsi="Times New Roman"/>
          <w:sz w:val="24"/>
          <w:szCs w:val="24"/>
        </w:rPr>
        <w:t xml:space="preserve">V súvislosti s úpravou prechodu kompetencií v oblasti výkonu dozoru z obcí na </w:t>
      </w:r>
      <w:r w:rsidRPr="004862A1" w:rsidR="00070C48">
        <w:rPr>
          <w:rFonts w:ascii="Times New Roman" w:hAnsi="Times New Roman"/>
          <w:sz w:val="24"/>
          <w:szCs w:val="24"/>
        </w:rPr>
        <w:t>orgány finančnej správy</w:t>
      </w:r>
      <w:r w:rsidRPr="004862A1">
        <w:rPr>
          <w:rFonts w:ascii="Times New Roman" w:hAnsi="Times New Roman"/>
          <w:sz w:val="24"/>
          <w:szCs w:val="24"/>
        </w:rPr>
        <w:t xml:space="preserve"> sa navrhuje vrátiť sa k pôvodnému názvu dozoru ako štátnemu orgánu dozoru. Zároveň sa v predmete úpravy zákona </w:t>
      </w:r>
      <w:r w:rsidRPr="004862A1" w:rsidR="00070C48">
        <w:rPr>
          <w:rFonts w:ascii="Times New Roman" w:hAnsi="Times New Roman"/>
          <w:sz w:val="24"/>
          <w:szCs w:val="24"/>
        </w:rPr>
        <w:t xml:space="preserve">o hazardných hrách </w:t>
      </w:r>
      <w:r w:rsidRPr="004862A1">
        <w:rPr>
          <w:rFonts w:ascii="Times New Roman" w:hAnsi="Times New Roman"/>
          <w:sz w:val="24"/>
          <w:szCs w:val="24"/>
        </w:rPr>
        <w:t>dopĺňa aj dozor nad propagovaním hazardných hier.</w:t>
      </w:r>
    </w:p>
    <w:p w:rsidR="00427170" w:rsidRPr="004862A1" w:rsidP="00427170">
      <w:pPr>
        <w:bidi w:val="0"/>
        <w:spacing w:after="0" w:line="240" w:lineRule="auto"/>
        <w:rPr>
          <w:rFonts w:ascii="Times New Roman" w:hAnsi="Times New Roman"/>
          <w:sz w:val="24"/>
          <w:szCs w:val="24"/>
        </w:rPr>
      </w:pPr>
    </w:p>
    <w:p w:rsidR="000D029D" w:rsidRPr="004862A1" w:rsidP="00427170">
      <w:pPr>
        <w:bidi w:val="0"/>
        <w:spacing w:after="0" w:line="240" w:lineRule="auto"/>
        <w:rPr>
          <w:rFonts w:ascii="Times New Roman" w:hAnsi="Times New Roman"/>
          <w:sz w:val="24"/>
          <w:szCs w:val="24"/>
        </w:rPr>
      </w:pPr>
      <w:r w:rsidRPr="004862A1">
        <w:rPr>
          <w:rFonts w:ascii="Times New Roman" w:hAnsi="Times New Roman"/>
          <w:sz w:val="24"/>
          <w:szCs w:val="24"/>
        </w:rPr>
        <w:t xml:space="preserve">K bodu </w:t>
      </w:r>
      <w:r w:rsidRPr="004862A1" w:rsidR="00771188">
        <w:rPr>
          <w:rFonts w:ascii="Times New Roman" w:hAnsi="Times New Roman"/>
          <w:sz w:val="24"/>
          <w:szCs w:val="24"/>
        </w:rPr>
        <w:t>3</w:t>
      </w:r>
    </w:p>
    <w:p w:rsidR="008F0F46" w:rsidRPr="004862A1" w:rsidP="00427170">
      <w:pPr>
        <w:bidi w:val="0"/>
        <w:spacing w:after="0" w:line="240" w:lineRule="auto"/>
        <w:rPr>
          <w:rFonts w:ascii="Times New Roman" w:hAnsi="Times New Roman"/>
          <w:sz w:val="24"/>
          <w:szCs w:val="24"/>
        </w:rPr>
      </w:pPr>
      <w:r w:rsidRPr="004862A1" w:rsidR="00D76A0B">
        <w:rPr>
          <w:rFonts w:ascii="Times New Roman" w:hAnsi="Times New Roman"/>
          <w:sz w:val="24"/>
          <w:szCs w:val="24"/>
        </w:rPr>
        <w:t>Navrhovaným znením dochádza k spresneniu územnej pôsobnosti zákonnej regulácie poskytovania služieb v oblasti hazardných hier</w:t>
      </w:r>
      <w:r w:rsidRPr="004862A1" w:rsidR="00771188">
        <w:rPr>
          <w:rFonts w:ascii="Times New Roman" w:hAnsi="Times New Roman"/>
          <w:sz w:val="24"/>
          <w:szCs w:val="24"/>
        </w:rPr>
        <w:t>, ktorá je nevyhnutne potrebná v nadväznosti na úpravu niektorých nových povinností a zákazov.</w:t>
      </w:r>
    </w:p>
    <w:p w:rsidR="00427170" w:rsidRPr="004862A1" w:rsidP="00427170">
      <w:pPr>
        <w:bidi w:val="0"/>
        <w:spacing w:after="0" w:line="240" w:lineRule="auto"/>
        <w:rPr>
          <w:rFonts w:ascii="Times New Roman" w:hAnsi="Times New Roman"/>
          <w:sz w:val="24"/>
          <w:szCs w:val="24"/>
        </w:rPr>
      </w:pPr>
    </w:p>
    <w:p w:rsidR="000D029D" w:rsidRPr="004862A1" w:rsidP="00427170">
      <w:pPr>
        <w:bidi w:val="0"/>
        <w:spacing w:after="0" w:line="240" w:lineRule="auto"/>
        <w:rPr>
          <w:rFonts w:ascii="Times New Roman" w:hAnsi="Times New Roman"/>
          <w:sz w:val="24"/>
          <w:szCs w:val="24"/>
        </w:rPr>
      </w:pPr>
      <w:r w:rsidRPr="004862A1">
        <w:rPr>
          <w:rFonts w:ascii="Times New Roman" w:hAnsi="Times New Roman"/>
          <w:sz w:val="24"/>
          <w:szCs w:val="24"/>
        </w:rPr>
        <w:t xml:space="preserve">K bodu </w:t>
      </w:r>
      <w:r w:rsidRPr="004862A1" w:rsidR="00771188">
        <w:rPr>
          <w:rFonts w:ascii="Times New Roman" w:hAnsi="Times New Roman"/>
          <w:sz w:val="24"/>
          <w:szCs w:val="24"/>
        </w:rPr>
        <w:t>4</w:t>
      </w:r>
    </w:p>
    <w:p w:rsidR="000D029D" w:rsidRPr="004862A1" w:rsidP="00427170">
      <w:pPr>
        <w:bidi w:val="0"/>
        <w:spacing w:after="0" w:line="240" w:lineRule="auto"/>
        <w:rPr>
          <w:rFonts w:ascii="Times New Roman" w:hAnsi="Times New Roman"/>
          <w:sz w:val="24"/>
          <w:szCs w:val="24"/>
        </w:rPr>
      </w:pPr>
      <w:r w:rsidRPr="004862A1" w:rsidR="008F0F46">
        <w:rPr>
          <w:rFonts w:ascii="Times New Roman" w:hAnsi="Times New Roman"/>
          <w:sz w:val="24"/>
          <w:szCs w:val="24"/>
        </w:rPr>
        <w:t>Navrhovaná úprava umožní orgánu dozoru jednoznačne posudzovať postup prevádzkovateľa v prípade reklamačného konania vo všetkých jeho fázach a zároveň zabezpečí vyváženosť postavenia prevádzkovateľa a hráča pri vybavovaní reklamácie.</w:t>
      </w:r>
      <w:r w:rsidRPr="004862A1">
        <w:rPr>
          <w:rFonts w:ascii="Times New Roman" w:hAnsi="Times New Roman"/>
          <w:sz w:val="24"/>
          <w:szCs w:val="24"/>
        </w:rPr>
        <w:t xml:space="preserve"> </w:t>
      </w:r>
    </w:p>
    <w:p w:rsidR="00427170" w:rsidRPr="004862A1" w:rsidP="00427170">
      <w:pPr>
        <w:bidi w:val="0"/>
        <w:spacing w:after="0" w:line="240" w:lineRule="auto"/>
        <w:rPr>
          <w:rFonts w:ascii="Times New Roman" w:hAnsi="Times New Roman"/>
          <w:sz w:val="24"/>
          <w:szCs w:val="24"/>
        </w:rPr>
      </w:pPr>
    </w:p>
    <w:p w:rsidR="000D029D" w:rsidRPr="004862A1" w:rsidP="00427170">
      <w:pPr>
        <w:bidi w:val="0"/>
        <w:spacing w:after="0" w:line="240" w:lineRule="auto"/>
        <w:rPr>
          <w:rFonts w:ascii="Times New Roman" w:hAnsi="Times New Roman"/>
          <w:sz w:val="24"/>
          <w:szCs w:val="24"/>
        </w:rPr>
      </w:pPr>
      <w:r w:rsidRPr="004862A1">
        <w:rPr>
          <w:rFonts w:ascii="Times New Roman" w:hAnsi="Times New Roman"/>
          <w:sz w:val="24"/>
          <w:szCs w:val="24"/>
        </w:rPr>
        <w:t xml:space="preserve">K bodu </w:t>
      </w:r>
      <w:r w:rsidRPr="004862A1" w:rsidR="00771188">
        <w:rPr>
          <w:rFonts w:ascii="Times New Roman" w:hAnsi="Times New Roman"/>
          <w:sz w:val="24"/>
          <w:szCs w:val="24"/>
        </w:rPr>
        <w:t>5</w:t>
      </w:r>
      <w:r w:rsidRPr="004862A1">
        <w:rPr>
          <w:rFonts w:ascii="Times New Roman" w:hAnsi="Times New Roman"/>
          <w:sz w:val="24"/>
          <w:szCs w:val="24"/>
        </w:rPr>
        <w:t xml:space="preserve"> </w:t>
      </w:r>
    </w:p>
    <w:p w:rsidR="00F600B7" w:rsidRPr="004862A1" w:rsidP="00427170">
      <w:pPr>
        <w:bidi w:val="0"/>
        <w:spacing w:after="0" w:line="240" w:lineRule="auto"/>
        <w:rPr>
          <w:rFonts w:ascii="Times New Roman" w:hAnsi="Times New Roman"/>
          <w:sz w:val="24"/>
          <w:szCs w:val="24"/>
        </w:rPr>
      </w:pPr>
      <w:r w:rsidRPr="004862A1" w:rsidR="00492676">
        <w:rPr>
          <w:rFonts w:ascii="Times New Roman" w:hAnsi="Times New Roman"/>
          <w:sz w:val="24"/>
          <w:szCs w:val="24"/>
        </w:rPr>
        <w:t>Z</w:t>
      </w:r>
      <w:r w:rsidRPr="004862A1" w:rsidR="008F0F46">
        <w:rPr>
          <w:rFonts w:ascii="Times New Roman" w:hAnsi="Times New Roman"/>
          <w:sz w:val="24"/>
          <w:szCs w:val="24"/>
        </w:rPr>
        <w:t xml:space="preserve">osúlaďuje </w:t>
      </w:r>
      <w:r w:rsidRPr="004862A1" w:rsidR="00492676">
        <w:rPr>
          <w:rFonts w:ascii="Times New Roman" w:hAnsi="Times New Roman"/>
          <w:sz w:val="24"/>
          <w:szCs w:val="24"/>
        </w:rPr>
        <w:t xml:space="preserve">sa </w:t>
      </w:r>
      <w:r w:rsidRPr="004862A1" w:rsidR="008F0F46">
        <w:rPr>
          <w:rFonts w:ascii="Times New Roman" w:hAnsi="Times New Roman"/>
          <w:sz w:val="24"/>
          <w:szCs w:val="24"/>
        </w:rPr>
        <w:t>pojem štátnej lotérie s ustanovením § 53 ods. 1 zákona o hazardných hrách</w:t>
      </w:r>
      <w:r w:rsidRPr="004862A1" w:rsidR="00237780">
        <w:rPr>
          <w:rFonts w:ascii="Times New Roman" w:hAnsi="Times New Roman"/>
          <w:sz w:val="24"/>
          <w:szCs w:val="24"/>
        </w:rPr>
        <w:t>.</w:t>
      </w:r>
    </w:p>
    <w:p w:rsidR="00070C48" w:rsidRPr="004862A1" w:rsidP="00427170">
      <w:pPr>
        <w:bidi w:val="0"/>
        <w:spacing w:after="0" w:line="240" w:lineRule="auto"/>
        <w:rPr>
          <w:rFonts w:ascii="Times New Roman" w:hAnsi="Times New Roman"/>
          <w:sz w:val="24"/>
          <w:szCs w:val="24"/>
        </w:rPr>
      </w:pPr>
    </w:p>
    <w:p w:rsidR="00070C48" w:rsidRPr="004862A1" w:rsidP="00427170">
      <w:pPr>
        <w:bidi w:val="0"/>
        <w:spacing w:after="0" w:line="240" w:lineRule="auto"/>
        <w:rPr>
          <w:rFonts w:ascii="Times New Roman" w:hAnsi="Times New Roman"/>
          <w:sz w:val="24"/>
          <w:szCs w:val="24"/>
        </w:rPr>
      </w:pPr>
      <w:r w:rsidRPr="004862A1">
        <w:rPr>
          <w:rFonts w:ascii="Times New Roman" w:hAnsi="Times New Roman"/>
          <w:sz w:val="24"/>
          <w:szCs w:val="24"/>
        </w:rPr>
        <w:t>K bodu 6</w:t>
      </w:r>
    </w:p>
    <w:p w:rsidR="00070C48" w:rsidRPr="004862A1" w:rsidP="00427170">
      <w:pPr>
        <w:bidi w:val="0"/>
        <w:spacing w:after="0" w:line="240" w:lineRule="auto"/>
        <w:rPr>
          <w:rFonts w:ascii="Times New Roman" w:hAnsi="Times New Roman"/>
          <w:sz w:val="24"/>
          <w:szCs w:val="24"/>
        </w:rPr>
      </w:pPr>
      <w:r w:rsidRPr="004862A1">
        <w:rPr>
          <w:rFonts w:ascii="Times New Roman" w:hAnsi="Times New Roman"/>
          <w:sz w:val="24"/>
          <w:szCs w:val="24"/>
        </w:rPr>
        <w:t>Navrhovaná úprava spresňuje definíciu herne s prihliadnutím na špecifikáciu zariadení prevádzkovaných v herni.</w:t>
      </w:r>
    </w:p>
    <w:p w:rsidR="00272EBE" w:rsidRPr="004862A1" w:rsidP="00427170">
      <w:pPr>
        <w:bidi w:val="0"/>
        <w:spacing w:after="0" w:line="240" w:lineRule="auto"/>
        <w:rPr>
          <w:rFonts w:ascii="Times New Roman" w:hAnsi="Times New Roman"/>
          <w:sz w:val="24"/>
          <w:szCs w:val="24"/>
        </w:rPr>
      </w:pPr>
    </w:p>
    <w:p w:rsidR="008F0F46" w:rsidRPr="004862A1" w:rsidP="00427170">
      <w:pPr>
        <w:bidi w:val="0"/>
        <w:spacing w:after="0" w:line="240" w:lineRule="auto"/>
        <w:rPr>
          <w:rFonts w:ascii="Times New Roman" w:hAnsi="Times New Roman"/>
          <w:sz w:val="24"/>
          <w:szCs w:val="24"/>
        </w:rPr>
      </w:pPr>
      <w:r w:rsidRPr="004862A1" w:rsidR="000D029D">
        <w:rPr>
          <w:rFonts w:ascii="Times New Roman" w:hAnsi="Times New Roman"/>
          <w:sz w:val="24"/>
          <w:szCs w:val="24"/>
        </w:rPr>
        <w:t xml:space="preserve">K bodu </w:t>
      </w:r>
      <w:r w:rsidRPr="004862A1" w:rsidR="002E0B19">
        <w:rPr>
          <w:rFonts w:ascii="Times New Roman" w:hAnsi="Times New Roman"/>
          <w:sz w:val="24"/>
          <w:szCs w:val="24"/>
        </w:rPr>
        <w:t>7</w:t>
      </w:r>
    </w:p>
    <w:p w:rsidR="008F0F46" w:rsidRPr="004862A1" w:rsidP="00427170">
      <w:pPr>
        <w:bidi w:val="0"/>
        <w:spacing w:after="0" w:line="240" w:lineRule="auto"/>
        <w:rPr>
          <w:rFonts w:ascii="Times New Roman" w:hAnsi="Times New Roman"/>
          <w:sz w:val="24"/>
          <w:szCs w:val="24"/>
        </w:rPr>
      </w:pPr>
      <w:r w:rsidRPr="004862A1">
        <w:rPr>
          <w:rFonts w:ascii="Times New Roman" w:hAnsi="Times New Roman"/>
          <w:sz w:val="24"/>
          <w:szCs w:val="24"/>
        </w:rPr>
        <w:t>Legislatívno-gramatické upresnenie textu.</w:t>
      </w:r>
    </w:p>
    <w:p w:rsidR="000D029D" w:rsidRPr="004862A1" w:rsidP="00427170">
      <w:pPr>
        <w:bidi w:val="0"/>
        <w:spacing w:after="0" w:line="240" w:lineRule="auto"/>
      </w:pPr>
    </w:p>
    <w:p w:rsidR="008F0F46" w:rsidRPr="004862A1" w:rsidP="00427170">
      <w:pPr>
        <w:bidi w:val="0"/>
        <w:spacing w:after="0" w:line="240" w:lineRule="auto"/>
        <w:rPr>
          <w:rFonts w:ascii="Times New Roman" w:hAnsi="Times New Roman"/>
          <w:sz w:val="24"/>
          <w:szCs w:val="24"/>
        </w:rPr>
      </w:pPr>
      <w:r w:rsidRPr="004862A1" w:rsidR="000D029D">
        <w:rPr>
          <w:rFonts w:ascii="Times New Roman" w:hAnsi="Times New Roman"/>
          <w:sz w:val="24"/>
          <w:szCs w:val="24"/>
        </w:rPr>
        <w:t xml:space="preserve">K bodu </w:t>
      </w:r>
      <w:r w:rsidRPr="004862A1" w:rsidR="002E0B19">
        <w:rPr>
          <w:rFonts w:ascii="Times New Roman" w:hAnsi="Times New Roman"/>
          <w:sz w:val="24"/>
          <w:szCs w:val="24"/>
        </w:rPr>
        <w:t>8</w:t>
      </w:r>
    </w:p>
    <w:p w:rsidR="00E32E9C" w:rsidRPr="004862A1" w:rsidP="00427170">
      <w:pPr>
        <w:bidi w:val="0"/>
        <w:spacing w:after="0" w:line="240" w:lineRule="auto"/>
        <w:rPr>
          <w:rFonts w:ascii="Times New Roman" w:hAnsi="Times New Roman"/>
          <w:sz w:val="24"/>
          <w:szCs w:val="24"/>
        </w:rPr>
      </w:pPr>
      <w:r w:rsidRPr="004862A1" w:rsidR="00E45208">
        <w:rPr>
          <w:rFonts w:ascii="Times New Roman" w:hAnsi="Times New Roman"/>
          <w:sz w:val="24"/>
          <w:szCs w:val="24"/>
        </w:rPr>
        <w:t>Na účely zákona sa dopĺňajú ďalšie pojmy, vymedzuje sa pojem hazardnej hry dostupnej na území Slovenskej republiky a nový pojem „</w:t>
      </w:r>
      <w:r w:rsidRPr="004862A1" w:rsidR="002E0B19">
        <w:rPr>
          <w:rFonts w:ascii="Times New Roman" w:hAnsi="Times New Roman"/>
          <w:sz w:val="24"/>
          <w:szCs w:val="24"/>
        </w:rPr>
        <w:t xml:space="preserve">poskytovanie </w:t>
      </w:r>
      <w:r w:rsidRPr="004862A1" w:rsidR="00E45208">
        <w:rPr>
          <w:rFonts w:ascii="Times New Roman" w:hAnsi="Times New Roman"/>
          <w:sz w:val="24"/>
          <w:szCs w:val="24"/>
        </w:rPr>
        <w:t>zakázan</w:t>
      </w:r>
      <w:r w:rsidRPr="004862A1" w:rsidR="002E0B19">
        <w:rPr>
          <w:rFonts w:ascii="Times New Roman" w:hAnsi="Times New Roman"/>
          <w:sz w:val="24"/>
          <w:szCs w:val="24"/>
        </w:rPr>
        <w:t>ej</w:t>
      </w:r>
      <w:r w:rsidRPr="004862A1" w:rsidR="00E45208">
        <w:rPr>
          <w:rFonts w:ascii="Times New Roman" w:hAnsi="Times New Roman"/>
          <w:sz w:val="24"/>
          <w:szCs w:val="24"/>
        </w:rPr>
        <w:t xml:space="preserve"> ponuk</w:t>
      </w:r>
      <w:r w:rsidRPr="004862A1" w:rsidR="002E0B19">
        <w:rPr>
          <w:rFonts w:ascii="Times New Roman" w:hAnsi="Times New Roman"/>
          <w:sz w:val="24"/>
          <w:szCs w:val="24"/>
        </w:rPr>
        <w:t>y</w:t>
      </w:r>
      <w:r w:rsidRPr="004862A1" w:rsidR="00E45208">
        <w:rPr>
          <w:rFonts w:ascii="Times New Roman" w:hAnsi="Times New Roman"/>
          <w:sz w:val="24"/>
          <w:szCs w:val="24"/>
        </w:rPr>
        <w:t>“. Definícia výťažku sa presúva z § 37 odsek 19 do ustanovenia § 2, ktorý vymedzuje pojmy.</w:t>
      </w:r>
    </w:p>
    <w:p w:rsidR="00F600B7" w:rsidRPr="004862A1" w:rsidP="00E32E9C">
      <w:pPr>
        <w:bidi w:val="0"/>
        <w:spacing w:after="0" w:line="240" w:lineRule="auto"/>
        <w:rPr>
          <w:rFonts w:ascii="Times New Roman" w:hAnsi="Times New Roman"/>
          <w:sz w:val="24"/>
          <w:szCs w:val="24"/>
        </w:rPr>
      </w:pPr>
    </w:p>
    <w:p w:rsidR="00F600B7"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bodu</w:t>
      </w:r>
      <w:r w:rsidRPr="004862A1" w:rsidR="00DA0484">
        <w:rPr>
          <w:rFonts w:ascii="Times New Roman" w:hAnsi="Times New Roman"/>
          <w:sz w:val="24"/>
          <w:szCs w:val="24"/>
        </w:rPr>
        <w:t xml:space="preserve"> 9</w:t>
      </w:r>
    </w:p>
    <w:p w:rsidR="00E45208"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Úprava ustanovenia je vyvolaná negatívnymi skúsenosťami z prevádzkovania niektorých súťaží, hier alebo kvízov, ktoré pod zámienkou propagácie, či reklamy obchádzajú zákon o hazardných hrách vrátane odvodovej povinnosti.</w:t>
      </w:r>
      <w:r w:rsidRPr="004862A1" w:rsidR="002E0B19">
        <w:rPr>
          <w:rFonts w:ascii="Times New Roman" w:hAnsi="Times New Roman"/>
          <w:sz w:val="24"/>
          <w:szCs w:val="24"/>
        </w:rPr>
        <w:t xml:space="preserve"> Navrhovaná úprava dopĺňa definíciu hazardnej hry s cieľom eliminovať negatívne skúsenosti uvedené v predchádzajúcej vete.</w:t>
      </w:r>
    </w:p>
    <w:p w:rsidR="00F600B7" w:rsidRPr="004862A1" w:rsidP="00E32E9C">
      <w:pPr>
        <w:bidi w:val="0"/>
        <w:spacing w:after="0" w:line="240" w:lineRule="auto"/>
        <w:rPr>
          <w:rFonts w:ascii="Times New Roman" w:hAnsi="Times New Roman"/>
          <w:sz w:val="24"/>
          <w:szCs w:val="24"/>
        </w:rPr>
      </w:pPr>
    </w:p>
    <w:p w:rsidR="004C7C77" w:rsidRPr="004862A1" w:rsidP="00F600B7">
      <w:pPr>
        <w:bidi w:val="0"/>
        <w:spacing w:after="0" w:line="240" w:lineRule="auto"/>
        <w:rPr>
          <w:rFonts w:ascii="Times New Roman" w:hAnsi="Times New Roman"/>
          <w:sz w:val="24"/>
          <w:szCs w:val="24"/>
        </w:rPr>
      </w:pPr>
    </w:p>
    <w:p w:rsidR="004C7C77" w:rsidRPr="004862A1" w:rsidP="00F600B7">
      <w:pPr>
        <w:bidi w:val="0"/>
        <w:spacing w:after="0" w:line="240" w:lineRule="auto"/>
        <w:rPr>
          <w:rFonts w:ascii="Times New Roman" w:hAnsi="Times New Roman"/>
          <w:sz w:val="24"/>
          <w:szCs w:val="24"/>
        </w:rPr>
      </w:pPr>
    </w:p>
    <w:p w:rsidR="00E45208" w:rsidRPr="004862A1" w:rsidP="00F600B7">
      <w:pPr>
        <w:bidi w:val="0"/>
        <w:spacing w:after="0" w:line="240" w:lineRule="auto"/>
        <w:rPr>
          <w:rFonts w:ascii="Times New Roman" w:hAnsi="Times New Roman"/>
          <w:sz w:val="24"/>
          <w:szCs w:val="24"/>
        </w:rPr>
      </w:pPr>
      <w:r w:rsidRPr="004862A1" w:rsidR="00F600B7">
        <w:rPr>
          <w:rFonts w:ascii="Times New Roman" w:hAnsi="Times New Roman"/>
          <w:sz w:val="24"/>
          <w:szCs w:val="24"/>
        </w:rPr>
        <w:t>K</w:t>
      </w:r>
      <w:r w:rsidRPr="004862A1" w:rsidR="00F600B7">
        <w:t> </w:t>
      </w:r>
      <w:r w:rsidRPr="004862A1" w:rsidR="00F600B7">
        <w:rPr>
          <w:rFonts w:ascii="Times New Roman" w:hAnsi="Times New Roman"/>
          <w:sz w:val="24"/>
          <w:szCs w:val="24"/>
        </w:rPr>
        <w:t xml:space="preserve">bodu </w:t>
      </w:r>
      <w:r w:rsidRPr="004862A1" w:rsidR="004C7C77">
        <w:rPr>
          <w:rFonts w:ascii="Times New Roman" w:hAnsi="Times New Roman"/>
          <w:sz w:val="24"/>
          <w:szCs w:val="24"/>
        </w:rPr>
        <w:t>10</w:t>
      </w:r>
    </w:p>
    <w:p w:rsidR="00E45208" w:rsidRPr="004862A1" w:rsidP="00E32E9C">
      <w:pPr>
        <w:bidi w:val="0"/>
        <w:spacing w:after="0" w:line="240" w:lineRule="auto"/>
        <w:rPr>
          <w:rFonts w:ascii="Times New Roman" w:hAnsi="Times New Roman"/>
          <w:sz w:val="24"/>
          <w:szCs w:val="24"/>
        </w:rPr>
      </w:pPr>
      <w:r w:rsidRPr="004862A1" w:rsidR="0058681C">
        <w:rPr>
          <w:rFonts w:ascii="Times New Roman" w:hAnsi="Times New Roman"/>
          <w:sz w:val="24"/>
          <w:szCs w:val="24"/>
        </w:rPr>
        <w:t xml:space="preserve">V tomto odseku sa upresňuje znenie vo väzbe na prípravu petície, a to tak, že zostavenie, podanie alebo vybavenie  petície podľa § 10 ods. </w:t>
      </w:r>
      <w:r w:rsidRPr="004862A1" w:rsidR="00F600B7">
        <w:rPr>
          <w:rFonts w:ascii="Times New Roman" w:hAnsi="Times New Roman"/>
          <w:sz w:val="24"/>
          <w:szCs w:val="24"/>
        </w:rPr>
        <w:t>5</w:t>
      </w:r>
      <w:r w:rsidRPr="004862A1" w:rsidR="0058681C">
        <w:rPr>
          <w:rFonts w:ascii="Times New Roman" w:hAnsi="Times New Roman"/>
          <w:sz w:val="24"/>
          <w:szCs w:val="24"/>
        </w:rPr>
        <w:t xml:space="preserve"> </w:t>
      </w:r>
      <w:r w:rsidRPr="004862A1" w:rsidR="00B535CB">
        <w:rPr>
          <w:rFonts w:ascii="Times New Roman" w:hAnsi="Times New Roman"/>
          <w:sz w:val="24"/>
          <w:szCs w:val="24"/>
        </w:rPr>
        <w:t xml:space="preserve">nie je </w:t>
      </w:r>
      <w:r w:rsidRPr="004862A1" w:rsidR="0058681C">
        <w:rPr>
          <w:rFonts w:ascii="Times New Roman" w:hAnsi="Times New Roman"/>
          <w:sz w:val="24"/>
          <w:szCs w:val="24"/>
        </w:rPr>
        <w:t>dôvodom pre neudelenie individuálnej licencie</w:t>
      </w:r>
      <w:r w:rsidR="0009307F">
        <w:rPr>
          <w:rFonts w:ascii="Times New Roman" w:hAnsi="Times New Roman"/>
          <w:sz w:val="24"/>
          <w:szCs w:val="24"/>
        </w:rPr>
        <w:t xml:space="preserve"> (n</w:t>
      </w:r>
      <w:r w:rsidRPr="004862A1" w:rsidR="0058681C">
        <w:rPr>
          <w:rFonts w:ascii="Times New Roman" w:hAnsi="Times New Roman"/>
          <w:sz w:val="24"/>
          <w:szCs w:val="24"/>
        </w:rPr>
        <w:t>ávrhom sa reaguje na doterajšie skúsenosti s </w:t>
      </w:r>
      <w:r w:rsidR="0009307F">
        <w:rPr>
          <w:rFonts w:ascii="Times New Roman" w:hAnsi="Times New Roman"/>
          <w:sz w:val="24"/>
          <w:szCs w:val="24"/>
        </w:rPr>
        <w:t>d</w:t>
      </w:r>
      <w:r w:rsidRPr="004862A1" w:rsidR="0058681C">
        <w:rPr>
          <w:rFonts w:ascii="Times New Roman" w:hAnsi="Times New Roman"/>
          <w:sz w:val="24"/>
          <w:szCs w:val="24"/>
        </w:rPr>
        <w:t>obou trvania petície</w:t>
      </w:r>
      <w:r w:rsidR="0009307F">
        <w:rPr>
          <w:rFonts w:ascii="Times New Roman" w:hAnsi="Times New Roman"/>
          <w:sz w:val="24"/>
          <w:szCs w:val="24"/>
        </w:rPr>
        <w:t>)</w:t>
      </w:r>
      <w:r w:rsidRPr="004862A1" w:rsidR="00E32E9C">
        <w:rPr>
          <w:rFonts w:ascii="Times New Roman" w:hAnsi="Times New Roman"/>
          <w:sz w:val="24"/>
          <w:szCs w:val="24"/>
        </w:rPr>
        <w:t>.</w:t>
      </w:r>
      <w:r w:rsidRPr="004862A1" w:rsidR="00272EBE">
        <w:rPr>
          <w:rFonts w:ascii="Times New Roman" w:hAnsi="Times New Roman"/>
          <w:sz w:val="24"/>
          <w:szCs w:val="24"/>
        </w:rPr>
        <w:t xml:space="preserve"> </w:t>
      </w:r>
      <w:r w:rsidRPr="004862A1" w:rsidR="00493844">
        <w:rPr>
          <w:rFonts w:ascii="Times New Roman" w:hAnsi="Times New Roman"/>
          <w:sz w:val="24"/>
          <w:szCs w:val="24"/>
        </w:rPr>
        <w:t>Ustanoven</w:t>
      </w:r>
      <w:r w:rsidRPr="004862A1" w:rsidR="00B535CB">
        <w:rPr>
          <w:rFonts w:ascii="Times New Roman" w:hAnsi="Times New Roman"/>
          <w:sz w:val="24"/>
          <w:szCs w:val="24"/>
        </w:rPr>
        <w:t>ím</w:t>
      </w:r>
      <w:r w:rsidRPr="004862A1" w:rsidR="00493844">
        <w:rPr>
          <w:rFonts w:ascii="Times New Roman" w:hAnsi="Times New Roman"/>
          <w:sz w:val="24"/>
          <w:szCs w:val="24"/>
        </w:rPr>
        <w:t xml:space="preserve"> sa </w:t>
      </w:r>
      <w:r w:rsidR="00D44F12">
        <w:rPr>
          <w:rFonts w:ascii="Times New Roman" w:hAnsi="Times New Roman"/>
          <w:sz w:val="24"/>
          <w:szCs w:val="24"/>
        </w:rPr>
        <w:t>aj spresňuj</w:t>
      </w:r>
      <w:r w:rsidR="004B15BD">
        <w:rPr>
          <w:rFonts w:ascii="Times New Roman" w:hAnsi="Times New Roman"/>
          <w:sz w:val="24"/>
          <w:szCs w:val="24"/>
        </w:rPr>
        <w:t>ú</w:t>
      </w:r>
      <w:r w:rsidR="00D44F12">
        <w:rPr>
          <w:rFonts w:ascii="Times New Roman" w:hAnsi="Times New Roman"/>
          <w:sz w:val="24"/>
          <w:szCs w:val="24"/>
        </w:rPr>
        <w:t xml:space="preserve"> </w:t>
      </w:r>
      <w:r w:rsidR="004B15BD">
        <w:rPr>
          <w:rFonts w:ascii="Times New Roman" w:hAnsi="Times New Roman"/>
          <w:sz w:val="24"/>
          <w:szCs w:val="24"/>
        </w:rPr>
        <w:t xml:space="preserve">podmienky </w:t>
      </w:r>
      <w:r w:rsidR="00D44F12">
        <w:rPr>
          <w:rFonts w:ascii="Times New Roman" w:hAnsi="Times New Roman"/>
          <w:sz w:val="24"/>
          <w:szCs w:val="24"/>
        </w:rPr>
        <w:t>prevádzkovani</w:t>
      </w:r>
      <w:r w:rsidR="004B15BD">
        <w:rPr>
          <w:rFonts w:ascii="Times New Roman" w:hAnsi="Times New Roman"/>
          <w:sz w:val="24"/>
          <w:szCs w:val="24"/>
        </w:rPr>
        <w:t>a</w:t>
      </w:r>
      <w:r w:rsidR="00D44F12">
        <w:rPr>
          <w:rFonts w:ascii="Times New Roman" w:hAnsi="Times New Roman"/>
          <w:sz w:val="24"/>
          <w:szCs w:val="24"/>
        </w:rPr>
        <w:t xml:space="preserve"> a propagovani</w:t>
      </w:r>
      <w:r w:rsidR="004B15BD">
        <w:rPr>
          <w:rFonts w:ascii="Times New Roman" w:hAnsi="Times New Roman"/>
          <w:sz w:val="24"/>
          <w:szCs w:val="24"/>
        </w:rPr>
        <w:t>a</w:t>
      </w:r>
      <w:r w:rsidR="00D44F12">
        <w:rPr>
          <w:rFonts w:ascii="Times New Roman" w:hAnsi="Times New Roman"/>
          <w:sz w:val="24"/>
          <w:szCs w:val="24"/>
        </w:rPr>
        <w:t xml:space="preserve"> hazardných hier, </w:t>
      </w:r>
      <w:r w:rsidR="004B15BD">
        <w:rPr>
          <w:rFonts w:ascii="Times New Roman" w:hAnsi="Times New Roman"/>
          <w:sz w:val="24"/>
          <w:szCs w:val="24"/>
        </w:rPr>
        <w:t xml:space="preserve">pričom sa </w:t>
      </w:r>
      <w:r w:rsidRPr="004862A1" w:rsidR="00493844">
        <w:rPr>
          <w:rFonts w:ascii="Times New Roman" w:hAnsi="Times New Roman"/>
          <w:sz w:val="24"/>
          <w:szCs w:val="24"/>
        </w:rPr>
        <w:t>z</w:t>
      </w:r>
      <w:r w:rsidRPr="004862A1" w:rsidR="00B535CB">
        <w:rPr>
          <w:rFonts w:ascii="Times New Roman" w:hAnsi="Times New Roman"/>
          <w:sz w:val="24"/>
          <w:szCs w:val="24"/>
        </w:rPr>
        <w:t>a</w:t>
      </w:r>
      <w:r w:rsidRPr="004862A1" w:rsidR="00493844">
        <w:rPr>
          <w:rFonts w:ascii="Times New Roman" w:hAnsi="Times New Roman"/>
          <w:sz w:val="24"/>
          <w:szCs w:val="24"/>
        </w:rPr>
        <w:t>kaz</w:t>
      </w:r>
      <w:r w:rsidRPr="004862A1" w:rsidR="00B535CB">
        <w:rPr>
          <w:rFonts w:ascii="Times New Roman" w:hAnsi="Times New Roman"/>
          <w:sz w:val="24"/>
          <w:szCs w:val="24"/>
        </w:rPr>
        <w:t>uje</w:t>
      </w:r>
      <w:r w:rsidRPr="004862A1" w:rsidR="00493844">
        <w:rPr>
          <w:rFonts w:ascii="Times New Roman" w:hAnsi="Times New Roman"/>
          <w:sz w:val="24"/>
          <w:szCs w:val="24"/>
        </w:rPr>
        <w:t xml:space="preserve"> prevádzkovani</w:t>
      </w:r>
      <w:r w:rsidRPr="004862A1" w:rsidR="00B535CB">
        <w:rPr>
          <w:rFonts w:ascii="Times New Roman" w:hAnsi="Times New Roman"/>
          <w:sz w:val="24"/>
          <w:szCs w:val="24"/>
        </w:rPr>
        <w:t>e</w:t>
      </w:r>
      <w:r w:rsidRPr="004862A1" w:rsidR="00493844">
        <w:rPr>
          <w:rFonts w:ascii="Times New Roman" w:hAnsi="Times New Roman"/>
          <w:sz w:val="24"/>
          <w:szCs w:val="24"/>
        </w:rPr>
        <w:t xml:space="preserve"> a propagovani</w:t>
      </w:r>
      <w:r w:rsidRPr="004862A1" w:rsidR="00B535CB">
        <w:rPr>
          <w:rFonts w:ascii="Times New Roman" w:hAnsi="Times New Roman"/>
          <w:sz w:val="24"/>
          <w:szCs w:val="24"/>
        </w:rPr>
        <w:t>e</w:t>
      </w:r>
      <w:r w:rsidRPr="004862A1" w:rsidR="00493844">
        <w:rPr>
          <w:rFonts w:ascii="Times New Roman" w:hAnsi="Times New Roman"/>
          <w:sz w:val="24"/>
          <w:szCs w:val="24"/>
        </w:rPr>
        <w:t xml:space="preserve"> hazardných hier, na ktoré nebola udelená alebo vydaná licencia, čím sa posilňuje výkladová jednoznačnosť tohto odseku.</w:t>
      </w:r>
      <w:r w:rsidR="0009307F">
        <w:rPr>
          <w:rFonts w:ascii="Times New Roman" w:hAnsi="Times New Roman"/>
          <w:sz w:val="24"/>
          <w:szCs w:val="24"/>
        </w:rPr>
        <w:t xml:space="preserve"> </w:t>
      </w:r>
    </w:p>
    <w:p w:rsidR="009D7D0B" w:rsidRPr="004862A1" w:rsidP="009D7D0B">
      <w:pPr>
        <w:bidi w:val="0"/>
        <w:spacing w:after="0" w:line="240" w:lineRule="auto"/>
        <w:rPr>
          <w:rFonts w:ascii="Times New Roman" w:hAnsi="Times New Roman"/>
          <w:sz w:val="24"/>
          <w:szCs w:val="24"/>
        </w:rPr>
      </w:pPr>
    </w:p>
    <w:p w:rsidR="00B352FC" w:rsidP="009D7D0B">
      <w:pPr>
        <w:bidi w:val="0"/>
        <w:spacing w:after="0" w:line="240" w:lineRule="auto"/>
        <w:rPr>
          <w:rFonts w:ascii="Times New Roman" w:hAnsi="Times New Roman"/>
          <w:sz w:val="24"/>
          <w:szCs w:val="24"/>
        </w:rPr>
      </w:pPr>
      <w:r w:rsidRPr="004862A1" w:rsidR="009D7D0B">
        <w:rPr>
          <w:rFonts w:ascii="Times New Roman" w:hAnsi="Times New Roman"/>
          <w:sz w:val="24"/>
          <w:szCs w:val="24"/>
        </w:rPr>
        <w:t>K</w:t>
      </w:r>
      <w:r w:rsidRPr="004862A1" w:rsidR="009D7D0B">
        <w:t> </w:t>
      </w:r>
      <w:r w:rsidRPr="004862A1" w:rsidR="009D7D0B">
        <w:rPr>
          <w:rFonts w:ascii="Times New Roman" w:hAnsi="Times New Roman"/>
          <w:sz w:val="24"/>
          <w:szCs w:val="24"/>
        </w:rPr>
        <w:t xml:space="preserve">bodu </w:t>
      </w:r>
      <w:r w:rsidRPr="004862A1" w:rsidR="004C7C77">
        <w:rPr>
          <w:rFonts w:ascii="Times New Roman" w:hAnsi="Times New Roman"/>
          <w:sz w:val="24"/>
          <w:szCs w:val="24"/>
        </w:rPr>
        <w:t>11</w:t>
      </w:r>
    </w:p>
    <w:p w:rsidR="004C3B1B" w:rsidP="009D7D0B">
      <w:pPr>
        <w:bidi w:val="0"/>
        <w:spacing w:after="0" w:line="240" w:lineRule="auto"/>
        <w:rPr>
          <w:rFonts w:ascii="Times New Roman" w:hAnsi="Times New Roman"/>
          <w:sz w:val="24"/>
          <w:szCs w:val="24"/>
        </w:rPr>
      </w:pPr>
      <w:r w:rsidR="00534C28">
        <w:rPr>
          <w:rFonts w:ascii="Times New Roman" w:hAnsi="Times New Roman"/>
          <w:sz w:val="24"/>
          <w:szCs w:val="24"/>
        </w:rPr>
        <w:t>Ustanovením § 3 ods. 4 písm. a) sa upravuje pojem „športová súťaž"</w:t>
      </w:r>
      <w:r w:rsidRPr="008D5B40" w:rsidR="00534C28">
        <w:rPr>
          <w:rFonts w:ascii="Times New Roman" w:hAnsi="Times New Roman"/>
          <w:sz w:val="24"/>
          <w:szCs w:val="24"/>
        </w:rPr>
        <w:t xml:space="preserve"> v súlade s terminológiou zákona č. 1/2014 Z. z. o organizovaní verejných športových podujatí a o zmene a doplnení niektorých zákonov </w:t>
      </w:r>
      <w:r w:rsidR="00534C28">
        <w:rPr>
          <w:rFonts w:ascii="Times New Roman" w:hAnsi="Times New Roman"/>
          <w:sz w:val="24"/>
          <w:szCs w:val="24"/>
        </w:rPr>
        <w:t>a tento pojem sa nahrádza pojmom „</w:t>
      </w:r>
      <w:r w:rsidRPr="008D5B40" w:rsidR="00534C28">
        <w:rPr>
          <w:rFonts w:ascii="Times New Roman" w:hAnsi="Times New Roman"/>
          <w:sz w:val="24"/>
          <w:szCs w:val="24"/>
        </w:rPr>
        <w:t>športové podujatia</w:t>
      </w:r>
      <w:r w:rsidR="00534C28">
        <w:rPr>
          <w:rFonts w:ascii="Times New Roman" w:hAnsi="Times New Roman"/>
          <w:sz w:val="24"/>
          <w:szCs w:val="24"/>
        </w:rPr>
        <w:t>“ podľa uvedeného predpisu</w:t>
      </w:r>
      <w:r>
        <w:rPr>
          <w:rFonts w:ascii="Times New Roman" w:hAnsi="Times New Roman"/>
          <w:sz w:val="24"/>
          <w:szCs w:val="24"/>
        </w:rPr>
        <w:t>.</w:t>
      </w:r>
      <w:r w:rsidRPr="008D5B40" w:rsidR="00534C28">
        <w:rPr>
          <w:rFonts w:ascii="Times New Roman" w:hAnsi="Times New Roman"/>
          <w:sz w:val="24"/>
          <w:szCs w:val="24"/>
        </w:rPr>
        <w:t xml:space="preserve"> </w:t>
      </w:r>
      <w:r>
        <w:rPr>
          <w:rFonts w:ascii="Times New Roman" w:hAnsi="Times New Roman"/>
          <w:sz w:val="24"/>
          <w:szCs w:val="24"/>
        </w:rPr>
        <w:t xml:space="preserve">Pojem športové podujatia je rozširujúci, pretože nie vo všetkých športoch sa súťaží, </w:t>
      </w:r>
      <w:r w:rsidRPr="008D5B40" w:rsidR="00534C28">
        <w:rPr>
          <w:rFonts w:ascii="Times New Roman" w:hAnsi="Times New Roman"/>
          <w:sz w:val="24"/>
          <w:szCs w:val="24"/>
        </w:rPr>
        <w:t xml:space="preserve">napr. </w:t>
      </w:r>
      <w:r>
        <w:rPr>
          <w:rFonts w:ascii="Times New Roman" w:hAnsi="Times New Roman"/>
          <w:sz w:val="24"/>
          <w:szCs w:val="24"/>
        </w:rPr>
        <w:t xml:space="preserve">v športe </w:t>
      </w:r>
      <w:r w:rsidRPr="008D5B40" w:rsidR="00534C28">
        <w:rPr>
          <w:rFonts w:ascii="Times New Roman" w:hAnsi="Times New Roman"/>
          <w:sz w:val="24"/>
          <w:szCs w:val="24"/>
        </w:rPr>
        <w:t>aikido</w:t>
      </w:r>
      <w:r>
        <w:rPr>
          <w:rFonts w:ascii="Times New Roman" w:hAnsi="Times New Roman"/>
          <w:sz w:val="24"/>
          <w:szCs w:val="24"/>
        </w:rPr>
        <w:t>.</w:t>
      </w:r>
    </w:p>
    <w:p w:rsidR="007D652B" w:rsidP="009D7D0B">
      <w:pPr>
        <w:bidi w:val="0"/>
        <w:spacing w:after="0" w:line="240" w:lineRule="auto"/>
        <w:rPr>
          <w:rFonts w:ascii="Times New Roman" w:hAnsi="Times New Roman"/>
          <w:sz w:val="24"/>
          <w:szCs w:val="24"/>
        </w:rPr>
      </w:pPr>
    </w:p>
    <w:p w:rsidR="007D652B" w:rsidP="007D652B">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bodu 1</w:t>
      </w:r>
      <w:r>
        <w:rPr>
          <w:rFonts w:ascii="Times New Roman" w:hAnsi="Times New Roman"/>
          <w:sz w:val="24"/>
          <w:szCs w:val="24"/>
        </w:rPr>
        <w:t>2</w:t>
      </w:r>
    </w:p>
    <w:p w:rsidR="00B352FC" w:rsidRPr="004862A1" w:rsidP="007D652B">
      <w:pPr>
        <w:bidi w:val="0"/>
        <w:spacing w:after="0" w:line="240" w:lineRule="auto"/>
        <w:rPr>
          <w:rFonts w:ascii="Times New Roman" w:hAnsi="Times New Roman"/>
          <w:sz w:val="24"/>
          <w:szCs w:val="24"/>
        </w:rPr>
      </w:pPr>
      <w:r w:rsidRPr="004862A1">
        <w:rPr>
          <w:rFonts w:ascii="Times New Roman" w:hAnsi="Times New Roman"/>
          <w:sz w:val="24"/>
          <w:szCs w:val="24"/>
        </w:rPr>
        <w:t>Toto ustanovenie nadväzuje na navrhnutú úpravu v § 3 ods. 3</w:t>
      </w:r>
      <w:r w:rsidRPr="004862A1" w:rsidR="00885ACA">
        <w:rPr>
          <w:rFonts w:ascii="Times New Roman" w:hAnsi="Times New Roman"/>
          <w:sz w:val="24"/>
          <w:szCs w:val="24"/>
        </w:rPr>
        <w:t xml:space="preserve"> (zákaz prevádzkovania a propagovania hazardných hier bez licencie)</w:t>
      </w:r>
      <w:r w:rsidRPr="004862A1">
        <w:rPr>
          <w:rFonts w:ascii="Times New Roman" w:hAnsi="Times New Roman"/>
          <w:sz w:val="24"/>
          <w:szCs w:val="24"/>
        </w:rPr>
        <w:t>. Ustanovením sa rozšíri zákaz prevádzkovania zahraničných hazardných hier aj na ich propagovanie.</w:t>
      </w:r>
    </w:p>
    <w:p w:rsidR="00885311" w:rsidRPr="004862A1" w:rsidP="00E32E9C">
      <w:pPr>
        <w:bidi w:val="0"/>
        <w:spacing w:after="0" w:line="240" w:lineRule="auto"/>
        <w:rPr>
          <w:rFonts w:ascii="Times New Roman" w:hAnsi="Times New Roman"/>
          <w:sz w:val="24"/>
          <w:szCs w:val="24"/>
        </w:rPr>
      </w:pPr>
    </w:p>
    <w:p w:rsidR="00B352FC" w:rsidRPr="004862A1" w:rsidP="009D7D0B">
      <w:pPr>
        <w:bidi w:val="0"/>
        <w:spacing w:after="0" w:line="240" w:lineRule="auto"/>
        <w:rPr>
          <w:rFonts w:ascii="Times New Roman" w:hAnsi="Times New Roman"/>
          <w:sz w:val="24"/>
          <w:szCs w:val="24"/>
        </w:rPr>
      </w:pPr>
      <w:r w:rsidRPr="004862A1" w:rsidR="009D7D0B">
        <w:rPr>
          <w:rFonts w:ascii="Times New Roman" w:hAnsi="Times New Roman"/>
          <w:sz w:val="24"/>
          <w:szCs w:val="24"/>
        </w:rPr>
        <w:t>K</w:t>
      </w:r>
      <w:r w:rsidRPr="004862A1" w:rsidR="009D7D0B">
        <w:t> </w:t>
      </w:r>
      <w:r w:rsidRPr="004862A1" w:rsidR="009D7D0B">
        <w:rPr>
          <w:rFonts w:ascii="Times New Roman" w:hAnsi="Times New Roman"/>
          <w:sz w:val="24"/>
          <w:szCs w:val="24"/>
        </w:rPr>
        <w:t>bodu 1</w:t>
      </w:r>
      <w:r w:rsidR="00BE7D64">
        <w:rPr>
          <w:rFonts w:ascii="Times New Roman" w:hAnsi="Times New Roman"/>
          <w:sz w:val="24"/>
          <w:szCs w:val="24"/>
        </w:rPr>
        <w:t>3</w:t>
      </w:r>
    </w:p>
    <w:p w:rsidR="00B352FC"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Úprava ustanovenia § 10</w:t>
      </w:r>
      <w:r w:rsidR="00BE7D64">
        <w:rPr>
          <w:rFonts w:ascii="Times New Roman" w:hAnsi="Times New Roman"/>
          <w:sz w:val="24"/>
          <w:szCs w:val="24"/>
        </w:rPr>
        <w:t xml:space="preserve"> ods. 1 písm. d)</w:t>
      </w:r>
      <w:r w:rsidRPr="004862A1">
        <w:rPr>
          <w:rFonts w:ascii="Times New Roman" w:hAnsi="Times New Roman"/>
          <w:sz w:val="24"/>
          <w:szCs w:val="24"/>
        </w:rPr>
        <w:t xml:space="preserve"> súvisí </w:t>
      </w:r>
      <w:r w:rsidR="00BE7D64">
        <w:rPr>
          <w:rFonts w:ascii="Times New Roman" w:hAnsi="Times New Roman"/>
          <w:sz w:val="24"/>
          <w:szCs w:val="24"/>
        </w:rPr>
        <w:t xml:space="preserve">s </w:t>
      </w:r>
      <w:r w:rsidRPr="004862A1">
        <w:rPr>
          <w:rFonts w:ascii="Times New Roman" w:hAnsi="Times New Roman"/>
          <w:sz w:val="24"/>
          <w:szCs w:val="24"/>
        </w:rPr>
        <w:t>úprav</w:t>
      </w:r>
      <w:r w:rsidR="00BE7D64">
        <w:rPr>
          <w:rFonts w:ascii="Times New Roman" w:hAnsi="Times New Roman"/>
          <w:sz w:val="24"/>
          <w:szCs w:val="24"/>
        </w:rPr>
        <w:t>ou</w:t>
      </w:r>
      <w:r w:rsidRPr="004862A1">
        <w:rPr>
          <w:rFonts w:ascii="Times New Roman" w:hAnsi="Times New Roman"/>
          <w:sz w:val="24"/>
          <w:szCs w:val="24"/>
        </w:rPr>
        <w:t xml:space="preserve"> </w:t>
      </w:r>
      <w:r w:rsidRPr="004862A1" w:rsidR="00813FC8">
        <w:rPr>
          <w:rFonts w:ascii="Times New Roman" w:hAnsi="Times New Roman"/>
          <w:sz w:val="24"/>
          <w:szCs w:val="24"/>
        </w:rPr>
        <w:t xml:space="preserve">štátnej správy v oblasti hazardných hier. </w:t>
      </w:r>
      <w:r w:rsidRPr="004862A1" w:rsidR="004C7C77">
        <w:rPr>
          <w:rFonts w:ascii="Times New Roman" w:hAnsi="Times New Roman"/>
          <w:sz w:val="24"/>
          <w:szCs w:val="24"/>
        </w:rPr>
        <w:t>Orgány finančnej správy</w:t>
      </w:r>
      <w:r w:rsidRPr="004862A1">
        <w:rPr>
          <w:rFonts w:ascii="Times New Roman" w:hAnsi="Times New Roman"/>
          <w:sz w:val="24"/>
          <w:szCs w:val="24"/>
        </w:rPr>
        <w:t xml:space="preserve"> preber</w:t>
      </w:r>
      <w:r w:rsidRPr="004862A1" w:rsidR="004C7C77">
        <w:rPr>
          <w:rFonts w:ascii="Times New Roman" w:hAnsi="Times New Roman"/>
          <w:sz w:val="24"/>
          <w:szCs w:val="24"/>
        </w:rPr>
        <w:t>ajú</w:t>
      </w:r>
      <w:r w:rsidRPr="004862A1">
        <w:rPr>
          <w:rFonts w:ascii="Times New Roman" w:hAnsi="Times New Roman"/>
          <w:sz w:val="24"/>
          <w:szCs w:val="24"/>
        </w:rPr>
        <w:t xml:space="preserve"> </w:t>
      </w:r>
      <w:r w:rsidRPr="004862A1" w:rsidR="004C7C77">
        <w:rPr>
          <w:rFonts w:ascii="Times New Roman" w:hAnsi="Times New Roman"/>
          <w:sz w:val="24"/>
          <w:szCs w:val="24"/>
        </w:rPr>
        <w:t xml:space="preserve">aj </w:t>
      </w:r>
      <w:r w:rsidRPr="004862A1">
        <w:rPr>
          <w:rFonts w:ascii="Times New Roman" w:hAnsi="Times New Roman"/>
          <w:sz w:val="24"/>
          <w:szCs w:val="24"/>
        </w:rPr>
        <w:t xml:space="preserve">kompetencie, ktoré v oblasti dozoru nad prevádzkovaním </w:t>
      </w:r>
      <w:r w:rsidRPr="004862A1" w:rsidR="006234D0">
        <w:rPr>
          <w:rFonts w:ascii="Times New Roman" w:hAnsi="Times New Roman"/>
          <w:sz w:val="24"/>
          <w:szCs w:val="24"/>
        </w:rPr>
        <w:t xml:space="preserve">a propagovaním </w:t>
      </w:r>
      <w:r w:rsidRPr="004862A1">
        <w:rPr>
          <w:rFonts w:ascii="Times New Roman" w:hAnsi="Times New Roman"/>
          <w:sz w:val="24"/>
          <w:szCs w:val="24"/>
        </w:rPr>
        <w:t>hazardných hier doteraz mal</w:t>
      </w:r>
      <w:r w:rsidRPr="004862A1" w:rsidR="004C7C77">
        <w:rPr>
          <w:rFonts w:ascii="Times New Roman" w:hAnsi="Times New Roman"/>
          <w:sz w:val="24"/>
          <w:szCs w:val="24"/>
        </w:rPr>
        <w:t>i obce</w:t>
      </w:r>
      <w:r w:rsidRPr="004862A1" w:rsidR="00813FC8">
        <w:rPr>
          <w:rFonts w:ascii="Times New Roman" w:hAnsi="Times New Roman"/>
          <w:sz w:val="24"/>
          <w:szCs w:val="24"/>
        </w:rPr>
        <w:t xml:space="preserve">, pričom obec bude aj naďalej rozhodovať o udelení individuálnej licencie na prevádzkovanie výherných prístrojov. </w:t>
      </w:r>
      <w:r w:rsidRPr="004862A1">
        <w:rPr>
          <w:rFonts w:ascii="Times New Roman" w:hAnsi="Times New Roman"/>
          <w:sz w:val="24"/>
          <w:szCs w:val="24"/>
        </w:rPr>
        <w:t>Orgán</w:t>
      </w:r>
      <w:r w:rsidRPr="004862A1" w:rsidR="005E6C77">
        <w:rPr>
          <w:rFonts w:ascii="Times New Roman" w:hAnsi="Times New Roman"/>
          <w:sz w:val="24"/>
          <w:szCs w:val="24"/>
        </w:rPr>
        <w:t xml:space="preserve">om </w:t>
      </w:r>
      <w:r w:rsidRPr="004862A1">
        <w:rPr>
          <w:rFonts w:ascii="Times New Roman" w:hAnsi="Times New Roman"/>
          <w:sz w:val="24"/>
          <w:szCs w:val="24"/>
        </w:rPr>
        <w:t xml:space="preserve">štátnej správy v oblasti hazardných hier </w:t>
      </w:r>
      <w:r w:rsidRPr="004862A1" w:rsidR="005E6C77">
        <w:rPr>
          <w:rFonts w:ascii="Times New Roman" w:hAnsi="Times New Roman"/>
          <w:sz w:val="24"/>
          <w:szCs w:val="24"/>
        </w:rPr>
        <w:t>sa stanú aj colné úrady</w:t>
      </w:r>
      <w:r w:rsidRPr="004862A1">
        <w:rPr>
          <w:rFonts w:ascii="Times New Roman" w:hAnsi="Times New Roman"/>
          <w:sz w:val="24"/>
          <w:szCs w:val="24"/>
        </w:rPr>
        <w:t>, ktoré budú plniť vymedzené úlohy v oblasti hazardných hier.</w:t>
      </w:r>
    </w:p>
    <w:p w:rsidR="00E45208" w:rsidRPr="004862A1" w:rsidP="00171063">
      <w:pPr>
        <w:pStyle w:val="Heading2"/>
        <w:bidi w:val="0"/>
        <w:rPr>
          <w:rFonts w:ascii="Times New Roman" w:hAnsi="Times New Roman"/>
        </w:rPr>
      </w:pPr>
    </w:p>
    <w:p w:rsidR="009D7D0B" w:rsidRPr="004862A1" w:rsidP="00D84359">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bodu 1</w:t>
      </w:r>
      <w:r w:rsidR="00BE7D64">
        <w:rPr>
          <w:rFonts w:ascii="Times New Roman" w:hAnsi="Times New Roman"/>
          <w:sz w:val="24"/>
          <w:szCs w:val="24"/>
        </w:rPr>
        <w:t>4</w:t>
      </w:r>
    </w:p>
    <w:p w:rsidR="00223EDB" w:rsidRPr="004862A1" w:rsidP="00E32E9C">
      <w:pPr>
        <w:bidi w:val="0"/>
        <w:spacing w:after="0" w:line="240" w:lineRule="auto"/>
        <w:rPr>
          <w:rFonts w:ascii="Times New Roman" w:hAnsi="Times New Roman"/>
          <w:sz w:val="24"/>
          <w:szCs w:val="24"/>
        </w:rPr>
      </w:pPr>
      <w:r w:rsidRPr="004862A1" w:rsidR="00B352FC">
        <w:rPr>
          <w:rFonts w:ascii="Times New Roman" w:hAnsi="Times New Roman"/>
          <w:sz w:val="24"/>
          <w:szCs w:val="24"/>
        </w:rPr>
        <w:t xml:space="preserve">V súvislosti s </w:t>
      </w:r>
      <w:r w:rsidR="00BE7D64">
        <w:rPr>
          <w:rFonts w:ascii="Times New Roman" w:hAnsi="Times New Roman"/>
          <w:sz w:val="24"/>
          <w:szCs w:val="24"/>
        </w:rPr>
        <w:t>návrhom</w:t>
      </w:r>
      <w:r w:rsidRPr="004862A1" w:rsidR="00B352FC">
        <w:rPr>
          <w:rFonts w:ascii="Times New Roman" w:hAnsi="Times New Roman"/>
          <w:sz w:val="24"/>
          <w:szCs w:val="24"/>
        </w:rPr>
        <w:t xml:space="preserve"> úpravy výkonu dozoru sa </w:t>
      </w:r>
      <w:r w:rsidRPr="004862A1" w:rsidR="00B535CB">
        <w:rPr>
          <w:rFonts w:ascii="Times New Roman" w:hAnsi="Times New Roman"/>
          <w:sz w:val="24"/>
          <w:szCs w:val="24"/>
        </w:rPr>
        <w:t>upravuje pôsobnosť Ministerstva financií Slovenskej republiky ako orgánu štátnej správy v oblasti hazardných hier. Návrhom sa u</w:t>
      </w:r>
      <w:r w:rsidRPr="004862A1" w:rsidR="00B352FC">
        <w:rPr>
          <w:rFonts w:ascii="Times New Roman" w:hAnsi="Times New Roman"/>
          <w:sz w:val="24"/>
          <w:szCs w:val="24"/>
        </w:rPr>
        <w:t xml:space="preserve">púšťa od kompetencie vykonávania dozoru zo strany Ministerstva financií Slovenskej republiky a </w:t>
      </w:r>
      <w:r w:rsidRPr="007977D9" w:rsidR="00B352FC">
        <w:rPr>
          <w:rFonts w:ascii="Times New Roman" w:hAnsi="Times New Roman"/>
          <w:sz w:val="24"/>
          <w:szCs w:val="24"/>
        </w:rPr>
        <w:t>zároveň aj od kompetencie správcu informačného systému v oblasti prevádzkovania hazardných hier, ktorú už v súčasnosti vykonáva Finančné riaditeľstvo Slovenskej republiky.</w:t>
      </w:r>
      <w:r w:rsidRPr="007977D9" w:rsidR="00634B09">
        <w:rPr>
          <w:rFonts w:ascii="Times New Roman" w:hAnsi="Times New Roman"/>
          <w:sz w:val="24"/>
          <w:szCs w:val="24"/>
        </w:rPr>
        <w:t xml:space="preserve"> </w:t>
      </w:r>
      <w:r w:rsidRPr="007977D9" w:rsidR="00426EAE">
        <w:rPr>
          <w:rFonts w:ascii="Times New Roman" w:hAnsi="Times New Roman"/>
          <w:sz w:val="24"/>
          <w:szCs w:val="24"/>
        </w:rPr>
        <w:t xml:space="preserve">Návrhom sa zároveň reflektuje na poznatky z praxe a novou kompetenciou sa umožní, aby Ministerstvo financií Slovenskej republiky rozhodovalo o  zrušení prevádzkovania </w:t>
      </w:r>
      <w:r w:rsidRPr="007977D9" w:rsidR="00095209">
        <w:rPr>
          <w:rFonts w:ascii="Times New Roman" w:hAnsi="Times New Roman"/>
          <w:sz w:val="24"/>
          <w:szCs w:val="24"/>
        </w:rPr>
        <w:t>výherného prístroja</w:t>
      </w:r>
      <w:r w:rsidR="00E36C9D">
        <w:rPr>
          <w:rFonts w:ascii="Times New Roman" w:hAnsi="Times New Roman"/>
          <w:sz w:val="24"/>
          <w:szCs w:val="24"/>
        </w:rPr>
        <w:t>,</w:t>
      </w:r>
      <w:r w:rsidRPr="007977D9" w:rsidR="00095209">
        <w:rPr>
          <w:rFonts w:ascii="Times New Roman" w:hAnsi="Times New Roman"/>
          <w:sz w:val="24"/>
          <w:szCs w:val="24"/>
        </w:rPr>
        <w:t xml:space="preserve"> terminálu videohier, resp. technického zariadenia obsluhovaného priamo hráčmi</w:t>
      </w:r>
      <w:r w:rsidR="00E970B9">
        <w:rPr>
          <w:rFonts w:ascii="Times New Roman" w:hAnsi="Times New Roman"/>
          <w:sz w:val="24"/>
          <w:szCs w:val="24"/>
        </w:rPr>
        <w:t>,</w:t>
      </w:r>
      <w:r w:rsidRPr="007977D9" w:rsidR="00426EAE">
        <w:rPr>
          <w:rFonts w:ascii="Times New Roman" w:hAnsi="Times New Roman"/>
          <w:sz w:val="24"/>
          <w:szCs w:val="24"/>
          <w:lang w:eastAsia="sk-SK"/>
        </w:rPr>
        <w:t xml:space="preserve"> </w:t>
      </w:r>
      <w:r w:rsidRPr="007977D9" w:rsidR="00426EAE">
        <w:rPr>
          <w:rFonts w:ascii="Times New Roman" w:hAnsi="Times New Roman"/>
          <w:sz w:val="24"/>
          <w:szCs w:val="24"/>
        </w:rPr>
        <w:t>ak obec</w:t>
      </w:r>
      <w:r w:rsidRPr="007977D9" w:rsidR="00D53AD7">
        <w:rPr>
          <w:rFonts w:ascii="Times New Roman" w:hAnsi="Times New Roman"/>
          <w:sz w:val="24"/>
          <w:szCs w:val="24"/>
        </w:rPr>
        <w:t xml:space="preserve"> požiada a</w:t>
      </w:r>
      <w:r w:rsidRPr="007977D9" w:rsidR="00426EAE">
        <w:rPr>
          <w:rFonts w:ascii="Times New Roman" w:hAnsi="Times New Roman"/>
          <w:sz w:val="24"/>
          <w:szCs w:val="24"/>
        </w:rPr>
        <w:t xml:space="preserve"> preukáže, že v</w:t>
      </w:r>
      <w:r w:rsidR="00E970B9">
        <w:rPr>
          <w:rFonts w:ascii="Times New Roman" w:hAnsi="Times New Roman"/>
          <w:sz w:val="24"/>
          <w:szCs w:val="24"/>
        </w:rPr>
        <w:t> súvislosti s hraním hazardných hier v konkrétnej</w:t>
      </w:r>
      <w:r w:rsidRPr="007977D9" w:rsidR="00426EAE">
        <w:rPr>
          <w:rFonts w:ascii="Times New Roman" w:hAnsi="Times New Roman"/>
          <w:sz w:val="24"/>
          <w:szCs w:val="24"/>
        </w:rPr>
        <w:t xml:space="preserve"> herni dochádza k opakovanému a preukázateľnému narušovaniu verejného poriadku</w:t>
      </w:r>
      <w:r w:rsidR="00E970B9">
        <w:rPr>
          <w:rFonts w:ascii="Times New Roman" w:hAnsi="Times New Roman"/>
          <w:sz w:val="24"/>
          <w:szCs w:val="24"/>
        </w:rPr>
        <w:t>.</w:t>
      </w:r>
      <w:r w:rsidRPr="007977D9" w:rsidR="009F01D3">
        <w:rPr>
          <w:rFonts w:ascii="Times New Roman" w:hAnsi="Times New Roman"/>
          <w:sz w:val="24"/>
          <w:szCs w:val="24"/>
        </w:rPr>
        <w:t xml:space="preserve"> Návrhom sa tiež rozširuje kompetencia ministerstva v oblasti metodického usmerňovania orgánov dozoru a obcí v oblasti hazardných hier okrem výkonu dozoru, v oblasti ukladania sankcií a</w:t>
      </w:r>
      <w:r w:rsidRPr="007977D9" w:rsidR="002B4D6A">
        <w:rPr>
          <w:rFonts w:ascii="Times New Roman" w:hAnsi="Times New Roman"/>
          <w:sz w:val="24"/>
          <w:szCs w:val="24"/>
        </w:rPr>
        <w:t> zavádza sa nová kompetencia pre ministerstvo ako odvolacieho orgánu pre Finančné riaditeľstvo Slovenskej republiky vo veciach ním uložených</w:t>
      </w:r>
      <w:r w:rsidRPr="004862A1" w:rsidR="002B4D6A">
        <w:rPr>
          <w:rFonts w:ascii="Times New Roman" w:hAnsi="Times New Roman"/>
          <w:sz w:val="24"/>
          <w:szCs w:val="24"/>
        </w:rPr>
        <w:t xml:space="preserve"> sankcií.</w:t>
      </w:r>
    </w:p>
    <w:p w:rsidR="00B535CB" w:rsidRPr="004862A1" w:rsidP="00E32E9C">
      <w:pPr>
        <w:bidi w:val="0"/>
        <w:spacing w:after="0" w:line="240" w:lineRule="auto"/>
        <w:rPr>
          <w:rFonts w:ascii="Times New Roman" w:hAnsi="Times New Roman"/>
          <w:sz w:val="24"/>
          <w:szCs w:val="24"/>
        </w:rPr>
      </w:pPr>
    </w:p>
    <w:p w:rsidR="00B352FC" w:rsidRPr="004862A1" w:rsidP="00D84359">
      <w:pPr>
        <w:bidi w:val="0"/>
        <w:spacing w:after="0" w:line="240" w:lineRule="auto"/>
        <w:rPr>
          <w:rFonts w:ascii="Times New Roman" w:hAnsi="Times New Roman"/>
          <w:sz w:val="24"/>
          <w:szCs w:val="24"/>
        </w:rPr>
      </w:pPr>
      <w:r w:rsidRPr="004862A1" w:rsidR="00D84359">
        <w:rPr>
          <w:rFonts w:ascii="Times New Roman" w:hAnsi="Times New Roman"/>
          <w:sz w:val="24"/>
          <w:szCs w:val="24"/>
        </w:rPr>
        <w:t>K</w:t>
      </w:r>
      <w:r w:rsidRPr="004862A1" w:rsidR="00D84359">
        <w:t> </w:t>
      </w:r>
      <w:r w:rsidRPr="004862A1" w:rsidR="00D84359">
        <w:rPr>
          <w:rFonts w:ascii="Times New Roman" w:hAnsi="Times New Roman"/>
          <w:sz w:val="24"/>
          <w:szCs w:val="24"/>
        </w:rPr>
        <w:t>bodu 1</w:t>
      </w:r>
      <w:r w:rsidR="00D53AD7">
        <w:rPr>
          <w:rFonts w:ascii="Times New Roman" w:hAnsi="Times New Roman"/>
          <w:sz w:val="24"/>
          <w:szCs w:val="24"/>
        </w:rPr>
        <w:t>5</w:t>
      </w:r>
    </w:p>
    <w:p w:rsidR="00634B09" w:rsidRPr="004862A1" w:rsidP="00634B09">
      <w:pPr>
        <w:bidi w:val="0"/>
        <w:spacing w:after="0" w:line="240" w:lineRule="auto"/>
        <w:rPr>
          <w:rFonts w:ascii="Times New Roman" w:hAnsi="Times New Roman"/>
          <w:sz w:val="24"/>
          <w:szCs w:val="24"/>
        </w:rPr>
      </w:pPr>
      <w:r w:rsidRPr="004862A1">
        <w:rPr>
          <w:rFonts w:ascii="Times New Roman" w:hAnsi="Times New Roman"/>
          <w:sz w:val="24"/>
          <w:szCs w:val="24"/>
        </w:rPr>
        <w:t>Legislatívno-gramatické upresnenie textu.</w:t>
      </w:r>
    </w:p>
    <w:p w:rsidR="00634B09" w:rsidRPr="004862A1" w:rsidP="00634B09">
      <w:pPr>
        <w:bidi w:val="0"/>
        <w:spacing w:after="0" w:line="240" w:lineRule="auto"/>
        <w:rPr>
          <w:rFonts w:ascii="Times New Roman" w:hAnsi="Times New Roman"/>
          <w:sz w:val="24"/>
          <w:szCs w:val="24"/>
        </w:rPr>
      </w:pPr>
    </w:p>
    <w:p w:rsidR="00634B09" w:rsidRPr="004862A1" w:rsidP="00634B09">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bodu 1</w:t>
      </w:r>
      <w:r w:rsidR="00D53AD7">
        <w:rPr>
          <w:rFonts w:ascii="Times New Roman" w:hAnsi="Times New Roman"/>
          <w:sz w:val="24"/>
          <w:szCs w:val="24"/>
        </w:rPr>
        <w:t>6</w:t>
      </w:r>
    </w:p>
    <w:p w:rsidR="00634B09" w:rsidRPr="004862A1" w:rsidP="00634B09">
      <w:pPr>
        <w:bidi w:val="0"/>
        <w:spacing w:after="0" w:line="240" w:lineRule="auto"/>
        <w:rPr>
          <w:rFonts w:ascii="Times New Roman" w:hAnsi="Times New Roman"/>
          <w:sz w:val="24"/>
          <w:szCs w:val="24"/>
        </w:rPr>
      </w:pPr>
      <w:r w:rsidRPr="004862A1">
        <w:rPr>
          <w:rFonts w:ascii="Times New Roman" w:hAnsi="Times New Roman"/>
          <w:sz w:val="24"/>
          <w:szCs w:val="24"/>
        </w:rPr>
        <w:t>Legislatívno-gramatické upresnenie textu.</w:t>
      </w:r>
    </w:p>
    <w:p w:rsidR="00634B09" w:rsidRPr="004862A1" w:rsidP="00D84359">
      <w:pPr>
        <w:bidi w:val="0"/>
        <w:spacing w:after="0" w:line="240" w:lineRule="auto"/>
        <w:rPr>
          <w:rFonts w:ascii="Times New Roman" w:hAnsi="Times New Roman"/>
          <w:sz w:val="24"/>
          <w:szCs w:val="24"/>
        </w:rPr>
      </w:pPr>
    </w:p>
    <w:p w:rsidR="00634B09" w:rsidRPr="004862A1" w:rsidP="00E32E9C">
      <w:pPr>
        <w:bidi w:val="0"/>
        <w:spacing w:after="0" w:line="240" w:lineRule="auto"/>
        <w:rPr>
          <w:rFonts w:ascii="Times New Roman" w:hAnsi="Times New Roman"/>
          <w:sz w:val="24"/>
          <w:szCs w:val="24"/>
        </w:rPr>
      </w:pPr>
      <w:r w:rsidRPr="004862A1" w:rsidR="00DA0484">
        <w:rPr>
          <w:rFonts w:ascii="Times New Roman" w:hAnsi="Times New Roman"/>
          <w:sz w:val="24"/>
          <w:szCs w:val="24"/>
        </w:rPr>
        <w:t>K</w:t>
      </w:r>
      <w:r w:rsidRPr="004862A1">
        <w:rPr>
          <w:rFonts w:ascii="Times New Roman" w:hAnsi="Times New Roman"/>
          <w:sz w:val="24"/>
          <w:szCs w:val="24"/>
        </w:rPr>
        <w:t> </w:t>
      </w:r>
      <w:r w:rsidRPr="004862A1" w:rsidR="00DA0484">
        <w:rPr>
          <w:rFonts w:ascii="Times New Roman" w:hAnsi="Times New Roman"/>
          <w:sz w:val="24"/>
          <w:szCs w:val="24"/>
        </w:rPr>
        <w:t>bodu</w:t>
      </w:r>
      <w:r w:rsidRPr="004862A1">
        <w:rPr>
          <w:rFonts w:ascii="Times New Roman" w:hAnsi="Times New Roman"/>
          <w:sz w:val="24"/>
          <w:szCs w:val="24"/>
        </w:rPr>
        <w:t xml:space="preserve"> 1</w:t>
      </w:r>
      <w:r w:rsidR="00D53AD7">
        <w:rPr>
          <w:rFonts w:ascii="Times New Roman" w:hAnsi="Times New Roman"/>
          <w:sz w:val="24"/>
          <w:szCs w:val="24"/>
        </w:rPr>
        <w:t>7</w:t>
      </w:r>
    </w:p>
    <w:p w:rsidR="00634B09"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Navrhovan</w:t>
      </w:r>
      <w:r w:rsidRPr="004862A1" w:rsidR="002B4D6A">
        <w:rPr>
          <w:rFonts w:ascii="Times New Roman" w:hAnsi="Times New Roman"/>
          <w:sz w:val="24"/>
          <w:szCs w:val="24"/>
        </w:rPr>
        <w:t>ou úpravou sa rozširujú kompetencie Finančného riaditeľstva Slovenskej republiky v súvislosti s</w:t>
      </w:r>
      <w:r w:rsidRPr="004862A1">
        <w:rPr>
          <w:rFonts w:ascii="Times New Roman" w:hAnsi="Times New Roman"/>
          <w:sz w:val="24"/>
          <w:szCs w:val="24"/>
        </w:rPr>
        <w:t> doplnen</w:t>
      </w:r>
      <w:r w:rsidRPr="004862A1" w:rsidR="002B4D6A">
        <w:rPr>
          <w:rFonts w:ascii="Times New Roman" w:hAnsi="Times New Roman"/>
          <w:sz w:val="24"/>
          <w:szCs w:val="24"/>
        </w:rPr>
        <w:t>ím</w:t>
      </w:r>
      <w:r w:rsidRPr="004862A1">
        <w:rPr>
          <w:rFonts w:ascii="Times New Roman" w:hAnsi="Times New Roman"/>
          <w:sz w:val="24"/>
          <w:szCs w:val="24"/>
        </w:rPr>
        <w:t xml:space="preserve"> colných úradov ako orgánov štátnej správy v oblasti hazardných hier.</w:t>
      </w:r>
    </w:p>
    <w:p w:rsidR="00634B09" w:rsidRPr="004862A1" w:rsidP="00E32E9C">
      <w:pPr>
        <w:bidi w:val="0"/>
        <w:spacing w:after="0" w:line="240" w:lineRule="auto"/>
        <w:rPr>
          <w:rFonts w:ascii="Times New Roman" w:hAnsi="Times New Roman"/>
          <w:sz w:val="24"/>
          <w:szCs w:val="24"/>
        </w:rPr>
      </w:pPr>
    </w:p>
    <w:p w:rsidR="00634B09" w:rsidRPr="004862A1" w:rsidP="00E32E9C">
      <w:pPr>
        <w:bidi w:val="0"/>
        <w:spacing w:after="0" w:line="240" w:lineRule="auto"/>
        <w:rPr>
          <w:rFonts w:ascii="Times New Roman" w:hAnsi="Times New Roman"/>
          <w:sz w:val="24"/>
          <w:szCs w:val="24"/>
        </w:rPr>
      </w:pPr>
      <w:r w:rsidRPr="004862A1" w:rsidR="0068765F">
        <w:rPr>
          <w:rFonts w:ascii="Times New Roman" w:hAnsi="Times New Roman"/>
          <w:sz w:val="24"/>
          <w:szCs w:val="24"/>
        </w:rPr>
        <w:t>K bodu 1</w:t>
      </w:r>
      <w:r w:rsidR="00D53AD7">
        <w:rPr>
          <w:rFonts w:ascii="Times New Roman" w:hAnsi="Times New Roman"/>
          <w:sz w:val="24"/>
          <w:szCs w:val="24"/>
        </w:rPr>
        <w:t>8</w:t>
      </w:r>
    </w:p>
    <w:p w:rsidR="0068765F" w:rsidRPr="004862A1">
      <w:pPr>
        <w:bidi w:val="0"/>
        <w:spacing w:after="0" w:line="240" w:lineRule="auto"/>
        <w:rPr>
          <w:rFonts w:ascii="Times New Roman" w:hAnsi="Times New Roman"/>
          <w:sz w:val="24"/>
          <w:szCs w:val="24"/>
        </w:rPr>
      </w:pPr>
      <w:r w:rsidRPr="004862A1">
        <w:rPr>
          <w:rFonts w:ascii="Times New Roman" w:hAnsi="Times New Roman"/>
          <w:sz w:val="24"/>
          <w:szCs w:val="24"/>
        </w:rPr>
        <w:t xml:space="preserve">Navrhovaná úprava </w:t>
      </w:r>
      <w:r w:rsidRPr="004862A1" w:rsidR="002B4D6A">
        <w:rPr>
          <w:rFonts w:ascii="Times New Roman" w:hAnsi="Times New Roman"/>
          <w:sz w:val="24"/>
          <w:szCs w:val="24"/>
        </w:rPr>
        <w:t>zavádza novú kompetenciu pre Finančné riaditeľstvo Slovenskej republiky ako sankčného orgánu</w:t>
      </w:r>
      <w:r w:rsidRPr="004862A1" w:rsidR="00474B17">
        <w:rPr>
          <w:rFonts w:ascii="Times New Roman" w:hAnsi="Times New Roman"/>
          <w:sz w:val="24"/>
          <w:szCs w:val="24"/>
        </w:rPr>
        <w:t xml:space="preserve"> v oblasti hazardných hier</w:t>
      </w:r>
      <w:r w:rsidRPr="004862A1" w:rsidR="002B4D6A">
        <w:rPr>
          <w:rFonts w:ascii="Times New Roman" w:hAnsi="Times New Roman"/>
          <w:sz w:val="24"/>
          <w:szCs w:val="24"/>
        </w:rPr>
        <w:t>.</w:t>
      </w:r>
    </w:p>
    <w:p w:rsidR="0068765F" w:rsidRPr="004862A1" w:rsidP="00E32E9C">
      <w:pPr>
        <w:bidi w:val="0"/>
        <w:spacing w:after="0" w:line="240" w:lineRule="auto"/>
        <w:rPr>
          <w:rFonts w:ascii="Times New Roman" w:hAnsi="Times New Roman"/>
          <w:sz w:val="24"/>
          <w:szCs w:val="24"/>
        </w:rPr>
      </w:pPr>
    </w:p>
    <w:p w:rsidR="0068765F" w:rsidRPr="004862A1" w:rsidP="00E32E9C">
      <w:pPr>
        <w:bidi w:val="0"/>
        <w:spacing w:after="0" w:line="240" w:lineRule="auto"/>
        <w:rPr>
          <w:rFonts w:ascii="Times New Roman" w:hAnsi="Times New Roman"/>
          <w:sz w:val="24"/>
          <w:szCs w:val="24"/>
        </w:rPr>
      </w:pPr>
      <w:r w:rsidRPr="004862A1" w:rsidR="00C44B54">
        <w:rPr>
          <w:rFonts w:ascii="Times New Roman" w:hAnsi="Times New Roman"/>
          <w:sz w:val="24"/>
          <w:szCs w:val="24"/>
        </w:rPr>
        <w:t xml:space="preserve">K bodu </w:t>
      </w:r>
      <w:r w:rsidRPr="004862A1" w:rsidR="003D66EE">
        <w:rPr>
          <w:rFonts w:ascii="Times New Roman" w:hAnsi="Times New Roman"/>
          <w:sz w:val="24"/>
          <w:szCs w:val="24"/>
        </w:rPr>
        <w:t>1</w:t>
      </w:r>
      <w:r w:rsidR="00D91388">
        <w:rPr>
          <w:rFonts w:ascii="Times New Roman" w:hAnsi="Times New Roman"/>
          <w:sz w:val="24"/>
          <w:szCs w:val="24"/>
        </w:rPr>
        <w:t>9</w:t>
      </w:r>
    </w:p>
    <w:p w:rsidR="00B41107" w:rsidRPr="004862A1" w:rsidP="00B41107">
      <w:pPr>
        <w:bidi w:val="0"/>
        <w:spacing w:after="0" w:line="240" w:lineRule="auto"/>
        <w:rPr>
          <w:rFonts w:ascii="Times New Roman" w:hAnsi="Times New Roman"/>
          <w:sz w:val="24"/>
          <w:szCs w:val="24"/>
        </w:rPr>
      </w:pPr>
      <w:r w:rsidR="007F39D6">
        <w:rPr>
          <w:rFonts w:ascii="Times New Roman" w:hAnsi="Times New Roman"/>
          <w:sz w:val="24"/>
          <w:szCs w:val="24"/>
        </w:rPr>
        <w:t xml:space="preserve">Ustanovením sa spresňuje pôsobnosť daňového úradu a zároveň </w:t>
      </w:r>
      <w:r w:rsidRPr="004862A1" w:rsidR="00B352FC">
        <w:rPr>
          <w:rFonts w:ascii="Times New Roman" w:hAnsi="Times New Roman"/>
          <w:sz w:val="24"/>
          <w:szCs w:val="24"/>
        </w:rPr>
        <w:t>sa navrhuje, aby finančná zábezpeka bola zložená na účet daňového úradu miestne príslušného podľa sídla prevádzkovateľa a v tejto súvislosti bude daňový úrad vydávať potvrdenia o zložení finančnej zábezpeky na účely licenčných konaní. Ustanovením sa sleduje zlepšenie zabezpečenia neuhradených odvodov, úrokov z omeškania a nevyplatených výhier oproti súčasnosti, kedy sú tieto prostriedky zložené na účte v banke alebo pobočke zahraničnej banky.</w:t>
      </w:r>
      <w:r w:rsidRPr="004862A1">
        <w:rPr>
          <w:rFonts w:ascii="Times New Roman" w:hAnsi="Times New Roman"/>
          <w:sz w:val="24"/>
          <w:szCs w:val="24"/>
        </w:rPr>
        <w:t xml:space="preserve"> </w:t>
      </w:r>
    </w:p>
    <w:p w:rsidR="00B41107" w:rsidRPr="004862A1" w:rsidP="00B41107">
      <w:pPr>
        <w:bidi w:val="0"/>
        <w:spacing w:after="0" w:line="240" w:lineRule="auto"/>
        <w:rPr>
          <w:rFonts w:ascii="Times New Roman" w:hAnsi="Times New Roman"/>
          <w:sz w:val="24"/>
          <w:szCs w:val="24"/>
        </w:rPr>
      </w:pPr>
    </w:p>
    <w:p w:rsidR="00423EAD" w:rsidP="00423EAD">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 xml:space="preserve">bodu </w:t>
      </w:r>
      <w:r w:rsidR="007F39D6">
        <w:rPr>
          <w:rFonts w:ascii="Times New Roman" w:hAnsi="Times New Roman"/>
          <w:sz w:val="24"/>
          <w:szCs w:val="24"/>
        </w:rPr>
        <w:t>20</w:t>
      </w:r>
    </w:p>
    <w:p w:rsidR="002956E8" w:rsidRPr="004862A1" w:rsidP="002956E8">
      <w:pPr>
        <w:bidi w:val="0"/>
        <w:spacing w:after="0" w:line="240" w:lineRule="auto"/>
        <w:rPr>
          <w:rFonts w:ascii="Times New Roman" w:hAnsi="Times New Roman"/>
          <w:sz w:val="24"/>
          <w:szCs w:val="24"/>
        </w:rPr>
      </w:pPr>
      <w:r w:rsidRPr="004862A1">
        <w:rPr>
          <w:rFonts w:ascii="Times New Roman" w:hAnsi="Times New Roman"/>
          <w:sz w:val="24"/>
          <w:szCs w:val="24"/>
        </w:rPr>
        <w:t xml:space="preserve">Kompetencia obce v oblasti dozoru nad dodržiavaním tohto zákona, iných všeobecne záväzných právnych predpisov a podmienok určených v licencii udelenej podľa tohto zákona sa </w:t>
      </w:r>
      <w:r w:rsidR="00D874EE">
        <w:rPr>
          <w:rFonts w:ascii="Times New Roman" w:hAnsi="Times New Roman"/>
          <w:sz w:val="24"/>
          <w:szCs w:val="24"/>
        </w:rPr>
        <w:t xml:space="preserve">k 1.1.2018 </w:t>
      </w:r>
      <w:r w:rsidRPr="004862A1">
        <w:rPr>
          <w:rFonts w:ascii="Times New Roman" w:hAnsi="Times New Roman"/>
          <w:sz w:val="24"/>
          <w:szCs w:val="24"/>
        </w:rPr>
        <w:t xml:space="preserve">ruší </w:t>
      </w:r>
      <w:r w:rsidR="00D874EE">
        <w:rPr>
          <w:rFonts w:ascii="Times New Roman" w:hAnsi="Times New Roman"/>
          <w:sz w:val="24"/>
          <w:szCs w:val="24"/>
        </w:rPr>
        <w:t xml:space="preserve">(viď prechodné ustanovenie) </w:t>
      </w:r>
      <w:r w:rsidRPr="004862A1">
        <w:rPr>
          <w:rFonts w:ascii="Times New Roman" w:hAnsi="Times New Roman"/>
          <w:sz w:val="24"/>
          <w:szCs w:val="24"/>
        </w:rPr>
        <w:t xml:space="preserve">z dôvodu presunu </w:t>
      </w:r>
      <w:r w:rsidR="00894FBA">
        <w:rPr>
          <w:rFonts w:ascii="Times New Roman" w:hAnsi="Times New Roman"/>
          <w:sz w:val="24"/>
          <w:szCs w:val="24"/>
        </w:rPr>
        <w:t xml:space="preserve">tejto </w:t>
      </w:r>
      <w:r w:rsidRPr="004862A1">
        <w:rPr>
          <w:rFonts w:ascii="Times New Roman" w:hAnsi="Times New Roman"/>
          <w:sz w:val="24"/>
          <w:szCs w:val="24"/>
        </w:rPr>
        <w:t>kompetenci</w:t>
      </w:r>
      <w:r w:rsidR="00894FBA">
        <w:rPr>
          <w:rFonts w:ascii="Times New Roman" w:hAnsi="Times New Roman"/>
          <w:sz w:val="24"/>
          <w:szCs w:val="24"/>
        </w:rPr>
        <w:t>e</w:t>
      </w:r>
      <w:r w:rsidRPr="004862A1">
        <w:rPr>
          <w:rFonts w:ascii="Times New Roman" w:hAnsi="Times New Roman"/>
          <w:sz w:val="24"/>
          <w:szCs w:val="24"/>
        </w:rPr>
        <w:t xml:space="preserve"> na orgány finančnej správy. Obec bude naďalej </w:t>
      </w:r>
      <w:r w:rsidRPr="004862A1" w:rsidR="007F39D6">
        <w:rPr>
          <w:rFonts w:ascii="Times New Roman" w:hAnsi="Times New Roman"/>
          <w:sz w:val="24"/>
          <w:szCs w:val="24"/>
        </w:rPr>
        <w:t>licenčným orgánom na prevádzkovanie výherných prístrojov</w:t>
      </w:r>
      <w:r w:rsidR="007F39D6">
        <w:rPr>
          <w:rFonts w:ascii="Times New Roman" w:hAnsi="Times New Roman"/>
          <w:sz w:val="24"/>
          <w:szCs w:val="24"/>
        </w:rPr>
        <w:t>, bude</w:t>
      </w:r>
      <w:r w:rsidRPr="004862A1" w:rsidR="007F39D6">
        <w:rPr>
          <w:rFonts w:ascii="Times New Roman" w:hAnsi="Times New Roman"/>
          <w:sz w:val="24"/>
          <w:szCs w:val="24"/>
        </w:rPr>
        <w:t xml:space="preserve"> </w:t>
      </w:r>
      <w:r w:rsidRPr="004862A1">
        <w:rPr>
          <w:rFonts w:ascii="Times New Roman" w:hAnsi="Times New Roman"/>
          <w:sz w:val="24"/>
          <w:szCs w:val="24"/>
        </w:rPr>
        <w:t>vykonávať správu odvodov do svojho rozpočtu</w:t>
      </w:r>
      <w:r w:rsidR="007F39D6">
        <w:rPr>
          <w:rFonts w:ascii="Times New Roman" w:hAnsi="Times New Roman"/>
          <w:sz w:val="24"/>
          <w:szCs w:val="24"/>
        </w:rPr>
        <w:t xml:space="preserve"> a</w:t>
      </w:r>
      <w:r w:rsidRPr="004862A1">
        <w:rPr>
          <w:rFonts w:ascii="Times New Roman" w:hAnsi="Times New Roman"/>
          <w:sz w:val="24"/>
          <w:szCs w:val="24"/>
        </w:rPr>
        <w:t xml:space="preserve"> ukladať sankcie vo vymedzenom rozsahu.</w:t>
      </w:r>
    </w:p>
    <w:p w:rsidR="002956E8" w:rsidP="00423EAD">
      <w:pPr>
        <w:bidi w:val="0"/>
        <w:spacing w:after="0" w:line="240" w:lineRule="auto"/>
        <w:rPr>
          <w:rFonts w:ascii="Times New Roman" w:hAnsi="Times New Roman"/>
          <w:sz w:val="24"/>
          <w:szCs w:val="24"/>
        </w:rPr>
      </w:pPr>
    </w:p>
    <w:p w:rsidR="002956E8" w:rsidRPr="004862A1" w:rsidP="002956E8">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bodu 2</w:t>
      </w:r>
      <w:r w:rsidR="00894FBA">
        <w:rPr>
          <w:rFonts w:ascii="Times New Roman" w:hAnsi="Times New Roman"/>
          <w:sz w:val="24"/>
          <w:szCs w:val="24"/>
        </w:rPr>
        <w:t>1</w:t>
      </w:r>
    </w:p>
    <w:p w:rsidR="00423EAD" w:rsidRPr="007977D9" w:rsidP="00B41107">
      <w:pPr>
        <w:bidi w:val="0"/>
        <w:spacing w:after="0" w:line="240" w:lineRule="auto"/>
        <w:rPr>
          <w:rFonts w:ascii="Times New Roman" w:hAnsi="Times New Roman"/>
          <w:sz w:val="24"/>
          <w:szCs w:val="24"/>
        </w:rPr>
      </w:pPr>
      <w:r w:rsidRPr="0009307F">
        <w:rPr>
          <w:rFonts w:ascii="Times New Roman" w:hAnsi="Times New Roman"/>
          <w:sz w:val="24"/>
          <w:szCs w:val="24"/>
        </w:rPr>
        <w:t>Novelizačným ustanovením sa navrhuje, aby pri vybavovaní petície</w:t>
      </w:r>
      <w:r w:rsidRPr="0009307F" w:rsidR="005645C1">
        <w:rPr>
          <w:rFonts w:ascii="Times New Roman" w:hAnsi="Times New Roman"/>
          <w:sz w:val="24"/>
          <w:szCs w:val="24"/>
        </w:rPr>
        <w:t xml:space="preserve"> bolo prihliadnuté na skutočnosť, že dochádza opakovane</w:t>
      </w:r>
      <w:r w:rsidRPr="0009307F" w:rsidR="00894FBA">
        <w:rPr>
          <w:rFonts w:ascii="Times New Roman" w:hAnsi="Times New Roman"/>
          <w:sz w:val="24"/>
          <w:szCs w:val="24"/>
        </w:rPr>
        <w:t xml:space="preserve"> a preukázateľne</w:t>
      </w:r>
      <w:r w:rsidRPr="0009307F" w:rsidR="005645C1">
        <w:rPr>
          <w:rFonts w:ascii="Times New Roman" w:hAnsi="Times New Roman"/>
          <w:sz w:val="24"/>
          <w:szCs w:val="24"/>
        </w:rPr>
        <w:t xml:space="preserve"> k narúšaniu verejného poriadku </w:t>
      </w:r>
      <w:r w:rsidRPr="007977D9" w:rsidR="005645C1">
        <w:rPr>
          <w:rFonts w:ascii="Times New Roman" w:hAnsi="Times New Roman"/>
          <w:sz w:val="24"/>
          <w:szCs w:val="24"/>
        </w:rPr>
        <w:t xml:space="preserve">v súvislosti s hraním hazardných hier. Zároveň sa pri </w:t>
      </w:r>
      <w:r w:rsidRPr="007977D9" w:rsidR="00894FBA">
        <w:rPr>
          <w:rFonts w:ascii="Times New Roman" w:hAnsi="Times New Roman"/>
          <w:sz w:val="24"/>
          <w:szCs w:val="24"/>
        </w:rPr>
        <w:t>prešetrovaní</w:t>
      </w:r>
      <w:r w:rsidRPr="007977D9" w:rsidR="005645C1">
        <w:rPr>
          <w:rFonts w:ascii="Times New Roman" w:hAnsi="Times New Roman"/>
          <w:sz w:val="24"/>
          <w:szCs w:val="24"/>
        </w:rPr>
        <w:t xml:space="preserve"> </w:t>
      </w:r>
      <w:r w:rsidR="00D874EE">
        <w:rPr>
          <w:rFonts w:ascii="Times New Roman" w:hAnsi="Times New Roman"/>
          <w:sz w:val="24"/>
          <w:szCs w:val="24"/>
        </w:rPr>
        <w:t xml:space="preserve">a vybavovaní </w:t>
      </w:r>
      <w:r w:rsidRPr="007977D9" w:rsidR="005645C1">
        <w:rPr>
          <w:rFonts w:ascii="Times New Roman" w:hAnsi="Times New Roman"/>
          <w:sz w:val="24"/>
          <w:szCs w:val="24"/>
        </w:rPr>
        <w:t>petície bude postupovať podľa zákona o petičnom práve.</w:t>
      </w:r>
    </w:p>
    <w:p w:rsidR="00423EAD" w:rsidRPr="007977D9" w:rsidP="00B41107">
      <w:pPr>
        <w:bidi w:val="0"/>
        <w:spacing w:after="0" w:line="240" w:lineRule="auto"/>
        <w:rPr>
          <w:rFonts w:ascii="Times New Roman" w:hAnsi="Times New Roman"/>
          <w:sz w:val="24"/>
          <w:szCs w:val="24"/>
        </w:rPr>
      </w:pPr>
    </w:p>
    <w:p w:rsidR="00E971FC" w:rsidRPr="007977D9" w:rsidP="00D84359">
      <w:pPr>
        <w:bidi w:val="0"/>
        <w:spacing w:after="0" w:line="240" w:lineRule="auto"/>
        <w:rPr>
          <w:rFonts w:ascii="Times New Roman" w:hAnsi="Times New Roman"/>
          <w:sz w:val="24"/>
          <w:szCs w:val="24"/>
        </w:rPr>
      </w:pPr>
      <w:r w:rsidRPr="007977D9" w:rsidR="00D84359">
        <w:rPr>
          <w:rFonts w:ascii="Times New Roman" w:hAnsi="Times New Roman"/>
          <w:sz w:val="24"/>
          <w:szCs w:val="24"/>
        </w:rPr>
        <w:t>K</w:t>
      </w:r>
      <w:r w:rsidRPr="007977D9" w:rsidR="00D84359">
        <w:t> </w:t>
      </w:r>
      <w:r w:rsidRPr="007977D9" w:rsidR="00D84359">
        <w:rPr>
          <w:rFonts w:ascii="Times New Roman" w:hAnsi="Times New Roman"/>
          <w:sz w:val="24"/>
          <w:szCs w:val="24"/>
        </w:rPr>
        <w:t xml:space="preserve">bodu </w:t>
      </w:r>
      <w:r w:rsidRPr="007977D9" w:rsidR="00771CD4">
        <w:rPr>
          <w:rFonts w:ascii="Times New Roman" w:hAnsi="Times New Roman"/>
          <w:sz w:val="24"/>
          <w:szCs w:val="24"/>
        </w:rPr>
        <w:t>2</w:t>
      </w:r>
      <w:r w:rsidRPr="007977D9" w:rsidR="00894FBA">
        <w:rPr>
          <w:rFonts w:ascii="Times New Roman" w:hAnsi="Times New Roman"/>
          <w:sz w:val="24"/>
          <w:szCs w:val="24"/>
        </w:rPr>
        <w:t>2</w:t>
      </w:r>
    </w:p>
    <w:p w:rsidR="00894FBA" w:rsidRPr="007977D9" w:rsidP="00D84359">
      <w:pPr>
        <w:bidi w:val="0"/>
        <w:spacing w:after="0" w:line="240" w:lineRule="auto"/>
        <w:rPr>
          <w:rFonts w:ascii="Times New Roman" w:hAnsi="Times New Roman"/>
          <w:sz w:val="24"/>
          <w:szCs w:val="24"/>
        </w:rPr>
      </w:pPr>
      <w:r w:rsidRPr="007977D9">
        <w:rPr>
          <w:rFonts w:ascii="Times New Roman" w:hAnsi="Times New Roman"/>
          <w:sz w:val="24"/>
          <w:szCs w:val="24"/>
        </w:rPr>
        <w:t xml:space="preserve">Opakované a preukázateľné narušovanie verejného poriadku </w:t>
      </w:r>
      <w:r w:rsidRPr="007977D9" w:rsidR="009E663F">
        <w:rPr>
          <w:rFonts w:ascii="Times New Roman" w:hAnsi="Times New Roman"/>
          <w:sz w:val="24"/>
          <w:szCs w:val="24"/>
        </w:rPr>
        <w:t>obec preukazuje v</w:t>
      </w:r>
      <w:r w:rsidRPr="007977D9" w:rsidR="0009307F">
        <w:rPr>
          <w:rFonts w:ascii="Times New Roman" w:hAnsi="Times New Roman"/>
          <w:sz w:val="24"/>
          <w:szCs w:val="24"/>
        </w:rPr>
        <w:t xml:space="preserve"> </w:t>
      </w:r>
      <w:r w:rsidRPr="007977D9" w:rsidR="009E663F">
        <w:rPr>
          <w:rFonts w:ascii="Times New Roman" w:hAnsi="Times New Roman"/>
          <w:sz w:val="24"/>
          <w:szCs w:val="24"/>
        </w:rPr>
        <w:t>spolupráci a spolupôsobením Policajného zboru</w:t>
      </w:r>
      <w:r w:rsidR="00E970B9">
        <w:rPr>
          <w:rFonts w:ascii="Times New Roman" w:hAnsi="Times New Roman"/>
          <w:sz w:val="24"/>
          <w:szCs w:val="24"/>
        </w:rPr>
        <w:t>. Ustanovenie nadväzuje na § 10 ods.2 písm. g).</w:t>
      </w:r>
    </w:p>
    <w:p w:rsidR="00894FBA" w:rsidRPr="007977D9" w:rsidP="00D84359">
      <w:pPr>
        <w:bidi w:val="0"/>
        <w:spacing w:after="0" w:line="240" w:lineRule="auto"/>
        <w:rPr>
          <w:rFonts w:ascii="Times New Roman" w:hAnsi="Times New Roman"/>
          <w:sz w:val="24"/>
          <w:szCs w:val="24"/>
        </w:rPr>
      </w:pPr>
    </w:p>
    <w:p w:rsidR="00894FBA" w:rsidP="00894FBA">
      <w:pPr>
        <w:bidi w:val="0"/>
        <w:spacing w:after="0" w:line="240" w:lineRule="auto"/>
        <w:rPr>
          <w:rFonts w:ascii="Times New Roman" w:hAnsi="Times New Roman"/>
          <w:sz w:val="24"/>
          <w:szCs w:val="24"/>
        </w:rPr>
      </w:pPr>
      <w:r w:rsidRPr="007977D9">
        <w:rPr>
          <w:rFonts w:ascii="Times New Roman" w:hAnsi="Times New Roman"/>
          <w:sz w:val="24"/>
          <w:szCs w:val="24"/>
        </w:rPr>
        <w:t>K</w:t>
      </w:r>
      <w:r w:rsidRPr="007977D9">
        <w:t> </w:t>
      </w:r>
      <w:r w:rsidRPr="007977D9">
        <w:rPr>
          <w:rFonts w:ascii="Times New Roman" w:hAnsi="Times New Roman"/>
          <w:sz w:val="24"/>
          <w:szCs w:val="24"/>
        </w:rPr>
        <w:t>bodu 2</w:t>
      </w:r>
      <w:r w:rsidRPr="007977D9" w:rsidR="009E663F">
        <w:rPr>
          <w:rFonts w:ascii="Times New Roman" w:hAnsi="Times New Roman"/>
          <w:sz w:val="24"/>
          <w:szCs w:val="24"/>
        </w:rPr>
        <w:t>3</w:t>
      </w:r>
    </w:p>
    <w:p w:rsidR="000B5127" w:rsidRPr="004862A1" w:rsidP="00E32E9C">
      <w:pPr>
        <w:bidi w:val="0"/>
        <w:spacing w:after="0" w:line="240" w:lineRule="auto"/>
        <w:rPr>
          <w:rFonts w:ascii="Times New Roman" w:hAnsi="Times New Roman"/>
          <w:sz w:val="24"/>
          <w:szCs w:val="24"/>
        </w:rPr>
      </w:pPr>
      <w:r w:rsidRPr="004862A1" w:rsidR="00E971FC">
        <w:rPr>
          <w:rFonts w:ascii="Times New Roman" w:hAnsi="Times New Roman"/>
          <w:sz w:val="24"/>
          <w:szCs w:val="24"/>
        </w:rPr>
        <w:t>Návrhom tohto ustanovenia sa inštitucionalizuj</w:t>
      </w:r>
      <w:r w:rsidRPr="004862A1" w:rsidR="00771CD4">
        <w:rPr>
          <w:rFonts w:ascii="Times New Roman" w:hAnsi="Times New Roman"/>
          <w:sz w:val="24"/>
          <w:szCs w:val="24"/>
        </w:rPr>
        <w:t>ú</w:t>
      </w:r>
      <w:r w:rsidRPr="004862A1" w:rsidR="00E971FC">
        <w:rPr>
          <w:rFonts w:ascii="Times New Roman" w:hAnsi="Times New Roman"/>
          <w:sz w:val="24"/>
          <w:szCs w:val="24"/>
        </w:rPr>
        <w:t xml:space="preserve"> pilier</w:t>
      </w:r>
      <w:r w:rsidRPr="004862A1" w:rsidR="00771CD4">
        <w:rPr>
          <w:rFonts w:ascii="Times New Roman" w:hAnsi="Times New Roman"/>
          <w:sz w:val="24"/>
          <w:szCs w:val="24"/>
        </w:rPr>
        <w:t>e</w:t>
      </w:r>
      <w:r w:rsidRPr="004862A1" w:rsidR="00E971FC">
        <w:rPr>
          <w:rFonts w:ascii="Times New Roman" w:hAnsi="Times New Roman"/>
          <w:sz w:val="24"/>
          <w:szCs w:val="24"/>
        </w:rPr>
        <w:t xml:space="preserve"> dozoru v oblasti hazardných hier</w:t>
      </w:r>
      <w:r w:rsidRPr="004862A1" w:rsidR="00DF225F">
        <w:rPr>
          <w:rFonts w:ascii="Times New Roman" w:hAnsi="Times New Roman"/>
          <w:sz w:val="24"/>
          <w:szCs w:val="24"/>
        </w:rPr>
        <w:t xml:space="preserve"> na celom území Slovenskej republiky, </w:t>
      </w:r>
      <w:r w:rsidRPr="004862A1" w:rsidR="00E971FC">
        <w:rPr>
          <w:rFonts w:ascii="Times New Roman" w:hAnsi="Times New Roman"/>
          <w:sz w:val="24"/>
          <w:szCs w:val="24"/>
        </w:rPr>
        <w:t xml:space="preserve">a to </w:t>
      </w:r>
      <w:r w:rsidRPr="004862A1" w:rsidR="00771CD4">
        <w:rPr>
          <w:rFonts w:ascii="Times New Roman" w:hAnsi="Times New Roman"/>
          <w:sz w:val="24"/>
          <w:szCs w:val="24"/>
        </w:rPr>
        <w:t>orgány f</w:t>
      </w:r>
      <w:r w:rsidRPr="004862A1" w:rsidR="00E971FC">
        <w:rPr>
          <w:rFonts w:ascii="Times New Roman" w:hAnsi="Times New Roman"/>
          <w:sz w:val="24"/>
          <w:szCs w:val="24"/>
        </w:rPr>
        <w:t>inančn</w:t>
      </w:r>
      <w:r w:rsidRPr="004862A1" w:rsidR="00771CD4">
        <w:rPr>
          <w:rFonts w:ascii="Times New Roman" w:hAnsi="Times New Roman"/>
          <w:sz w:val="24"/>
          <w:szCs w:val="24"/>
        </w:rPr>
        <w:t xml:space="preserve">ej správy, ktoré </w:t>
      </w:r>
      <w:r w:rsidRPr="004862A1" w:rsidR="00E971FC">
        <w:rPr>
          <w:rFonts w:ascii="Times New Roman" w:hAnsi="Times New Roman"/>
          <w:sz w:val="24"/>
          <w:szCs w:val="24"/>
        </w:rPr>
        <w:t>bud</w:t>
      </w:r>
      <w:r w:rsidRPr="004862A1" w:rsidR="00771CD4">
        <w:rPr>
          <w:rFonts w:ascii="Times New Roman" w:hAnsi="Times New Roman"/>
          <w:sz w:val="24"/>
          <w:szCs w:val="24"/>
        </w:rPr>
        <w:t>ú</w:t>
      </w:r>
      <w:r w:rsidRPr="004862A1" w:rsidR="00E971FC">
        <w:rPr>
          <w:rFonts w:ascii="Times New Roman" w:hAnsi="Times New Roman"/>
          <w:sz w:val="24"/>
          <w:szCs w:val="24"/>
        </w:rPr>
        <w:t xml:space="preserve"> komplexne zastrešovať výkon dozoru v oblasti hazardných hier nad </w:t>
      </w:r>
      <w:r w:rsidRPr="004862A1" w:rsidR="00771CD4">
        <w:rPr>
          <w:rFonts w:ascii="Times New Roman" w:hAnsi="Times New Roman"/>
          <w:sz w:val="24"/>
          <w:szCs w:val="24"/>
        </w:rPr>
        <w:t xml:space="preserve">vymedzenými </w:t>
      </w:r>
      <w:r w:rsidRPr="004862A1" w:rsidR="00E971FC">
        <w:rPr>
          <w:rFonts w:ascii="Times New Roman" w:hAnsi="Times New Roman"/>
          <w:sz w:val="24"/>
          <w:szCs w:val="24"/>
        </w:rPr>
        <w:t xml:space="preserve">dozorovanými subjektmi, vrátane </w:t>
      </w:r>
      <w:r w:rsidRPr="004862A1" w:rsidR="00D10575">
        <w:rPr>
          <w:rFonts w:ascii="Times New Roman" w:hAnsi="Times New Roman"/>
          <w:sz w:val="24"/>
          <w:szCs w:val="24"/>
        </w:rPr>
        <w:t xml:space="preserve">vykonávania dozoru nad </w:t>
      </w:r>
      <w:r w:rsidRPr="004862A1" w:rsidR="00E971FC">
        <w:rPr>
          <w:rFonts w:ascii="Times New Roman" w:hAnsi="Times New Roman"/>
          <w:sz w:val="24"/>
          <w:szCs w:val="24"/>
        </w:rPr>
        <w:t>propagovan</w:t>
      </w:r>
      <w:r w:rsidRPr="004862A1" w:rsidR="00D10575">
        <w:rPr>
          <w:rFonts w:ascii="Times New Roman" w:hAnsi="Times New Roman"/>
          <w:sz w:val="24"/>
          <w:szCs w:val="24"/>
        </w:rPr>
        <w:t>ím</w:t>
      </w:r>
      <w:r w:rsidRPr="004862A1" w:rsidR="00E971FC">
        <w:rPr>
          <w:rFonts w:ascii="Times New Roman" w:hAnsi="Times New Roman"/>
          <w:sz w:val="24"/>
          <w:szCs w:val="24"/>
        </w:rPr>
        <w:t xml:space="preserve"> hazardnej hry a prevádzkovan</w:t>
      </w:r>
      <w:r w:rsidRPr="004862A1" w:rsidR="00D10575">
        <w:rPr>
          <w:rFonts w:ascii="Times New Roman" w:hAnsi="Times New Roman"/>
          <w:sz w:val="24"/>
          <w:szCs w:val="24"/>
        </w:rPr>
        <w:t>ím</w:t>
      </w:r>
      <w:r w:rsidRPr="004862A1" w:rsidR="00E971FC">
        <w:rPr>
          <w:rFonts w:ascii="Times New Roman" w:hAnsi="Times New Roman"/>
          <w:sz w:val="24"/>
          <w:szCs w:val="24"/>
        </w:rPr>
        <w:t xml:space="preserve"> hazardnej hry dostupnej na území </w:t>
      </w:r>
      <w:r w:rsidRPr="004862A1" w:rsidR="00D10575">
        <w:rPr>
          <w:rFonts w:ascii="Times New Roman" w:hAnsi="Times New Roman"/>
          <w:sz w:val="24"/>
          <w:szCs w:val="24"/>
        </w:rPr>
        <w:t xml:space="preserve">alebo z územia </w:t>
      </w:r>
      <w:r w:rsidRPr="004862A1" w:rsidR="00E971FC">
        <w:rPr>
          <w:rFonts w:ascii="Times New Roman" w:hAnsi="Times New Roman"/>
          <w:sz w:val="24"/>
          <w:szCs w:val="24"/>
        </w:rPr>
        <w:t>Slovenskej republiky bez licencie prostredníctvom elektronickej komunikačnej siete. V rámci výkonu dozoru nad dozorovanými subjektmi bud</w:t>
      </w:r>
      <w:r w:rsidRPr="004862A1" w:rsidR="00446632">
        <w:rPr>
          <w:rFonts w:ascii="Times New Roman" w:hAnsi="Times New Roman"/>
          <w:sz w:val="24"/>
          <w:szCs w:val="24"/>
        </w:rPr>
        <w:t>ú orgány finančnej správy</w:t>
      </w:r>
      <w:r w:rsidRPr="004862A1" w:rsidR="00E971FC">
        <w:rPr>
          <w:rFonts w:ascii="Times New Roman" w:hAnsi="Times New Roman"/>
          <w:sz w:val="24"/>
          <w:szCs w:val="24"/>
        </w:rPr>
        <w:t xml:space="preserve"> vykonávať dozor na diaľku, dozor na mieste a vyhľadávaciu činnosť, vrátane dozoru pod utajenou identitou</w:t>
      </w:r>
      <w:r w:rsidRPr="004862A1" w:rsidR="00003AE7">
        <w:rPr>
          <w:rFonts w:ascii="Times New Roman" w:hAnsi="Times New Roman"/>
          <w:sz w:val="24"/>
          <w:szCs w:val="24"/>
        </w:rPr>
        <w:t xml:space="preserve">. </w:t>
      </w:r>
      <w:r w:rsidRPr="004862A1" w:rsidR="00BC2023">
        <w:rPr>
          <w:rFonts w:ascii="Times New Roman" w:hAnsi="Times New Roman"/>
          <w:sz w:val="24"/>
          <w:szCs w:val="24"/>
        </w:rPr>
        <w:t xml:space="preserve"> Z pohľadu kompetencií bude</w:t>
      </w:r>
      <w:r w:rsidRPr="004862A1">
        <w:rPr>
          <w:rFonts w:ascii="Times New Roman" w:hAnsi="Times New Roman"/>
          <w:sz w:val="24"/>
          <w:szCs w:val="24"/>
        </w:rPr>
        <w:t xml:space="preserve">         -  </w:t>
        <w:tab/>
      </w:r>
      <w:r w:rsidRPr="004862A1" w:rsidR="00BC2023">
        <w:rPr>
          <w:rFonts w:ascii="Times New Roman" w:hAnsi="Times New Roman"/>
          <w:sz w:val="24"/>
          <w:szCs w:val="24"/>
        </w:rPr>
        <w:t xml:space="preserve">Finančné riaditeľstvo Slovenskej </w:t>
      </w:r>
      <w:r w:rsidRPr="007977D9" w:rsidR="00BC2023">
        <w:rPr>
          <w:rFonts w:ascii="Times New Roman" w:hAnsi="Times New Roman"/>
          <w:sz w:val="24"/>
          <w:szCs w:val="24"/>
        </w:rPr>
        <w:t>republiky vykonávať dozor nad poskytova</w:t>
      </w:r>
      <w:r w:rsidRPr="007977D9" w:rsidR="009E663F">
        <w:rPr>
          <w:rFonts w:ascii="Times New Roman" w:hAnsi="Times New Roman"/>
          <w:sz w:val="24"/>
          <w:szCs w:val="24"/>
        </w:rPr>
        <w:t>ním</w:t>
      </w:r>
      <w:r w:rsidRPr="007977D9" w:rsidR="00BC2023">
        <w:rPr>
          <w:rFonts w:ascii="Times New Roman" w:hAnsi="Times New Roman"/>
          <w:sz w:val="24"/>
          <w:szCs w:val="24"/>
        </w:rPr>
        <w:t xml:space="preserve"> zakázaných ponúk</w:t>
      </w:r>
      <w:r w:rsidRPr="007977D9" w:rsidR="009E663F">
        <w:rPr>
          <w:rFonts w:ascii="Times New Roman" w:hAnsi="Times New Roman"/>
          <w:sz w:val="24"/>
          <w:szCs w:val="24"/>
        </w:rPr>
        <w:t>;</w:t>
      </w:r>
      <w:r w:rsidRPr="007977D9" w:rsidR="00BC2023">
        <w:rPr>
          <w:rFonts w:ascii="Times New Roman" w:hAnsi="Times New Roman"/>
          <w:sz w:val="24"/>
          <w:szCs w:val="24"/>
        </w:rPr>
        <w:t xml:space="preserve"> dozor nad dodržiavaním povinností právnických osôb, ktorými sú banky, pobočky zahraničných bánk a</w:t>
      </w:r>
      <w:r w:rsidRPr="007977D9" w:rsidR="00E22356">
        <w:rPr>
          <w:rFonts w:ascii="Times New Roman" w:hAnsi="Times New Roman"/>
          <w:sz w:val="24"/>
          <w:szCs w:val="24"/>
        </w:rPr>
        <w:t> právnický</w:t>
      </w:r>
      <w:r w:rsidRPr="004862A1" w:rsidR="00E22356">
        <w:rPr>
          <w:rFonts w:ascii="Times New Roman" w:hAnsi="Times New Roman"/>
          <w:sz w:val="24"/>
          <w:szCs w:val="24"/>
        </w:rPr>
        <w:t>ch osôb poskytujúcich verejné elektronické komunikačné siete a verené elektronické komunikačné služby,</w:t>
      </w:r>
      <w:r w:rsidRPr="004862A1" w:rsidR="00BC2023">
        <w:rPr>
          <w:rFonts w:ascii="Times New Roman" w:hAnsi="Times New Roman"/>
          <w:sz w:val="24"/>
          <w:szCs w:val="24"/>
        </w:rPr>
        <w:t xml:space="preserve"> </w:t>
      </w:r>
      <w:r w:rsidRPr="004862A1">
        <w:rPr>
          <w:rFonts w:ascii="Times New Roman" w:hAnsi="Times New Roman"/>
          <w:sz w:val="24"/>
          <w:szCs w:val="24"/>
        </w:rPr>
        <w:t xml:space="preserve">a to formou dozoru na mieste a dozoru na diaľku. Tomuto orgánu dozoru sa zveruje </w:t>
      </w:r>
      <w:r w:rsidR="00D874EE">
        <w:rPr>
          <w:rFonts w:ascii="Times New Roman" w:hAnsi="Times New Roman"/>
          <w:sz w:val="24"/>
          <w:szCs w:val="24"/>
        </w:rPr>
        <w:t>kompetencia</w:t>
      </w:r>
      <w:r w:rsidRPr="004862A1">
        <w:rPr>
          <w:rFonts w:ascii="Times New Roman" w:hAnsi="Times New Roman"/>
          <w:sz w:val="24"/>
          <w:szCs w:val="24"/>
        </w:rPr>
        <w:t xml:space="preserve"> vykonávania dozoru </w:t>
      </w:r>
      <w:r w:rsidR="009E663F">
        <w:rPr>
          <w:rFonts w:ascii="Times New Roman" w:hAnsi="Times New Roman"/>
          <w:sz w:val="24"/>
          <w:szCs w:val="24"/>
        </w:rPr>
        <w:t xml:space="preserve">všetkými formami </w:t>
      </w:r>
      <w:r w:rsidRPr="004862A1">
        <w:rPr>
          <w:rFonts w:ascii="Times New Roman" w:hAnsi="Times New Roman"/>
          <w:sz w:val="24"/>
          <w:szCs w:val="24"/>
        </w:rPr>
        <w:t>nad všetkými ostatnými dozorovanými subjektami podľa zákona o hazardných hrách.</w:t>
      </w:r>
    </w:p>
    <w:p w:rsidR="000B5127" w:rsidRPr="00533055" w:rsidP="009E663F">
      <w:pPr>
        <w:pStyle w:val="ListParagraph"/>
        <w:numPr>
          <w:numId w:val="13"/>
        </w:numPr>
        <w:bidi w:val="0"/>
        <w:spacing w:line="240" w:lineRule="auto"/>
        <w:ind w:left="0" w:firstLine="0"/>
        <w:rPr>
          <w:rFonts w:ascii="Times New Roman" w:hAnsi="Times New Roman"/>
          <w:sz w:val="24"/>
          <w:szCs w:val="24"/>
        </w:rPr>
      </w:pPr>
      <w:r w:rsidRPr="004862A1">
        <w:rPr>
          <w:rFonts w:ascii="Times New Roman" w:hAnsi="Times New Roman"/>
          <w:sz w:val="24"/>
          <w:szCs w:val="24"/>
        </w:rPr>
        <w:t xml:space="preserve">Daňový úrad bude vykonávať dozor nad všetkými dozorovanými subjektami podľa tohto zákona formou dozoru a mieste, dozoru na diaľku, vyhľadávacou činnosťou a dozoru pod utajenou identitou. </w:t>
      </w:r>
      <w:r w:rsidRPr="004862A1" w:rsidR="00E971FC">
        <w:rPr>
          <w:rFonts w:ascii="Times New Roman" w:hAnsi="Times New Roman"/>
          <w:sz w:val="24"/>
          <w:szCs w:val="24"/>
        </w:rPr>
        <w:t xml:space="preserve">Ak bude súčasťou dozoru technická kontrola, </w:t>
      </w:r>
      <w:r w:rsidRPr="004862A1" w:rsidR="003107C7">
        <w:rPr>
          <w:rFonts w:ascii="Times New Roman" w:hAnsi="Times New Roman"/>
          <w:sz w:val="24"/>
          <w:szCs w:val="24"/>
        </w:rPr>
        <w:t xml:space="preserve">príslušný daňový úrad bude </w:t>
      </w:r>
      <w:r w:rsidRPr="004862A1" w:rsidR="00E971FC">
        <w:rPr>
          <w:rFonts w:ascii="Times New Roman" w:hAnsi="Times New Roman"/>
          <w:sz w:val="24"/>
          <w:szCs w:val="24"/>
        </w:rPr>
        <w:t xml:space="preserve">vydávať poverenia na výkon dozoru pre zamestnancov </w:t>
      </w:r>
      <w:r w:rsidRPr="00533055" w:rsidR="00E971FC">
        <w:rPr>
          <w:rFonts w:ascii="Times New Roman" w:hAnsi="Times New Roman"/>
          <w:sz w:val="24"/>
          <w:szCs w:val="24"/>
        </w:rPr>
        <w:t xml:space="preserve">poverenej skúšobne. </w:t>
      </w:r>
      <w:r w:rsidRPr="00533055" w:rsidR="00D874EE">
        <w:rPr>
          <w:rFonts w:ascii="Times New Roman" w:hAnsi="Times New Roman"/>
          <w:sz w:val="24"/>
          <w:szCs w:val="24"/>
        </w:rPr>
        <w:t xml:space="preserve">Dozor bude daňový úrad vykonávať aj mimo svojej miestnej príslušnosti, čim sa zabezpečí vyššia nezávislosť </w:t>
      </w:r>
      <w:r w:rsidR="00937F7C">
        <w:rPr>
          <w:rFonts w:ascii="Times New Roman" w:hAnsi="Times New Roman"/>
          <w:sz w:val="24"/>
          <w:szCs w:val="24"/>
        </w:rPr>
        <w:t xml:space="preserve">a nezaujatosť </w:t>
      </w:r>
      <w:r w:rsidRPr="00533055" w:rsidR="00D874EE">
        <w:rPr>
          <w:rFonts w:ascii="Times New Roman" w:hAnsi="Times New Roman"/>
          <w:sz w:val="24"/>
          <w:szCs w:val="24"/>
        </w:rPr>
        <w:t>osôb poverených výkonom dozoru nad prevádzkovaním hazardných hier.</w:t>
      </w:r>
    </w:p>
    <w:p w:rsidR="00BC2023" w:rsidRPr="004862A1" w:rsidP="009E663F">
      <w:pPr>
        <w:pStyle w:val="ListParagraph"/>
        <w:numPr>
          <w:numId w:val="13"/>
        </w:numPr>
        <w:bidi w:val="0"/>
        <w:spacing w:line="240" w:lineRule="auto"/>
        <w:ind w:left="0" w:firstLine="0"/>
      </w:pPr>
      <w:r w:rsidRPr="00533055" w:rsidR="000B5127">
        <w:rPr>
          <w:rFonts w:ascii="Times New Roman" w:hAnsi="Times New Roman"/>
          <w:sz w:val="24"/>
          <w:szCs w:val="24"/>
        </w:rPr>
        <w:t>Colný úrad bude vykonávať dozor v rozsahu kompetencií</w:t>
      </w:r>
      <w:r w:rsidRPr="004862A1" w:rsidR="000B5127">
        <w:rPr>
          <w:rFonts w:ascii="Times New Roman" w:hAnsi="Times New Roman"/>
          <w:sz w:val="24"/>
          <w:szCs w:val="24"/>
        </w:rPr>
        <w:t xml:space="preserve"> daňového úradu.</w:t>
      </w:r>
    </w:p>
    <w:p w:rsidR="007F49AD" w:rsidRPr="007977D9" w:rsidP="00D84359">
      <w:pPr>
        <w:bidi w:val="0"/>
        <w:spacing w:after="0" w:line="240" w:lineRule="auto"/>
        <w:rPr>
          <w:rFonts w:ascii="Times New Roman" w:hAnsi="Times New Roman"/>
          <w:sz w:val="24"/>
          <w:szCs w:val="24"/>
        </w:rPr>
      </w:pPr>
      <w:r w:rsidRPr="004862A1" w:rsidR="00D84359">
        <w:rPr>
          <w:rFonts w:ascii="Times New Roman" w:hAnsi="Times New Roman"/>
          <w:sz w:val="24"/>
          <w:szCs w:val="24"/>
        </w:rPr>
        <w:t>K</w:t>
      </w:r>
      <w:r w:rsidRPr="004862A1" w:rsidR="00D84359">
        <w:t> </w:t>
      </w:r>
      <w:r w:rsidRPr="007977D9" w:rsidR="00D84359">
        <w:rPr>
          <w:rFonts w:ascii="Times New Roman" w:hAnsi="Times New Roman"/>
          <w:sz w:val="24"/>
          <w:szCs w:val="24"/>
        </w:rPr>
        <w:t xml:space="preserve">bodu </w:t>
      </w:r>
      <w:r w:rsidRPr="007977D9" w:rsidR="004611DB">
        <w:rPr>
          <w:rFonts w:ascii="Times New Roman" w:hAnsi="Times New Roman"/>
          <w:sz w:val="24"/>
          <w:szCs w:val="24"/>
        </w:rPr>
        <w:t>2</w:t>
      </w:r>
      <w:r w:rsidRPr="007977D9" w:rsidR="009E663F">
        <w:rPr>
          <w:rFonts w:ascii="Times New Roman" w:hAnsi="Times New Roman"/>
          <w:sz w:val="24"/>
          <w:szCs w:val="24"/>
        </w:rPr>
        <w:t>4</w:t>
      </w:r>
    </w:p>
    <w:p w:rsidR="004C2F19" w:rsidP="004C2F19">
      <w:pPr>
        <w:bidi w:val="0"/>
        <w:spacing w:after="0" w:line="240" w:lineRule="auto"/>
        <w:rPr>
          <w:rFonts w:ascii="Times New Roman" w:hAnsi="Times New Roman"/>
          <w:sz w:val="24"/>
          <w:szCs w:val="24"/>
        </w:rPr>
      </w:pPr>
      <w:r w:rsidRPr="007977D9" w:rsidR="007F49AD">
        <w:rPr>
          <w:rFonts w:ascii="Times New Roman" w:hAnsi="Times New Roman"/>
          <w:sz w:val="24"/>
          <w:szCs w:val="24"/>
        </w:rPr>
        <w:t xml:space="preserve">Návrhom úpravy rozširuje okruh dozorovaných subjektov aj o fyzické a právnické osoby, ktoré </w:t>
      </w:r>
      <w:r w:rsidRPr="007977D9" w:rsidR="0009078C">
        <w:rPr>
          <w:rFonts w:ascii="Times New Roman" w:hAnsi="Times New Roman"/>
          <w:sz w:val="24"/>
          <w:szCs w:val="24"/>
        </w:rPr>
        <w:t xml:space="preserve">poskytujú zakázanú ponuku, </w:t>
      </w:r>
      <w:r w:rsidRPr="007977D9" w:rsidR="007977D9">
        <w:rPr>
          <w:rFonts w:ascii="Times New Roman" w:hAnsi="Times New Roman"/>
          <w:sz w:val="24"/>
          <w:szCs w:val="24"/>
        </w:rPr>
        <w:t>fyzické a právnické osoby</w:t>
      </w:r>
      <w:r w:rsidR="007977D9">
        <w:rPr>
          <w:rFonts w:ascii="Times New Roman" w:hAnsi="Times New Roman"/>
          <w:sz w:val="24"/>
          <w:szCs w:val="24"/>
        </w:rPr>
        <w:t>, ktoré poskytujú elektronické komunikačné služby a elektronické komunikačné siete a platobné služby</w:t>
      </w:r>
      <w:r w:rsidRPr="007977D9" w:rsidR="007977D9">
        <w:rPr>
          <w:rFonts w:ascii="Times New Roman" w:hAnsi="Times New Roman"/>
          <w:sz w:val="24"/>
          <w:szCs w:val="24"/>
        </w:rPr>
        <w:t xml:space="preserve"> </w:t>
      </w:r>
      <w:r w:rsidR="007977D9">
        <w:rPr>
          <w:rFonts w:ascii="Times New Roman" w:hAnsi="Times New Roman"/>
          <w:sz w:val="24"/>
          <w:szCs w:val="24"/>
        </w:rPr>
        <w:t xml:space="preserve">v súvislosti s poskytovaním zakázanej ponuky, </w:t>
      </w:r>
      <w:r w:rsidRPr="007977D9" w:rsidR="007F49AD">
        <w:rPr>
          <w:rFonts w:ascii="Times New Roman" w:hAnsi="Times New Roman"/>
          <w:sz w:val="24"/>
          <w:szCs w:val="24"/>
        </w:rPr>
        <w:t>používajú označenie kasíno bez udelenej licencie na prevádzkovanie hazardných hier v</w:t>
      </w:r>
      <w:r w:rsidR="007977D9">
        <w:rPr>
          <w:rFonts w:ascii="Times New Roman" w:hAnsi="Times New Roman"/>
          <w:sz w:val="24"/>
          <w:szCs w:val="24"/>
        </w:rPr>
        <w:t> </w:t>
      </w:r>
      <w:r w:rsidRPr="007977D9" w:rsidR="007F49AD">
        <w:rPr>
          <w:rFonts w:ascii="Times New Roman" w:hAnsi="Times New Roman"/>
          <w:sz w:val="24"/>
          <w:szCs w:val="24"/>
        </w:rPr>
        <w:t>kasíne.</w:t>
      </w:r>
      <w:r w:rsidRPr="007977D9" w:rsidR="00875E2B">
        <w:rPr>
          <w:rFonts w:ascii="Times New Roman" w:hAnsi="Times New Roman"/>
          <w:sz w:val="24"/>
          <w:szCs w:val="24"/>
        </w:rPr>
        <w:t xml:space="preserve"> </w:t>
      </w:r>
      <w:r w:rsidR="007977D9">
        <w:rPr>
          <w:rFonts w:ascii="Times New Roman" w:hAnsi="Times New Roman"/>
          <w:sz w:val="24"/>
          <w:szCs w:val="24"/>
        </w:rPr>
        <w:t xml:space="preserve">Okruh dozorovaných subjektov sa rozširuje aj o ďalšie osoby, </w:t>
      </w:r>
      <w:r>
        <w:rPr>
          <w:rFonts w:ascii="Times New Roman" w:hAnsi="Times New Roman"/>
          <w:sz w:val="24"/>
          <w:szCs w:val="24"/>
        </w:rPr>
        <w:t>u ktorých môže orgán dozoru vykonať dozor, napr. u </w:t>
      </w:r>
      <w:r w:rsidRPr="004862A1">
        <w:rPr>
          <w:rFonts w:ascii="Times New Roman" w:hAnsi="Times New Roman"/>
          <w:sz w:val="24"/>
          <w:szCs w:val="24"/>
        </w:rPr>
        <w:t>subjektov</w:t>
      </w:r>
      <w:r>
        <w:rPr>
          <w:rFonts w:ascii="Times New Roman" w:hAnsi="Times New Roman"/>
          <w:sz w:val="24"/>
          <w:szCs w:val="24"/>
        </w:rPr>
        <w:t xml:space="preserve"> </w:t>
      </w:r>
      <w:r w:rsidR="00937F7C">
        <w:rPr>
          <w:rFonts w:ascii="Times New Roman" w:hAnsi="Times New Roman"/>
          <w:sz w:val="24"/>
          <w:szCs w:val="24"/>
        </w:rPr>
        <w:t>organizujúcich športové podujatia, prevádzkujúcich</w:t>
      </w:r>
      <w:r>
        <w:rPr>
          <w:rFonts w:ascii="Times New Roman" w:hAnsi="Times New Roman"/>
          <w:sz w:val="24"/>
          <w:szCs w:val="24"/>
        </w:rPr>
        <w:t xml:space="preserve"> súťaže, </w:t>
      </w:r>
      <w:r w:rsidRPr="004862A1">
        <w:rPr>
          <w:rFonts w:ascii="Times New Roman" w:hAnsi="Times New Roman"/>
          <w:sz w:val="24"/>
          <w:szCs w:val="24"/>
        </w:rPr>
        <w:t>hr</w:t>
      </w:r>
      <w:r>
        <w:rPr>
          <w:rFonts w:ascii="Times New Roman" w:hAnsi="Times New Roman"/>
          <w:sz w:val="24"/>
          <w:szCs w:val="24"/>
        </w:rPr>
        <w:t>y</w:t>
      </w:r>
      <w:r w:rsidRPr="004862A1">
        <w:rPr>
          <w:rFonts w:ascii="Times New Roman" w:hAnsi="Times New Roman"/>
          <w:sz w:val="24"/>
          <w:szCs w:val="24"/>
        </w:rPr>
        <w:t xml:space="preserve"> alebo kvíz</w:t>
      </w:r>
      <w:r>
        <w:rPr>
          <w:rFonts w:ascii="Times New Roman" w:hAnsi="Times New Roman"/>
          <w:sz w:val="24"/>
          <w:szCs w:val="24"/>
        </w:rPr>
        <w:t>y, a to s cieľom zistiť,</w:t>
      </w:r>
      <w:r w:rsidRPr="004862A1">
        <w:rPr>
          <w:rFonts w:ascii="Times New Roman" w:hAnsi="Times New Roman"/>
          <w:sz w:val="24"/>
          <w:szCs w:val="24"/>
        </w:rPr>
        <w:t xml:space="preserve"> či sa nejedná o hazardnú hru, prevádzkovanú bez potrebnej licencie</w:t>
      </w:r>
      <w:r>
        <w:rPr>
          <w:rFonts w:ascii="Times New Roman" w:hAnsi="Times New Roman"/>
          <w:sz w:val="24"/>
          <w:szCs w:val="24"/>
        </w:rPr>
        <w:t>.</w:t>
      </w:r>
    </w:p>
    <w:p w:rsidR="004C2F19" w:rsidP="00D84359">
      <w:pPr>
        <w:bidi w:val="0"/>
        <w:spacing w:after="0" w:line="240" w:lineRule="auto"/>
        <w:rPr>
          <w:rFonts w:ascii="Times New Roman" w:hAnsi="Times New Roman"/>
          <w:sz w:val="24"/>
          <w:szCs w:val="24"/>
        </w:rPr>
      </w:pPr>
    </w:p>
    <w:p w:rsidR="00845426" w:rsidRPr="004862A1" w:rsidP="00D84359">
      <w:pPr>
        <w:bidi w:val="0"/>
        <w:spacing w:after="0" w:line="240" w:lineRule="auto"/>
        <w:rPr>
          <w:rFonts w:ascii="Times New Roman" w:hAnsi="Times New Roman"/>
          <w:sz w:val="24"/>
          <w:szCs w:val="24"/>
        </w:rPr>
      </w:pPr>
      <w:r w:rsidRPr="004862A1" w:rsidR="00D84359">
        <w:rPr>
          <w:rFonts w:ascii="Times New Roman" w:hAnsi="Times New Roman"/>
          <w:sz w:val="24"/>
          <w:szCs w:val="24"/>
        </w:rPr>
        <w:t>K</w:t>
      </w:r>
      <w:r w:rsidRPr="004862A1" w:rsidR="00D84359">
        <w:t> </w:t>
      </w:r>
      <w:r w:rsidRPr="004862A1" w:rsidR="00D84359">
        <w:rPr>
          <w:rFonts w:ascii="Times New Roman" w:hAnsi="Times New Roman"/>
          <w:sz w:val="24"/>
          <w:szCs w:val="24"/>
        </w:rPr>
        <w:t xml:space="preserve">bodu </w:t>
      </w:r>
      <w:r w:rsidRPr="004862A1" w:rsidR="00217A4C">
        <w:rPr>
          <w:rFonts w:ascii="Times New Roman" w:hAnsi="Times New Roman"/>
          <w:sz w:val="24"/>
          <w:szCs w:val="24"/>
        </w:rPr>
        <w:t>2</w:t>
      </w:r>
      <w:r w:rsidR="00BF54E3">
        <w:rPr>
          <w:rFonts w:ascii="Times New Roman" w:hAnsi="Times New Roman"/>
          <w:sz w:val="24"/>
          <w:szCs w:val="24"/>
        </w:rPr>
        <w:t>5</w:t>
      </w:r>
    </w:p>
    <w:p w:rsidR="00F335FC"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Týmto ustanovením sa upravujú všeobecné zásady výkonu dozoru, v rámci ktorých sa ustanovuje podstata výkonu dozoru, ktorou je zistiť a vyhodnotiť súlad skutočného stavu dozorovaných okolností so stavom ustanoveným v príslušných právnych predpisoch, príčiny nesúladu tohto stavu, ako aj zodpovednosť dotknutých  osôb, ustanovujú sa oprávnenia orgán</w:t>
      </w:r>
      <w:r w:rsidRPr="004862A1" w:rsidR="00926103">
        <w:rPr>
          <w:rFonts w:ascii="Times New Roman" w:hAnsi="Times New Roman"/>
          <w:sz w:val="24"/>
          <w:szCs w:val="24"/>
        </w:rPr>
        <w:t>ov</w:t>
      </w:r>
      <w:r w:rsidRPr="004862A1">
        <w:rPr>
          <w:rFonts w:ascii="Times New Roman" w:hAnsi="Times New Roman"/>
          <w:sz w:val="24"/>
          <w:szCs w:val="24"/>
        </w:rPr>
        <w:t xml:space="preserve"> dozoru, jeho zamestnancov a prizvaných osôb (tzn. zamestnancov poverenej skúšobne, ak je súčasťou dozoru technická kontrola). Predložený návrh zákona sa jednoznačne vyjadruje aj k povinnostiam orgán</w:t>
      </w:r>
      <w:r w:rsidRPr="004862A1" w:rsidR="00926103">
        <w:rPr>
          <w:rFonts w:ascii="Times New Roman" w:hAnsi="Times New Roman"/>
          <w:sz w:val="24"/>
          <w:szCs w:val="24"/>
        </w:rPr>
        <w:t>ov</w:t>
      </w:r>
      <w:r w:rsidRPr="004862A1">
        <w:rPr>
          <w:rFonts w:ascii="Times New Roman" w:hAnsi="Times New Roman"/>
          <w:sz w:val="24"/>
          <w:szCs w:val="24"/>
        </w:rPr>
        <w:t xml:space="preserve"> dozoru primerane k </w:t>
      </w:r>
      <w:r w:rsidRPr="004862A1" w:rsidR="00926103">
        <w:rPr>
          <w:rFonts w:ascii="Times New Roman" w:hAnsi="Times New Roman"/>
          <w:sz w:val="24"/>
          <w:szCs w:val="24"/>
        </w:rPr>
        <w:t xml:space="preserve">ich </w:t>
      </w:r>
      <w:r w:rsidRPr="004862A1">
        <w:rPr>
          <w:rFonts w:ascii="Times New Roman" w:hAnsi="Times New Roman"/>
          <w:sz w:val="24"/>
          <w:szCs w:val="24"/>
        </w:rPr>
        <w:t xml:space="preserve">oprávneniam vrátane oznamovacej povinnosti orgánom činným v trestnom konaní, ak sa dozorom zistí podozrenie z trestnej činnosti. </w:t>
      </w:r>
    </w:p>
    <w:p w:rsidR="00845426" w:rsidP="00E32E9C">
      <w:pPr>
        <w:bidi w:val="0"/>
        <w:spacing w:after="0" w:line="240" w:lineRule="auto"/>
        <w:rPr>
          <w:rFonts w:ascii="Times New Roman" w:hAnsi="Times New Roman"/>
          <w:sz w:val="24"/>
          <w:szCs w:val="24"/>
        </w:rPr>
      </w:pPr>
      <w:r w:rsidRPr="004862A1" w:rsidR="00F335FC">
        <w:rPr>
          <w:rFonts w:ascii="Times New Roman" w:hAnsi="Times New Roman"/>
          <w:sz w:val="24"/>
          <w:szCs w:val="24"/>
        </w:rPr>
        <w:t xml:space="preserve">V  rámci tohto ustanovenia sa vymedzujú aj formy výkonu dozoru nad prevádzkovaním a propagovaním hazardných hier ako výkon dozoru na mieste, dozor na diaľku a vyhľadávacia činnosť (vrátane dozoru </w:t>
      </w:r>
      <w:r w:rsidRPr="004862A1" w:rsidR="00D179D8">
        <w:rPr>
          <w:rFonts w:ascii="Times New Roman" w:hAnsi="Times New Roman"/>
          <w:sz w:val="24"/>
          <w:szCs w:val="24"/>
        </w:rPr>
        <w:t>pod</w:t>
      </w:r>
      <w:r w:rsidRPr="004862A1" w:rsidR="00F335FC">
        <w:rPr>
          <w:rFonts w:ascii="Times New Roman" w:hAnsi="Times New Roman"/>
          <w:sz w:val="24"/>
          <w:szCs w:val="24"/>
        </w:rPr>
        <w:t xml:space="preserve"> utajen</w:t>
      </w:r>
      <w:r w:rsidRPr="004862A1" w:rsidR="00D179D8">
        <w:rPr>
          <w:rFonts w:ascii="Times New Roman" w:hAnsi="Times New Roman"/>
          <w:sz w:val="24"/>
          <w:szCs w:val="24"/>
        </w:rPr>
        <w:t>ou</w:t>
      </w:r>
      <w:r w:rsidRPr="004862A1" w:rsidR="00F335FC">
        <w:rPr>
          <w:rFonts w:ascii="Times New Roman" w:hAnsi="Times New Roman"/>
          <w:sz w:val="24"/>
          <w:szCs w:val="24"/>
        </w:rPr>
        <w:t xml:space="preserve"> identit</w:t>
      </w:r>
      <w:r w:rsidRPr="004862A1" w:rsidR="00D179D8">
        <w:rPr>
          <w:rFonts w:ascii="Times New Roman" w:hAnsi="Times New Roman"/>
          <w:sz w:val="24"/>
          <w:szCs w:val="24"/>
        </w:rPr>
        <w:t>ou</w:t>
      </w:r>
      <w:r w:rsidRPr="004862A1" w:rsidR="00F335FC">
        <w:rPr>
          <w:rFonts w:ascii="Times New Roman" w:hAnsi="Times New Roman"/>
          <w:sz w:val="24"/>
          <w:szCs w:val="24"/>
        </w:rPr>
        <w:t>), pričom pri výkone dozoru na diaľku orgán</w:t>
      </w:r>
      <w:r w:rsidRPr="004862A1" w:rsidR="00926103">
        <w:rPr>
          <w:rFonts w:ascii="Times New Roman" w:hAnsi="Times New Roman"/>
          <w:sz w:val="24"/>
          <w:szCs w:val="24"/>
        </w:rPr>
        <w:t>y</w:t>
      </w:r>
      <w:r w:rsidRPr="004862A1" w:rsidR="00F335FC">
        <w:rPr>
          <w:rFonts w:ascii="Times New Roman" w:hAnsi="Times New Roman"/>
          <w:sz w:val="24"/>
          <w:szCs w:val="24"/>
        </w:rPr>
        <w:t xml:space="preserve"> dozoru bud</w:t>
      </w:r>
      <w:r w:rsidRPr="004862A1" w:rsidR="00926103">
        <w:rPr>
          <w:rFonts w:ascii="Times New Roman" w:hAnsi="Times New Roman"/>
          <w:sz w:val="24"/>
          <w:szCs w:val="24"/>
        </w:rPr>
        <w:t>ú</w:t>
      </w:r>
      <w:r w:rsidRPr="004862A1" w:rsidR="00F335FC">
        <w:rPr>
          <w:rFonts w:ascii="Times New Roman" w:hAnsi="Times New Roman"/>
          <w:sz w:val="24"/>
          <w:szCs w:val="24"/>
        </w:rPr>
        <w:t xml:space="preserve"> využívať aj technické možnosti, dané vyhláškou, ktorou sa ustanovujú požiadavky na zariadenia a systémy využívané pri prevádzkovaní hazardných hier, ktorými sú videohry.  Toto ustanovenie rieši aj náklady spojené s dozorom na mieste, dozorom na diaľku a vyhľadávacou činnosťou, a to tak, že náklady, ktoré vznikli orgán</w:t>
      </w:r>
      <w:r w:rsidRPr="004862A1" w:rsidR="00926103">
        <w:rPr>
          <w:rFonts w:ascii="Times New Roman" w:hAnsi="Times New Roman"/>
          <w:sz w:val="24"/>
          <w:szCs w:val="24"/>
        </w:rPr>
        <w:t>om</w:t>
      </w:r>
      <w:r w:rsidRPr="004862A1" w:rsidR="00F335FC">
        <w:rPr>
          <w:rFonts w:ascii="Times New Roman" w:hAnsi="Times New Roman"/>
          <w:sz w:val="24"/>
          <w:szCs w:val="24"/>
        </w:rPr>
        <w:t xml:space="preserve"> dozoru znáša</w:t>
      </w:r>
      <w:r w:rsidRPr="004862A1" w:rsidR="001B583D">
        <w:rPr>
          <w:rFonts w:ascii="Times New Roman" w:hAnsi="Times New Roman"/>
          <w:sz w:val="24"/>
          <w:szCs w:val="24"/>
        </w:rPr>
        <w:t>jú</w:t>
      </w:r>
      <w:r w:rsidRPr="004862A1" w:rsidR="00F335FC">
        <w:rPr>
          <w:rFonts w:ascii="Times New Roman" w:hAnsi="Times New Roman"/>
          <w:sz w:val="24"/>
          <w:szCs w:val="24"/>
        </w:rPr>
        <w:t xml:space="preserve"> orgán</w:t>
      </w:r>
      <w:r w:rsidRPr="004862A1" w:rsidR="001B583D">
        <w:rPr>
          <w:rFonts w:ascii="Times New Roman" w:hAnsi="Times New Roman"/>
          <w:sz w:val="24"/>
          <w:szCs w:val="24"/>
        </w:rPr>
        <w:t>y</w:t>
      </w:r>
      <w:r w:rsidRPr="004862A1" w:rsidR="00F335FC">
        <w:rPr>
          <w:rFonts w:ascii="Times New Roman" w:hAnsi="Times New Roman"/>
          <w:sz w:val="24"/>
          <w:szCs w:val="24"/>
        </w:rPr>
        <w:t xml:space="preserve"> dozoru a náklady, ktoré vznikli dozorovanému subjektu, znáša dozorovaný subjekt.</w:t>
      </w:r>
    </w:p>
    <w:p w:rsidR="009E61C4" w:rsidRPr="004862A1" w:rsidP="00E32E9C">
      <w:pPr>
        <w:bidi w:val="0"/>
        <w:spacing w:after="0" w:line="240" w:lineRule="auto"/>
        <w:rPr>
          <w:rFonts w:ascii="Times New Roman" w:hAnsi="Times New Roman"/>
          <w:sz w:val="24"/>
          <w:szCs w:val="24"/>
        </w:rPr>
      </w:pPr>
      <w:r>
        <w:rPr>
          <w:rFonts w:ascii="Times New Roman" w:hAnsi="Times New Roman"/>
          <w:sz w:val="24"/>
          <w:szCs w:val="24"/>
        </w:rPr>
        <w:t>Dozorovaný subjekt, členovia jeho orgánov, jeho zamestnanci, ako aj ďalšie osoby, ktorých činnosť súvisí s dozorovaným subjektom, tzn. tretie osoby budú povinné umožniť výkon dozoru, ako aj zdržať sa konania, ktoré by mohlo mariť výkon dozoru, čím môžu byť týmto tretím osobám sčasti a v určitom čase obmedzené ich obchodné a podnikateľské aktivity, preto sa navrhuje zároveň ustanoviť, že osoby poverené výkonom dozoru a prizvaná osoba nezodpovedajú týmto tretím osobám za dôsledky spôsobené výkonom dozoru.</w:t>
      </w:r>
      <w:r w:rsidR="00C16B0B">
        <w:rPr>
          <w:rFonts w:ascii="Times New Roman" w:hAnsi="Times New Roman"/>
          <w:sz w:val="24"/>
          <w:szCs w:val="24"/>
        </w:rPr>
        <w:t xml:space="preserve"> Inými slovami povedané, dozorovaný subjekt, ako aj tieto tretie osoby budú musieť v záujme výkonu dozoru nad prevádzkovaním a propagovaním hazardných hier podľa tohto zákona strpieť určité svoje konania. Osoby poverené výkonom dozoru a prizvaná osoba však budú z pracovnoprávneho hľadiska zodpovedné voči svojim zamestnávateľom za úkony </w:t>
      </w:r>
      <w:r w:rsidR="00412857">
        <w:rPr>
          <w:rFonts w:ascii="Times New Roman" w:hAnsi="Times New Roman"/>
          <w:sz w:val="24"/>
          <w:szCs w:val="24"/>
        </w:rPr>
        <w:t>urobené pri výkone dozoru a rovnako nebude dotknutá ich trestnoprávna zodpovednosť pri výkon dozoru.</w:t>
      </w:r>
    </w:p>
    <w:p w:rsidR="006B656A" w:rsidRPr="004862A1" w:rsidP="00E32E9C">
      <w:pPr>
        <w:bidi w:val="0"/>
        <w:spacing w:after="0" w:line="240" w:lineRule="auto"/>
        <w:rPr>
          <w:rFonts w:ascii="Times New Roman" w:hAnsi="Times New Roman"/>
          <w:sz w:val="24"/>
          <w:szCs w:val="24"/>
        </w:rPr>
      </w:pPr>
    </w:p>
    <w:p w:rsidR="00F335FC" w:rsidRPr="004862A1" w:rsidP="00626C00">
      <w:pPr>
        <w:bidi w:val="0"/>
        <w:spacing w:after="0" w:line="240" w:lineRule="auto"/>
        <w:rPr>
          <w:rFonts w:ascii="Times New Roman" w:hAnsi="Times New Roman"/>
          <w:sz w:val="24"/>
          <w:szCs w:val="24"/>
        </w:rPr>
      </w:pPr>
      <w:r w:rsidRPr="004862A1" w:rsidR="00626C00">
        <w:rPr>
          <w:rFonts w:ascii="Times New Roman" w:hAnsi="Times New Roman"/>
          <w:sz w:val="24"/>
          <w:szCs w:val="24"/>
        </w:rPr>
        <w:t>K</w:t>
      </w:r>
      <w:r w:rsidRPr="004862A1" w:rsidR="00626C00">
        <w:t> </w:t>
      </w:r>
      <w:r w:rsidRPr="004862A1" w:rsidR="00626C00">
        <w:rPr>
          <w:rFonts w:ascii="Times New Roman" w:hAnsi="Times New Roman"/>
          <w:sz w:val="24"/>
          <w:szCs w:val="24"/>
        </w:rPr>
        <w:t>bodu</w:t>
      </w:r>
      <w:r w:rsidRPr="004862A1" w:rsidR="00885311">
        <w:rPr>
          <w:rFonts w:ascii="Times New Roman" w:hAnsi="Times New Roman"/>
          <w:sz w:val="24"/>
          <w:szCs w:val="24"/>
        </w:rPr>
        <w:t xml:space="preserve"> 2</w:t>
      </w:r>
      <w:r w:rsidR="00980CD2">
        <w:rPr>
          <w:rFonts w:ascii="Times New Roman" w:hAnsi="Times New Roman"/>
          <w:sz w:val="24"/>
          <w:szCs w:val="24"/>
        </w:rPr>
        <w:t>6</w:t>
      </w:r>
    </w:p>
    <w:p w:rsidR="0009078C" w:rsidRPr="004862A1" w:rsidP="0009078C">
      <w:pPr>
        <w:bidi w:val="0"/>
        <w:spacing w:after="0" w:line="240" w:lineRule="auto"/>
        <w:rPr>
          <w:rFonts w:ascii="Times New Roman" w:hAnsi="Times New Roman"/>
          <w:sz w:val="24"/>
          <w:szCs w:val="24"/>
        </w:rPr>
      </w:pPr>
      <w:r w:rsidRPr="004862A1">
        <w:rPr>
          <w:rFonts w:ascii="Times New Roman" w:hAnsi="Times New Roman"/>
          <w:sz w:val="24"/>
          <w:szCs w:val="24"/>
        </w:rPr>
        <w:t>Legislatívno-technické</w:t>
      </w:r>
      <w:r w:rsidRPr="004862A1" w:rsidR="00C96B4E">
        <w:rPr>
          <w:rFonts w:ascii="Times New Roman" w:hAnsi="Times New Roman"/>
          <w:sz w:val="24"/>
          <w:szCs w:val="24"/>
        </w:rPr>
        <w:t xml:space="preserve"> upresnenie textu vyplývajúce zo zavedenia nových pojmov.</w:t>
      </w:r>
    </w:p>
    <w:p w:rsidR="006B656A" w:rsidRPr="004862A1" w:rsidP="00E32E9C">
      <w:pPr>
        <w:bidi w:val="0"/>
        <w:spacing w:after="0" w:line="240" w:lineRule="auto"/>
        <w:rPr>
          <w:rFonts w:ascii="Times New Roman" w:hAnsi="Times New Roman"/>
          <w:sz w:val="24"/>
          <w:szCs w:val="24"/>
        </w:rPr>
      </w:pPr>
    </w:p>
    <w:p w:rsidR="00626C00"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bodu</w:t>
      </w:r>
      <w:r w:rsidRPr="004862A1" w:rsidR="00885311">
        <w:rPr>
          <w:rFonts w:ascii="Times New Roman" w:hAnsi="Times New Roman"/>
          <w:sz w:val="24"/>
          <w:szCs w:val="24"/>
        </w:rPr>
        <w:t xml:space="preserve"> 2</w:t>
      </w:r>
      <w:r w:rsidR="00980CD2">
        <w:rPr>
          <w:rFonts w:ascii="Times New Roman" w:hAnsi="Times New Roman"/>
          <w:sz w:val="24"/>
          <w:szCs w:val="24"/>
        </w:rPr>
        <w:t>7</w:t>
      </w:r>
    </w:p>
    <w:p w:rsidR="00F335FC" w:rsidRPr="004862A1" w:rsidP="00E32E9C">
      <w:pPr>
        <w:bidi w:val="0"/>
        <w:spacing w:after="0" w:line="240" w:lineRule="auto"/>
        <w:rPr>
          <w:rFonts w:ascii="Times New Roman" w:hAnsi="Times New Roman"/>
          <w:sz w:val="24"/>
          <w:szCs w:val="24"/>
        </w:rPr>
      </w:pPr>
      <w:r w:rsidR="00937F7C">
        <w:rPr>
          <w:rFonts w:ascii="Times New Roman" w:hAnsi="Times New Roman"/>
          <w:sz w:val="24"/>
          <w:szCs w:val="24"/>
        </w:rPr>
        <w:t>U</w:t>
      </w:r>
      <w:r w:rsidRPr="004862A1">
        <w:rPr>
          <w:rFonts w:ascii="Times New Roman" w:hAnsi="Times New Roman"/>
          <w:sz w:val="24"/>
          <w:szCs w:val="24"/>
        </w:rPr>
        <w:t>stanoveni</w:t>
      </w:r>
      <w:r w:rsidR="00937F7C">
        <w:rPr>
          <w:rFonts w:ascii="Times New Roman" w:hAnsi="Times New Roman"/>
          <w:sz w:val="24"/>
          <w:szCs w:val="24"/>
        </w:rPr>
        <w:t>e</w:t>
      </w:r>
      <w:r w:rsidR="00F46A6B">
        <w:rPr>
          <w:rFonts w:ascii="Times New Roman" w:hAnsi="Times New Roman"/>
          <w:sz w:val="24"/>
          <w:szCs w:val="24"/>
        </w:rPr>
        <w:t xml:space="preserve"> </w:t>
      </w:r>
      <w:r w:rsidRPr="004862A1">
        <w:rPr>
          <w:rFonts w:ascii="Times New Roman" w:hAnsi="Times New Roman"/>
          <w:sz w:val="24"/>
          <w:szCs w:val="24"/>
        </w:rPr>
        <w:t xml:space="preserve">§ 14 ods. </w:t>
      </w:r>
      <w:r w:rsidRPr="004862A1" w:rsidR="00DD6ED6">
        <w:rPr>
          <w:rFonts w:ascii="Times New Roman" w:hAnsi="Times New Roman"/>
          <w:sz w:val="24"/>
          <w:szCs w:val="24"/>
        </w:rPr>
        <w:t xml:space="preserve">4 písm. </w:t>
      </w:r>
      <w:r w:rsidRPr="004862A1">
        <w:rPr>
          <w:rFonts w:ascii="Times New Roman" w:hAnsi="Times New Roman"/>
          <w:sz w:val="24"/>
          <w:szCs w:val="24"/>
        </w:rPr>
        <w:t xml:space="preserve">a) a b), </w:t>
      </w:r>
      <w:r w:rsidR="00937F7C">
        <w:rPr>
          <w:rFonts w:ascii="Times New Roman" w:hAnsi="Times New Roman"/>
          <w:sz w:val="24"/>
          <w:szCs w:val="24"/>
        </w:rPr>
        <w:t xml:space="preserve">o povinnosti </w:t>
      </w:r>
      <w:r w:rsidRPr="004862A1">
        <w:rPr>
          <w:rFonts w:ascii="Times New Roman" w:hAnsi="Times New Roman"/>
          <w:sz w:val="24"/>
          <w:szCs w:val="24"/>
        </w:rPr>
        <w:t>zachovávať mlčanlivosť osobám povereným výkonom dozoru</w:t>
      </w:r>
      <w:r w:rsidRPr="004862A1" w:rsidR="00DD6ED6">
        <w:rPr>
          <w:rFonts w:ascii="Times New Roman" w:hAnsi="Times New Roman"/>
          <w:sz w:val="24"/>
          <w:szCs w:val="24"/>
        </w:rPr>
        <w:t>,</w:t>
      </w:r>
      <w:r w:rsidRPr="004862A1">
        <w:rPr>
          <w:rFonts w:ascii="Times New Roman" w:hAnsi="Times New Roman"/>
          <w:sz w:val="24"/>
          <w:szCs w:val="24"/>
        </w:rPr>
        <w:t xml:space="preserve"> je legislatívno-technickým spresnením</w:t>
      </w:r>
      <w:r w:rsidRPr="004862A1" w:rsidR="00DD6ED6">
        <w:rPr>
          <w:rFonts w:ascii="Times New Roman" w:hAnsi="Times New Roman"/>
          <w:sz w:val="24"/>
          <w:szCs w:val="24"/>
        </w:rPr>
        <w:t>, nadväzujúcim na navrhované úpravy</w:t>
      </w:r>
      <w:r w:rsidRPr="004862A1">
        <w:rPr>
          <w:rFonts w:ascii="Times New Roman" w:hAnsi="Times New Roman"/>
          <w:sz w:val="24"/>
          <w:szCs w:val="24"/>
        </w:rPr>
        <w:t xml:space="preserve"> zákona.</w:t>
      </w:r>
    </w:p>
    <w:p w:rsidR="006B656A" w:rsidRPr="004862A1" w:rsidP="00E32E9C">
      <w:pPr>
        <w:bidi w:val="0"/>
        <w:spacing w:after="0" w:line="240" w:lineRule="auto"/>
        <w:rPr>
          <w:rFonts w:ascii="Times New Roman" w:hAnsi="Times New Roman"/>
          <w:sz w:val="24"/>
          <w:szCs w:val="24"/>
        </w:rPr>
      </w:pPr>
    </w:p>
    <w:p w:rsidR="00F335FC" w:rsidRPr="004862A1" w:rsidP="00626C00">
      <w:pPr>
        <w:bidi w:val="0"/>
        <w:spacing w:after="0" w:line="240" w:lineRule="auto"/>
        <w:rPr>
          <w:rFonts w:ascii="Times New Roman" w:hAnsi="Times New Roman"/>
          <w:sz w:val="24"/>
          <w:szCs w:val="24"/>
        </w:rPr>
      </w:pPr>
      <w:r w:rsidRPr="004862A1" w:rsidR="00626C00">
        <w:rPr>
          <w:rFonts w:ascii="Times New Roman" w:hAnsi="Times New Roman"/>
          <w:sz w:val="24"/>
          <w:szCs w:val="24"/>
        </w:rPr>
        <w:t>K</w:t>
      </w:r>
      <w:r w:rsidRPr="004862A1" w:rsidR="00626C00">
        <w:t> </w:t>
      </w:r>
      <w:r w:rsidRPr="004862A1" w:rsidR="00626C00">
        <w:rPr>
          <w:rFonts w:ascii="Times New Roman" w:hAnsi="Times New Roman"/>
          <w:sz w:val="24"/>
          <w:szCs w:val="24"/>
        </w:rPr>
        <w:t>bodu</w:t>
      </w:r>
      <w:r w:rsidRPr="004862A1" w:rsidR="00885311">
        <w:rPr>
          <w:rFonts w:ascii="Times New Roman" w:hAnsi="Times New Roman"/>
          <w:sz w:val="24"/>
          <w:szCs w:val="24"/>
        </w:rPr>
        <w:t xml:space="preserve"> 2</w:t>
      </w:r>
      <w:r w:rsidR="00980CD2">
        <w:rPr>
          <w:rFonts w:ascii="Times New Roman" w:hAnsi="Times New Roman"/>
          <w:sz w:val="24"/>
          <w:szCs w:val="24"/>
        </w:rPr>
        <w:t>8</w:t>
      </w:r>
    </w:p>
    <w:p w:rsidR="00F335FC"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 xml:space="preserve">Na základe doterajších skúseností sa navrhuje rozšíriť okruh subjektov, ktorým je možné  poskytnúť údaje o skutočnostiach, </w:t>
      </w:r>
      <w:r w:rsidR="00720755">
        <w:rPr>
          <w:rFonts w:ascii="Times New Roman" w:hAnsi="Times New Roman"/>
          <w:sz w:val="24"/>
          <w:szCs w:val="24"/>
        </w:rPr>
        <w:t>ktoré</w:t>
      </w:r>
      <w:r w:rsidRPr="004862A1">
        <w:rPr>
          <w:rFonts w:ascii="Times New Roman" w:hAnsi="Times New Roman"/>
          <w:sz w:val="24"/>
          <w:szCs w:val="24"/>
        </w:rPr>
        <w:t xml:space="preserve"> </w:t>
      </w:r>
      <w:r w:rsidR="00F46A6B">
        <w:rPr>
          <w:rFonts w:ascii="Times New Roman" w:hAnsi="Times New Roman"/>
          <w:sz w:val="24"/>
          <w:szCs w:val="24"/>
        </w:rPr>
        <w:t xml:space="preserve">sa </w:t>
      </w:r>
      <w:r w:rsidRPr="004862A1" w:rsidR="00A73F74">
        <w:rPr>
          <w:rFonts w:ascii="Times New Roman" w:hAnsi="Times New Roman"/>
          <w:sz w:val="24"/>
          <w:szCs w:val="24"/>
        </w:rPr>
        <w:t xml:space="preserve">osoby poverené výkonom </w:t>
      </w:r>
      <w:r w:rsidRPr="004862A1">
        <w:rPr>
          <w:rFonts w:ascii="Times New Roman" w:hAnsi="Times New Roman"/>
          <w:sz w:val="24"/>
          <w:szCs w:val="24"/>
        </w:rPr>
        <w:t>dozoru</w:t>
      </w:r>
      <w:r w:rsidR="00475CF3">
        <w:rPr>
          <w:rFonts w:ascii="Times New Roman" w:hAnsi="Times New Roman"/>
          <w:sz w:val="24"/>
          <w:szCs w:val="24"/>
        </w:rPr>
        <w:t xml:space="preserve"> a prizvané osoby</w:t>
      </w:r>
      <w:r w:rsidRPr="004862A1">
        <w:rPr>
          <w:rFonts w:ascii="Times New Roman" w:hAnsi="Times New Roman"/>
          <w:sz w:val="24"/>
          <w:szCs w:val="24"/>
        </w:rPr>
        <w:t xml:space="preserve"> dozvedel</w:t>
      </w:r>
      <w:r w:rsidRPr="004862A1" w:rsidR="00A73F74">
        <w:rPr>
          <w:rFonts w:ascii="Times New Roman" w:hAnsi="Times New Roman"/>
          <w:sz w:val="24"/>
          <w:szCs w:val="24"/>
        </w:rPr>
        <w:t>i</w:t>
      </w:r>
      <w:r w:rsidRPr="004862A1">
        <w:rPr>
          <w:rFonts w:ascii="Times New Roman" w:hAnsi="Times New Roman"/>
          <w:sz w:val="24"/>
          <w:szCs w:val="24"/>
        </w:rPr>
        <w:t xml:space="preserve"> pri výkone dozoru.</w:t>
      </w:r>
    </w:p>
    <w:p w:rsidR="006B656A" w:rsidRPr="004862A1" w:rsidP="00E32E9C">
      <w:pPr>
        <w:bidi w:val="0"/>
        <w:spacing w:after="0" w:line="240" w:lineRule="auto"/>
        <w:rPr>
          <w:rFonts w:ascii="Times New Roman" w:hAnsi="Times New Roman"/>
          <w:sz w:val="24"/>
          <w:szCs w:val="24"/>
        </w:rPr>
      </w:pPr>
    </w:p>
    <w:p w:rsidR="00626C00" w:rsidRPr="004862A1" w:rsidP="00626C00">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bodu</w:t>
      </w:r>
      <w:r w:rsidRPr="004862A1" w:rsidR="00885311">
        <w:rPr>
          <w:rFonts w:ascii="Times New Roman" w:hAnsi="Times New Roman"/>
          <w:sz w:val="24"/>
          <w:szCs w:val="24"/>
        </w:rPr>
        <w:t xml:space="preserve"> 2</w:t>
      </w:r>
      <w:r w:rsidR="00475CF3">
        <w:rPr>
          <w:rFonts w:ascii="Times New Roman" w:hAnsi="Times New Roman"/>
          <w:sz w:val="24"/>
          <w:szCs w:val="24"/>
        </w:rPr>
        <w:t>9</w:t>
      </w:r>
    </w:p>
    <w:p w:rsidR="009C4B28"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 xml:space="preserve">Cieľom nového znenia ustanovenia § 15 zákona je podrobne </w:t>
      </w:r>
      <w:r w:rsidRPr="004862A1" w:rsidR="00847A98">
        <w:rPr>
          <w:rFonts w:ascii="Times New Roman" w:hAnsi="Times New Roman"/>
          <w:sz w:val="24"/>
          <w:szCs w:val="24"/>
        </w:rPr>
        <w:t>upraviť</w:t>
      </w:r>
      <w:r w:rsidRPr="004862A1">
        <w:rPr>
          <w:rFonts w:ascii="Times New Roman" w:hAnsi="Times New Roman"/>
          <w:sz w:val="24"/>
          <w:szCs w:val="24"/>
        </w:rPr>
        <w:t xml:space="preserve"> postup pri dozore na mieste, ktorý sa na rozdiel od iných foriem výkonu dozoru vykonáva priamo u dozorovaného subjektu, v jeho priestoroch a u jeho zamestnancov. Orgán</w:t>
      </w:r>
      <w:r w:rsidRPr="004862A1" w:rsidR="00363715">
        <w:rPr>
          <w:rFonts w:ascii="Times New Roman" w:hAnsi="Times New Roman"/>
          <w:sz w:val="24"/>
          <w:szCs w:val="24"/>
        </w:rPr>
        <w:t>y</w:t>
      </w:r>
      <w:r w:rsidRPr="004862A1">
        <w:rPr>
          <w:rFonts w:ascii="Times New Roman" w:hAnsi="Times New Roman"/>
          <w:sz w:val="24"/>
          <w:szCs w:val="24"/>
        </w:rPr>
        <w:t xml:space="preserve"> dozoru vykonáva</w:t>
      </w:r>
      <w:r w:rsidRPr="004862A1" w:rsidR="00363715">
        <w:rPr>
          <w:rFonts w:ascii="Times New Roman" w:hAnsi="Times New Roman"/>
          <w:sz w:val="24"/>
          <w:szCs w:val="24"/>
        </w:rPr>
        <w:t>jú</w:t>
      </w:r>
      <w:r w:rsidRPr="004862A1">
        <w:rPr>
          <w:rFonts w:ascii="Times New Roman" w:hAnsi="Times New Roman"/>
          <w:sz w:val="24"/>
          <w:szCs w:val="24"/>
        </w:rPr>
        <w:t xml:space="preserve"> dozor na mieste prostredníctvom svojich zamestnancov (osoby poverené výkonom dozoru, ktoré sa preukazujú služobným preukazom oprávňujúcim na výkon dozoru) a v prípade, ak je súčasťou výkonu dozoru aj technická kontrola, vykonáva dozor aj za účasti prizvanej osoby, ktorou sú zamestnanci poverenej skúšobne, ktorí musia mať na takúto činnosť osobitné písomné poverenie </w:t>
      </w:r>
      <w:r w:rsidRPr="004862A1" w:rsidR="00363715">
        <w:rPr>
          <w:rFonts w:ascii="Times New Roman" w:hAnsi="Times New Roman"/>
          <w:sz w:val="24"/>
          <w:szCs w:val="24"/>
        </w:rPr>
        <w:t>vydané daňovým úradom</w:t>
      </w:r>
      <w:r w:rsidRPr="004862A1">
        <w:rPr>
          <w:rFonts w:ascii="Times New Roman" w:hAnsi="Times New Roman"/>
          <w:sz w:val="24"/>
          <w:szCs w:val="24"/>
        </w:rPr>
        <w:t>.</w:t>
      </w:r>
    </w:p>
    <w:p w:rsidR="009C4B28"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Zmyslom úpravy inštitútu zaujatosti je zamedziť, aby sa pri dozore vylúčili osobné, subjektívne záujmy osôb vykonávajúcich dozor</w:t>
      </w:r>
      <w:r w:rsidRPr="004862A1" w:rsidR="00363715">
        <w:rPr>
          <w:rFonts w:ascii="Times New Roman" w:hAnsi="Times New Roman"/>
          <w:sz w:val="24"/>
          <w:szCs w:val="24"/>
        </w:rPr>
        <w:t xml:space="preserve"> alebo prizvaných osôb</w:t>
      </w:r>
      <w:r w:rsidRPr="004862A1">
        <w:rPr>
          <w:rFonts w:ascii="Times New Roman" w:hAnsi="Times New Roman"/>
          <w:sz w:val="24"/>
          <w:szCs w:val="24"/>
        </w:rPr>
        <w:t xml:space="preserve">, a tak </w:t>
      </w:r>
      <w:r w:rsidR="00720755">
        <w:rPr>
          <w:rFonts w:ascii="Times New Roman" w:hAnsi="Times New Roman"/>
          <w:sz w:val="24"/>
          <w:szCs w:val="24"/>
        </w:rPr>
        <w:t>vy</w:t>
      </w:r>
      <w:r w:rsidRPr="004862A1">
        <w:rPr>
          <w:rFonts w:ascii="Times New Roman" w:hAnsi="Times New Roman"/>
          <w:sz w:val="24"/>
          <w:szCs w:val="24"/>
        </w:rPr>
        <w:t>tvoriť predpoklady na objektívny výkon dozoru.</w:t>
      </w:r>
    </w:p>
    <w:p w:rsidR="009C4B28"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 xml:space="preserve">Jednou zo základných podmienok pre objektívny výkon dozoru je aj presné vymedzenie oprávnení a povinností </w:t>
      </w:r>
      <w:r w:rsidRPr="004862A1" w:rsidR="000F466A">
        <w:rPr>
          <w:rFonts w:ascii="Times New Roman" w:hAnsi="Times New Roman"/>
          <w:sz w:val="24"/>
          <w:szCs w:val="24"/>
        </w:rPr>
        <w:t>osôb poverených výkonom dozoru</w:t>
      </w:r>
      <w:r w:rsidRPr="004862A1">
        <w:rPr>
          <w:rFonts w:ascii="Times New Roman" w:hAnsi="Times New Roman"/>
          <w:sz w:val="24"/>
          <w:szCs w:val="24"/>
        </w:rPr>
        <w:t xml:space="preserve"> na mieste. </w:t>
      </w:r>
    </w:p>
    <w:p w:rsidR="009C4B28"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 xml:space="preserve">Predložený návrh zákona zakotvuje právo osôb poverených výkonom dozoru vstupovať do sídla prevádzkovateľa hazardnej hry, priestorov dozorovaného subjektu a do herní, na pozemky a do iných objektov alebo priestorov, ktoré súvisia s prevádzkovaním </w:t>
      </w:r>
      <w:r w:rsidRPr="004862A1" w:rsidR="005A7012">
        <w:rPr>
          <w:rFonts w:ascii="Times New Roman" w:hAnsi="Times New Roman"/>
          <w:sz w:val="24"/>
          <w:szCs w:val="24"/>
        </w:rPr>
        <w:t xml:space="preserve">a propagovaním </w:t>
      </w:r>
      <w:r w:rsidRPr="004862A1">
        <w:rPr>
          <w:rFonts w:ascii="Times New Roman" w:hAnsi="Times New Roman"/>
          <w:sz w:val="24"/>
          <w:szCs w:val="24"/>
        </w:rPr>
        <w:t xml:space="preserve">hazardných hier v rozsahu nevyhnutne potrebnom na účely výkonu dozoru, ďalej právo vyžadovať od dozorovaného subjektu a jeho zamestnancov, aby im v určenej lehote poskytovali písomnosti, informácie, vyjadrenia, atď. k predmetu dozoru a zisteným nedostatkom, právo zaistiť doklady a technické zariadenia, resp. právo odobrať ich na zabezpečenie dôkazov a ďalšie úkony súvisiace s dozorom a tiež vyžadovať súčinnosť od dozorovaného subjektu potrebnú na vykonanie dozoru, ak nemožno účel dozoru dosiahnuť inak, resp. prizvať zamestnanca poverenej skúšobne, ak súčasťou dozoru je aj technická kontrola. </w:t>
      </w:r>
    </w:p>
    <w:p w:rsidR="009C4B28"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 xml:space="preserve">Predložený návrh zákona jednoznačne vyjadruje aj povinnosti orgánov dozoru primerane k ich oprávneniam, tzn. okrem preukázania sa dokladom oprávňujúcim na výkon dozoru najmä vydať potvrdenie o odňatí dokumentov potrebných k výkonu dozoru a zabezpečiť ich ochranu pred stratou, poškodením atď., a ich vrátenie dozorovanému subjektu, vypracovať správu o výkone dozoru vrátane určenia primeranej lehoty </w:t>
      </w:r>
      <w:r w:rsidRPr="004862A1" w:rsidR="000F466A">
        <w:rPr>
          <w:rFonts w:ascii="Times New Roman" w:hAnsi="Times New Roman"/>
          <w:sz w:val="24"/>
          <w:szCs w:val="24"/>
        </w:rPr>
        <w:t xml:space="preserve">na </w:t>
      </w:r>
      <w:r w:rsidRPr="004862A1">
        <w:rPr>
          <w:rFonts w:ascii="Times New Roman" w:hAnsi="Times New Roman"/>
          <w:sz w:val="24"/>
          <w:szCs w:val="24"/>
        </w:rPr>
        <w:t>vyjadreni</w:t>
      </w:r>
      <w:r w:rsidRPr="004862A1" w:rsidR="000F466A">
        <w:rPr>
          <w:rFonts w:ascii="Times New Roman" w:hAnsi="Times New Roman"/>
          <w:sz w:val="24"/>
          <w:szCs w:val="24"/>
        </w:rPr>
        <w:t>e</w:t>
      </w:r>
      <w:r w:rsidRPr="004862A1">
        <w:rPr>
          <w:rFonts w:ascii="Times New Roman" w:hAnsi="Times New Roman"/>
          <w:sz w:val="24"/>
          <w:szCs w:val="24"/>
        </w:rPr>
        <w:t xml:space="preserve"> sa k správe, preverenie oprávnenosti písomných námietok k správe a oznámenie o preverení  predložených písomných námietok k správe. Navrhuje sa aj povinnosť orgán</w:t>
      </w:r>
      <w:r w:rsidRPr="004862A1" w:rsidR="001315FE">
        <w:rPr>
          <w:rFonts w:ascii="Times New Roman" w:hAnsi="Times New Roman"/>
          <w:sz w:val="24"/>
          <w:szCs w:val="24"/>
        </w:rPr>
        <w:t>om</w:t>
      </w:r>
      <w:r w:rsidRPr="004862A1">
        <w:rPr>
          <w:rFonts w:ascii="Times New Roman" w:hAnsi="Times New Roman"/>
          <w:sz w:val="24"/>
          <w:szCs w:val="24"/>
        </w:rPr>
        <w:t xml:space="preserve"> dozoru v prípade potreby určiť a písomne oznámiť dozorovanému subjektu lehoty, v ktorých je dozorovaný subjekt povinný prijať a splniť svoje opatrenia na odstránenie a nápravu nedostatkov zistených pri dozore na mieste a príčin ich vzniku a predložiť orgán</w:t>
      </w:r>
      <w:r w:rsidRPr="004862A1" w:rsidR="001315FE">
        <w:rPr>
          <w:rFonts w:ascii="Times New Roman" w:hAnsi="Times New Roman"/>
          <w:sz w:val="24"/>
          <w:szCs w:val="24"/>
        </w:rPr>
        <w:t>om</w:t>
      </w:r>
      <w:r w:rsidRPr="004862A1">
        <w:rPr>
          <w:rFonts w:ascii="Times New Roman" w:hAnsi="Times New Roman"/>
          <w:sz w:val="24"/>
          <w:szCs w:val="24"/>
        </w:rPr>
        <w:t xml:space="preserve"> dozoru písomnú správu o prijatých opatreniach a o splnení prijatých opatrení vrátane zabezpečenia ochrany informácií a podkladov získaných pri dozore na mieste pred ich neoprávneným sprístupnením.</w:t>
      </w:r>
    </w:p>
    <w:p w:rsidR="009C4B28"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Úspešnosť činnosti orgán</w:t>
      </w:r>
      <w:r w:rsidRPr="004862A1" w:rsidR="001315FE">
        <w:rPr>
          <w:rFonts w:ascii="Times New Roman" w:hAnsi="Times New Roman"/>
          <w:sz w:val="24"/>
          <w:szCs w:val="24"/>
        </w:rPr>
        <w:t>ov</w:t>
      </w:r>
      <w:r w:rsidRPr="004862A1">
        <w:rPr>
          <w:rFonts w:ascii="Times New Roman" w:hAnsi="Times New Roman"/>
          <w:sz w:val="24"/>
          <w:szCs w:val="24"/>
        </w:rPr>
        <w:t xml:space="preserve"> dozoru je okrem iného podmienená aj zodpovedným prístupom dozorovaného subjektu voči </w:t>
      </w:r>
      <w:r w:rsidRPr="004862A1" w:rsidR="000F466A">
        <w:rPr>
          <w:rFonts w:ascii="Times New Roman" w:hAnsi="Times New Roman"/>
          <w:sz w:val="24"/>
          <w:szCs w:val="24"/>
        </w:rPr>
        <w:t>osobám povereným výkonom</w:t>
      </w:r>
      <w:r w:rsidRPr="004862A1">
        <w:rPr>
          <w:rFonts w:ascii="Times New Roman" w:hAnsi="Times New Roman"/>
          <w:sz w:val="24"/>
          <w:szCs w:val="24"/>
        </w:rPr>
        <w:t xml:space="preserve"> dozoru. Preto sa navrhuje, aby dozorovaný subjekt poskytoval </w:t>
      </w:r>
      <w:r w:rsidRPr="004862A1" w:rsidR="000F466A">
        <w:rPr>
          <w:rFonts w:ascii="Times New Roman" w:hAnsi="Times New Roman"/>
          <w:sz w:val="24"/>
          <w:szCs w:val="24"/>
        </w:rPr>
        <w:t xml:space="preserve">týmto </w:t>
      </w:r>
      <w:r w:rsidRPr="004862A1">
        <w:rPr>
          <w:rFonts w:ascii="Times New Roman" w:hAnsi="Times New Roman"/>
          <w:sz w:val="24"/>
          <w:szCs w:val="24"/>
        </w:rPr>
        <w:t xml:space="preserve">osobám súčinnosť nevyhnutnú na riadny výkon dozoru a primerane sa mu stanovujú povinnosti v súvislosti s výkonom dozoru. </w:t>
      </w:r>
    </w:p>
    <w:p w:rsidR="00F335FC" w:rsidRPr="004862A1" w:rsidP="00E32E9C">
      <w:pPr>
        <w:bidi w:val="0"/>
        <w:spacing w:after="0" w:line="240" w:lineRule="auto"/>
        <w:rPr>
          <w:rFonts w:ascii="Times New Roman" w:hAnsi="Times New Roman"/>
          <w:sz w:val="24"/>
          <w:szCs w:val="24"/>
        </w:rPr>
      </w:pPr>
      <w:r w:rsidRPr="004862A1" w:rsidR="009C4B28">
        <w:rPr>
          <w:rFonts w:ascii="Times New Roman" w:hAnsi="Times New Roman"/>
          <w:sz w:val="24"/>
          <w:szCs w:val="24"/>
        </w:rPr>
        <w:t>Písomný dokument, ktorý vypracúva orgán dozoru sa označuje názvom správa o výsledku dozoru na mieste, pričom sa ustanovujú jej obsahové náležitosti. Súčasťou správy je doklad o doručení správy dozorovanému subjektu, ako aj prípadné písomné námietky dozorovaného subjektu proti údajom uvedeným v správe, rovnopis písomného oznámenia dozorovanému subjektu o výsledku preverenia predložených písomných námietok dozorovanému subjektu a doklad o doručení tohto oznámenia dozorovanému subjektu. Vzhľadom na význam tohto dokumentu, sa navrhuje doba jeho archivácie 5 rokov. Návrh tohto ustanovenia rieši aj ukončenie dozoru na mieste a v súvislosti s pôsobnosťou orgán</w:t>
      </w:r>
      <w:r w:rsidRPr="004862A1" w:rsidR="001315FE">
        <w:rPr>
          <w:rFonts w:ascii="Times New Roman" w:hAnsi="Times New Roman"/>
          <w:sz w:val="24"/>
          <w:szCs w:val="24"/>
        </w:rPr>
        <w:t>ov</w:t>
      </w:r>
      <w:r w:rsidRPr="004862A1" w:rsidR="009C4B28">
        <w:rPr>
          <w:rFonts w:ascii="Times New Roman" w:hAnsi="Times New Roman"/>
          <w:sz w:val="24"/>
          <w:szCs w:val="24"/>
        </w:rPr>
        <w:t xml:space="preserve"> dozoru sa navrhuje aj poskytnutie ochrany zo strany Policajného zboru Slovenskej republiky.</w:t>
      </w:r>
    </w:p>
    <w:p w:rsidR="00730071" w:rsidRPr="004862A1" w:rsidP="00E32E9C">
      <w:pPr>
        <w:bidi w:val="0"/>
        <w:spacing w:after="0" w:line="240" w:lineRule="auto"/>
        <w:rPr>
          <w:rFonts w:ascii="Times New Roman" w:hAnsi="Times New Roman"/>
          <w:sz w:val="24"/>
          <w:szCs w:val="24"/>
        </w:rPr>
      </w:pPr>
    </w:p>
    <w:p w:rsidR="009C4B28" w:rsidRPr="004862A1" w:rsidP="00626C00">
      <w:pPr>
        <w:bidi w:val="0"/>
        <w:spacing w:after="0" w:line="240" w:lineRule="auto"/>
        <w:rPr>
          <w:rFonts w:ascii="Times New Roman" w:hAnsi="Times New Roman"/>
          <w:sz w:val="24"/>
          <w:szCs w:val="24"/>
        </w:rPr>
      </w:pPr>
      <w:r w:rsidRPr="004862A1" w:rsidR="00626C00">
        <w:rPr>
          <w:rFonts w:ascii="Times New Roman" w:hAnsi="Times New Roman"/>
          <w:sz w:val="24"/>
          <w:szCs w:val="24"/>
        </w:rPr>
        <w:t>K</w:t>
      </w:r>
      <w:r w:rsidRPr="004862A1" w:rsidR="00626C00">
        <w:t> </w:t>
      </w:r>
      <w:r w:rsidRPr="004862A1" w:rsidR="00626C00">
        <w:rPr>
          <w:rFonts w:ascii="Times New Roman" w:hAnsi="Times New Roman"/>
          <w:sz w:val="24"/>
          <w:szCs w:val="24"/>
        </w:rPr>
        <w:t>bodu</w:t>
      </w:r>
      <w:r w:rsidRPr="004862A1" w:rsidR="00885311">
        <w:rPr>
          <w:rFonts w:ascii="Times New Roman" w:hAnsi="Times New Roman"/>
          <w:sz w:val="24"/>
          <w:szCs w:val="24"/>
        </w:rPr>
        <w:t xml:space="preserve"> </w:t>
      </w:r>
      <w:r w:rsidR="00475CF3">
        <w:rPr>
          <w:rFonts w:ascii="Times New Roman" w:hAnsi="Times New Roman"/>
          <w:sz w:val="24"/>
          <w:szCs w:val="24"/>
        </w:rPr>
        <w:t>30</w:t>
      </w:r>
    </w:p>
    <w:p w:rsidR="009C4B28" w:rsidRPr="00861BB5" w:rsidP="002D57AA">
      <w:pPr>
        <w:bidi w:val="0"/>
        <w:spacing w:after="0" w:line="240" w:lineRule="auto"/>
        <w:rPr>
          <w:rFonts w:ascii="Times New Roman" w:hAnsi="Times New Roman"/>
          <w:sz w:val="24"/>
          <w:szCs w:val="24"/>
        </w:rPr>
      </w:pPr>
      <w:r w:rsidRPr="004862A1" w:rsidR="006B656A">
        <w:rPr>
          <w:rFonts w:ascii="Times New Roman" w:hAnsi="Times New Roman"/>
          <w:sz w:val="24"/>
          <w:szCs w:val="24"/>
        </w:rPr>
        <w:t xml:space="preserve">Dozor pod utajenou identitou: </w:t>
      </w:r>
      <w:r w:rsidRPr="004862A1">
        <w:rPr>
          <w:rFonts w:ascii="Times New Roman" w:hAnsi="Times New Roman"/>
          <w:sz w:val="24"/>
          <w:szCs w:val="24"/>
        </w:rPr>
        <w:t>Zavádza sa nová kompetencia pre orgán</w:t>
      </w:r>
      <w:r w:rsidRPr="004862A1" w:rsidR="00190378">
        <w:rPr>
          <w:rFonts w:ascii="Times New Roman" w:hAnsi="Times New Roman"/>
          <w:sz w:val="24"/>
          <w:szCs w:val="24"/>
        </w:rPr>
        <w:t>y</w:t>
      </w:r>
      <w:r w:rsidRPr="004862A1">
        <w:rPr>
          <w:rFonts w:ascii="Times New Roman" w:hAnsi="Times New Roman"/>
          <w:sz w:val="24"/>
          <w:szCs w:val="24"/>
        </w:rPr>
        <w:t xml:space="preserve"> dozoru, ktor</w:t>
      </w:r>
      <w:r w:rsidRPr="004862A1" w:rsidR="00190378">
        <w:rPr>
          <w:rFonts w:ascii="Times New Roman" w:hAnsi="Times New Roman"/>
          <w:sz w:val="24"/>
          <w:szCs w:val="24"/>
        </w:rPr>
        <w:t>é</w:t>
      </w:r>
      <w:r w:rsidRPr="004862A1">
        <w:rPr>
          <w:rFonts w:ascii="Times New Roman" w:hAnsi="Times New Roman"/>
          <w:sz w:val="24"/>
          <w:szCs w:val="24"/>
        </w:rPr>
        <w:t xml:space="preserve"> </w:t>
      </w:r>
      <w:r w:rsidRPr="004862A1" w:rsidR="00190378">
        <w:rPr>
          <w:rFonts w:ascii="Times New Roman" w:hAnsi="Times New Roman"/>
          <w:sz w:val="24"/>
          <w:szCs w:val="24"/>
        </w:rPr>
        <w:t xml:space="preserve">budú </w:t>
      </w:r>
      <w:r w:rsidRPr="004862A1">
        <w:rPr>
          <w:rFonts w:ascii="Times New Roman" w:hAnsi="Times New Roman"/>
          <w:sz w:val="24"/>
          <w:szCs w:val="24"/>
        </w:rPr>
        <w:t>vykonávať dozor po</w:t>
      </w:r>
      <w:r w:rsidRPr="004862A1" w:rsidR="006B656A">
        <w:rPr>
          <w:rFonts w:ascii="Times New Roman" w:hAnsi="Times New Roman"/>
          <w:sz w:val="24"/>
          <w:szCs w:val="24"/>
        </w:rPr>
        <w:t>d</w:t>
      </w:r>
      <w:r w:rsidRPr="004862A1">
        <w:rPr>
          <w:rFonts w:ascii="Times New Roman" w:hAnsi="Times New Roman"/>
          <w:sz w:val="24"/>
          <w:szCs w:val="24"/>
        </w:rPr>
        <w:t xml:space="preserve"> utajenou identitou. Tento dozor bude môcť vykonávať fyzická osoba, ktorá bude mať od orgánu dozoru písomné poverenie na výkon dozoru pod utajenou identitou, ktoré obsahuje číslo preukazu osoby poverenej výkonom dozoru pod utajenou identitou. Z dôvodu vyššej ochrany osôb poverených výkonom dozoru pod utajenou identitou číslo preukazu neobsahuje osobné údaje osoby poverenej výkonom tohto dozoru (meno, priezvisko, rodné číslo, adresu ich bydliska, prípadne iné osobné údaje). Takýto dozor sa začne okamihom prvého úkonu, ktorý urobila osoba poverená výkonom dozoru voči dozorovanému subjektu, až do  momentu preukázania sa tejto osoby písomným poverením orgánu dozoru. Dozor pod utajenou identitou sa bude vykonávať na zisťovanie dodržiavania ustanovení o zákaze účasti na hazardných hrách osobám, ktoré sú vylúčené z možnosti  hrania hazardných hier</w:t>
      </w:r>
      <w:r w:rsidRPr="004862A1" w:rsidR="00110CE3">
        <w:rPr>
          <w:rFonts w:ascii="Times New Roman" w:hAnsi="Times New Roman"/>
          <w:sz w:val="24"/>
          <w:szCs w:val="24"/>
        </w:rPr>
        <w:t>, osobám mladším ako 18 rokov vrátane zákazu ich vstupu do herne</w:t>
      </w:r>
      <w:r w:rsidRPr="004862A1">
        <w:rPr>
          <w:rFonts w:ascii="Times New Roman" w:hAnsi="Times New Roman"/>
          <w:sz w:val="24"/>
          <w:szCs w:val="24"/>
        </w:rPr>
        <w:t xml:space="preserve">. V súvislosti s výkonom tohto dozoru sa stanovuje, že všetky plnenia vykonané pri dozore pod utajenou identitou sa od začiatku zrušujú preukázaním sa osoby poverenej výkonom dozoru pod utajenou identitou. Dozorovaný subjekt je povinný uhradiť orgánu dozoru všetky plnenia v rámci výkonu tohto dozoru a orgán dozoru vráti dozorovanému subjektu celé finančné plnenie uhradené v rámci výkonu tohto dozoru, pričom tieto finančné plnenia sa musia uhradiť do 30 kalendárnych dní odo dňa, keď sa osoba poverená výkonom pod utajenou identitou preukázala poverením </w:t>
      </w:r>
      <w:r w:rsidRPr="00861BB5">
        <w:rPr>
          <w:rFonts w:ascii="Times New Roman" w:hAnsi="Times New Roman"/>
          <w:sz w:val="24"/>
          <w:szCs w:val="24"/>
        </w:rPr>
        <w:t xml:space="preserve">na </w:t>
      </w:r>
      <w:r w:rsidRPr="00861BB5" w:rsidR="007113B9">
        <w:rPr>
          <w:rFonts w:ascii="Times New Roman" w:hAnsi="Times New Roman"/>
          <w:sz w:val="24"/>
          <w:szCs w:val="24"/>
        </w:rPr>
        <w:t xml:space="preserve">výkon </w:t>
      </w:r>
      <w:r w:rsidRPr="00861BB5">
        <w:rPr>
          <w:rFonts w:ascii="Times New Roman" w:hAnsi="Times New Roman"/>
          <w:sz w:val="24"/>
          <w:szCs w:val="24"/>
        </w:rPr>
        <w:t>dozor</w:t>
      </w:r>
      <w:r w:rsidRPr="00861BB5" w:rsidR="007113B9">
        <w:rPr>
          <w:rFonts w:ascii="Times New Roman" w:hAnsi="Times New Roman"/>
          <w:sz w:val="24"/>
          <w:szCs w:val="24"/>
        </w:rPr>
        <w:t>u</w:t>
      </w:r>
      <w:r w:rsidRPr="00861BB5">
        <w:rPr>
          <w:rFonts w:ascii="Times New Roman" w:hAnsi="Times New Roman"/>
          <w:sz w:val="24"/>
          <w:szCs w:val="24"/>
        </w:rPr>
        <w:t>.</w:t>
      </w:r>
    </w:p>
    <w:p w:rsidR="00F0768B" w:rsidRPr="00861BB5" w:rsidP="002D57AA">
      <w:pPr>
        <w:tabs>
          <w:tab w:val="left" w:pos="426"/>
        </w:tabs>
        <w:bidi w:val="0"/>
        <w:spacing w:after="0" w:line="240" w:lineRule="auto"/>
        <w:rPr>
          <w:rFonts w:ascii="Times New Roman" w:hAnsi="Times New Roman"/>
          <w:sz w:val="24"/>
          <w:szCs w:val="24"/>
        </w:rPr>
      </w:pPr>
      <w:r w:rsidRPr="00861BB5" w:rsidR="006B656A">
        <w:rPr>
          <w:rFonts w:ascii="Times New Roman" w:hAnsi="Times New Roman"/>
          <w:sz w:val="24"/>
          <w:szCs w:val="24"/>
        </w:rPr>
        <w:t xml:space="preserve">Dozor nad </w:t>
      </w:r>
      <w:r w:rsidRPr="00861BB5" w:rsidR="00493597">
        <w:rPr>
          <w:rFonts w:ascii="Times New Roman" w:hAnsi="Times New Roman"/>
          <w:sz w:val="24"/>
          <w:szCs w:val="24"/>
        </w:rPr>
        <w:t>poskytovaním zakázaných ponúk</w:t>
      </w:r>
      <w:r w:rsidRPr="00861BB5" w:rsidR="006B656A">
        <w:rPr>
          <w:rFonts w:ascii="Times New Roman" w:hAnsi="Times New Roman"/>
          <w:sz w:val="24"/>
          <w:szCs w:val="24"/>
        </w:rPr>
        <w:t xml:space="preserve">: </w:t>
      </w:r>
      <w:r w:rsidRPr="00861BB5" w:rsidR="00B50F02">
        <w:rPr>
          <w:rFonts w:ascii="Times New Roman" w:hAnsi="Times New Roman"/>
          <w:sz w:val="24"/>
          <w:szCs w:val="24"/>
        </w:rPr>
        <w:t>V rámci aktuálnej ponuky na trhu hazardných hier prostredníctvom elektronických komunikačných sietí</w:t>
      </w:r>
      <w:r w:rsidRPr="00861BB5" w:rsidR="00493597">
        <w:rPr>
          <w:rFonts w:ascii="Times New Roman" w:hAnsi="Times New Roman"/>
          <w:sz w:val="24"/>
          <w:szCs w:val="24"/>
        </w:rPr>
        <w:t xml:space="preserve"> a služieb</w:t>
      </w:r>
      <w:r w:rsidRPr="00861BB5" w:rsidR="00B50F02">
        <w:rPr>
          <w:rFonts w:ascii="Times New Roman" w:hAnsi="Times New Roman"/>
          <w:sz w:val="24"/>
          <w:szCs w:val="24"/>
        </w:rPr>
        <w:t>, najmä internetu, sú k dispozícii hazardné hry nielen licencovaných spoločností – prevádzkovateľov hazardných hier, ktorí spĺňajú podmienky platného zákona č. 171/2005 Z. z. o hazardných hrách a o zmene a doplnení niektorých zákonov v znení neskorších predpisov, ale aj ponuky spoločností, ktoré nerešpektujú platnú slovenskú právnu úpravu pre oblasť podnikania vo sfére hazardných hier. Ich ponuka pre hráčov hazardných hier,</w:t>
      </w:r>
      <w:r w:rsidRPr="00861BB5" w:rsidR="00110CE3">
        <w:rPr>
          <w:rFonts w:ascii="Times New Roman" w:hAnsi="Times New Roman"/>
          <w:sz w:val="24"/>
          <w:szCs w:val="24"/>
        </w:rPr>
        <w:t xml:space="preserve"> </w:t>
      </w:r>
      <w:r w:rsidRPr="00861BB5" w:rsidR="00B50F02">
        <w:rPr>
          <w:rFonts w:ascii="Times New Roman" w:hAnsi="Times New Roman"/>
          <w:sz w:val="24"/>
          <w:szCs w:val="24"/>
        </w:rPr>
        <w:t>na území Slovenskej republiky je častokrát výhodnejšia ako ponuka licencovaných subjektov z dôvodu neplnenia zákonných podmienok a je v rozpore s dobrými mravmi, čím predstavuje nežiaduci prvok v podnikaní v oblasti hazardu. V snahe zamedziť pokračovaniu uvedenej situácie sa navrhuje úprava, ktorá je zameraná na obmedzenie dostupnosti hazardných hier, na prevádzkovanie ktorých nebola udelená alebo vydaná príslušná licencia podľa slovenských právnych predpisov a ktoré prostredníctvom elektronických komunikačných sietí</w:t>
      </w:r>
      <w:r w:rsidRPr="00861BB5" w:rsidR="00232950">
        <w:rPr>
          <w:rFonts w:ascii="Times New Roman" w:hAnsi="Times New Roman"/>
          <w:sz w:val="24"/>
          <w:szCs w:val="24"/>
        </w:rPr>
        <w:t xml:space="preserve"> a služieb</w:t>
      </w:r>
      <w:r w:rsidRPr="00861BB5" w:rsidR="00B50F02">
        <w:rPr>
          <w:rFonts w:ascii="Times New Roman" w:hAnsi="Times New Roman"/>
          <w:sz w:val="24"/>
          <w:szCs w:val="24"/>
        </w:rPr>
        <w:t xml:space="preserve"> (internetu) ponúkajú predovšetkým zahraničné spoločnosti. Preto cieľom nového ustanovenia § 15b zákona je osobitne upresniť špecifickú oblasť predmetu dozoru,</w:t>
      </w:r>
      <w:r w:rsidRPr="00861BB5" w:rsidR="003B3857">
        <w:rPr>
          <w:rFonts w:ascii="Times New Roman" w:hAnsi="Times New Roman"/>
          <w:sz w:val="24"/>
          <w:szCs w:val="24"/>
        </w:rPr>
        <w:t xml:space="preserve"> vrátane postupu dozoru</w:t>
      </w:r>
      <w:r w:rsidRPr="00861BB5" w:rsidR="00B50F02">
        <w:rPr>
          <w:rFonts w:ascii="Times New Roman" w:hAnsi="Times New Roman"/>
          <w:sz w:val="24"/>
          <w:szCs w:val="24"/>
        </w:rPr>
        <w:t xml:space="preserve"> nad </w:t>
      </w:r>
      <w:r w:rsidRPr="00861BB5" w:rsidR="00794390">
        <w:rPr>
          <w:rFonts w:ascii="Times New Roman" w:hAnsi="Times New Roman"/>
          <w:sz w:val="24"/>
          <w:szCs w:val="24"/>
        </w:rPr>
        <w:t xml:space="preserve">poskytovaním </w:t>
      </w:r>
      <w:r w:rsidRPr="00861BB5" w:rsidR="00B50F02">
        <w:rPr>
          <w:rFonts w:ascii="Times New Roman" w:hAnsi="Times New Roman"/>
          <w:sz w:val="24"/>
          <w:szCs w:val="24"/>
        </w:rPr>
        <w:t>zakázaný</w:t>
      </w:r>
      <w:r w:rsidRPr="00861BB5" w:rsidR="00794390">
        <w:rPr>
          <w:rFonts w:ascii="Times New Roman" w:hAnsi="Times New Roman"/>
          <w:sz w:val="24"/>
          <w:szCs w:val="24"/>
        </w:rPr>
        <w:t>ch</w:t>
      </w:r>
      <w:r w:rsidRPr="00861BB5" w:rsidR="00B50F02">
        <w:rPr>
          <w:rFonts w:ascii="Times New Roman" w:hAnsi="Times New Roman"/>
          <w:sz w:val="24"/>
          <w:szCs w:val="24"/>
        </w:rPr>
        <w:t xml:space="preserve"> pon</w:t>
      </w:r>
      <w:r w:rsidRPr="00861BB5" w:rsidR="00794390">
        <w:rPr>
          <w:rFonts w:ascii="Times New Roman" w:hAnsi="Times New Roman"/>
          <w:sz w:val="24"/>
          <w:szCs w:val="24"/>
        </w:rPr>
        <w:t>úk</w:t>
      </w:r>
      <w:r w:rsidRPr="00861BB5" w:rsidR="00B50F02">
        <w:rPr>
          <w:rFonts w:ascii="Times New Roman" w:hAnsi="Times New Roman"/>
          <w:sz w:val="24"/>
          <w:szCs w:val="24"/>
        </w:rPr>
        <w:t xml:space="preserve">, t.j. propagovaním alebo prevádzkovaním hazardnej hry dostupnej na území </w:t>
      </w:r>
      <w:r w:rsidRPr="00861BB5" w:rsidR="002C55F3">
        <w:rPr>
          <w:rFonts w:ascii="Times New Roman" w:hAnsi="Times New Roman"/>
          <w:sz w:val="24"/>
          <w:szCs w:val="24"/>
        </w:rPr>
        <w:t xml:space="preserve">alebo z územia </w:t>
      </w:r>
      <w:r w:rsidRPr="00861BB5" w:rsidR="00B50F02">
        <w:rPr>
          <w:rFonts w:ascii="Times New Roman" w:hAnsi="Times New Roman"/>
          <w:sz w:val="24"/>
          <w:szCs w:val="24"/>
        </w:rPr>
        <w:t xml:space="preserve">Slovenskej republiky bez licencie podľa </w:t>
      </w:r>
      <w:r w:rsidRPr="00861BB5" w:rsidR="002C55F3">
        <w:rPr>
          <w:rFonts w:ascii="Times New Roman" w:hAnsi="Times New Roman"/>
          <w:sz w:val="24"/>
          <w:szCs w:val="24"/>
        </w:rPr>
        <w:t xml:space="preserve">slovenského </w:t>
      </w:r>
      <w:r w:rsidRPr="00861BB5" w:rsidR="00B50F02">
        <w:rPr>
          <w:rFonts w:ascii="Times New Roman" w:hAnsi="Times New Roman"/>
          <w:sz w:val="24"/>
          <w:szCs w:val="24"/>
        </w:rPr>
        <w:t>zákona o hazardných hrách prostredníctvom elektronickej komunikačnej siete</w:t>
      </w:r>
      <w:r w:rsidRPr="00861BB5" w:rsidR="00232950">
        <w:rPr>
          <w:rFonts w:ascii="Times New Roman" w:hAnsi="Times New Roman"/>
          <w:sz w:val="24"/>
          <w:szCs w:val="24"/>
        </w:rPr>
        <w:t xml:space="preserve"> a služieb</w:t>
      </w:r>
      <w:r w:rsidRPr="00861BB5" w:rsidR="00B50F02">
        <w:rPr>
          <w:rFonts w:ascii="Times New Roman" w:hAnsi="Times New Roman"/>
          <w:sz w:val="24"/>
          <w:szCs w:val="24"/>
        </w:rPr>
        <w:t xml:space="preserve">. Navrhovaným ustanovením sa vymedzuje </w:t>
      </w:r>
      <w:r w:rsidR="00720755">
        <w:rPr>
          <w:rFonts w:ascii="Times New Roman" w:hAnsi="Times New Roman"/>
          <w:sz w:val="24"/>
          <w:szCs w:val="24"/>
        </w:rPr>
        <w:t>pôsobnosť</w:t>
      </w:r>
      <w:r w:rsidRPr="00861BB5" w:rsidR="00B50F02">
        <w:rPr>
          <w:rFonts w:ascii="Times New Roman" w:hAnsi="Times New Roman"/>
          <w:sz w:val="24"/>
          <w:szCs w:val="24"/>
        </w:rPr>
        <w:t xml:space="preserve"> orgánu dozoru</w:t>
      </w:r>
      <w:r w:rsidRPr="00861BB5" w:rsidR="00190378">
        <w:rPr>
          <w:rFonts w:ascii="Times New Roman" w:hAnsi="Times New Roman"/>
          <w:sz w:val="24"/>
          <w:szCs w:val="24"/>
        </w:rPr>
        <w:t>, t.j. Finančnému riaditeľstvu SR</w:t>
      </w:r>
      <w:r w:rsidRPr="00861BB5" w:rsidR="00B50F02">
        <w:rPr>
          <w:rFonts w:ascii="Times New Roman" w:hAnsi="Times New Roman"/>
          <w:sz w:val="24"/>
          <w:szCs w:val="24"/>
        </w:rPr>
        <w:t xml:space="preserve"> v oblasti dozoru nad </w:t>
      </w:r>
      <w:r w:rsidRPr="00861BB5" w:rsidR="002C55F3">
        <w:rPr>
          <w:rFonts w:ascii="Times New Roman" w:hAnsi="Times New Roman"/>
          <w:sz w:val="24"/>
          <w:szCs w:val="24"/>
        </w:rPr>
        <w:t xml:space="preserve">poskytovaným </w:t>
      </w:r>
      <w:r w:rsidRPr="00861BB5" w:rsidR="00B50F02">
        <w:rPr>
          <w:rFonts w:ascii="Times New Roman" w:hAnsi="Times New Roman"/>
          <w:sz w:val="24"/>
          <w:szCs w:val="24"/>
        </w:rPr>
        <w:t>zakázaný</w:t>
      </w:r>
      <w:r w:rsidRPr="00861BB5" w:rsidR="002C55F3">
        <w:rPr>
          <w:rFonts w:ascii="Times New Roman" w:hAnsi="Times New Roman"/>
          <w:sz w:val="24"/>
          <w:szCs w:val="24"/>
        </w:rPr>
        <w:t>ch</w:t>
      </w:r>
      <w:r w:rsidRPr="00861BB5" w:rsidR="00B50F02">
        <w:rPr>
          <w:rFonts w:ascii="Times New Roman" w:hAnsi="Times New Roman"/>
          <w:sz w:val="24"/>
          <w:szCs w:val="24"/>
        </w:rPr>
        <w:t xml:space="preserve"> pon</w:t>
      </w:r>
      <w:r w:rsidRPr="00861BB5" w:rsidR="002C55F3">
        <w:rPr>
          <w:rFonts w:ascii="Times New Roman" w:hAnsi="Times New Roman"/>
          <w:sz w:val="24"/>
          <w:szCs w:val="24"/>
        </w:rPr>
        <w:t>úk</w:t>
      </w:r>
      <w:r w:rsidRPr="00861BB5" w:rsidR="00EF4C47">
        <w:rPr>
          <w:rFonts w:ascii="Times New Roman" w:hAnsi="Times New Roman"/>
          <w:sz w:val="24"/>
          <w:szCs w:val="24"/>
        </w:rPr>
        <w:t xml:space="preserve"> a</w:t>
      </w:r>
      <w:r w:rsidRPr="00861BB5" w:rsidR="003B3857">
        <w:rPr>
          <w:rFonts w:ascii="Times New Roman" w:hAnsi="Times New Roman"/>
          <w:sz w:val="24"/>
          <w:szCs w:val="24"/>
        </w:rPr>
        <w:t> </w:t>
      </w:r>
      <w:r w:rsidRPr="00861BB5" w:rsidR="00B50F02">
        <w:rPr>
          <w:rFonts w:ascii="Times New Roman" w:hAnsi="Times New Roman"/>
          <w:sz w:val="24"/>
          <w:szCs w:val="24"/>
        </w:rPr>
        <w:t>určuje</w:t>
      </w:r>
      <w:r w:rsidRPr="00861BB5" w:rsidR="003B3857">
        <w:rPr>
          <w:rFonts w:ascii="Times New Roman" w:hAnsi="Times New Roman"/>
          <w:sz w:val="24"/>
          <w:szCs w:val="24"/>
        </w:rPr>
        <w:t xml:space="preserve"> sa</w:t>
      </w:r>
      <w:r w:rsidRPr="00861BB5" w:rsidR="00B50F02">
        <w:rPr>
          <w:rFonts w:ascii="Times New Roman" w:hAnsi="Times New Roman"/>
          <w:sz w:val="24"/>
          <w:szCs w:val="24"/>
        </w:rPr>
        <w:t xml:space="preserve"> obsah zoznamu </w:t>
      </w:r>
      <w:r w:rsidRPr="00861BB5" w:rsidR="002C55F3">
        <w:rPr>
          <w:rFonts w:ascii="Times New Roman" w:hAnsi="Times New Roman"/>
          <w:sz w:val="24"/>
          <w:szCs w:val="24"/>
        </w:rPr>
        <w:t xml:space="preserve">subjektov poskytujúcich </w:t>
      </w:r>
      <w:r w:rsidRPr="00861BB5" w:rsidR="00B50F02">
        <w:rPr>
          <w:rFonts w:ascii="Times New Roman" w:hAnsi="Times New Roman"/>
          <w:sz w:val="24"/>
          <w:szCs w:val="24"/>
        </w:rPr>
        <w:t>zakázan</w:t>
      </w:r>
      <w:r w:rsidRPr="00861BB5" w:rsidR="002C55F3">
        <w:rPr>
          <w:rFonts w:ascii="Times New Roman" w:hAnsi="Times New Roman"/>
          <w:sz w:val="24"/>
          <w:szCs w:val="24"/>
        </w:rPr>
        <w:t>é</w:t>
      </w:r>
      <w:r w:rsidRPr="00861BB5" w:rsidR="00B50F02">
        <w:rPr>
          <w:rFonts w:ascii="Times New Roman" w:hAnsi="Times New Roman"/>
          <w:sz w:val="24"/>
          <w:szCs w:val="24"/>
        </w:rPr>
        <w:t xml:space="preserve"> pon</w:t>
      </w:r>
      <w:r w:rsidRPr="00861BB5" w:rsidR="002C55F3">
        <w:rPr>
          <w:rFonts w:ascii="Times New Roman" w:hAnsi="Times New Roman"/>
          <w:sz w:val="24"/>
          <w:szCs w:val="24"/>
        </w:rPr>
        <w:t>uky</w:t>
      </w:r>
      <w:r w:rsidRPr="00861BB5" w:rsidR="00B50F02">
        <w:rPr>
          <w:rFonts w:ascii="Times New Roman" w:hAnsi="Times New Roman"/>
          <w:sz w:val="24"/>
          <w:szCs w:val="24"/>
        </w:rPr>
        <w:t xml:space="preserve">. </w:t>
      </w:r>
      <w:r w:rsidRPr="00861BB5" w:rsidR="00B52980">
        <w:rPr>
          <w:rFonts w:ascii="Times New Roman" w:hAnsi="Times New Roman"/>
          <w:sz w:val="24"/>
          <w:szCs w:val="24"/>
        </w:rPr>
        <w:t xml:space="preserve">V súvislosti s webovým sídlom uvedeným v tomto zozname je nutné konštatovať, že webové sídlo nemusí byť ohraničené doménou, t.z. že môže byť súčasťou väčšej domény (napr. podriadené organizácie MV SR majú samostatné webové sídla v rámci domény </w:t>
      </w:r>
      <w:hyperlink r:id="rId5" w:history="1">
        <w:r w:rsidRPr="00861BB5" w:rsidR="00B52980">
          <w:rPr>
            <w:rStyle w:val="Hyperlink"/>
            <w:rFonts w:ascii="Times New Roman" w:hAnsi="Times New Roman"/>
            <w:sz w:val="24"/>
            <w:szCs w:val="24"/>
          </w:rPr>
          <w:t>www.minv.sk</w:t>
        </w:r>
      </w:hyperlink>
      <w:r w:rsidRPr="00861BB5" w:rsidR="00B52980">
        <w:rPr>
          <w:rFonts w:ascii="Times New Roman" w:hAnsi="Times New Roman"/>
          <w:sz w:val="24"/>
          <w:szCs w:val="24"/>
        </w:rPr>
        <w:t xml:space="preserve">.) a v takomto prípade sa predpokladá spresnenie adresy. </w:t>
      </w:r>
      <w:r w:rsidRPr="00861BB5" w:rsidR="00B50F02">
        <w:rPr>
          <w:rFonts w:ascii="Times New Roman" w:hAnsi="Times New Roman"/>
          <w:sz w:val="24"/>
          <w:szCs w:val="24"/>
        </w:rPr>
        <w:t>Návrhom sa stanovuje povinnosť orgánu dozoru komunikovať s fyzickou alebo právnickou osobou s cieľom ukončenia jej činnos</w:t>
      </w:r>
      <w:r w:rsidRPr="00861BB5" w:rsidR="00EF4C47">
        <w:rPr>
          <w:rFonts w:ascii="Times New Roman" w:hAnsi="Times New Roman"/>
          <w:sz w:val="24"/>
          <w:szCs w:val="24"/>
        </w:rPr>
        <w:t>ti</w:t>
      </w:r>
      <w:r w:rsidRPr="00861BB5" w:rsidR="00B50F02">
        <w:rPr>
          <w:rFonts w:ascii="Times New Roman" w:hAnsi="Times New Roman"/>
          <w:sz w:val="24"/>
          <w:szCs w:val="24"/>
        </w:rPr>
        <w:t xml:space="preserve"> v oblasti </w:t>
      </w:r>
      <w:r w:rsidRPr="00861BB5" w:rsidR="00BF74A9">
        <w:rPr>
          <w:rFonts w:ascii="Times New Roman" w:hAnsi="Times New Roman"/>
          <w:sz w:val="24"/>
          <w:szCs w:val="24"/>
        </w:rPr>
        <w:t xml:space="preserve">poskytovania </w:t>
      </w:r>
      <w:r w:rsidRPr="00861BB5" w:rsidR="00B50F02">
        <w:rPr>
          <w:rFonts w:ascii="Times New Roman" w:hAnsi="Times New Roman"/>
          <w:sz w:val="24"/>
          <w:szCs w:val="24"/>
        </w:rPr>
        <w:t xml:space="preserve">zakázaných ponúk. Stanovuje sa postup vyradenia zakázaných ponúk zo zoznamu </w:t>
      </w:r>
      <w:r w:rsidRPr="00861BB5" w:rsidR="00BF74A9">
        <w:rPr>
          <w:rFonts w:ascii="Times New Roman" w:hAnsi="Times New Roman"/>
          <w:sz w:val="24"/>
          <w:szCs w:val="24"/>
        </w:rPr>
        <w:t xml:space="preserve">subjektov poskytujúcich </w:t>
      </w:r>
      <w:r w:rsidRPr="00861BB5" w:rsidR="00B50F02">
        <w:rPr>
          <w:rFonts w:ascii="Times New Roman" w:hAnsi="Times New Roman"/>
          <w:sz w:val="24"/>
          <w:szCs w:val="24"/>
        </w:rPr>
        <w:t>zakázan</w:t>
      </w:r>
      <w:r w:rsidRPr="00861BB5" w:rsidR="00BF74A9">
        <w:rPr>
          <w:rFonts w:ascii="Times New Roman" w:hAnsi="Times New Roman"/>
          <w:sz w:val="24"/>
          <w:szCs w:val="24"/>
        </w:rPr>
        <w:t>é</w:t>
      </w:r>
      <w:r w:rsidRPr="00861BB5" w:rsidR="00B50F02">
        <w:rPr>
          <w:rFonts w:ascii="Times New Roman" w:hAnsi="Times New Roman"/>
          <w:sz w:val="24"/>
          <w:szCs w:val="24"/>
        </w:rPr>
        <w:t xml:space="preserve"> pon</w:t>
      </w:r>
      <w:r w:rsidRPr="00861BB5" w:rsidR="00BF74A9">
        <w:rPr>
          <w:rFonts w:ascii="Times New Roman" w:hAnsi="Times New Roman"/>
          <w:sz w:val="24"/>
          <w:szCs w:val="24"/>
        </w:rPr>
        <w:t>uky</w:t>
      </w:r>
      <w:r w:rsidRPr="00861BB5" w:rsidR="00B50F02">
        <w:rPr>
          <w:rFonts w:ascii="Times New Roman" w:hAnsi="Times New Roman"/>
          <w:sz w:val="24"/>
          <w:szCs w:val="24"/>
        </w:rPr>
        <w:t xml:space="preserve">, resp. ich nezaradenia v prípade, ak sa preukáže, že nie sú/nepoužívajú sa na </w:t>
      </w:r>
      <w:r w:rsidRPr="00861BB5" w:rsidR="00190378">
        <w:rPr>
          <w:rFonts w:ascii="Times New Roman" w:hAnsi="Times New Roman"/>
          <w:sz w:val="24"/>
          <w:szCs w:val="24"/>
        </w:rPr>
        <w:t xml:space="preserve">poskytovanie </w:t>
      </w:r>
      <w:r w:rsidRPr="00861BB5" w:rsidR="00B50F02">
        <w:rPr>
          <w:rFonts w:ascii="Times New Roman" w:hAnsi="Times New Roman"/>
          <w:sz w:val="24"/>
          <w:szCs w:val="24"/>
        </w:rPr>
        <w:t xml:space="preserve">zakázanej ponuky alebo bola zakázaná ponuka odstránená (prevádzkovanie a propagovanie hazardnej hry bez licencie prestalo byť dostupné z územia Slovenskej republiky). </w:t>
      </w:r>
      <w:r w:rsidRPr="00861BB5" w:rsidR="00110CE3">
        <w:rPr>
          <w:rFonts w:ascii="Times New Roman" w:hAnsi="Times New Roman"/>
          <w:sz w:val="24"/>
          <w:szCs w:val="24"/>
        </w:rPr>
        <w:t>V tejto súvislosti sa stanovuje kompetencia orgánu dozoru vyžadovať od poskytovateľa platobných služieb identifikáciu používateľa platobných služieb a</w:t>
      </w:r>
      <w:r w:rsidRPr="00861BB5" w:rsidR="00794390">
        <w:rPr>
          <w:rFonts w:ascii="Times New Roman" w:hAnsi="Times New Roman"/>
          <w:sz w:val="24"/>
          <w:szCs w:val="24"/>
        </w:rPr>
        <w:t xml:space="preserve"> ďalšie </w:t>
      </w:r>
      <w:r w:rsidRPr="00861BB5" w:rsidR="00110CE3">
        <w:rPr>
          <w:rFonts w:ascii="Times New Roman" w:hAnsi="Times New Roman"/>
          <w:sz w:val="24"/>
          <w:szCs w:val="24"/>
        </w:rPr>
        <w:t>informácie o používateľovi platobných služieb, ktorý je dozorovaným subjektom.</w:t>
      </w:r>
      <w:r w:rsidRPr="00861BB5" w:rsidR="00F43701">
        <w:rPr>
          <w:rFonts w:ascii="Times New Roman" w:hAnsi="Times New Roman"/>
          <w:sz w:val="24"/>
          <w:szCs w:val="24"/>
        </w:rPr>
        <w:t xml:space="preserve"> V prípade, ak nedôjde k odstráneniu</w:t>
      </w:r>
      <w:r w:rsidRPr="00861BB5" w:rsidR="00110CE3">
        <w:rPr>
          <w:rFonts w:ascii="Times New Roman" w:hAnsi="Times New Roman"/>
          <w:sz w:val="24"/>
          <w:szCs w:val="24"/>
        </w:rPr>
        <w:t xml:space="preserve"> </w:t>
      </w:r>
      <w:r w:rsidRPr="00861BB5" w:rsidR="00F43701">
        <w:rPr>
          <w:rFonts w:ascii="Times New Roman" w:hAnsi="Times New Roman"/>
          <w:sz w:val="24"/>
          <w:szCs w:val="24"/>
        </w:rPr>
        <w:t xml:space="preserve">poskytovania zakázanej ponuky, Finančné riaditeľstvo Slovenskej republiky požiada Krajský súd v Banskej Bystrici o vydanie príkazu súdu </w:t>
      </w:r>
      <w:r w:rsidR="00720755">
        <w:rPr>
          <w:rFonts w:ascii="Times New Roman" w:hAnsi="Times New Roman"/>
          <w:sz w:val="24"/>
          <w:szCs w:val="24"/>
        </w:rPr>
        <w:t xml:space="preserve">na </w:t>
      </w:r>
      <w:r w:rsidRPr="00861BB5" w:rsidR="00F43701">
        <w:rPr>
          <w:rFonts w:ascii="Times New Roman" w:hAnsi="Times New Roman"/>
          <w:sz w:val="24"/>
          <w:szCs w:val="24"/>
        </w:rPr>
        <w:t>zamedz</w:t>
      </w:r>
      <w:r w:rsidR="00720755">
        <w:rPr>
          <w:rFonts w:ascii="Times New Roman" w:hAnsi="Times New Roman"/>
          <w:sz w:val="24"/>
          <w:szCs w:val="24"/>
        </w:rPr>
        <w:t>enie</w:t>
      </w:r>
      <w:r w:rsidRPr="00861BB5" w:rsidR="00F43701">
        <w:rPr>
          <w:rFonts w:ascii="Times New Roman" w:hAnsi="Times New Roman"/>
          <w:sz w:val="24"/>
          <w:szCs w:val="24"/>
        </w:rPr>
        <w:t xml:space="preserve"> prístup</w:t>
      </w:r>
      <w:r w:rsidR="00720755">
        <w:rPr>
          <w:rFonts w:ascii="Times New Roman" w:hAnsi="Times New Roman"/>
          <w:sz w:val="24"/>
          <w:szCs w:val="24"/>
        </w:rPr>
        <w:t>u</w:t>
      </w:r>
      <w:r w:rsidRPr="00861BB5" w:rsidR="00F43701">
        <w:rPr>
          <w:rFonts w:ascii="Times New Roman" w:hAnsi="Times New Roman"/>
          <w:sz w:val="24"/>
          <w:szCs w:val="24"/>
        </w:rPr>
        <w:t xml:space="preserve"> k webovému sídlu, prostredníctvom</w:t>
      </w:r>
      <w:r w:rsidR="00F46A6B">
        <w:rPr>
          <w:rFonts w:ascii="Times New Roman" w:hAnsi="Times New Roman"/>
          <w:sz w:val="24"/>
          <w:szCs w:val="24"/>
        </w:rPr>
        <w:t xml:space="preserve"> ktorého</w:t>
      </w:r>
      <w:r w:rsidRPr="00861BB5" w:rsidR="00F43701">
        <w:rPr>
          <w:rFonts w:ascii="Times New Roman" w:hAnsi="Times New Roman"/>
          <w:sz w:val="24"/>
          <w:szCs w:val="24"/>
        </w:rPr>
        <w:t xml:space="preserve"> je zakázaná ponuka poskytovaná a zamedz</w:t>
      </w:r>
      <w:r w:rsidR="00F46A6B">
        <w:rPr>
          <w:rFonts w:ascii="Times New Roman" w:hAnsi="Times New Roman"/>
          <w:sz w:val="24"/>
          <w:szCs w:val="24"/>
        </w:rPr>
        <w:t>enie</w:t>
      </w:r>
      <w:r w:rsidRPr="00861BB5" w:rsidR="00F43701">
        <w:rPr>
          <w:rFonts w:ascii="Times New Roman" w:hAnsi="Times New Roman"/>
          <w:sz w:val="24"/>
          <w:szCs w:val="24"/>
        </w:rPr>
        <w:t xml:space="preserve"> vykonaniu platobnej operácie a inej platobnej služby v prospech účtu, ktorý používa osoba poskytujúca zakázanú ponuku na účely prijímania vkladu pri poskytovaní zakázanej ponuky. Príkaz súdu zverejní Finančné riaditeľstvo Slovenskej republiky na svojom webovom sídle a doručí ho osobám určeným v tomto príkaze. Ak pominú dôvody pre vydanie príkazu súdu, Finančné riaditeľstvo Slovenskej republiky požiada tento súd o zrušenie príkazu.</w:t>
      </w:r>
    </w:p>
    <w:p w:rsidR="00775675" w:rsidRPr="00861BB5" w:rsidP="002939CB">
      <w:pPr>
        <w:bidi w:val="0"/>
        <w:spacing w:after="0" w:line="240" w:lineRule="auto"/>
        <w:rPr>
          <w:rFonts w:ascii="Times New Roman" w:hAnsi="Times New Roman"/>
          <w:sz w:val="24"/>
          <w:szCs w:val="24"/>
        </w:rPr>
      </w:pPr>
    </w:p>
    <w:p w:rsidR="00775675" w:rsidRPr="004862A1" w:rsidP="002939CB">
      <w:pPr>
        <w:bidi w:val="0"/>
        <w:spacing w:after="0" w:line="240" w:lineRule="auto"/>
        <w:rPr>
          <w:rFonts w:ascii="Times New Roman" w:hAnsi="Times New Roman"/>
          <w:sz w:val="24"/>
          <w:szCs w:val="24"/>
        </w:rPr>
      </w:pPr>
      <w:r w:rsidRPr="00861BB5">
        <w:rPr>
          <w:rFonts w:ascii="Times New Roman" w:hAnsi="Times New Roman"/>
          <w:sz w:val="24"/>
          <w:szCs w:val="24"/>
        </w:rPr>
        <w:t xml:space="preserve">K bodu </w:t>
      </w:r>
      <w:r w:rsidRPr="00861BB5" w:rsidR="00F916C2">
        <w:rPr>
          <w:rFonts w:ascii="Times New Roman" w:hAnsi="Times New Roman"/>
          <w:sz w:val="24"/>
          <w:szCs w:val="24"/>
        </w:rPr>
        <w:t>31</w:t>
      </w:r>
    </w:p>
    <w:p w:rsidR="00775675" w:rsidRPr="004862A1" w:rsidP="002939CB">
      <w:pPr>
        <w:bidi w:val="0"/>
        <w:spacing w:after="0" w:line="240" w:lineRule="auto"/>
        <w:rPr>
          <w:rFonts w:ascii="Times New Roman" w:hAnsi="Times New Roman"/>
          <w:sz w:val="24"/>
          <w:szCs w:val="24"/>
        </w:rPr>
      </w:pPr>
      <w:r w:rsidRPr="004862A1">
        <w:rPr>
          <w:rFonts w:ascii="Times New Roman" w:hAnsi="Times New Roman"/>
          <w:sz w:val="24"/>
          <w:szCs w:val="24"/>
        </w:rPr>
        <w:t xml:space="preserve">Z dôvodu </w:t>
      </w:r>
      <w:r w:rsidR="00F46A6B">
        <w:rPr>
          <w:rFonts w:ascii="Times New Roman" w:hAnsi="Times New Roman"/>
          <w:sz w:val="24"/>
          <w:szCs w:val="24"/>
        </w:rPr>
        <w:t>potreby</w:t>
      </w:r>
      <w:r w:rsidRPr="004862A1">
        <w:rPr>
          <w:rFonts w:ascii="Times New Roman" w:hAnsi="Times New Roman"/>
          <w:sz w:val="24"/>
          <w:szCs w:val="24"/>
        </w:rPr>
        <w:t xml:space="preserve"> v</w:t>
      </w:r>
      <w:r w:rsidR="00F46A6B">
        <w:rPr>
          <w:rFonts w:ascii="Times New Roman" w:hAnsi="Times New Roman"/>
          <w:sz w:val="24"/>
          <w:szCs w:val="24"/>
        </w:rPr>
        <w:t>yššej</w:t>
      </w:r>
      <w:r w:rsidRPr="004862A1">
        <w:rPr>
          <w:rFonts w:ascii="Times New Roman" w:hAnsi="Times New Roman"/>
          <w:sz w:val="24"/>
          <w:szCs w:val="24"/>
        </w:rPr>
        <w:t xml:space="preserve"> právnej istoty sa navrhuje, aby daňový úrad po splnení zákonných podmienok vydal potvrdenie, v ktorom budú uvedené skutočnosti súvisiace s podmienkami prevádzkovania hazardnej hry na základe všeobecnej licencie.</w:t>
      </w:r>
    </w:p>
    <w:p w:rsidR="00F0768B" w:rsidRPr="004862A1" w:rsidP="00E32E9C">
      <w:pPr>
        <w:bidi w:val="0"/>
        <w:spacing w:after="0" w:line="240" w:lineRule="auto"/>
        <w:rPr>
          <w:rFonts w:ascii="Times New Roman" w:hAnsi="Times New Roman"/>
          <w:sz w:val="24"/>
          <w:szCs w:val="24"/>
        </w:rPr>
      </w:pPr>
    </w:p>
    <w:p w:rsidR="002939CB" w:rsidRPr="004862A1" w:rsidP="002939CB">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bodu</w:t>
      </w:r>
      <w:r w:rsidRPr="004862A1" w:rsidR="00885311">
        <w:rPr>
          <w:rFonts w:ascii="Times New Roman" w:hAnsi="Times New Roman"/>
          <w:sz w:val="24"/>
          <w:szCs w:val="24"/>
        </w:rPr>
        <w:t xml:space="preserve"> </w:t>
      </w:r>
      <w:r w:rsidRPr="004862A1" w:rsidR="00423EAD">
        <w:rPr>
          <w:rFonts w:ascii="Times New Roman" w:hAnsi="Times New Roman"/>
          <w:sz w:val="24"/>
          <w:szCs w:val="24"/>
        </w:rPr>
        <w:t>3</w:t>
      </w:r>
      <w:r w:rsidR="00F916C2">
        <w:rPr>
          <w:rFonts w:ascii="Times New Roman" w:hAnsi="Times New Roman"/>
          <w:sz w:val="24"/>
          <w:szCs w:val="24"/>
        </w:rPr>
        <w:t>2</w:t>
      </w:r>
    </w:p>
    <w:p w:rsidR="009C4B28" w:rsidRPr="004862A1" w:rsidP="00E32E9C">
      <w:pPr>
        <w:bidi w:val="0"/>
        <w:spacing w:after="0" w:line="240" w:lineRule="auto"/>
        <w:rPr>
          <w:rFonts w:ascii="Times New Roman" w:hAnsi="Times New Roman"/>
          <w:sz w:val="24"/>
          <w:szCs w:val="24"/>
        </w:rPr>
      </w:pPr>
      <w:r w:rsidRPr="004862A1" w:rsidR="00B50F02">
        <w:rPr>
          <w:rFonts w:ascii="Times New Roman" w:hAnsi="Times New Roman"/>
          <w:sz w:val="24"/>
          <w:szCs w:val="24"/>
        </w:rPr>
        <w:t>Návrh reaguje na poznatky aplikačnej praxe tým, že upresňuje postup pre prevádzkovateľa hazardných hier na základe všeobecnej licencie v prípade, ak sa tento prevádzkovateľ rozhodne pokračovať v prevádzkovaní hazardných hier aj počas dlhšieho obdobia, ako  uviedol vo svojom oznámení, podanom orgánu dozoru.</w:t>
      </w:r>
      <w:r w:rsidRPr="004862A1" w:rsidR="00942924">
        <w:rPr>
          <w:rFonts w:ascii="Times New Roman" w:hAnsi="Times New Roman"/>
          <w:sz w:val="24"/>
          <w:szCs w:val="24"/>
        </w:rPr>
        <w:t xml:space="preserve"> Súčasne sa navrhuje upraviť osobitný postup v prípade prevádzkovateľa kartovej hry mimo kasína pri vydávaní evidenčných štítkov</w:t>
      </w:r>
      <w:r w:rsidRPr="004862A1" w:rsidR="004B1E00">
        <w:rPr>
          <w:rFonts w:ascii="Times New Roman" w:hAnsi="Times New Roman"/>
          <w:sz w:val="24"/>
          <w:szCs w:val="24"/>
        </w:rPr>
        <w:t xml:space="preserve"> slúžiacich na označovanie kartového stola.</w:t>
      </w:r>
    </w:p>
    <w:p w:rsidR="002939CB" w:rsidRPr="004862A1" w:rsidP="002939CB">
      <w:pPr>
        <w:bidi w:val="0"/>
        <w:spacing w:after="0" w:line="240" w:lineRule="auto"/>
      </w:pPr>
    </w:p>
    <w:p w:rsidR="00B50F02" w:rsidRPr="004862A1" w:rsidP="002939CB">
      <w:pPr>
        <w:bidi w:val="0"/>
        <w:spacing w:after="0" w:line="240" w:lineRule="auto"/>
        <w:rPr>
          <w:rFonts w:ascii="Times New Roman" w:hAnsi="Times New Roman"/>
          <w:sz w:val="24"/>
          <w:szCs w:val="24"/>
        </w:rPr>
      </w:pPr>
      <w:r w:rsidRPr="004862A1" w:rsidR="002939CB">
        <w:rPr>
          <w:rFonts w:ascii="Times New Roman" w:hAnsi="Times New Roman"/>
          <w:sz w:val="24"/>
          <w:szCs w:val="24"/>
        </w:rPr>
        <w:t>K</w:t>
      </w:r>
      <w:r w:rsidRPr="004862A1" w:rsidR="002939CB">
        <w:t> </w:t>
      </w:r>
      <w:r w:rsidRPr="004862A1" w:rsidR="002939CB">
        <w:rPr>
          <w:rFonts w:ascii="Times New Roman" w:hAnsi="Times New Roman"/>
          <w:sz w:val="24"/>
          <w:szCs w:val="24"/>
        </w:rPr>
        <w:t>bodu</w:t>
      </w:r>
      <w:r w:rsidRPr="004862A1" w:rsidR="00885311">
        <w:rPr>
          <w:rFonts w:ascii="Times New Roman" w:hAnsi="Times New Roman"/>
          <w:sz w:val="24"/>
          <w:szCs w:val="24"/>
        </w:rPr>
        <w:t xml:space="preserve"> </w:t>
      </w:r>
      <w:r w:rsidRPr="004862A1" w:rsidR="00AA6958">
        <w:rPr>
          <w:rFonts w:ascii="Times New Roman" w:hAnsi="Times New Roman"/>
          <w:sz w:val="24"/>
          <w:szCs w:val="24"/>
        </w:rPr>
        <w:t>3</w:t>
      </w:r>
      <w:r w:rsidR="00F916C2">
        <w:rPr>
          <w:rFonts w:ascii="Times New Roman" w:hAnsi="Times New Roman"/>
          <w:sz w:val="24"/>
          <w:szCs w:val="24"/>
        </w:rPr>
        <w:t>3</w:t>
      </w:r>
    </w:p>
    <w:p w:rsidR="00B50F02"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Legislatívno-technická úprava vyvolaná doplnením nov</w:t>
      </w:r>
      <w:r w:rsidRPr="004862A1" w:rsidR="00AA6958">
        <w:rPr>
          <w:rFonts w:ascii="Times New Roman" w:hAnsi="Times New Roman"/>
          <w:sz w:val="24"/>
          <w:szCs w:val="24"/>
        </w:rPr>
        <w:t>ých</w:t>
      </w:r>
      <w:r w:rsidRPr="004862A1">
        <w:rPr>
          <w:rFonts w:ascii="Times New Roman" w:hAnsi="Times New Roman"/>
          <w:sz w:val="24"/>
          <w:szCs w:val="24"/>
        </w:rPr>
        <w:t xml:space="preserve"> odsek</w:t>
      </w:r>
      <w:r w:rsidRPr="004862A1" w:rsidR="00AA6958">
        <w:rPr>
          <w:rFonts w:ascii="Times New Roman" w:hAnsi="Times New Roman"/>
          <w:sz w:val="24"/>
          <w:szCs w:val="24"/>
        </w:rPr>
        <w:t>ov</w:t>
      </w:r>
      <w:r w:rsidRPr="004862A1">
        <w:rPr>
          <w:rFonts w:ascii="Times New Roman" w:hAnsi="Times New Roman"/>
          <w:sz w:val="24"/>
          <w:szCs w:val="24"/>
        </w:rPr>
        <w:t xml:space="preserve"> 4</w:t>
      </w:r>
      <w:r w:rsidRPr="004862A1" w:rsidR="00AA6958">
        <w:rPr>
          <w:rFonts w:ascii="Times New Roman" w:hAnsi="Times New Roman"/>
          <w:sz w:val="24"/>
          <w:szCs w:val="24"/>
        </w:rPr>
        <w:t xml:space="preserve"> a 5</w:t>
      </w:r>
      <w:r w:rsidRPr="004862A1">
        <w:rPr>
          <w:rFonts w:ascii="Times New Roman" w:hAnsi="Times New Roman"/>
          <w:sz w:val="24"/>
          <w:szCs w:val="24"/>
        </w:rPr>
        <w:t xml:space="preserve"> v § 19.</w:t>
      </w:r>
    </w:p>
    <w:p w:rsidR="00667BAA" w:rsidRPr="004862A1" w:rsidP="00E32E9C">
      <w:pPr>
        <w:bidi w:val="0"/>
        <w:spacing w:after="0" w:line="240" w:lineRule="auto"/>
        <w:rPr>
          <w:rFonts w:ascii="Times New Roman" w:hAnsi="Times New Roman"/>
          <w:sz w:val="24"/>
          <w:szCs w:val="24"/>
        </w:rPr>
      </w:pPr>
    </w:p>
    <w:p w:rsidR="00270CC2" w:rsidRPr="004862A1" w:rsidP="00270CC2">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bodu 3</w:t>
      </w:r>
      <w:r w:rsidR="00F916C2">
        <w:rPr>
          <w:rFonts w:ascii="Times New Roman" w:hAnsi="Times New Roman"/>
          <w:sz w:val="24"/>
          <w:szCs w:val="24"/>
        </w:rPr>
        <w:t>4</w:t>
      </w:r>
    </w:p>
    <w:p w:rsidR="00270CC2" w:rsidRPr="004862A1" w:rsidP="00270CC2">
      <w:pPr>
        <w:bidi w:val="0"/>
        <w:spacing w:after="0" w:line="240" w:lineRule="auto"/>
        <w:rPr>
          <w:rFonts w:ascii="Times New Roman" w:hAnsi="Times New Roman"/>
          <w:sz w:val="24"/>
          <w:szCs w:val="24"/>
        </w:rPr>
      </w:pPr>
      <w:r w:rsidRPr="004862A1">
        <w:rPr>
          <w:rFonts w:ascii="Times New Roman" w:hAnsi="Times New Roman"/>
          <w:sz w:val="24"/>
          <w:szCs w:val="24"/>
        </w:rPr>
        <w:t>Legislatívno-technická úprava</w:t>
      </w:r>
      <w:r w:rsidRPr="004862A1" w:rsidR="00B7747D">
        <w:rPr>
          <w:rFonts w:ascii="Times New Roman" w:hAnsi="Times New Roman"/>
          <w:sz w:val="24"/>
          <w:szCs w:val="24"/>
        </w:rPr>
        <w:t>.</w:t>
      </w:r>
      <w:r w:rsidRPr="004862A1">
        <w:rPr>
          <w:rFonts w:ascii="Times New Roman" w:hAnsi="Times New Roman"/>
          <w:sz w:val="24"/>
          <w:szCs w:val="24"/>
        </w:rPr>
        <w:t xml:space="preserve"> </w:t>
      </w:r>
    </w:p>
    <w:p w:rsidR="00F0768B" w:rsidRPr="004862A1" w:rsidP="00E32E9C">
      <w:pPr>
        <w:bidi w:val="0"/>
        <w:spacing w:after="0" w:line="240" w:lineRule="auto"/>
        <w:rPr>
          <w:rFonts w:ascii="Times New Roman" w:hAnsi="Times New Roman"/>
          <w:sz w:val="24"/>
          <w:szCs w:val="24"/>
        </w:rPr>
      </w:pPr>
    </w:p>
    <w:p w:rsidR="0002680A" w:rsidRPr="004862A1" w:rsidP="0002680A">
      <w:pPr>
        <w:bidi w:val="0"/>
        <w:spacing w:after="0" w:line="240" w:lineRule="auto"/>
        <w:rPr>
          <w:rFonts w:ascii="Times New Roman" w:hAnsi="Times New Roman"/>
          <w:sz w:val="24"/>
          <w:szCs w:val="24"/>
        </w:rPr>
      </w:pPr>
      <w:r w:rsidRPr="004862A1">
        <w:rPr>
          <w:rFonts w:ascii="Times New Roman" w:hAnsi="Times New Roman"/>
          <w:sz w:val="24"/>
          <w:szCs w:val="24"/>
        </w:rPr>
        <w:t xml:space="preserve">K bodu </w:t>
      </w:r>
      <w:r w:rsidRPr="004862A1" w:rsidR="00366218">
        <w:rPr>
          <w:rFonts w:ascii="Times New Roman" w:hAnsi="Times New Roman"/>
          <w:sz w:val="24"/>
          <w:szCs w:val="24"/>
        </w:rPr>
        <w:t>3</w:t>
      </w:r>
      <w:r w:rsidR="00F916C2">
        <w:rPr>
          <w:rFonts w:ascii="Times New Roman" w:hAnsi="Times New Roman"/>
          <w:sz w:val="24"/>
          <w:szCs w:val="24"/>
        </w:rPr>
        <w:t>5</w:t>
      </w:r>
    </w:p>
    <w:p w:rsidR="0002680A" w:rsidRPr="004862A1" w:rsidP="00C400F5">
      <w:pPr>
        <w:bidi w:val="0"/>
        <w:spacing w:after="0" w:line="240" w:lineRule="auto"/>
        <w:rPr>
          <w:rFonts w:ascii="Times New Roman" w:hAnsi="Times New Roman"/>
          <w:sz w:val="24"/>
          <w:szCs w:val="24"/>
        </w:rPr>
      </w:pPr>
      <w:r w:rsidRPr="004862A1" w:rsidR="00C400F5">
        <w:rPr>
          <w:rFonts w:ascii="Times New Roman" w:hAnsi="Times New Roman"/>
          <w:sz w:val="24"/>
          <w:szCs w:val="24"/>
        </w:rPr>
        <w:t>Navrhuje sa, aby v prípade podania žiadosti o udelenie individuálnej licencie mala spoločnosť s ručením obmedzeným zriadenú dozornú radu (zriadenie dozornej rady pri s.r.o. rieši Obchodný zákonník len fakultatívne) z</w:t>
      </w:r>
      <w:r w:rsidRPr="004862A1" w:rsidR="00A903CC">
        <w:rPr>
          <w:rFonts w:ascii="Times New Roman" w:hAnsi="Times New Roman"/>
          <w:sz w:val="24"/>
          <w:szCs w:val="24"/>
        </w:rPr>
        <w:t> </w:t>
      </w:r>
      <w:r w:rsidRPr="004862A1" w:rsidR="00C400F5">
        <w:rPr>
          <w:rFonts w:ascii="Times New Roman" w:hAnsi="Times New Roman"/>
          <w:sz w:val="24"/>
          <w:szCs w:val="24"/>
        </w:rPr>
        <w:t>dôvodu</w:t>
      </w:r>
      <w:r w:rsidRPr="004862A1" w:rsidR="00A903CC">
        <w:rPr>
          <w:rFonts w:ascii="Times New Roman" w:hAnsi="Times New Roman"/>
          <w:sz w:val="24"/>
          <w:szCs w:val="24"/>
        </w:rPr>
        <w:t xml:space="preserve"> posilnenia kontrolnej činnosti pri prevádzkovaní hazardných hier, pretože dozorná rada je oprávnená kontrolovať činnosť konateľa, ako aj výkon činností samotnej spoločnosti, medzi ktoré bude v tomto prípade patriť aj prevádzkovanie hazardných hier.</w:t>
      </w:r>
    </w:p>
    <w:p w:rsidR="00C400F5" w:rsidRPr="004862A1" w:rsidP="00E32E9C">
      <w:pPr>
        <w:bidi w:val="0"/>
        <w:spacing w:after="0" w:line="240" w:lineRule="auto"/>
        <w:rPr>
          <w:rFonts w:ascii="Times New Roman" w:hAnsi="Times New Roman"/>
          <w:sz w:val="24"/>
          <w:szCs w:val="24"/>
        </w:rPr>
      </w:pPr>
    </w:p>
    <w:p w:rsidR="00B50F02" w:rsidRPr="004862A1" w:rsidP="002939CB">
      <w:pPr>
        <w:bidi w:val="0"/>
        <w:spacing w:after="0" w:line="240" w:lineRule="auto"/>
        <w:rPr>
          <w:rFonts w:ascii="Times New Roman" w:hAnsi="Times New Roman"/>
          <w:sz w:val="24"/>
          <w:szCs w:val="24"/>
        </w:rPr>
      </w:pPr>
      <w:r w:rsidRPr="004862A1" w:rsidR="002939CB">
        <w:rPr>
          <w:rFonts w:ascii="Times New Roman" w:hAnsi="Times New Roman"/>
          <w:sz w:val="24"/>
          <w:szCs w:val="24"/>
        </w:rPr>
        <w:t>K</w:t>
      </w:r>
      <w:r w:rsidRPr="004862A1" w:rsidR="002939CB">
        <w:t> </w:t>
      </w:r>
      <w:r w:rsidRPr="004862A1" w:rsidR="002939CB">
        <w:rPr>
          <w:rFonts w:ascii="Times New Roman" w:hAnsi="Times New Roman"/>
          <w:sz w:val="24"/>
          <w:szCs w:val="24"/>
        </w:rPr>
        <w:t>bodu 3</w:t>
      </w:r>
      <w:r w:rsidR="00F916C2">
        <w:rPr>
          <w:rFonts w:ascii="Times New Roman" w:hAnsi="Times New Roman"/>
          <w:sz w:val="24"/>
          <w:szCs w:val="24"/>
        </w:rPr>
        <w:t>6</w:t>
      </w:r>
    </w:p>
    <w:p w:rsidR="004B2191" w:rsidRPr="004862A1" w:rsidP="00E32E9C">
      <w:pPr>
        <w:bidi w:val="0"/>
        <w:spacing w:after="0" w:line="240" w:lineRule="auto"/>
        <w:rPr>
          <w:rFonts w:ascii="Times New Roman" w:hAnsi="Times New Roman"/>
          <w:sz w:val="24"/>
          <w:szCs w:val="24"/>
        </w:rPr>
      </w:pPr>
      <w:r w:rsidRPr="004862A1" w:rsidR="00A13BD0">
        <w:rPr>
          <w:rFonts w:ascii="Times New Roman" w:hAnsi="Times New Roman"/>
          <w:sz w:val="24"/>
          <w:szCs w:val="24"/>
        </w:rPr>
        <w:t xml:space="preserve">Návrhom ustanovenia sa výška základného imania pre žrebové peňažné lotérie a okamžité lotérie </w:t>
      </w:r>
      <w:r w:rsidRPr="004862A1" w:rsidR="00F0768B">
        <w:rPr>
          <w:rFonts w:ascii="Times New Roman" w:hAnsi="Times New Roman"/>
          <w:sz w:val="24"/>
          <w:szCs w:val="24"/>
        </w:rPr>
        <w:t>zjednocuje s výškou základného imania</w:t>
      </w:r>
      <w:r w:rsidRPr="004862A1" w:rsidR="00A13BD0">
        <w:rPr>
          <w:rFonts w:ascii="Times New Roman" w:hAnsi="Times New Roman"/>
          <w:sz w:val="24"/>
          <w:szCs w:val="24"/>
        </w:rPr>
        <w:t xml:space="preserve"> pri </w:t>
      </w:r>
      <w:r w:rsidRPr="004862A1">
        <w:rPr>
          <w:rFonts w:ascii="Times New Roman" w:hAnsi="Times New Roman"/>
          <w:sz w:val="24"/>
          <w:szCs w:val="24"/>
        </w:rPr>
        <w:t>niektorých iných hazardných hrách.</w:t>
      </w:r>
    </w:p>
    <w:p w:rsidR="00564D88" w:rsidRPr="004862A1" w:rsidP="00E32E9C">
      <w:pPr>
        <w:bidi w:val="0"/>
        <w:spacing w:after="0" w:line="240" w:lineRule="auto"/>
        <w:rPr>
          <w:rFonts w:ascii="Times New Roman" w:hAnsi="Times New Roman"/>
          <w:sz w:val="24"/>
          <w:szCs w:val="24"/>
        </w:rPr>
      </w:pPr>
    </w:p>
    <w:p w:rsidR="00564D88" w:rsidRPr="004862A1" w:rsidP="00564D88">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bodu 3</w:t>
      </w:r>
      <w:r w:rsidR="00F916C2">
        <w:rPr>
          <w:rFonts w:ascii="Times New Roman" w:hAnsi="Times New Roman"/>
          <w:sz w:val="24"/>
          <w:szCs w:val="24"/>
        </w:rPr>
        <w:t>7</w:t>
      </w:r>
    </w:p>
    <w:p w:rsidR="00B50F02"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Ustanovenie sa upravuje vo väzbe na nový spôsob zloženia finančnej zábezpeky na účet daňového úradu.</w:t>
      </w:r>
    </w:p>
    <w:p w:rsidR="00564D88" w:rsidRPr="004862A1" w:rsidP="00C34995">
      <w:pPr>
        <w:bidi w:val="0"/>
        <w:spacing w:after="0" w:line="240" w:lineRule="auto"/>
        <w:rPr>
          <w:rFonts w:ascii="Times New Roman" w:hAnsi="Times New Roman"/>
          <w:sz w:val="24"/>
          <w:szCs w:val="24"/>
        </w:rPr>
      </w:pPr>
    </w:p>
    <w:p w:rsidR="00564D88" w:rsidRPr="004862A1" w:rsidP="00564D88">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bodu 3</w:t>
      </w:r>
      <w:r w:rsidR="00C34995">
        <w:rPr>
          <w:rFonts w:ascii="Times New Roman" w:hAnsi="Times New Roman"/>
          <w:sz w:val="24"/>
          <w:szCs w:val="24"/>
        </w:rPr>
        <w:t>8</w:t>
      </w:r>
    </w:p>
    <w:p w:rsidR="00564D88" w:rsidRPr="004862A1" w:rsidP="00E32E9C">
      <w:pPr>
        <w:bidi w:val="0"/>
        <w:spacing w:after="0" w:line="240" w:lineRule="auto"/>
        <w:rPr>
          <w:rFonts w:ascii="Times New Roman" w:hAnsi="Times New Roman"/>
          <w:sz w:val="24"/>
          <w:szCs w:val="24"/>
        </w:rPr>
      </w:pPr>
      <w:r w:rsidRPr="004862A1" w:rsidR="00B50F02">
        <w:rPr>
          <w:rFonts w:ascii="Times New Roman" w:hAnsi="Times New Roman"/>
          <w:sz w:val="24"/>
          <w:szCs w:val="24"/>
        </w:rPr>
        <w:t>Vo väzbe na nový spôsob zloženia finančnej zábezpeky na účet daňového úradu miestne príslušného podľa sídla žiadateľa sa upravuje povinnosť predkladania iného dokladu k žiadosti o udelenie individuálnej licencie, ako doposiaľ, ktorým bude potvrdenie daňového úradu miestne príslušného podľa sídla žiadateľa. Ak žiadateľ spadá pod daňový úrad pre vybrané daňové subjekty, bude predkladať potvrdenie tohto daňového úradu. Povinnosť predkladať potvrdenie o zložení finančnej zábezpeky a k tomu prislúchajúce čestné vyhlásenie sa nebude týkať</w:t>
      </w:r>
      <w:r w:rsidRPr="004862A1" w:rsidR="00BD03B9">
        <w:rPr>
          <w:rFonts w:ascii="Times New Roman" w:hAnsi="Times New Roman"/>
          <w:sz w:val="24"/>
          <w:szCs w:val="24"/>
        </w:rPr>
        <w:t xml:space="preserve"> (tak ako doteraz)</w:t>
      </w:r>
      <w:r w:rsidRPr="004862A1" w:rsidR="00B50F02">
        <w:rPr>
          <w:rFonts w:ascii="Times New Roman" w:hAnsi="Times New Roman"/>
          <w:sz w:val="24"/>
          <w:szCs w:val="24"/>
        </w:rPr>
        <w:t xml:space="preserve"> lotérie pokladničných dokladov.</w:t>
      </w:r>
    </w:p>
    <w:p w:rsidR="00EF21E3" w:rsidRPr="004862A1" w:rsidP="00E32E9C">
      <w:pPr>
        <w:bidi w:val="0"/>
        <w:spacing w:after="0" w:line="240" w:lineRule="auto"/>
        <w:rPr>
          <w:rFonts w:ascii="Times New Roman" w:hAnsi="Times New Roman"/>
          <w:sz w:val="24"/>
          <w:szCs w:val="24"/>
        </w:rPr>
      </w:pPr>
    </w:p>
    <w:p w:rsidR="00564D88" w:rsidRPr="004862A1" w:rsidP="00564D88">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bodu 3</w:t>
      </w:r>
      <w:r w:rsidR="00C34995">
        <w:rPr>
          <w:rFonts w:ascii="Times New Roman" w:hAnsi="Times New Roman"/>
          <w:sz w:val="24"/>
          <w:szCs w:val="24"/>
        </w:rPr>
        <w:t>9</w:t>
      </w:r>
    </w:p>
    <w:p w:rsidR="00B50F02" w:rsidRPr="004862A1" w:rsidP="00EF21E3">
      <w:pPr>
        <w:bidi w:val="0"/>
        <w:spacing w:after="0" w:line="240" w:lineRule="auto"/>
        <w:rPr>
          <w:rFonts w:ascii="Times New Roman" w:hAnsi="Times New Roman"/>
          <w:sz w:val="24"/>
          <w:szCs w:val="24"/>
        </w:rPr>
      </w:pPr>
      <w:r w:rsidRPr="004862A1">
        <w:rPr>
          <w:rFonts w:ascii="Times New Roman" w:hAnsi="Times New Roman"/>
          <w:sz w:val="24"/>
          <w:szCs w:val="24"/>
        </w:rPr>
        <w:t>Zavádza sa jednotná úprava názvu orgánu, ktorý vydáva potvrdenie pre žiadateľa o udelenie individuálnej licencie o tom, že žiadateľ nemá nedoplatky na odvodoch ani nedoplatky u správcu daní. Návrh ustanovenia pamätá aj na situáciu, keď žiadateľ spadá pod daňový úrad pre vybrané daňové subjekty.</w:t>
      </w:r>
    </w:p>
    <w:p w:rsidR="00EF21E3" w:rsidRPr="004862A1" w:rsidP="00EF21E3">
      <w:pPr>
        <w:bidi w:val="0"/>
        <w:spacing w:after="0" w:line="240" w:lineRule="auto"/>
        <w:rPr>
          <w:rFonts w:ascii="Times New Roman" w:hAnsi="Times New Roman"/>
          <w:sz w:val="24"/>
          <w:szCs w:val="24"/>
        </w:rPr>
      </w:pPr>
    </w:p>
    <w:p w:rsidR="00C34995" w:rsidP="00E32E9C">
      <w:pPr>
        <w:bidi w:val="0"/>
        <w:spacing w:after="0" w:line="240" w:lineRule="auto"/>
        <w:rPr>
          <w:rFonts w:ascii="Times New Roman" w:hAnsi="Times New Roman"/>
          <w:sz w:val="24"/>
          <w:szCs w:val="24"/>
        </w:rPr>
      </w:pPr>
      <w:r w:rsidRPr="004862A1" w:rsidR="00EF21E3">
        <w:rPr>
          <w:rFonts w:ascii="Times New Roman" w:hAnsi="Times New Roman"/>
          <w:sz w:val="24"/>
          <w:szCs w:val="24"/>
        </w:rPr>
        <w:t>K</w:t>
      </w:r>
      <w:r>
        <w:t> </w:t>
      </w:r>
      <w:r w:rsidRPr="004862A1" w:rsidR="00EF21E3">
        <w:rPr>
          <w:rFonts w:ascii="Times New Roman" w:hAnsi="Times New Roman"/>
          <w:sz w:val="24"/>
          <w:szCs w:val="24"/>
        </w:rPr>
        <w:t>bodu</w:t>
      </w:r>
      <w:r>
        <w:rPr>
          <w:rFonts w:ascii="Times New Roman" w:hAnsi="Times New Roman"/>
          <w:sz w:val="24"/>
          <w:szCs w:val="24"/>
        </w:rPr>
        <w:t xml:space="preserve"> 40</w:t>
      </w:r>
    </w:p>
    <w:p w:rsidR="000358C2" w:rsidRPr="004862A1" w:rsidP="00E32E9C">
      <w:pPr>
        <w:bidi w:val="0"/>
        <w:spacing w:after="0" w:line="240" w:lineRule="auto"/>
        <w:rPr>
          <w:rFonts w:ascii="Times New Roman" w:hAnsi="Times New Roman"/>
          <w:sz w:val="24"/>
          <w:szCs w:val="24"/>
        </w:rPr>
      </w:pPr>
      <w:r w:rsidRPr="004862A1" w:rsidR="00B50F02">
        <w:rPr>
          <w:rFonts w:ascii="Times New Roman" w:hAnsi="Times New Roman"/>
          <w:sz w:val="24"/>
          <w:szCs w:val="24"/>
        </w:rPr>
        <w:t xml:space="preserve">Navrhovaným znením sa dosiahne jednoznačnejšia úprava povinností žiadateľa o individuálnu licenciu predkladať </w:t>
      </w:r>
      <w:r w:rsidRPr="004862A1" w:rsidR="00C113CB">
        <w:rPr>
          <w:rFonts w:ascii="Times New Roman" w:hAnsi="Times New Roman"/>
          <w:sz w:val="24"/>
          <w:szCs w:val="24"/>
        </w:rPr>
        <w:t>doklad o splatení základného imania</w:t>
      </w:r>
      <w:r w:rsidRPr="004862A1" w:rsidR="00B50F02">
        <w:rPr>
          <w:rFonts w:ascii="Times New Roman" w:hAnsi="Times New Roman"/>
          <w:sz w:val="24"/>
          <w:szCs w:val="24"/>
        </w:rPr>
        <w:t xml:space="preserve"> </w:t>
      </w:r>
      <w:r w:rsidRPr="004862A1" w:rsidR="00C113CB">
        <w:rPr>
          <w:rFonts w:ascii="Times New Roman" w:hAnsi="Times New Roman"/>
          <w:sz w:val="24"/>
          <w:szCs w:val="24"/>
        </w:rPr>
        <w:t>ako súčasť</w:t>
      </w:r>
      <w:r w:rsidRPr="004862A1" w:rsidR="00B50F02">
        <w:rPr>
          <w:rFonts w:ascii="Times New Roman" w:hAnsi="Times New Roman"/>
          <w:sz w:val="24"/>
          <w:szCs w:val="24"/>
        </w:rPr>
        <w:t xml:space="preserve"> žiadosti o udelenie individuálnej licencie.</w:t>
      </w:r>
      <w:r w:rsidRPr="004862A1">
        <w:rPr>
          <w:rFonts w:ascii="Times New Roman" w:hAnsi="Times New Roman"/>
          <w:sz w:val="24"/>
          <w:szCs w:val="24"/>
        </w:rPr>
        <w:t> </w:t>
      </w:r>
    </w:p>
    <w:p w:rsidR="00F26EB8" w:rsidRPr="004862A1" w:rsidP="00171063">
      <w:pPr>
        <w:pStyle w:val="Heading2"/>
        <w:bidi w:val="0"/>
        <w:rPr>
          <w:rFonts w:ascii="Times New Roman" w:hAnsi="Times New Roman"/>
        </w:rPr>
      </w:pPr>
    </w:p>
    <w:p w:rsidR="00EF21E3" w:rsidRPr="004862A1" w:rsidP="00EF21E3">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bodu</w:t>
      </w:r>
      <w:r w:rsidRPr="004862A1" w:rsidR="00885311">
        <w:rPr>
          <w:rFonts w:ascii="Times New Roman" w:hAnsi="Times New Roman"/>
          <w:sz w:val="24"/>
          <w:szCs w:val="24"/>
        </w:rPr>
        <w:t xml:space="preserve"> </w:t>
      </w:r>
      <w:r w:rsidR="00C34995">
        <w:rPr>
          <w:rFonts w:ascii="Times New Roman" w:hAnsi="Times New Roman"/>
          <w:sz w:val="24"/>
          <w:szCs w:val="24"/>
        </w:rPr>
        <w:t>41</w:t>
      </w:r>
    </w:p>
    <w:p w:rsidR="000358C2"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 xml:space="preserve">Ustanovenie nadväzuje na návrh úpravy uloženia finančnej zábezpeky na účet daňového úradu miestne príslušného podľa sídla žiadateľa. Ak žiadateľ </w:t>
      </w:r>
      <w:r w:rsidRPr="004862A1" w:rsidR="004F77E1">
        <w:rPr>
          <w:rFonts w:ascii="Times New Roman" w:hAnsi="Times New Roman"/>
          <w:sz w:val="24"/>
          <w:szCs w:val="24"/>
        </w:rPr>
        <w:t xml:space="preserve">(v tomto prípade štátny podnik) </w:t>
      </w:r>
      <w:r w:rsidRPr="004862A1">
        <w:rPr>
          <w:rFonts w:ascii="Times New Roman" w:hAnsi="Times New Roman"/>
          <w:sz w:val="24"/>
          <w:szCs w:val="24"/>
        </w:rPr>
        <w:t>spadá pod daňový úrad pre vybrané daňové subjekty, bude predkladať potvrdenie tohto daňového úradu.</w:t>
      </w:r>
    </w:p>
    <w:p w:rsidR="000358C2" w:rsidRPr="004862A1" w:rsidP="00171063">
      <w:pPr>
        <w:pStyle w:val="Heading2"/>
        <w:bidi w:val="0"/>
        <w:rPr>
          <w:rFonts w:ascii="Times New Roman" w:hAnsi="Times New Roman"/>
        </w:rPr>
      </w:pPr>
    </w:p>
    <w:p w:rsidR="00EF21E3" w:rsidRPr="004862A1" w:rsidP="00EF21E3">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 xml:space="preserve">bodu </w:t>
      </w:r>
      <w:r w:rsidRPr="004862A1" w:rsidR="00423EAD">
        <w:rPr>
          <w:rFonts w:ascii="Times New Roman" w:hAnsi="Times New Roman"/>
          <w:sz w:val="24"/>
          <w:szCs w:val="24"/>
        </w:rPr>
        <w:t>4</w:t>
      </w:r>
      <w:r w:rsidR="00C34995">
        <w:rPr>
          <w:rFonts w:ascii="Times New Roman" w:hAnsi="Times New Roman"/>
          <w:sz w:val="24"/>
          <w:szCs w:val="24"/>
        </w:rPr>
        <w:t>2</w:t>
      </w:r>
    </w:p>
    <w:p w:rsidR="00FC1221"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Legislatívno-technická úprava.</w:t>
      </w:r>
    </w:p>
    <w:p w:rsidR="00FC1221" w:rsidRPr="004862A1" w:rsidP="00E32E9C">
      <w:pPr>
        <w:bidi w:val="0"/>
        <w:spacing w:after="0" w:line="240" w:lineRule="auto"/>
        <w:rPr>
          <w:rFonts w:ascii="Times New Roman" w:hAnsi="Times New Roman"/>
          <w:sz w:val="24"/>
          <w:szCs w:val="24"/>
        </w:rPr>
      </w:pPr>
    </w:p>
    <w:p w:rsidR="00FC1221" w:rsidRPr="004862A1" w:rsidP="00FC1221">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bodu 4</w:t>
      </w:r>
      <w:r w:rsidR="00C34995">
        <w:rPr>
          <w:rFonts w:ascii="Times New Roman" w:hAnsi="Times New Roman"/>
          <w:sz w:val="24"/>
          <w:szCs w:val="24"/>
        </w:rPr>
        <w:t>3</w:t>
      </w:r>
    </w:p>
    <w:p w:rsidR="0096391F" w:rsidRPr="004862A1" w:rsidP="00E32E9C">
      <w:pPr>
        <w:bidi w:val="0"/>
        <w:spacing w:after="0" w:line="240" w:lineRule="auto"/>
        <w:rPr>
          <w:rFonts w:ascii="Times New Roman" w:hAnsi="Times New Roman"/>
          <w:sz w:val="24"/>
          <w:szCs w:val="24"/>
        </w:rPr>
      </w:pPr>
      <w:r w:rsidRPr="004862A1" w:rsidR="000358C2">
        <w:rPr>
          <w:rFonts w:ascii="Times New Roman" w:hAnsi="Times New Roman"/>
          <w:sz w:val="24"/>
          <w:szCs w:val="24"/>
        </w:rPr>
        <w:t>Návrh ustanovenia v prípade charitatívnej lotérie nadväzuje na návrh úpravy uloženia finančnej zábezpeky na účet daňového úradu miestne príslušného podľa sídla žiadateľa. Ak žiadateľ spadá pod daňový úrad pre vybrané daňové subjekty, bude predkladať potvrdenie tohto daňového úradu.</w:t>
      </w:r>
    </w:p>
    <w:p w:rsidR="0096391F" w:rsidRPr="004862A1" w:rsidP="00E32E9C">
      <w:pPr>
        <w:bidi w:val="0"/>
        <w:spacing w:after="0" w:line="240" w:lineRule="auto"/>
        <w:rPr>
          <w:rFonts w:ascii="Times New Roman" w:hAnsi="Times New Roman"/>
          <w:sz w:val="24"/>
          <w:szCs w:val="24"/>
        </w:rPr>
      </w:pPr>
    </w:p>
    <w:p w:rsidR="00B55188" w:rsidRPr="004862A1" w:rsidP="00E32E9C">
      <w:pPr>
        <w:bidi w:val="0"/>
        <w:spacing w:after="0" w:line="240" w:lineRule="auto"/>
        <w:rPr>
          <w:rFonts w:ascii="Times New Roman" w:hAnsi="Times New Roman"/>
          <w:sz w:val="24"/>
          <w:szCs w:val="24"/>
        </w:rPr>
      </w:pPr>
      <w:r w:rsidRPr="004862A1" w:rsidR="00EF21E3">
        <w:rPr>
          <w:rFonts w:ascii="Times New Roman" w:hAnsi="Times New Roman"/>
          <w:sz w:val="24"/>
          <w:szCs w:val="24"/>
        </w:rPr>
        <w:t>K</w:t>
      </w:r>
      <w:r w:rsidRPr="004862A1" w:rsidR="00EF21E3">
        <w:t> </w:t>
      </w:r>
      <w:r w:rsidRPr="004862A1" w:rsidR="00EF21E3">
        <w:rPr>
          <w:rFonts w:ascii="Times New Roman" w:hAnsi="Times New Roman"/>
          <w:sz w:val="24"/>
          <w:szCs w:val="24"/>
        </w:rPr>
        <w:t>bodu 4</w:t>
      </w:r>
      <w:r w:rsidR="00C34995">
        <w:rPr>
          <w:rFonts w:ascii="Times New Roman" w:hAnsi="Times New Roman"/>
          <w:sz w:val="24"/>
          <w:szCs w:val="24"/>
        </w:rPr>
        <w:t>4</w:t>
      </w:r>
    </w:p>
    <w:p w:rsidR="00373155" w:rsidRPr="004862A1" w:rsidP="00E32E9C">
      <w:pPr>
        <w:bidi w:val="0"/>
        <w:spacing w:after="0" w:line="240" w:lineRule="auto"/>
        <w:rPr>
          <w:rFonts w:ascii="Times New Roman" w:hAnsi="Times New Roman"/>
          <w:sz w:val="24"/>
          <w:szCs w:val="24"/>
        </w:rPr>
      </w:pPr>
      <w:r w:rsidRPr="004862A1" w:rsidR="00A16156">
        <w:rPr>
          <w:rFonts w:ascii="Times New Roman" w:hAnsi="Times New Roman"/>
          <w:sz w:val="24"/>
          <w:szCs w:val="24"/>
        </w:rPr>
        <w:t>Navrhuje sa spresnenie okruh</w:t>
      </w:r>
      <w:r w:rsidRPr="004862A1" w:rsidR="00AC4CD8">
        <w:rPr>
          <w:rFonts w:ascii="Times New Roman" w:hAnsi="Times New Roman"/>
          <w:sz w:val="24"/>
          <w:szCs w:val="24"/>
        </w:rPr>
        <w:t>u</w:t>
      </w:r>
      <w:r w:rsidRPr="004862A1" w:rsidR="00A16156">
        <w:rPr>
          <w:rFonts w:ascii="Times New Roman" w:hAnsi="Times New Roman"/>
          <w:sz w:val="24"/>
          <w:szCs w:val="24"/>
        </w:rPr>
        <w:t xml:space="preserve"> osôb, ktoré sú oprávnené vyprac</w:t>
      </w:r>
      <w:r w:rsidR="00C34995">
        <w:rPr>
          <w:rFonts w:ascii="Times New Roman" w:hAnsi="Times New Roman"/>
          <w:sz w:val="24"/>
          <w:szCs w:val="24"/>
        </w:rPr>
        <w:t>o</w:t>
      </w:r>
      <w:r w:rsidRPr="004862A1" w:rsidR="00A16156">
        <w:rPr>
          <w:rFonts w:ascii="Times New Roman" w:hAnsi="Times New Roman"/>
          <w:sz w:val="24"/>
          <w:szCs w:val="24"/>
        </w:rPr>
        <w:t>vať projekty monitorovacej techniky ako dokumenty</w:t>
      </w:r>
      <w:r w:rsidRPr="004862A1" w:rsidR="000834C9">
        <w:rPr>
          <w:rFonts w:ascii="Times New Roman" w:hAnsi="Times New Roman"/>
          <w:sz w:val="24"/>
          <w:szCs w:val="24"/>
        </w:rPr>
        <w:t>,</w:t>
      </w:r>
      <w:r w:rsidRPr="004862A1" w:rsidR="00A16156">
        <w:rPr>
          <w:rFonts w:ascii="Times New Roman" w:hAnsi="Times New Roman"/>
          <w:sz w:val="24"/>
          <w:szCs w:val="24"/>
        </w:rPr>
        <w:t xml:space="preserve"> požadované v rámci licenčného konania v prípade hazardných hier </w:t>
      </w:r>
      <w:r w:rsidR="00C34995">
        <w:rPr>
          <w:rFonts w:ascii="Times New Roman" w:hAnsi="Times New Roman"/>
          <w:sz w:val="24"/>
          <w:szCs w:val="24"/>
        </w:rPr>
        <w:t xml:space="preserve">prevádzkovaných </w:t>
      </w:r>
      <w:r w:rsidRPr="004862A1" w:rsidR="00A16156">
        <w:rPr>
          <w:rFonts w:ascii="Times New Roman" w:hAnsi="Times New Roman"/>
          <w:sz w:val="24"/>
          <w:szCs w:val="24"/>
        </w:rPr>
        <w:t>v kasíne.</w:t>
      </w:r>
    </w:p>
    <w:p w:rsidR="00373155" w:rsidRPr="004862A1" w:rsidP="00171063">
      <w:pPr>
        <w:pStyle w:val="Heading2"/>
        <w:bidi w:val="0"/>
        <w:rPr>
          <w:rFonts w:ascii="Times New Roman" w:hAnsi="Times New Roman"/>
        </w:rPr>
      </w:pPr>
    </w:p>
    <w:p w:rsidR="00EF21E3" w:rsidRPr="004862A1" w:rsidP="00EF21E3">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bodu 4</w:t>
      </w:r>
      <w:r w:rsidR="00C34995">
        <w:rPr>
          <w:rFonts w:ascii="Times New Roman" w:hAnsi="Times New Roman"/>
          <w:sz w:val="24"/>
          <w:szCs w:val="24"/>
        </w:rPr>
        <w:t>5</w:t>
      </w:r>
    </w:p>
    <w:p w:rsidR="0096391F" w:rsidRPr="004862A1" w:rsidP="0096391F">
      <w:pPr>
        <w:bidi w:val="0"/>
        <w:spacing w:after="0" w:line="240" w:lineRule="auto"/>
        <w:rPr>
          <w:rFonts w:ascii="Times New Roman" w:hAnsi="Times New Roman"/>
          <w:sz w:val="24"/>
          <w:szCs w:val="24"/>
        </w:rPr>
      </w:pPr>
      <w:r w:rsidRPr="004862A1" w:rsidR="000358C2">
        <w:rPr>
          <w:rFonts w:ascii="Times New Roman" w:hAnsi="Times New Roman"/>
          <w:sz w:val="24"/>
          <w:szCs w:val="24"/>
        </w:rPr>
        <w:t>Upresňuje sa text pre prípad prevádzkovania hazardných hier v kasíne nielen akciovou spoločnosťou, ale aj spoločnosťou s ručením obmedzeným.</w:t>
      </w:r>
    </w:p>
    <w:p w:rsidR="0097771D" w:rsidRPr="004862A1" w:rsidP="0097771D">
      <w:pPr>
        <w:bidi w:val="0"/>
        <w:spacing w:after="0" w:line="240" w:lineRule="auto"/>
        <w:rPr>
          <w:rFonts w:ascii="Times New Roman" w:hAnsi="Times New Roman"/>
          <w:sz w:val="24"/>
          <w:szCs w:val="24"/>
        </w:rPr>
      </w:pPr>
      <w:r w:rsidRPr="004862A1" w:rsidR="001C69A2">
        <w:rPr>
          <w:rFonts w:ascii="Times New Roman" w:hAnsi="Times New Roman"/>
          <w:sz w:val="24"/>
          <w:szCs w:val="24"/>
        </w:rPr>
        <w:t> </w:t>
      </w:r>
    </w:p>
    <w:p w:rsidR="0099687C" w:rsidRPr="004862A1" w:rsidP="0097771D">
      <w:pPr>
        <w:bidi w:val="0"/>
        <w:spacing w:after="0" w:line="240" w:lineRule="auto"/>
        <w:rPr>
          <w:rFonts w:ascii="Times New Roman" w:hAnsi="Times New Roman"/>
          <w:sz w:val="24"/>
          <w:szCs w:val="24"/>
        </w:rPr>
      </w:pPr>
      <w:r w:rsidRPr="004862A1" w:rsidR="0097771D">
        <w:rPr>
          <w:rFonts w:ascii="Times New Roman" w:hAnsi="Times New Roman"/>
          <w:sz w:val="24"/>
          <w:szCs w:val="24"/>
        </w:rPr>
        <w:t>K</w:t>
      </w:r>
      <w:r w:rsidRPr="004862A1" w:rsidR="0097771D">
        <w:t> </w:t>
      </w:r>
      <w:r w:rsidRPr="004862A1" w:rsidR="0097771D">
        <w:rPr>
          <w:rFonts w:ascii="Times New Roman" w:hAnsi="Times New Roman"/>
          <w:sz w:val="24"/>
          <w:szCs w:val="24"/>
        </w:rPr>
        <w:t xml:space="preserve">bodu </w:t>
      </w:r>
      <w:r w:rsidRPr="004862A1" w:rsidR="00F85236">
        <w:rPr>
          <w:rFonts w:ascii="Times New Roman" w:hAnsi="Times New Roman"/>
          <w:sz w:val="24"/>
          <w:szCs w:val="24"/>
        </w:rPr>
        <w:t>4</w:t>
      </w:r>
      <w:r w:rsidR="00C34995">
        <w:rPr>
          <w:rFonts w:ascii="Times New Roman" w:hAnsi="Times New Roman"/>
          <w:sz w:val="24"/>
          <w:szCs w:val="24"/>
        </w:rPr>
        <w:t>6</w:t>
      </w:r>
    </w:p>
    <w:p w:rsidR="00FC1221"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Návrhom sa odbúrava administratívna záťaž v podobe povinnosti predkladania údajov o  materiálno-technick</w:t>
      </w:r>
      <w:r w:rsidR="009D0A23">
        <w:rPr>
          <w:rFonts w:ascii="Times New Roman" w:hAnsi="Times New Roman"/>
          <w:sz w:val="24"/>
          <w:szCs w:val="24"/>
        </w:rPr>
        <w:t>om</w:t>
      </w:r>
      <w:r w:rsidRPr="004862A1">
        <w:rPr>
          <w:rFonts w:ascii="Times New Roman" w:hAnsi="Times New Roman"/>
          <w:sz w:val="24"/>
          <w:szCs w:val="24"/>
        </w:rPr>
        <w:t xml:space="preserve"> zabezpečení a počte zamestnancov, ak  dôjde k ich zmenám.</w:t>
      </w:r>
    </w:p>
    <w:p w:rsidR="00FC1221" w:rsidRPr="004862A1" w:rsidP="00E32E9C">
      <w:pPr>
        <w:bidi w:val="0"/>
        <w:spacing w:after="0" w:line="240" w:lineRule="auto"/>
        <w:rPr>
          <w:rFonts w:ascii="Times New Roman" w:hAnsi="Times New Roman"/>
          <w:sz w:val="24"/>
          <w:szCs w:val="24"/>
        </w:rPr>
      </w:pPr>
    </w:p>
    <w:p w:rsidR="00FC1221" w:rsidRPr="004862A1" w:rsidP="00FC1221">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bodu 4</w:t>
      </w:r>
      <w:r w:rsidR="00C34995">
        <w:rPr>
          <w:rFonts w:ascii="Times New Roman" w:hAnsi="Times New Roman"/>
          <w:sz w:val="24"/>
          <w:szCs w:val="24"/>
        </w:rPr>
        <w:t>7</w:t>
      </w:r>
    </w:p>
    <w:p w:rsidR="000F45F6" w:rsidRPr="004862A1" w:rsidP="000F45F6">
      <w:pPr>
        <w:bidi w:val="0"/>
        <w:spacing w:after="0" w:line="240" w:lineRule="auto"/>
        <w:rPr>
          <w:rFonts w:ascii="Times New Roman" w:hAnsi="Times New Roman"/>
          <w:sz w:val="24"/>
          <w:szCs w:val="24"/>
        </w:rPr>
      </w:pPr>
      <w:r w:rsidRPr="004862A1" w:rsidR="001C69A2">
        <w:rPr>
          <w:rFonts w:ascii="Times New Roman" w:hAnsi="Times New Roman"/>
          <w:sz w:val="24"/>
          <w:szCs w:val="24"/>
        </w:rPr>
        <w:t>Vyjadrenie obce je v aktuálnom znení zákona o hazardných hrách platné jeden kalendárny rok. Z dôvodu nejednotnosti uvádzania údajov vo vyjadrení obce</w:t>
      </w:r>
      <w:r w:rsidR="00A43CCF">
        <w:rPr>
          <w:rFonts w:ascii="Times New Roman" w:hAnsi="Times New Roman"/>
          <w:sz w:val="24"/>
          <w:szCs w:val="24"/>
        </w:rPr>
        <w:t xml:space="preserve"> </w:t>
      </w:r>
      <w:r w:rsidRPr="004862A1" w:rsidR="001C69A2">
        <w:rPr>
          <w:rFonts w:ascii="Times New Roman" w:hAnsi="Times New Roman"/>
          <w:sz w:val="24"/>
          <w:szCs w:val="24"/>
        </w:rPr>
        <w:t xml:space="preserve">dochádza k uvádzaniu duplicitných údajov v informačnom systéme Finančného riaditeľstva SR, </w:t>
      </w:r>
      <w:r w:rsidR="00A43CCF">
        <w:rPr>
          <w:rFonts w:ascii="Times New Roman" w:hAnsi="Times New Roman"/>
          <w:sz w:val="24"/>
          <w:szCs w:val="24"/>
        </w:rPr>
        <w:t xml:space="preserve">preto sa </w:t>
      </w:r>
      <w:r w:rsidRPr="004862A1" w:rsidR="001C69A2">
        <w:rPr>
          <w:rFonts w:ascii="Times New Roman" w:hAnsi="Times New Roman"/>
          <w:sz w:val="24"/>
          <w:szCs w:val="24"/>
        </w:rPr>
        <w:t xml:space="preserve">navrhuje predĺžiť jeho platnosť na dobu platnosti individuálnej licencie, tzn. maximálne na 2 roky. </w:t>
      </w:r>
      <w:r>
        <w:rPr>
          <w:rFonts w:ascii="Times New Roman" w:hAnsi="Times New Roman"/>
          <w:sz w:val="24"/>
          <w:szCs w:val="24"/>
        </w:rPr>
        <w:t xml:space="preserve">Návrh ustanovenia </w:t>
      </w:r>
      <w:r w:rsidR="00CB1AB1">
        <w:rPr>
          <w:rFonts w:ascii="Times New Roman" w:hAnsi="Times New Roman"/>
          <w:sz w:val="24"/>
          <w:szCs w:val="24"/>
        </w:rPr>
        <w:t xml:space="preserve">je len technickým riešením odbúrania duplicitných údajov v informačnom systéme a </w:t>
      </w:r>
      <w:r>
        <w:rPr>
          <w:rFonts w:ascii="Times New Roman" w:hAnsi="Times New Roman"/>
          <w:sz w:val="24"/>
          <w:szCs w:val="24"/>
        </w:rPr>
        <w:t xml:space="preserve">nijako nezasahuje do kompetencie obcí v súvislosti s prijímaním všeobecne záväzného nariadenia o zákaze prevádzkovania niektorých druhov hazardných hier, pretože ak bude mať prevádzkovateľ kladné vyjadrenie obce na dobu platnosti jeho licencie a obec medzitým príjme VZN o zákaze prevádzkovania hazardných hier, </w:t>
      </w:r>
      <w:r w:rsidR="00100FD2">
        <w:rPr>
          <w:rFonts w:ascii="Times New Roman" w:hAnsi="Times New Roman"/>
          <w:sz w:val="24"/>
          <w:szCs w:val="24"/>
        </w:rPr>
        <w:t xml:space="preserve">pre </w:t>
      </w:r>
      <w:r>
        <w:rPr>
          <w:rFonts w:ascii="Times New Roman" w:hAnsi="Times New Roman"/>
          <w:sz w:val="24"/>
          <w:szCs w:val="24"/>
        </w:rPr>
        <w:t xml:space="preserve">tohto prevádzkovateľa </w:t>
      </w:r>
      <w:r w:rsidR="00100FD2">
        <w:rPr>
          <w:rFonts w:ascii="Times New Roman" w:hAnsi="Times New Roman"/>
          <w:sz w:val="24"/>
          <w:szCs w:val="24"/>
        </w:rPr>
        <w:t>platí tak,</w:t>
      </w:r>
      <w:r>
        <w:rPr>
          <w:rFonts w:ascii="Times New Roman" w:hAnsi="Times New Roman"/>
          <w:sz w:val="24"/>
          <w:szCs w:val="24"/>
        </w:rPr>
        <w:t xml:space="preserve"> ako doteraz ustanovenie § 10 ods. 5 písm. c) a to, že na prevádzkovateľa hazardnej hry, ktorému bola udelená licencia pred nadobudnutím účinnosti VZN sa toto VZN nevzťahuje do doby skončenia jeho individuálnej licencie.</w:t>
      </w:r>
      <w:r w:rsidR="00CB1AB1">
        <w:rPr>
          <w:rFonts w:ascii="Times New Roman" w:hAnsi="Times New Roman"/>
          <w:sz w:val="24"/>
          <w:szCs w:val="24"/>
        </w:rPr>
        <w:t xml:space="preserve"> Upravuje sa aj zákon o správnych poplatkoch a to tak, že správny poplatok za vyjadrenie </w:t>
      </w:r>
      <w:r w:rsidR="00314FA0">
        <w:rPr>
          <w:rFonts w:ascii="Times New Roman" w:hAnsi="Times New Roman"/>
          <w:sz w:val="24"/>
          <w:szCs w:val="24"/>
        </w:rPr>
        <w:t>obce, ktorý bol doposiaľ 100 € na jeden kalendárny rok sa zvyšuje na 200€ na dva roky.</w:t>
      </w:r>
    </w:p>
    <w:p w:rsidR="000F45F6" w:rsidRPr="004862A1" w:rsidP="000F45F6">
      <w:pPr>
        <w:bidi w:val="0"/>
        <w:spacing w:after="0" w:line="240" w:lineRule="auto"/>
        <w:rPr>
          <w:rFonts w:ascii="Times New Roman" w:hAnsi="Times New Roman"/>
          <w:sz w:val="24"/>
          <w:szCs w:val="24"/>
        </w:rPr>
      </w:pPr>
      <w:r w:rsidRPr="004862A1" w:rsidR="001C69A2">
        <w:rPr>
          <w:rFonts w:ascii="Times New Roman" w:hAnsi="Times New Roman"/>
          <w:sz w:val="24"/>
          <w:szCs w:val="24"/>
        </w:rPr>
        <w:t xml:space="preserve">Zároveň sa navrhuje ustanoviť, aby súhlas obce na prevádzkovanie stávkových hier a binga bol tiež obmedzený na dobu platnosti individuálnej licencie, tzn. maximálne na 5 rokov. </w:t>
      </w:r>
      <w:r w:rsidR="00C86602">
        <w:rPr>
          <w:rFonts w:ascii="Times New Roman" w:hAnsi="Times New Roman"/>
          <w:sz w:val="24"/>
          <w:szCs w:val="24"/>
        </w:rPr>
        <w:t>Uvedené druhy hazardných hier nie je možné podľa platného znenia  zákona o hazardných hrách zakázať formou VZN.</w:t>
      </w:r>
      <w:r>
        <w:rPr>
          <w:rFonts w:ascii="Times New Roman" w:hAnsi="Times New Roman"/>
          <w:sz w:val="24"/>
          <w:szCs w:val="24"/>
        </w:rPr>
        <w:t xml:space="preserve"> </w:t>
      </w:r>
    </w:p>
    <w:p w:rsidR="00004ABC" w:rsidP="00E32E9C">
      <w:pPr>
        <w:bidi w:val="0"/>
        <w:spacing w:after="0" w:line="240" w:lineRule="auto"/>
        <w:rPr>
          <w:rFonts w:ascii="Times New Roman" w:hAnsi="Times New Roman"/>
          <w:sz w:val="24"/>
          <w:szCs w:val="24"/>
        </w:rPr>
      </w:pPr>
      <w:r w:rsidRPr="004862A1" w:rsidR="001C69A2">
        <w:rPr>
          <w:rFonts w:ascii="Times New Roman" w:hAnsi="Times New Roman"/>
          <w:sz w:val="24"/>
          <w:szCs w:val="24"/>
        </w:rPr>
        <w:t>Úpravou predmetného ustanovenia sa zároveň upresňuje, že v prípade novej žiadosti o udelenie individuálnej licencie musí žiadateľ vždy priložiť nový takýto súhlas alebo vyjadrenie obce. V tomto kontexte sa navrhuje upraviť aj zákon o správnych poplatkoch.</w:t>
      </w:r>
      <w:r w:rsidR="00A43CCF">
        <w:rPr>
          <w:rFonts w:ascii="Times New Roman" w:hAnsi="Times New Roman"/>
          <w:sz w:val="24"/>
          <w:szCs w:val="24"/>
        </w:rPr>
        <w:t xml:space="preserve"> </w:t>
      </w:r>
    </w:p>
    <w:p w:rsidR="000F45F6" w:rsidRPr="004862A1" w:rsidP="00E32E9C">
      <w:pPr>
        <w:bidi w:val="0"/>
        <w:spacing w:after="0" w:line="240" w:lineRule="auto"/>
        <w:rPr>
          <w:rFonts w:ascii="Times New Roman" w:hAnsi="Times New Roman"/>
          <w:sz w:val="24"/>
          <w:szCs w:val="24"/>
        </w:rPr>
      </w:pPr>
    </w:p>
    <w:p w:rsidR="00425FB1" w:rsidRPr="004862A1" w:rsidP="00E32E9C">
      <w:pPr>
        <w:bidi w:val="0"/>
        <w:spacing w:after="0" w:line="240" w:lineRule="auto"/>
        <w:rPr>
          <w:rFonts w:ascii="Times New Roman" w:hAnsi="Times New Roman"/>
          <w:sz w:val="24"/>
          <w:szCs w:val="24"/>
        </w:rPr>
      </w:pPr>
      <w:r w:rsidRPr="004862A1" w:rsidR="0097771D">
        <w:rPr>
          <w:rFonts w:ascii="Times New Roman" w:hAnsi="Times New Roman"/>
          <w:sz w:val="24"/>
          <w:szCs w:val="24"/>
        </w:rPr>
        <w:t>K</w:t>
      </w:r>
      <w:r w:rsidRPr="004862A1" w:rsidR="0097771D">
        <w:t> </w:t>
      </w:r>
      <w:r w:rsidRPr="004862A1" w:rsidR="0097771D">
        <w:rPr>
          <w:rFonts w:ascii="Times New Roman" w:hAnsi="Times New Roman"/>
          <w:sz w:val="24"/>
          <w:szCs w:val="24"/>
        </w:rPr>
        <w:t xml:space="preserve">bodu </w:t>
      </w:r>
      <w:r w:rsidRPr="004862A1" w:rsidR="00B55188">
        <w:rPr>
          <w:rFonts w:ascii="Times New Roman" w:hAnsi="Times New Roman"/>
          <w:sz w:val="24"/>
          <w:szCs w:val="24"/>
        </w:rPr>
        <w:t>4</w:t>
      </w:r>
      <w:r w:rsidR="00C34995">
        <w:rPr>
          <w:rFonts w:ascii="Times New Roman" w:hAnsi="Times New Roman"/>
          <w:sz w:val="24"/>
          <w:szCs w:val="24"/>
        </w:rPr>
        <w:t>8</w:t>
      </w:r>
    </w:p>
    <w:p w:rsidR="001C69A2"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Návrh súvisí so zrušením vydávania identifikačných kariet na výherné prístroje na základe udelenej licencie zo strany príslušnej obce (doterajší § 24). Identifikačné karty pre výherné prístroje vydáva daňový úrad, ktorý tak získa</w:t>
      </w:r>
      <w:r w:rsidRPr="004862A1" w:rsidR="007113B9">
        <w:rPr>
          <w:rFonts w:ascii="Times New Roman" w:hAnsi="Times New Roman"/>
          <w:sz w:val="24"/>
          <w:szCs w:val="24"/>
        </w:rPr>
        <w:t>l</w:t>
      </w:r>
      <w:r w:rsidRPr="004862A1">
        <w:rPr>
          <w:rFonts w:ascii="Times New Roman" w:hAnsi="Times New Roman"/>
          <w:sz w:val="24"/>
          <w:szCs w:val="24"/>
        </w:rPr>
        <w:t xml:space="preserve"> informáciu o povolení prevádzkovania výherného prístroja obcou pre potreby správy odvodu do štátneho rozpočtu. Návrhom na zrušenie vydávania identifikačných kariet sa sleduje zníženie administratívnej náročnosti daňových úradov, pričom informáciu o udelení licencie získa orgán dozoru priamo od licenčného orgánu. Návrh úpravy rieši aj situácie súvisiace so žiadosťou o predčasné ukončenie platnej individuálnej licencie a zároveň o udelenie novej individuálnej licencie na tú istú hru, a to tak, že ak žiadateľ o udelenie individuálnej licencie na prevádzkovanie hazardnej hry je prevádzkovateľom tejto hazardnej hry na základe už udelenej individuálnej licencie, ministerstvo alebo obec udelí tomuto žiadateľovi novú individuálnu licenciu na prevádzkovanie tej istej hazardnej hry s platnosťou najskôr deň nasledujúci po dni, kedy mala uplynúť lehota na prevádzkovanie hazardnej hry podľa už udelenej individuálnej licencie.</w:t>
      </w:r>
      <w:r w:rsidRPr="004862A1" w:rsidR="00F775B7">
        <w:rPr>
          <w:rFonts w:ascii="Times New Roman" w:hAnsi="Times New Roman"/>
          <w:sz w:val="24"/>
          <w:szCs w:val="24"/>
        </w:rPr>
        <w:t xml:space="preserve"> Zároveň sa ustanovuje, že individuálnu licenciu je možné udeliť najskôr 60 dní pred začiatkom prevádzkovania</w:t>
      </w:r>
      <w:r w:rsidRPr="004862A1" w:rsidR="000834C9">
        <w:rPr>
          <w:rFonts w:ascii="Times New Roman" w:hAnsi="Times New Roman"/>
          <w:sz w:val="24"/>
          <w:szCs w:val="24"/>
        </w:rPr>
        <w:t>, určeným v licencii</w:t>
      </w:r>
      <w:r w:rsidRPr="004862A1" w:rsidR="00F775B7">
        <w:rPr>
          <w:rFonts w:ascii="Times New Roman" w:hAnsi="Times New Roman"/>
          <w:sz w:val="24"/>
          <w:szCs w:val="24"/>
        </w:rPr>
        <w:t>.</w:t>
      </w:r>
      <w:r w:rsidRPr="004862A1">
        <w:rPr>
          <w:rFonts w:ascii="Times New Roman" w:hAnsi="Times New Roman"/>
          <w:sz w:val="24"/>
          <w:szCs w:val="24"/>
        </w:rPr>
        <w:t xml:space="preserve"> Navrhovaným ustanovením sa predíde špekulatívnym konaniam zo strany prevádzkovateľov, ktorí požiadajú o predčasné ukončenie platnej individuálnej licencie a zároveň o udelenie novej individuálnej licencie na tú istú hru z dôvodu, že niektorá obec, na území ktorej prevádzkujú hazardné hry plánuje prijať všeobecne záväzné nariadenie o zákaze prevádzkovania hazardných hier, čím by si títo prevádzkovatelia predĺžili dobu, počas ktorej by mali možnosť prevádzkovania hazardných hier na území dotknutej obce.</w:t>
      </w:r>
    </w:p>
    <w:p w:rsidR="00C20032" w:rsidRPr="004862A1" w:rsidP="00171063">
      <w:pPr>
        <w:pStyle w:val="Heading2"/>
        <w:bidi w:val="0"/>
        <w:rPr>
          <w:rFonts w:ascii="Times New Roman" w:hAnsi="Times New Roman"/>
        </w:rPr>
      </w:pPr>
    </w:p>
    <w:p w:rsidR="00DC3EED" w:rsidRPr="004862A1" w:rsidP="00425FB1">
      <w:pPr>
        <w:bidi w:val="0"/>
        <w:spacing w:after="0" w:line="240" w:lineRule="auto"/>
        <w:rPr>
          <w:rFonts w:ascii="Times New Roman" w:hAnsi="Times New Roman"/>
          <w:sz w:val="24"/>
          <w:szCs w:val="24"/>
        </w:rPr>
      </w:pPr>
      <w:r w:rsidRPr="004862A1" w:rsidR="00425FB1">
        <w:rPr>
          <w:rFonts w:ascii="Times New Roman" w:hAnsi="Times New Roman"/>
          <w:sz w:val="24"/>
          <w:szCs w:val="24"/>
        </w:rPr>
        <w:t>K</w:t>
      </w:r>
      <w:r w:rsidRPr="004862A1" w:rsidR="00425FB1">
        <w:t> </w:t>
      </w:r>
      <w:r w:rsidRPr="004862A1" w:rsidR="00425FB1">
        <w:rPr>
          <w:rFonts w:ascii="Times New Roman" w:hAnsi="Times New Roman"/>
          <w:sz w:val="24"/>
          <w:szCs w:val="24"/>
        </w:rPr>
        <w:t>bodu</w:t>
      </w:r>
      <w:r w:rsidRPr="004862A1" w:rsidR="00B55188">
        <w:rPr>
          <w:rFonts w:ascii="Times New Roman" w:hAnsi="Times New Roman"/>
          <w:sz w:val="24"/>
          <w:szCs w:val="24"/>
        </w:rPr>
        <w:t xml:space="preserve"> 4</w:t>
      </w:r>
      <w:r w:rsidR="006D79A1">
        <w:rPr>
          <w:rFonts w:ascii="Times New Roman" w:hAnsi="Times New Roman"/>
          <w:sz w:val="24"/>
          <w:szCs w:val="24"/>
        </w:rPr>
        <w:t>9</w:t>
      </w:r>
    </w:p>
    <w:p w:rsidR="001D2A1C" w:rsidRPr="004862A1" w:rsidP="00DD53EA">
      <w:pPr>
        <w:bidi w:val="0"/>
        <w:spacing w:after="0" w:line="240" w:lineRule="auto"/>
        <w:rPr>
          <w:rFonts w:ascii="Times New Roman" w:hAnsi="Times New Roman"/>
          <w:sz w:val="24"/>
          <w:szCs w:val="24"/>
        </w:rPr>
      </w:pPr>
      <w:r w:rsidRPr="004862A1">
        <w:rPr>
          <w:rFonts w:ascii="Times New Roman" w:hAnsi="Times New Roman"/>
          <w:sz w:val="24"/>
          <w:szCs w:val="24"/>
        </w:rPr>
        <w:t xml:space="preserve">Návrhom sa </w:t>
      </w:r>
      <w:r w:rsidRPr="004862A1" w:rsidR="000834C9">
        <w:rPr>
          <w:rFonts w:ascii="Times New Roman" w:hAnsi="Times New Roman"/>
          <w:sz w:val="24"/>
          <w:szCs w:val="24"/>
        </w:rPr>
        <w:t xml:space="preserve">upresňuje obsah rozhodnutia o udelení licencie, čím sa </w:t>
      </w:r>
      <w:r w:rsidRPr="004862A1">
        <w:rPr>
          <w:rFonts w:ascii="Times New Roman" w:hAnsi="Times New Roman"/>
          <w:sz w:val="24"/>
          <w:szCs w:val="24"/>
        </w:rPr>
        <w:t xml:space="preserve">reaguje </w:t>
      </w:r>
      <w:r w:rsidRPr="004862A1" w:rsidR="000834C9">
        <w:rPr>
          <w:rFonts w:ascii="Times New Roman" w:hAnsi="Times New Roman"/>
          <w:sz w:val="24"/>
          <w:szCs w:val="24"/>
        </w:rPr>
        <w:t xml:space="preserve">aj </w:t>
      </w:r>
      <w:r w:rsidRPr="004862A1">
        <w:rPr>
          <w:rFonts w:ascii="Times New Roman" w:hAnsi="Times New Roman"/>
          <w:sz w:val="24"/>
          <w:szCs w:val="24"/>
        </w:rPr>
        <w:t>na Odporúčanie komisie o zásadách ochrany spotrebiteľov a hráčov využívajúcich služby online hazardných hier a o predchádzaní online hazardných hier v prípade maloletých osôb.</w:t>
      </w:r>
    </w:p>
    <w:p w:rsidR="00DC3EED" w:rsidRPr="004862A1" w:rsidP="00DD53EA">
      <w:pPr>
        <w:tabs>
          <w:tab w:val="left" w:pos="0"/>
        </w:tabs>
        <w:autoSpaceDE w:val="0"/>
        <w:autoSpaceDN w:val="0"/>
        <w:bidi w:val="0"/>
        <w:adjustRightInd w:val="0"/>
        <w:spacing w:after="0" w:line="240" w:lineRule="auto"/>
        <w:rPr>
          <w:rFonts w:ascii="Times New Roman" w:hAnsi="Times New Roman"/>
          <w:sz w:val="24"/>
          <w:szCs w:val="24"/>
        </w:rPr>
      </w:pPr>
      <w:r w:rsidRPr="004862A1" w:rsidR="001D2A1C">
        <w:rPr>
          <w:rFonts w:ascii="Times New Roman" w:hAnsi="Times New Roman"/>
          <w:sz w:val="24"/>
          <w:szCs w:val="24"/>
        </w:rPr>
        <w:t xml:space="preserve">Navrhuje sa, aby v rozhodnutí o udelení </w:t>
      </w:r>
      <w:r w:rsidRPr="004862A1" w:rsidR="001D2A1C">
        <w:rPr>
          <w:rFonts w:ascii="Times New Roman" w:hAnsi="Times New Roman"/>
          <w:sz w:val="24"/>
          <w:szCs w:val="24"/>
          <w:lang w:eastAsia="sk-SK"/>
        </w:rPr>
        <w:t>licencie na prevádzkovanie hazardnej hry, pri ktorom sa využíva internetová sieť na prenos a zber údajov sa</w:t>
      </w:r>
      <w:r w:rsidRPr="004862A1" w:rsidR="001D2A1C">
        <w:rPr>
          <w:rFonts w:ascii="Times New Roman" w:hAnsi="Times New Roman"/>
          <w:sz w:val="24"/>
          <w:szCs w:val="24"/>
        </w:rPr>
        <w:t xml:space="preserve"> určili povinnosti prevádzkovateľ</w:t>
      </w:r>
      <w:r w:rsidRPr="004862A1" w:rsidR="00DD53EA">
        <w:rPr>
          <w:rFonts w:ascii="Times New Roman" w:hAnsi="Times New Roman"/>
          <w:sz w:val="24"/>
          <w:szCs w:val="24"/>
        </w:rPr>
        <w:t>ovi</w:t>
      </w:r>
      <w:r w:rsidRPr="004862A1" w:rsidR="001D2A1C">
        <w:rPr>
          <w:rFonts w:ascii="Times New Roman" w:hAnsi="Times New Roman"/>
          <w:sz w:val="24"/>
          <w:szCs w:val="24"/>
        </w:rPr>
        <w:t xml:space="preserve"> takýchto hazardných hier, s cieľom čo najviac redukovať riziká hazardných hier v tejto oblasti, a to tak formou poskytovania informácií/varovania o zdravotných rizikách, ktoré prináša problémové hranie</w:t>
      </w:r>
      <w:r w:rsidRPr="004862A1" w:rsidR="005442F6">
        <w:rPr>
          <w:rFonts w:ascii="Times New Roman" w:hAnsi="Times New Roman"/>
          <w:sz w:val="24"/>
          <w:szCs w:val="24"/>
        </w:rPr>
        <w:t xml:space="preserve">, </w:t>
      </w:r>
      <w:r w:rsidRPr="004862A1" w:rsidR="001D2A1C">
        <w:rPr>
          <w:rFonts w:ascii="Times New Roman" w:hAnsi="Times New Roman"/>
          <w:sz w:val="24"/>
          <w:szCs w:val="24"/>
        </w:rPr>
        <w:t>riziku vysokých finančných strát</w:t>
      </w:r>
      <w:r w:rsidRPr="004862A1" w:rsidR="005442F6">
        <w:rPr>
          <w:rFonts w:ascii="Times New Roman" w:hAnsi="Times New Roman"/>
          <w:sz w:val="24"/>
          <w:szCs w:val="24"/>
        </w:rPr>
        <w:t xml:space="preserve"> a dĺžke času hrania hráča</w:t>
      </w:r>
      <w:r w:rsidRPr="004862A1" w:rsidR="001D2A1C">
        <w:rPr>
          <w:rFonts w:ascii="Times New Roman" w:hAnsi="Times New Roman"/>
          <w:sz w:val="24"/>
          <w:szCs w:val="24"/>
        </w:rPr>
        <w:t>. Zároveň sa prevádzkovateľovi u</w:t>
      </w:r>
      <w:r w:rsidRPr="004862A1" w:rsidR="003612DA">
        <w:rPr>
          <w:rFonts w:ascii="Times New Roman" w:hAnsi="Times New Roman"/>
          <w:sz w:val="24"/>
          <w:szCs w:val="24"/>
        </w:rPr>
        <w:t>kladá</w:t>
      </w:r>
      <w:r w:rsidRPr="004862A1" w:rsidR="001D2A1C">
        <w:rPr>
          <w:rFonts w:ascii="Times New Roman" w:hAnsi="Times New Roman"/>
          <w:sz w:val="24"/>
          <w:szCs w:val="24"/>
        </w:rPr>
        <w:t xml:space="preserve">, aby zabezpečil informáciu o zákaze hrania maloletým osobám. Ukladá sa tiež prevádzkovateľovi povinnosť, aby sa zdržal ponuky poskytovania finančných prostriedkov hráčovi pred začatím hrania alebo v jeho priebehu. </w:t>
      </w:r>
    </w:p>
    <w:p w:rsidR="00DD53EA" w:rsidRPr="004862A1" w:rsidP="00DD53EA">
      <w:pPr>
        <w:tabs>
          <w:tab w:val="left" w:pos="0"/>
        </w:tabs>
        <w:autoSpaceDE w:val="0"/>
        <w:autoSpaceDN w:val="0"/>
        <w:bidi w:val="0"/>
        <w:adjustRightInd w:val="0"/>
        <w:spacing w:after="0" w:line="240" w:lineRule="auto"/>
        <w:rPr>
          <w:rFonts w:ascii="Times New Roman" w:hAnsi="Times New Roman"/>
          <w:sz w:val="24"/>
          <w:szCs w:val="24"/>
        </w:rPr>
      </w:pPr>
    </w:p>
    <w:p w:rsidR="00C20032" w:rsidRPr="004862A1" w:rsidP="00425FB1">
      <w:pPr>
        <w:bidi w:val="0"/>
        <w:spacing w:after="0" w:line="240" w:lineRule="auto"/>
        <w:rPr>
          <w:rFonts w:ascii="Times New Roman" w:hAnsi="Times New Roman"/>
          <w:sz w:val="24"/>
          <w:szCs w:val="24"/>
        </w:rPr>
      </w:pPr>
      <w:r w:rsidRPr="004862A1" w:rsidR="00425FB1">
        <w:rPr>
          <w:rFonts w:ascii="Times New Roman" w:hAnsi="Times New Roman"/>
          <w:sz w:val="24"/>
          <w:szCs w:val="24"/>
        </w:rPr>
        <w:t>K</w:t>
      </w:r>
      <w:r w:rsidRPr="004862A1" w:rsidR="00425FB1">
        <w:t> </w:t>
      </w:r>
      <w:r w:rsidRPr="004862A1" w:rsidR="00425FB1">
        <w:rPr>
          <w:rFonts w:ascii="Times New Roman" w:hAnsi="Times New Roman"/>
          <w:sz w:val="24"/>
          <w:szCs w:val="24"/>
        </w:rPr>
        <w:t>bodu</w:t>
      </w:r>
      <w:r w:rsidRPr="004862A1" w:rsidR="00B55188">
        <w:rPr>
          <w:rFonts w:ascii="Times New Roman" w:hAnsi="Times New Roman"/>
          <w:sz w:val="24"/>
          <w:szCs w:val="24"/>
        </w:rPr>
        <w:t xml:space="preserve"> </w:t>
      </w:r>
      <w:r w:rsidR="006D79A1">
        <w:rPr>
          <w:rFonts w:ascii="Times New Roman" w:hAnsi="Times New Roman"/>
          <w:sz w:val="24"/>
          <w:szCs w:val="24"/>
        </w:rPr>
        <w:t>50</w:t>
      </w:r>
    </w:p>
    <w:p w:rsidR="00C20032"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Prevádzkovanie hazardnej hry v rozpore so zákonom o hazardných hrách je možné preukázať len na základe vykonaného dozoru orgánm</w:t>
      </w:r>
      <w:r w:rsidRPr="004862A1" w:rsidR="006630D4">
        <w:rPr>
          <w:rFonts w:ascii="Times New Roman" w:hAnsi="Times New Roman"/>
          <w:sz w:val="24"/>
          <w:szCs w:val="24"/>
        </w:rPr>
        <w:t>i</w:t>
      </w:r>
      <w:r w:rsidRPr="004862A1">
        <w:rPr>
          <w:rFonts w:ascii="Times New Roman" w:hAnsi="Times New Roman"/>
          <w:sz w:val="24"/>
          <w:szCs w:val="24"/>
        </w:rPr>
        <w:t xml:space="preserve"> dozoru. Kompetencia odňať licenciu povoľujúcim orgánom je daná v druhej vete § 23 odsek 3. Postup p</w:t>
      </w:r>
      <w:r w:rsidRPr="004862A1" w:rsidR="0015391B">
        <w:rPr>
          <w:rFonts w:ascii="Times New Roman" w:hAnsi="Times New Roman"/>
          <w:sz w:val="24"/>
          <w:szCs w:val="24"/>
        </w:rPr>
        <w:t>o</w:t>
      </w:r>
      <w:r w:rsidRPr="004862A1">
        <w:rPr>
          <w:rFonts w:ascii="Times New Roman" w:hAnsi="Times New Roman"/>
          <w:sz w:val="24"/>
          <w:szCs w:val="24"/>
        </w:rPr>
        <w:t xml:space="preserve"> odňatí licencie je navrhnutý doplnením tohto ustanovenia tak, že odňatie individuálnej licencie oznámi nielen obec, ale aj ministerstvo </w:t>
      </w:r>
      <w:r w:rsidRPr="004862A1" w:rsidR="006630D4">
        <w:rPr>
          <w:rFonts w:ascii="Times New Roman" w:hAnsi="Times New Roman"/>
          <w:sz w:val="24"/>
          <w:szCs w:val="24"/>
        </w:rPr>
        <w:t>Finančnému riaditeľstvu SR, a to do</w:t>
      </w:r>
      <w:r w:rsidRPr="004862A1">
        <w:rPr>
          <w:rFonts w:ascii="Times New Roman" w:hAnsi="Times New Roman"/>
          <w:sz w:val="24"/>
          <w:szCs w:val="24"/>
        </w:rPr>
        <w:t xml:space="preserve"> 15 dní odo dňa nadobudnutia právoplatnosti rozhodnutia o odňatí individuálnej licencie.</w:t>
      </w:r>
    </w:p>
    <w:p w:rsidR="00C20032" w:rsidRPr="004862A1" w:rsidP="00171063">
      <w:pPr>
        <w:pStyle w:val="Heading2"/>
        <w:bidi w:val="0"/>
        <w:rPr>
          <w:rFonts w:ascii="Times New Roman" w:hAnsi="Times New Roman"/>
        </w:rPr>
      </w:pPr>
    </w:p>
    <w:p w:rsidR="00425FB1" w:rsidRPr="004862A1" w:rsidP="00425FB1">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 xml:space="preserve">bodu </w:t>
      </w:r>
      <w:r w:rsidR="006D79A1">
        <w:rPr>
          <w:rFonts w:ascii="Times New Roman" w:hAnsi="Times New Roman"/>
          <w:sz w:val="24"/>
          <w:szCs w:val="24"/>
        </w:rPr>
        <w:t>51</w:t>
      </w:r>
    </w:p>
    <w:p w:rsidR="00C20032" w:rsidRPr="004862A1" w:rsidP="00E32E9C">
      <w:pPr>
        <w:bidi w:val="0"/>
        <w:spacing w:after="0" w:line="240" w:lineRule="auto"/>
        <w:rPr>
          <w:rFonts w:ascii="Times New Roman" w:hAnsi="Times New Roman"/>
          <w:sz w:val="24"/>
          <w:szCs w:val="24"/>
        </w:rPr>
      </w:pPr>
      <w:r w:rsidRPr="004862A1" w:rsidR="00425FB1">
        <w:rPr>
          <w:rFonts w:ascii="Times New Roman" w:hAnsi="Times New Roman"/>
          <w:sz w:val="24"/>
          <w:szCs w:val="24"/>
        </w:rPr>
        <w:t>N</w:t>
      </w:r>
      <w:r w:rsidR="00606B4C">
        <w:rPr>
          <w:rFonts w:ascii="Times New Roman" w:hAnsi="Times New Roman"/>
          <w:sz w:val="24"/>
          <w:szCs w:val="24"/>
        </w:rPr>
        <w:t>a</w:t>
      </w:r>
      <w:r w:rsidRPr="004862A1" w:rsidR="00425FB1">
        <w:rPr>
          <w:rFonts w:ascii="Times New Roman" w:hAnsi="Times New Roman"/>
          <w:sz w:val="24"/>
          <w:szCs w:val="24"/>
        </w:rPr>
        <w:t>vr</w:t>
      </w:r>
      <w:r w:rsidRPr="004862A1">
        <w:rPr>
          <w:rFonts w:ascii="Times New Roman" w:hAnsi="Times New Roman"/>
          <w:sz w:val="24"/>
          <w:szCs w:val="24"/>
        </w:rPr>
        <w:t>hovaným znením ustanovenia sa zavádza povinnosť prevádzkovateľovi hazardných hier, ktorý je zapísaný v obchodnom registri, aby podal návrh  na zápis povolenej činnosti do obchodného registra na základe individuálnej licencie a výpis z obchodného registra o vykonaní tohto zápisu v stanovených termínoch.</w:t>
      </w:r>
    </w:p>
    <w:p w:rsidR="00C20032"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Novým znením § 24 sa ruší pôvodné znenie, na základe ktorého daňové úrady vydávali identifikačné karty pre každý výherný prístroj samostatne. Zrušením pôvodného znenia sa znižuje administratívnu náročnosť práce daňových úradov, pričom informáciu o udelení individuálnej licencie vrátane výrobných čísiel výherných prístrojov, vyčíslenie stavov počítadiel, vyčíslenie údajov o prijatých vkladoch a vyplatených výhrach</w:t>
      </w:r>
      <w:r w:rsidR="006D79A1">
        <w:rPr>
          <w:rFonts w:ascii="Times New Roman" w:hAnsi="Times New Roman"/>
          <w:sz w:val="24"/>
          <w:szCs w:val="24"/>
        </w:rPr>
        <w:t xml:space="preserve">, začatie prevádzkovania a ukončenie prevádzkovania technických zariadení a stávkových kancelárií </w:t>
      </w:r>
      <w:r w:rsidRPr="004862A1">
        <w:rPr>
          <w:rFonts w:ascii="Times New Roman" w:hAnsi="Times New Roman"/>
          <w:sz w:val="24"/>
          <w:szCs w:val="24"/>
        </w:rPr>
        <w:t xml:space="preserve"> predkladali orgánu dozoru prevádzkovatelia (§ 22 ods. 3 zákona spolu s úpravou </w:t>
      </w:r>
      <w:r w:rsidRPr="004862A1" w:rsidR="00DA0484">
        <w:rPr>
          <w:rFonts w:ascii="Times New Roman" w:hAnsi="Times New Roman"/>
          <w:sz w:val="24"/>
          <w:szCs w:val="24"/>
        </w:rPr>
        <w:t>§ 35 ods. 1</w:t>
      </w:r>
      <w:r w:rsidRPr="004862A1" w:rsidR="00C66949">
        <w:rPr>
          <w:rFonts w:ascii="Times New Roman" w:hAnsi="Times New Roman"/>
          <w:sz w:val="24"/>
          <w:szCs w:val="24"/>
        </w:rPr>
        <w:t>8</w:t>
      </w:r>
      <w:r w:rsidRPr="004862A1" w:rsidR="00DA0484">
        <w:rPr>
          <w:rFonts w:ascii="Times New Roman" w:hAnsi="Times New Roman"/>
          <w:sz w:val="24"/>
          <w:szCs w:val="24"/>
        </w:rPr>
        <w:t xml:space="preserve"> a ods. </w:t>
      </w:r>
      <w:r w:rsidR="00606B4C">
        <w:rPr>
          <w:rFonts w:ascii="Times New Roman" w:hAnsi="Times New Roman"/>
          <w:sz w:val="24"/>
          <w:szCs w:val="24"/>
        </w:rPr>
        <w:t>19</w:t>
      </w:r>
      <w:r w:rsidRPr="004862A1">
        <w:rPr>
          <w:rFonts w:ascii="Times New Roman" w:hAnsi="Times New Roman"/>
          <w:sz w:val="24"/>
          <w:szCs w:val="24"/>
        </w:rPr>
        <w:t>).</w:t>
      </w:r>
    </w:p>
    <w:p w:rsidR="00DC3EED" w:rsidRPr="004862A1" w:rsidP="00E32E9C">
      <w:pPr>
        <w:bidi w:val="0"/>
        <w:spacing w:after="0" w:line="240" w:lineRule="auto"/>
        <w:rPr>
          <w:rFonts w:ascii="Times New Roman" w:hAnsi="Times New Roman"/>
          <w:sz w:val="24"/>
          <w:szCs w:val="24"/>
        </w:rPr>
      </w:pPr>
    </w:p>
    <w:p w:rsidR="00425FB1" w:rsidRPr="004862A1" w:rsidP="00425FB1">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 xml:space="preserve">bodu </w:t>
      </w:r>
      <w:r w:rsidRPr="004862A1" w:rsidR="00423EAD">
        <w:rPr>
          <w:rFonts w:ascii="Times New Roman" w:hAnsi="Times New Roman"/>
          <w:sz w:val="24"/>
          <w:szCs w:val="24"/>
        </w:rPr>
        <w:t>5</w:t>
      </w:r>
      <w:r w:rsidR="000C3228">
        <w:rPr>
          <w:rFonts w:ascii="Times New Roman" w:hAnsi="Times New Roman"/>
          <w:sz w:val="24"/>
          <w:szCs w:val="24"/>
        </w:rPr>
        <w:t>2</w:t>
      </w:r>
    </w:p>
    <w:p w:rsidR="00DC3EED" w:rsidRPr="004862A1" w:rsidP="00E32E9C">
      <w:pPr>
        <w:bidi w:val="0"/>
        <w:spacing w:after="0" w:line="240" w:lineRule="auto"/>
        <w:rPr>
          <w:rFonts w:ascii="Times New Roman" w:hAnsi="Times New Roman"/>
          <w:sz w:val="24"/>
          <w:szCs w:val="24"/>
        </w:rPr>
      </w:pPr>
      <w:r w:rsidRPr="004862A1" w:rsidR="00C20032">
        <w:rPr>
          <w:rFonts w:ascii="Times New Roman" w:hAnsi="Times New Roman"/>
          <w:sz w:val="24"/>
          <w:szCs w:val="24"/>
        </w:rPr>
        <w:t>Lehota na vydanie rozhodnutia o zmene individuálnej licencie</w:t>
      </w:r>
      <w:r w:rsidR="00666F58">
        <w:rPr>
          <w:rFonts w:ascii="Times New Roman" w:hAnsi="Times New Roman"/>
          <w:sz w:val="24"/>
          <w:szCs w:val="24"/>
        </w:rPr>
        <w:t xml:space="preserve"> na prevádzkovanie hazardných hier v kasíne</w:t>
      </w:r>
      <w:r w:rsidRPr="004862A1" w:rsidR="00C20032">
        <w:rPr>
          <w:rFonts w:ascii="Times New Roman" w:hAnsi="Times New Roman"/>
          <w:sz w:val="24"/>
          <w:szCs w:val="24"/>
        </w:rPr>
        <w:t xml:space="preserve"> sa upresňuje a zjednocuje s lehotami </w:t>
      </w:r>
      <w:r w:rsidRPr="004862A1" w:rsidR="00BA33FC">
        <w:rPr>
          <w:rFonts w:ascii="Times New Roman" w:hAnsi="Times New Roman"/>
          <w:sz w:val="24"/>
          <w:szCs w:val="24"/>
        </w:rPr>
        <w:t xml:space="preserve">vydania rozhodnutia </w:t>
      </w:r>
      <w:r w:rsidRPr="004862A1" w:rsidR="00C20032">
        <w:rPr>
          <w:rFonts w:ascii="Times New Roman" w:hAnsi="Times New Roman"/>
          <w:sz w:val="24"/>
          <w:szCs w:val="24"/>
        </w:rPr>
        <w:t>o zmene individuálnej licencie pri ostatných hazardných hrách.</w:t>
      </w:r>
    </w:p>
    <w:p w:rsidR="00DC3EED" w:rsidRPr="004862A1" w:rsidP="00DC3EED">
      <w:pPr>
        <w:tabs>
          <w:tab w:val="center" w:pos="4536"/>
        </w:tabs>
        <w:bidi w:val="0"/>
        <w:spacing w:after="0" w:line="240" w:lineRule="auto"/>
        <w:rPr>
          <w:rFonts w:ascii="Times New Roman" w:hAnsi="Times New Roman"/>
          <w:sz w:val="24"/>
          <w:szCs w:val="24"/>
        </w:rPr>
      </w:pPr>
    </w:p>
    <w:p w:rsidR="00C20032" w:rsidRPr="004862A1" w:rsidP="00425FB1">
      <w:pPr>
        <w:bidi w:val="0"/>
        <w:spacing w:after="0" w:line="240" w:lineRule="auto"/>
        <w:rPr>
          <w:rFonts w:ascii="Times New Roman" w:hAnsi="Times New Roman"/>
          <w:sz w:val="24"/>
          <w:szCs w:val="24"/>
        </w:rPr>
      </w:pPr>
      <w:r w:rsidRPr="004862A1" w:rsidR="00425FB1">
        <w:rPr>
          <w:rFonts w:ascii="Times New Roman" w:hAnsi="Times New Roman"/>
          <w:sz w:val="24"/>
          <w:szCs w:val="24"/>
        </w:rPr>
        <w:t>K</w:t>
      </w:r>
      <w:r w:rsidRPr="004862A1" w:rsidR="00425FB1">
        <w:t> </w:t>
      </w:r>
      <w:r w:rsidRPr="004862A1" w:rsidR="00425FB1">
        <w:rPr>
          <w:rFonts w:ascii="Times New Roman" w:hAnsi="Times New Roman"/>
          <w:sz w:val="24"/>
          <w:szCs w:val="24"/>
        </w:rPr>
        <w:t>bodu 5</w:t>
      </w:r>
      <w:r w:rsidR="00374DF4">
        <w:rPr>
          <w:rFonts w:ascii="Times New Roman" w:hAnsi="Times New Roman"/>
          <w:sz w:val="24"/>
          <w:szCs w:val="24"/>
        </w:rPr>
        <w:t>3</w:t>
      </w:r>
    </w:p>
    <w:p w:rsidR="00C20032"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Navrhovaným ustanovením sa ruší odsek 1 z dôvodu, že povinnosť zápisu povolenej činnosti pre prevádzkovateľa hazardných hier do obchodného registra sa ukladá pre všetkých prevádzkovateľov hazardných hier, vrátane  prevádzkovateľov hazardných hier v kasíne, už zapísaných v obchodnom registri, a to novým ustanovením § 24. Zároveň sa  spresňuje dôvod odňatia licencie</w:t>
      </w:r>
      <w:r w:rsidRPr="004862A1" w:rsidR="00FB1C12">
        <w:rPr>
          <w:rFonts w:ascii="Times New Roman" w:hAnsi="Times New Roman"/>
          <w:sz w:val="24"/>
          <w:szCs w:val="24"/>
        </w:rPr>
        <w:t xml:space="preserve"> na prevádzkovanie hazardných hier v kasíne</w:t>
      </w:r>
      <w:r w:rsidRPr="004862A1">
        <w:rPr>
          <w:rFonts w:ascii="Times New Roman" w:hAnsi="Times New Roman"/>
          <w:sz w:val="24"/>
          <w:szCs w:val="24"/>
        </w:rPr>
        <w:t>, a to na základe podnetu orgán</w:t>
      </w:r>
      <w:r w:rsidRPr="004862A1" w:rsidR="003612DA">
        <w:rPr>
          <w:rFonts w:ascii="Times New Roman" w:hAnsi="Times New Roman"/>
          <w:sz w:val="24"/>
          <w:szCs w:val="24"/>
        </w:rPr>
        <w:t>ov</w:t>
      </w:r>
      <w:r w:rsidRPr="004862A1">
        <w:rPr>
          <w:rFonts w:ascii="Times New Roman" w:hAnsi="Times New Roman"/>
          <w:sz w:val="24"/>
          <w:szCs w:val="24"/>
        </w:rPr>
        <w:t xml:space="preserve"> dozoru alebo zo strany ministerstva (úprava existujúceho odseku 2 tohto paragrafu). Stanovuje sa aj postup a lehoty pri odňatí licencie. Táto úprava je identická s úpravou pr</w:t>
      </w:r>
      <w:r w:rsidRPr="004862A1" w:rsidR="007113B9">
        <w:rPr>
          <w:rFonts w:ascii="Times New Roman" w:hAnsi="Times New Roman"/>
          <w:sz w:val="24"/>
          <w:szCs w:val="24"/>
        </w:rPr>
        <w:t>e</w:t>
      </w:r>
      <w:r w:rsidRPr="004862A1">
        <w:rPr>
          <w:rFonts w:ascii="Times New Roman" w:hAnsi="Times New Roman"/>
          <w:sz w:val="24"/>
          <w:szCs w:val="24"/>
        </w:rPr>
        <w:t xml:space="preserve"> ostatných prevádzkovateľov hazardných hier (§ 23 ods. 3 návrhu zákona).</w:t>
      </w:r>
    </w:p>
    <w:p w:rsidR="00DC3EED" w:rsidRPr="004862A1" w:rsidP="00E32E9C">
      <w:pPr>
        <w:bidi w:val="0"/>
        <w:spacing w:after="0" w:line="240" w:lineRule="auto"/>
        <w:rPr>
          <w:rFonts w:ascii="Times New Roman" w:hAnsi="Times New Roman"/>
          <w:sz w:val="24"/>
          <w:szCs w:val="24"/>
        </w:rPr>
      </w:pPr>
    </w:p>
    <w:p w:rsidR="00F85236"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bodu</w:t>
      </w:r>
      <w:r w:rsidRPr="004862A1" w:rsidR="00B55188">
        <w:rPr>
          <w:rFonts w:ascii="Times New Roman" w:hAnsi="Times New Roman"/>
          <w:sz w:val="24"/>
          <w:szCs w:val="24"/>
        </w:rPr>
        <w:t xml:space="preserve"> 5</w:t>
      </w:r>
      <w:r w:rsidR="00374DF4">
        <w:rPr>
          <w:rFonts w:ascii="Times New Roman" w:hAnsi="Times New Roman"/>
          <w:sz w:val="24"/>
          <w:szCs w:val="24"/>
        </w:rPr>
        <w:t>4</w:t>
      </w:r>
    </w:p>
    <w:p w:rsidR="00F85236" w:rsidRPr="004862A1" w:rsidP="00F85236">
      <w:pPr>
        <w:bidi w:val="0"/>
        <w:spacing w:after="0" w:line="240" w:lineRule="auto"/>
        <w:rPr>
          <w:rFonts w:ascii="Times New Roman" w:hAnsi="Times New Roman"/>
          <w:sz w:val="24"/>
          <w:szCs w:val="24"/>
        </w:rPr>
      </w:pPr>
      <w:r w:rsidRPr="004862A1">
        <w:rPr>
          <w:rFonts w:ascii="Times New Roman" w:hAnsi="Times New Roman"/>
          <w:sz w:val="24"/>
          <w:szCs w:val="24"/>
        </w:rPr>
        <w:t xml:space="preserve">Navrhuje sa, aby v rozhodnutí o udelení </w:t>
      </w:r>
      <w:r w:rsidRPr="004862A1">
        <w:rPr>
          <w:rFonts w:ascii="Times New Roman" w:hAnsi="Times New Roman"/>
          <w:sz w:val="24"/>
          <w:szCs w:val="24"/>
          <w:lang w:eastAsia="sk-SK"/>
        </w:rPr>
        <w:t>licencie na prevádzkovanie hazardnej hry prostredníctvom internetu</w:t>
      </w:r>
      <w:r w:rsidRPr="004862A1">
        <w:rPr>
          <w:rFonts w:ascii="Times New Roman" w:hAnsi="Times New Roman"/>
          <w:sz w:val="24"/>
          <w:szCs w:val="24"/>
        </w:rPr>
        <w:t xml:space="preserve"> sa určili povinnosti prevádzkovateľ</w:t>
      </w:r>
      <w:r w:rsidRPr="004862A1" w:rsidR="00DD53EA">
        <w:rPr>
          <w:rFonts w:ascii="Times New Roman" w:hAnsi="Times New Roman"/>
          <w:sz w:val="24"/>
          <w:szCs w:val="24"/>
        </w:rPr>
        <w:t>ovi</w:t>
      </w:r>
      <w:r w:rsidRPr="004862A1" w:rsidR="00D70FD1">
        <w:rPr>
          <w:rFonts w:ascii="Times New Roman" w:hAnsi="Times New Roman"/>
          <w:sz w:val="24"/>
          <w:szCs w:val="24"/>
        </w:rPr>
        <w:t xml:space="preserve"> </w:t>
      </w:r>
      <w:r w:rsidRPr="004862A1">
        <w:rPr>
          <w:rFonts w:ascii="Times New Roman" w:hAnsi="Times New Roman"/>
          <w:sz w:val="24"/>
          <w:szCs w:val="24"/>
        </w:rPr>
        <w:t xml:space="preserve"> takýchto hazardných hier, s cieľom čo najviac redukovať riziká hazardných hier v tejto oblasti, a to tak formou poskytovania informácií/varovania o zdravotných rizikách, ktoré prináša problémové hranie</w:t>
      </w:r>
      <w:r w:rsidRPr="004862A1" w:rsidR="003612DA">
        <w:rPr>
          <w:rFonts w:ascii="Times New Roman" w:hAnsi="Times New Roman"/>
          <w:sz w:val="24"/>
          <w:szCs w:val="24"/>
        </w:rPr>
        <w:t>,</w:t>
      </w:r>
      <w:r w:rsidRPr="004862A1">
        <w:rPr>
          <w:rFonts w:ascii="Times New Roman" w:hAnsi="Times New Roman"/>
          <w:sz w:val="24"/>
          <w:szCs w:val="24"/>
        </w:rPr>
        <w:t xml:space="preserve"> riziku vysokých finančných strát</w:t>
      </w:r>
      <w:r w:rsidRPr="004862A1" w:rsidR="003612DA">
        <w:rPr>
          <w:rFonts w:ascii="Times New Roman" w:hAnsi="Times New Roman"/>
          <w:sz w:val="24"/>
          <w:szCs w:val="24"/>
        </w:rPr>
        <w:t xml:space="preserve"> a dĺžke času hrania hráča</w:t>
      </w:r>
      <w:r w:rsidRPr="004862A1">
        <w:rPr>
          <w:rFonts w:ascii="Times New Roman" w:hAnsi="Times New Roman"/>
          <w:sz w:val="24"/>
          <w:szCs w:val="24"/>
        </w:rPr>
        <w:t>. Zároveň sa prevádzkovateľovi u</w:t>
      </w:r>
      <w:r w:rsidRPr="004862A1" w:rsidR="003612DA">
        <w:rPr>
          <w:rFonts w:ascii="Times New Roman" w:hAnsi="Times New Roman"/>
          <w:sz w:val="24"/>
          <w:szCs w:val="24"/>
        </w:rPr>
        <w:t>kladá</w:t>
      </w:r>
      <w:r w:rsidRPr="004862A1">
        <w:rPr>
          <w:rFonts w:ascii="Times New Roman" w:hAnsi="Times New Roman"/>
          <w:sz w:val="24"/>
          <w:szCs w:val="24"/>
        </w:rPr>
        <w:t>, aby zabezpečil informáciu o zákaze hrania maloletým osobám. Ukladá sa tiež prevádzkovateľovi povinnosť, aby sa zdržal ponuky poskytovania finančných prostriedkov hráčovi pred začatím hrania alebo v jeho priebehu. Týmto novým ustanovením sa reaguje na Odporúčanie komisie o zásadách ochrany spotrebiteľov a hráčov využívajúcich služby online hazardných hier a o predchádzaní online hazardných hier v prípade maloletých osôb.</w:t>
      </w:r>
    </w:p>
    <w:p w:rsidR="00F85236" w:rsidRPr="004862A1" w:rsidP="006018A1">
      <w:pPr>
        <w:bidi w:val="0"/>
        <w:spacing w:after="0" w:line="240" w:lineRule="auto"/>
        <w:rPr>
          <w:rFonts w:ascii="Times New Roman" w:hAnsi="Times New Roman"/>
          <w:sz w:val="24"/>
          <w:szCs w:val="24"/>
        </w:rPr>
      </w:pPr>
    </w:p>
    <w:p w:rsidR="00CA6185" w:rsidRPr="004862A1" w:rsidP="00CA7B53">
      <w:pPr>
        <w:bidi w:val="0"/>
        <w:spacing w:after="0" w:line="240" w:lineRule="auto"/>
        <w:rPr>
          <w:rFonts w:ascii="Times New Roman" w:hAnsi="Times New Roman"/>
          <w:sz w:val="24"/>
          <w:szCs w:val="24"/>
        </w:rPr>
      </w:pPr>
      <w:r w:rsidRPr="004862A1" w:rsidR="00CA7B53">
        <w:rPr>
          <w:rFonts w:ascii="Times New Roman" w:hAnsi="Times New Roman"/>
          <w:sz w:val="24"/>
          <w:szCs w:val="24"/>
        </w:rPr>
        <w:t>K</w:t>
      </w:r>
      <w:r w:rsidRPr="004862A1" w:rsidR="00CA7B53">
        <w:t> </w:t>
      </w:r>
      <w:r w:rsidRPr="004862A1" w:rsidR="00CA7B53">
        <w:rPr>
          <w:rFonts w:ascii="Times New Roman" w:hAnsi="Times New Roman"/>
          <w:sz w:val="24"/>
          <w:szCs w:val="24"/>
        </w:rPr>
        <w:t xml:space="preserve">bodu </w:t>
      </w:r>
      <w:r w:rsidRPr="004862A1" w:rsidR="00B55188">
        <w:rPr>
          <w:rFonts w:ascii="Times New Roman" w:hAnsi="Times New Roman"/>
          <w:sz w:val="24"/>
          <w:szCs w:val="24"/>
        </w:rPr>
        <w:t>5</w:t>
      </w:r>
      <w:r w:rsidR="006275E2">
        <w:rPr>
          <w:rFonts w:ascii="Times New Roman" w:hAnsi="Times New Roman"/>
          <w:sz w:val="24"/>
          <w:szCs w:val="24"/>
        </w:rPr>
        <w:t>5</w:t>
      </w:r>
    </w:p>
    <w:p w:rsidR="003F31C1" w:rsidRPr="004862A1" w:rsidP="00E32E9C">
      <w:pPr>
        <w:bidi w:val="0"/>
        <w:spacing w:after="0" w:line="240" w:lineRule="auto"/>
        <w:rPr>
          <w:rFonts w:ascii="Times New Roman" w:hAnsi="Times New Roman"/>
          <w:sz w:val="24"/>
          <w:szCs w:val="24"/>
        </w:rPr>
      </w:pPr>
      <w:r w:rsidRPr="004862A1" w:rsidR="00CA6185">
        <w:rPr>
          <w:rFonts w:ascii="Times New Roman" w:hAnsi="Times New Roman"/>
          <w:sz w:val="24"/>
          <w:szCs w:val="24"/>
        </w:rPr>
        <w:t>Návrhom sa zosúlaďuje právny stav so skutkovým stavom; zariadenia využívané pri prevádzkovaní číselných lotérií sú odborne posudzované.</w:t>
      </w:r>
    </w:p>
    <w:p w:rsidR="003F31C1" w:rsidRPr="004862A1" w:rsidP="00265A6C">
      <w:pPr>
        <w:bidi w:val="0"/>
        <w:spacing w:after="0" w:line="240" w:lineRule="auto"/>
        <w:rPr>
          <w:rFonts w:ascii="Times New Roman" w:hAnsi="Times New Roman"/>
          <w:sz w:val="24"/>
          <w:szCs w:val="24"/>
        </w:rPr>
      </w:pPr>
    </w:p>
    <w:p w:rsidR="003F31C1" w:rsidRPr="004862A1" w:rsidP="00CA7B53">
      <w:pPr>
        <w:bidi w:val="0"/>
        <w:spacing w:after="0" w:line="240" w:lineRule="auto"/>
        <w:rPr>
          <w:rFonts w:ascii="Times New Roman" w:hAnsi="Times New Roman"/>
          <w:sz w:val="24"/>
          <w:szCs w:val="24"/>
        </w:rPr>
      </w:pPr>
      <w:r w:rsidRPr="004862A1" w:rsidR="00CA7B53">
        <w:rPr>
          <w:rFonts w:ascii="Times New Roman" w:hAnsi="Times New Roman"/>
          <w:sz w:val="24"/>
          <w:szCs w:val="24"/>
        </w:rPr>
        <w:t>K</w:t>
      </w:r>
      <w:r w:rsidRPr="004862A1" w:rsidR="00CA7B53">
        <w:t> </w:t>
      </w:r>
      <w:r w:rsidRPr="004862A1" w:rsidR="00CA7B53">
        <w:rPr>
          <w:rFonts w:ascii="Times New Roman" w:hAnsi="Times New Roman"/>
          <w:sz w:val="24"/>
          <w:szCs w:val="24"/>
        </w:rPr>
        <w:t xml:space="preserve">bodu </w:t>
      </w:r>
      <w:r w:rsidRPr="004862A1" w:rsidR="00B55188">
        <w:rPr>
          <w:rFonts w:ascii="Times New Roman" w:hAnsi="Times New Roman"/>
          <w:sz w:val="24"/>
          <w:szCs w:val="24"/>
        </w:rPr>
        <w:t>5</w:t>
      </w:r>
      <w:r w:rsidR="006018A1">
        <w:rPr>
          <w:rFonts w:ascii="Times New Roman" w:hAnsi="Times New Roman"/>
          <w:sz w:val="24"/>
          <w:szCs w:val="24"/>
        </w:rPr>
        <w:t>6</w:t>
      </w:r>
    </w:p>
    <w:p w:rsidR="00004ABC" w:rsidP="00E32E9C">
      <w:pPr>
        <w:bidi w:val="0"/>
        <w:spacing w:after="0" w:line="240" w:lineRule="auto"/>
        <w:rPr>
          <w:rFonts w:ascii="Times New Roman" w:hAnsi="Times New Roman"/>
          <w:sz w:val="24"/>
          <w:szCs w:val="24"/>
        </w:rPr>
      </w:pPr>
      <w:r w:rsidRPr="00265A6C" w:rsidR="00265A6C">
        <w:rPr>
          <w:rFonts w:ascii="Times New Roman" w:hAnsi="Times New Roman"/>
          <w:sz w:val="24"/>
          <w:szCs w:val="24"/>
        </w:rPr>
        <w:t>Návrhom sa upresňujú ustanovenia, podľa ktorých sa postupuje pri ukladaní sankcií poverenej</w:t>
      </w:r>
      <w:r w:rsidR="00265A6C">
        <w:rPr>
          <w:rFonts w:ascii="Times New Roman" w:hAnsi="Times New Roman"/>
          <w:sz w:val="24"/>
          <w:szCs w:val="24"/>
        </w:rPr>
        <w:t xml:space="preserve"> skúšobni.</w:t>
      </w:r>
    </w:p>
    <w:p w:rsidR="00265A6C" w:rsidRPr="004862A1" w:rsidP="00E32E9C">
      <w:pPr>
        <w:bidi w:val="0"/>
        <w:spacing w:after="0" w:line="240" w:lineRule="auto"/>
        <w:rPr>
          <w:rFonts w:ascii="Times New Roman" w:hAnsi="Times New Roman"/>
          <w:sz w:val="24"/>
          <w:szCs w:val="24"/>
        </w:rPr>
      </w:pPr>
    </w:p>
    <w:p w:rsidR="00CA6185" w:rsidRPr="004862A1" w:rsidP="00CA7B53">
      <w:pPr>
        <w:bidi w:val="0"/>
        <w:spacing w:after="0" w:line="240" w:lineRule="auto"/>
        <w:rPr>
          <w:rFonts w:ascii="Times New Roman" w:hAnsi="Times New Roman"/>
          <w:sz w:val="24"/>
          <w:szCs w:val="24"/>
        </w:rPr>
      </w:pPr>
      <w:r w:rsidRPr="004862A1" w:rsidR="00CA7B53">
        <w:rPr>
          <w:rFonts w:ascii="Times New Roman" w:hAnsi="Times New Roman"/>
          <w:sz w:val="24"/>
          <w:szCs w:val="24"/>
        </w:rPr>
        <w:t>K</w:t>
      </w:r>
      <w:r w:rsidRPr="004862A1" w:rsidR="00CA7B53">
        <w:t> </w:t>
      </w:r>
      <w:r w:rsidRPr="004862A1" w:rsidR="00CA7B53">
        <w:rPr>
          <w:rFonts w:ascii="Times New Roman" w:hAnsi="Times New Roman"/>
          <w:sz w:val="24"/>
          <w:szCs w:val="24"/>
        </w:rPr>
        <w:t>bodu</w:t>
      </w:r>
      <w:r w:rsidRPr="004862A1" w:rsidR="00B55188">
        <w:rPr>
          <w:rFonts w:ascii="Times New Roman" w:hAnsi="Times New Roman"/>
          <w:sz w:val="24"/>
          <w:szCs w:val="24"/>
        </w:rPr>
        <w:t xml:space="preserve"> 5</w:t>
      </w:r>
      <w:r w:rsidR="00265A6C">
        <w:rPr>
          <w:rFonts w:ascii="Times New Roman" w:hAnsi="Times New Roman"/>
          <w:sz w:val="24"/>
          <w:szCs w:val="24"/>
        </w:rPr>
        <w:t>7</w:t>
      </w:r>
    </w:p>
    <w:p w:rsidR="00CA6185"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Informácie o vydaných osvedčeniach, ktoré sú dokladom o odbornom posúdení zariadení a systémov, používaných pri prevádzkovaní hazardných hier bude poverená skúšobňa predkladať z dôvodu potreby licenčného orgánu pri správnom konaní o udelení alebo zmene individuálnej licencie.</w:t>
      </w:r>
    </w:p>
    <w:p w:rsidR="00F85236" w:rsidRPr="004862A1" w:rsidP="00E32E9C">
      <w:pPr>
        <w:bidi w:val="0"/>
        <w:spacing w:after="0" w:line="240" w:lineRule="auto"/>
        <w:rPr>
          <w:rFonts w:ascii="Times New Roman" w:hAnsi="Times New Roman"/>
          <w:sz w:val="24"/>
          <w:szCs w:val="24"/>
        </w:rPr>
      </w:pPr>
    </w:p>
    <w:p w:rsidR="00CA6185" w:rsidRPr="004862A1" w:rsidP="00CA7B53">
      <w:pPr>
        <w:bidi w:val="0"/>
        <w:spacing w:after="0" w:line="240" w:lineRule="auto"/>
        <w:rPr>
          <w:rFonts w:ascii="Times New Roman" w:hAnsi="Times New Roman"/>
          <w:sz w:val="24"/>
          <w:szCs w:val="24"/>
        </w:rPr>
      </w:pPr>
      <w:r w:rsidRPr="004862A1" w:rsidR="00CA7B53">
        <w:rPr>
          <w:rFonts w:ascii="Times New Roman" w:hAnsi="Times New Roman"/>
          <w:sz w:val="24"/>
          <w:szCs w:val="24"/>
        </w:rPr>
        <w:t>K</w:t>
      </w:r>
      <w:r w:rsidRPr="004862A1" w:rsidR="00CA7B53">
        <w:t> </w:t>
      </w:r>
      <w:r w:rsidRPr="004862A1" w:rsidR="00CA7B53">
        <w:rPr>
          <w:rFonts w:ascii="Times New Roman" w:hAnsi="Times New Roman"/>
          <w:sz w:val="24"/>
          <w:szCs w:val="24"/>
        </w:rPr>
        <w:t>bodu</w:t>
      </w:r>
      <w:r w:rsidRPr="004862A1" w:rsidR="00B55188">
        <w:rPr>
          <w:rFonts w:ascii="Times New Roman" w:hAnsi="Times New Roman"/>
          <w:sz w:val="24"/>
          <w:szCs w:val="24"/>
        </w:rPr>
        <w:t xml:space="preserve"> </w:t>
      </w:r>
      <w:r w:rsidRPr="004862A1" w:rsidR="001B2246">
        <w:rPr>
          <w:rFonts w:ascii="Times New Roman" w:hAnsi="Times New Roman"/>
          <w:sz w:val="24"/>
          <w:szCs w:val="24"/>
        </w:rPr>
        <w:t>5</w:t>
      </w:r>
      <w:r w:rsidR="00265A6C">
        <w:rPr>
          <w:rFonts w:ascii="Times New Roman" w:hAnsi="Times New Roman"/>
          <w:sz w:val="24"/>
          <w:szCs w:val="24"/>
        </w:rPr>
        <w:t>8</w:t>
      </w:r>
    </w:p>
    <w:p w:rsidR="00CA6185"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Do tretej časti, prvej hlavy sa dopĺňajú paragrafy, ustanovujúce opatrenia pre zodpovedné hranie. V tejto súvislosti je vhodné upraviť aj názov tretej časti.</w:t>
      </w:r>
    </w:p>
    <w:p w:rsidR="002631C2" w:rsidRPr="004862A1" w:rsidP="00E32E9C">
      <w:pPr>
        <w:bidi w:val="0"/>
        <w:spacing w:after="0" w:line="240" w:lineRule="auto"/>
        <w:rPr>
          <w:rFonts w:ascii="Times New Roman" w:hAnsi="Times New Roman"/>
          <w:sz w:val="24"/>
          <w:szCs w:val="24"/>
        </w:rPr>
      </w:pPr>
    </w:p>
    <w:p w:rsidR="00CA6185" w:rsidRPr="004862A1" w:rsidP="00CA7B53">
      <w:pPr>
        <w:bidi w:val="0"/>
        <w:spacing w:after="0" w:line="240" w:lineRule="auto"/>
        <w:rPr>
          <w:rFonts w:ascii="Times New Roman" w:hAnsi="Times New Roman"/>
          <w:sz w:val="24"/>
          <w:szCs w:val="24"/>
        </w:rPr>
      </w:pPr>
      <w:r w:rsidRPr="004862A1" w:rsidR="00CA7B53">
        <w:rPr>
          <w:rFonts w:ascii="Times New Roman" w:hAnsi="Times New Roman"/>
          <w:sz w:val="24"/>
          <w:szCs w:val="24"/>
        </w:rPr>
        <w:t>K</w:t>
      </w:r>
      <w:r w:rsidRPr="004862A1" w:rsidR="00CA7B53">
        <w:t> </w:t>
      </w:r>
      <w:r w:rsidRPr="004862A1" w:rsidR="00CA7B53">
        <w:rPr>
          <w:rFonts w:ascii="Times New Roman" w:hAnsi="Times New Roman"/>
          <w:sz w:val="24"/>
          <w:szCs w:val="24"/>
        </w:rPr>
        <w:t xml:space="preserve">bodu </w:t>
      </w:r>
      <w:r w:rsidRPr="004862A1" w:rsidR="001B2246">
        <w:rPr>
          <w:rFonts w:ascii="Times New Roman" w:hAnsi="Times New Roman"/>
          <w:sz w:val="24"/>
          <w:szCs w:val="24"/>
        </w:rPr>
        <w:t>5</w:t>
      </w:r>
      <w:r w:rsidR="00265A6C">
        <w:rPr>
          <w:rFonts w:ascii="Times New Roman" w:hAnsi="Times New Roman"/>
          <w:sz w:val="24"/>
          <w:szCs w:val="24"/>
        </w:rPr>
        <w:t>9</w:t>
      </w:r>
    </w:p>
    <w:p w:rsidR="00CA6185"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Cieľom nového ustanovenia je predísť sporom vyplývajúcim z nejednoznačnosti výkladu aktuálne platných ustanovení zákona o hazardných hrách týkajúcich sa povinnosti mať odborne posúdené zariadenia a systémy s platným osvedčením počas celej doby ich prevádzkovania. Pôvodné znenie odseku 2 sa presúva v upravenej forme do § 3 odseku 3.</w:t>
      </w:r>
      <w:r w:rsidRPr="004862A1" w:rsidR="003612DA">
        <w:rPr>
          <w:rFonts w:ascii="Times New Roman" w:hAnsi="Times New Roman"/>
          <w:sz w:val="24"/>
          <w:szCs w:val="24"/>
        </w:rPr>
        <w:t xml:space="preserve"> Súčasne sa navrhuje </w:t>
      </w:r>
      <w:r w:rsidR="009D0A23">
        <w:rPr>
          <w:rFonts w:ascii="Times New Roman" w:hAnsi="Times New Roman"/>
          <w:sz w:val="24"/>
          <w:szCs w:val="24"/>
        </w:rPr>
        <w:t>nová</w:t>
      </w:r>
      <w:r w:rsidRPr="004862A1" w:rsidR="003612DA">
        <w:rPr>
          <w:rFonts w:ascii="Times New Roman" w:hAnsi="Times New Roman"/>
          <w:sz w:val="24"/>
          <w:szCs w:val="24"/>
        </w:rPr>
        <w:t xml:space="preserve"> povinnos</w:t>
      </w:r>
      <w:r w:rsidR="009D0A23">
        <w:rPr>
          <w:rFonts w:ascii="Times New Roman" w:hAnsi="Times New Roman"/>
          <w:sz w:val="24"/>
          <w:szCs w:val="24"/>
        </w:rPr>
        <w:t>ť</w:t>
      </w:r>
      <w:r w:rsidRPr="004862A1" w:rsidR="003612DA">
        <w:rPr>
          <w:rFonts w:ascii="Times New Roman" w:hAnsi="Times New Roman"/>
          <w:sz w:val="24"/>
          <w:szCs w:val="24"/>
        </w:rPr>
        <w:t xml:space="preserve"> pre prevádzkovateľa hazardnej hry</w:t>
      </w:r>
      <w:r w:rsidRPr="004862A1" w:rsidR="00A94BAE">
        <w:rPr>
          <w:rFonts w:ascii="Times New Roman" w:hAnsi="Times New Roman"/>
          <w:sz w:val="24"/>
          <w:szCs w:val="24"/>
        </w:rPr>
        <w:t xml:space="preserve">, ktorej cieľom je eliminovanie možnosti </w:t>
      </w:r>
      <w:r w:rsidRPr="004862A1" w:rsidR="004A7041">
        <w:rPr>
          <w:rFonts w:ascii="Times New Roman" w:hAnsi="Times New Roman"/>
          <w:sz w:val="24"/>
          <w:szCs w:val="24"/>
        </w:rPr>
        <w:t xml:space="preserve">neoprávnenej </w:t>
      </w:r>
      <w:r w:rsidRPr="004862A1" w:rsidR="00A94BAE">
        <w:rPr>
          <w:rFonts w:ascii="Times New Roman" w:hAnsi="Times New Roman"/>
          <w:sz w:val="24"/>
          <w:szCs w:val="24"/>
        </w:rPr>
        <w:t>manipulácie alebo zámeny zariadení.</w:t>
      </w:r>
    </w:p>
    <w:p w:rsidR="002631C2" w:rsidRPr="004862A1" w:rsidP="00E32E9C">
      <w:pPr>
        <w:bidi w:val="0"/>
        <w:spacing w:after="0" w:line="240" w:lineRule="auto"/>
        <w:rPr>
          <w:rFonts w:ascii="Times New Roman" w:hAnsi="Times New Roman"/>
          <w:sz w:val="24"/>
          <w:szCs w:val="24"/>
        </w:rPr>
      </w:pPr>
    </w:p>
    <w:p w:rsidR="00C0245C" w:rsidRPr="004862A1" w:rsidP="00CA7B53">
      <w:pPr>
        <w:bidi w:val="0"/>
        <w:spacing w:after="0" w:line="240" w:lineRule="auto"/>
        <w:rPr>
          <w:rFonts w:ascii="Times New Roman" w:hAnsi="Times New Roman"/>
          <w:sz w:val="24"/>
          <w:szCs w:val="24"/>
        </w:rPr>
      </w:pPr>
      <w:r w:rsidRPr="004862A1" w:rsidR="00DA0484">
        <w:rPr>
          <w:rFonts w:ascii="Times New Roman" w:hAnsi="Times New Roman"/>
          <w:sz w:val="24"/>
          <w:szCs w:val="24"/>
        </w:rPr>
        <w:t xml:space="preserve">K bodu </w:t>
      </w:r>
      <w:r w:rsidR="00265A6C">
        <w:rPr>
          <w:rFonts w:ascii="Times New Roman" w:hAnsi="Times New Roman"/>
          <w:sz w:val="24"/>
          <w:szCs w:val="24"/>
        </w:rPr>
        <w:t>60</w:t>
      </w:r>
    </w:p>
    <w:p w:rsidR="00C0245C" w:rsidRPr="004862A1" w:rsidP="00CA7B53">
      <w:pPr>
        <w:bidi w:val="0"/>
        <w:spacing w:after="0" w:line="240" w:lineRule="auto"/>
        <w:rPr>
          <w:rFonts w:ascii="Times New Roman" w:hAnsi="Times New Roman"/>
          <w:sz w:val="24"/>
          <w:szCs w:val="24"/>
        </w:rPr>
      </w:pPr>
      <w:r w:rsidRPr="004862A1">
        <w:rPr>
          <w:rFonts w:ascii="Times New Roman" w:hAnsi="Times New Roman"/>
          <w:sz w:val="24"/>
          <w:szCs w:val="24"/>
        </w:rPr>
        <w:t>Aj v nadväznosti na povinnosti prevádzkovateľa hazardnej hry vyplývajúce zo zákona č. 297/2008 Z. z. o ochrane pred legalizáciou príjmov z trestnej činnosti a o ochrane pred financovaním terorizmu a o zmene a doplnení niektorých zákonov v znení neskorších predpisov sa navrhuje upraviť povinnosť prevádzkovateľa vymedzených hazardných hier vyžiadať od hráča, ktorý má záujem zúčastniť</w:t>
      </w:r>
      <w:r w:rsidR="00594198">
        <w:rPr>
          <w:rFonts w:ascii="Times New Roman" w:hAnsi="Times New Roman"/>
          <w:sz w:val="24"/>
          <w:szCs w:val="24"/>
        </w:rPr>
        <w:t xml:space="preserve"> s</w:t>
      </w:r>
      <w:r w:rsidRPr="004862A1">
        <w:rPr>
          <w:rFonts w:ascii="Times New Roman" w:hAnsi="Times New Roman"/>
          <w:sz w:val="24"/>
          <w:szCs w:val="24"/>
        </w:rPr>
        <w:t xml:space="preserve">a vymedzených hazardných hrách poskytnutie dvoch dokladov, ktorých účelom je zabezpečenie dostatočnej identifikácie hráča. </w:t>
      </w:r>
    </w:p>
    <w:p w:rsidR="00C0245C" w:rsidRPr="004862A1" w:rsidP="00CA7B53">
      <w:pPr>
        <w:bidi w:val="0"/>
        <w:spacing w:after="0" w:line="240" w:lineRule="auto"/>
      </w:pPr>
    </w:p>
    <w:p w:rsidR="00CA6185" w:rsidRPr="004862A1" w:rsidP="00CA7B53">
      <w:pPr>
        <w:bidi w:val="0"/>
        <w:spacing w:after="0" w:line="240" w:lineRule="auto"/>
        <w:rPr>
          <w:rFonts w:ascii="Times New Roman" w:hAnsi="Times New Roman"/>
          <w:sz w:val="24"/>
          <w:szCs w:val="24"/>
        </w:rPr>
      </w:pPr>
      <w:r w:rsidRPr="004862A1" w:rsidR="00CA7B53">
        <w:rPr>
          <w:rFonts w:ascii="Times New Roman" w:hAnsi="Times New Roman"/>
          <w:sz w:val="24"/>
          <w:szCs w:val="24"/>
        </w:rPr>
        <w:t>K</w:t>
      </w:r>
      <w:r w:rsidRPr="004862A1" w:rsidR="00CA7B53">
        <w:t> </w:t>
      </w:r>
      <w:r w:rsidRPr="004862A1" w:rsidR="00CA7B53">
        <w:rPr>
          <w:rFonts w:ascii="Times New Roman" w:hAnsi="Times New Roman"/>
          <w:sz w:val="24"/>
          <w:szCs w:val="24"/>
        </w:rPr>
        <w:t xml:space="preserve">bodu </w:t>
      </w:r>
      <w:r w:rsidR="00594198">
        <w:rPr>
          <w:rFonts w:ascii="Times New Roman" w:hAnsi="Times New Roman"/>
          <w:sz w:val="24"/>
          <w:szCs w:val="24"/>
        </w:rPr>
        <w:t>61</w:t>
      </w:r>
    </w:p>
    <w:p w:rsidR="00CA6185" w:rsidRPr="004862A1" w:rsidP="0074336F">
      <w:pPr>
        <w:tabs>
          <w:tab w:val="left" w:pos="397"/>
        </w:tabs>
        <w:autoSpaceDE w:val="0"/>
        <w:autoSpaceDN w:val="0"/>
        <w:bidi w:val="0"/>
        <w:adjustRightInd w:val="0"/>
        <w:spacing w:after="0" w:line="240" w:lineRule="auto"/>
        <w:rPr>
          <w:rFonts w:ascii="Times New Roman" w:hAnsi="Times New Roman"/>
          <w:sz w:val="24"/>
          <w:szCs w:val="24"/>
          <w:lang w:eastAsia="sk-SK"/>
        </w:rPr>
      </w:pPr>
      <w:r w:rsidRPr="004862A1" w:rsidR="00262601">
        <w:rPr>
          <w:rFonts w:ascii="Times New Roman" w:hAnsi="Times New Roman"/>
          <w:sz w:val="24"/>
          <w:szCs w:val="24"/>
        </w:rPr>
        <w:t xml:space="preserve">Ustanovenie reaguje na Odporúčanie komisie č. 2014/478/EÚ o zásadách ochrany spotrebiteľov a hráčov využívajúcich služby online hazardných hier a o predchádzaniu hraniu online hazardných hier v prípade maloletých osôb. Zavádza sa zákaz vstupu do herne osobám mladším ako 18 rokov, </w:t>
      </w:r>
      <w:r w:rsidR="00115C06">
        <w:rPr>
          <w:rFonts w:ascii="Times New Roman" w:hAnsi="Times New Roman"/>
          <w:sz w:val="24"/>
          <w:szCs w:val="24"/>
        </w:rPr>
        <w:t xml:space="preserve">ďalej </w:t>
      </w:r>
      <w:r w:rsidRPr="004862A1" w:rsidR="00262601">
        <w:rPr>
          <w:rFonts w:ascii="Times New Roman" w:hAnsi="Times New Roman"/>
          <w:sz w:val="24"/>
          <w:szCs w:val="24"/>
        </w:rPr>
        <w:t>v</w:t>
      </w:r>
      <w:r w:rsidRPr="004862A1">
        <w:rPr>
          <w:rFonts w:ascii="Times New Roman" w:hAnsi="Times New Roman"/>
          <w:sz w:val="24"/>
          <w:szCs w:val="24"/>
        </w:rPr>
        <w:t xml:space="preserve"> súvislosti s doplnením ustanovení o vylúčení osôb z účasti na hazardnej hre sa navrhuje úp</w:t>
      </w:r>
      <w:r w:rsidRPr="004862A1" w:rsidR="006C12A8">
        <w:rPr>
          <w:rFonts w:ascii="Times New Roman" w:hAnsi="Times New Roman"/>
          <w:sz w:val="24"/>
          <w:szCs w:val="24"/>
        </w:rPr>
        <w:t>rava t</w:t>
      </w:r>
      <w:r w:rsidRPr="004862A1" w:rsidR="002B6D90">
        <w:rPr>
          <w:rFonts w:ascii="Times New Roman" w:hAnsi="Times New Roman"/>
          <w:sz w:val="24"/>
          <w:szCs w:val="24"/>
        </w:rPr>
        <w:t>ýchto</w:t>
      </w:r>
      <w:r w:rsidRPr="004862A1" w:rsidR="006C12A8">
        <w:rPr>
          <w:rFonts w:ascii="Times New Roman" w:hAnsi="Times New Roman"/>
          <w:sz w:val="24"/>
          <w:szCs w:val="24"/>
        </w:rPr>
        <w:t xml:space="preserve"> odsek</w:t>
      </w:r>
      <w:r w:rsidRPr="004862A1" w:rsidR="002B6D90">
        <w:rPr>
          <w:rFonts w:ascii="Times New Roman" w:hAnsi="Times New Roman"/>
          <w:sz w:val="24"/>
          <w:szCs w:val="24"/>
        </w:rPr>
        <w:t>ov</w:t>
      </w:r>
      <w:r w:rsidRPr="004862A1" w:rsidR="00262601">
        <w:rPr>
          <w:rFonts w:ascii="Times New Roman" w:hAnsi="Times New Roman"/>
          <w:sz w:val="24"/>
          <w:szCs w:val="24"/>
        </w:rPr>
        <w:t xml:space="preserve"> tak, aby</w:t>
      </w:r>
      <w:r w:rsidRPr="004862A1" w:rsidR="002631C2">
        <w:rPr>
          <w:rFonts w:ascii="Times New Roman" w:hAnsi="Times New Roman"/>
          <w:sz w:val="24"/>
          <w:szCs w:val="24"/>
        </w:rPr>
        <w:t xml:space="preserve"> </w:t>
      </w:r>
      <w:r w:rsidRPr="004862A1" w:rsidR="00262601">
        <w:rPr>
          <w:rFonts w:ascii="Times New Roman" w:hAnsi="Times New Roman"/>
          <w:sz w:val="24"/>
          <w:szCs w:val="24"/>
        </w:rPr>
        <w:t>sa h</w:t>
      </w:r>
      <w:r w:rsidRPr="004862A1" w:rsidR="006C12A8">
        <w:rPr>
          <w:rFonts w:ascii="Times New Roman" w:hAnsi="Times New Roman"/>
          <w:sz w:val="24"/>
          <w:szCs w:val="24"/>
        </w:rPr>
        <w:t>azardných hier</w:t>
      </w:r>
      <w:r w:rsidRPr="004862A1" w:rsidR="00FB5CFA">
        <w:rPr>
          <w:rFonts w:ascii="Times New Roman" w:hAnsi="Times New Roman"/>
          <w:sz w:val="24"/>
          <w:szCs w:val="24"/>
        </w:rPr>
        <w:t xml:space="preserve">, </w:t>
      </w:r>
      <w:r w:rsidRPr="004862A1" w:rsidR="0074336F">
        <w:rPr>
          <w:rFonts w:ascii="Times New Roman" w:hAnsi="Times New Roman"/>
          <w:sz w:val="24"/>
          <w:szCs w:val="24"/>
        </w:rPr>
        <w:t>bližšie vymedzených v t</w:t>
      </w:r>
      <w:r w:rsidRPr="004862A1" w:rsidR="002B6D90">
        <w:rPr>
          <w:rFonts w:ascii="Times New Roman" w:hAnsi="Times New Roman"/>
          <w:sz w:val="24"/>
          <w:szCs w:val="24"/>
        </w:rPr>
        <w:t>ýchto</w:t>
      </w:r>
      <w:r w:rsidRPr="004862A1" w:rsidR="0074336F">
        <w:rPr>
          <w:rFonts w:ascii="Times New Roman" w:hAnsi="Times New Roman"/>
          <w:sz w:val="24"/>
          <w:szCs w:val="24"/>
        </w:rPr>
        <w:t xml:space="preserve"> ustanoven</w:t>
      </w:r>
      <w:r w:rsidRPr="004862A1" w:rsidR="002B6D90">
        <w:rPr>
          <w:rFonts w:ascii="Times New Roman" w:hAnsi="Times New Roman"/>
          <w:sz w:val="24"/>
          <w:szCs w:val="24"/>
        </w:rPr>
        <w:t>iach</w:t>
      </w:r>
      <w:r w:rsidRPr="004862A1" w:rsidR="0074336F">
        <w:rPr>
          <w:rFonts w:ascii="Times New Roman" w:hAnsi="Times New Roman"/>
          <w:sz w:val="24"/>
          <w:szCs w:val="24"/>
        </w:rPr>
        <w:t xml:space="preserve">, </w:t>
      </w:r>
      <w:r w:rsidRPr="004862A1" w:rsidR="00262601">
        <w:rPr>
          <w:rFonts w:ascii="Times New Roman" w:hAnsi="Times New Roman"/>
          <w:sz w:val="24"/>
          <w:szCs w:val="24"/>
        </w:rPr>
        <w:t>nemohla</w:t>
      </w:r>
      <w:r w:rsidRPr="004862A1" w:rsidR="006C12A8">
        <w:rPr>
          <w:rFonts w:ascii="Times New Roman" w:hAnsi="Times New Roman"/>
          <w:sz w:val="24"/>
          <w:szCs w:val="24"/>
        </w:rPr>
        <w:t xml:space="preserve"> zúčastniť  osoba, ktorá je zaevidovaná v registri fyzických osôb </w:t>
      </w:r>
      <w:r w:rsidRPr="004862A1" w:rsidR="000103AB">
        <w:rPr>
          <w:rFonts w:ascii="Times New Roman" w:hAnsi="Times New Roman"/>
          <w:sz w:val="24"/>
          <w:szCs w:val="24"/>
        </w:rPr>
        <w:t xml:space="preserve">vylúčených z účasti na hazardných hrách </w:t>
      </w:r>
      <w:r w:rsidRPr="004862A1" w:rsidR="006C12A8">
        <w:rPr>
          <w:rFonts w:ascii="Times New Roman" w:hAnsi="Times New Roman"/>
          <w:sz w:val="24"/>
          <w:szCs w:val="24"/>
        </w:rPr>
        <w:t>podľa § 35a</w:t>
      </w:r>
      <w:r w:rsidRPr="004862A1" w:rsidR="00262601">
        <w:rPr>
          <w:rFonts w:ascii="Times New Roman" w:hAnsi="Times New Roman"/>
          <w:sz w:val="24"/>
          <w:szCs w:val="24"/>
        </w:rPr>
        <w:t xml:space="preserve"> a osoba mladšia ako 18 rokov.</w:t>
      </w:r>
      <w:r w:rsidR="009D0A23">
        <w:rPr>
          <w:rFonts w:ascii="Times New Roman" w:hAnsi="Times New Roman"/>
          <w:sz w:val="24"/>
          <w:szCs w:val="24"/>
        </w:rPr>
        <w:t xml:space="preserve"> Osoba vylúčená z hrania hazardných hier bude mať takisto zákaz vstupu do herne.</w:t>
      </w:r>
      <w:r w:rsidRPr="004862A1" w:rsidR="00D15593">
        <w:rPr>
          <w:sz w:val="24"/>
          <w:szCs w:val="24"/>
          <w:lang w:eastAsia="sk-SK"/>
        </w:rPr>
        <w:t xml:space="preserve"> </w:t>
      </w:r>
      <w:r w:rsidRPr="004862A1" w:rsidR="006C12A8">
        <w:rPr>
          <w:rFonts w:ascii="Times New Roman" w:hAnsi="Times New Roman"/>
          <w:sz w:val="24"/>
          <w:szCs w:val="24"/>
        </w:rPr>
        <w:t xml:space="preserve">Prevádzkovateľ </w:t>
      </w:r>
      <w:r w:rsidRPr="004862A1" w:rsidR="002B6D90">
        <w:rPr>
          <w:rFonts w:ascii="Times New Roman" w:hAnsi="Times New Roman"/>
          <w:sz w:val="24"/>
          <w:szCs w:val="24"/>
        </w:rPr>
        <w:t xml:space="preserve">vymedzených </w:t>
      </w:r>
      <w:r w:rsidRPr="004862A1" w:rsidR="006C12A8">
        <w:rPr>
          <w:rFonts w:ascii="Times New Roman" w:hAnsi="Times New Roman"/>
          <w:sz w:val="24"/>
          <w:szCs w:val="24"/>
        </w:rPr>
        <w:t xml:space="preserve">hazardných hier bude využívať na účely zabránenia účasti na hazardnej hre register </w:t>
      </w:r>
      <w:r w:rsidRPr="004862A1" w:rsidR="002B6D90">
        <w:rPr>
          <w:rFonts w:ascii="Times New Roman" w:hAnsi="Times New Roman"/>
          <w:sz w:val="24"/>
          <w:szCs w:val="24"/>
        </w:rPr>
        <w:t xml:space="preserve">vylúčených </w:t>
      </w:r>
      <w:r w:rsidRPr="004862A1" w:rsidR="006C12A8">
        <w:rPr>
          <w:rFonts w:ascii="Times New Roman" w:hAnsi="Times New Roman"/>
          <w:sz w:val="24"/>
          <w:szCs w:val="24"/>
        </w:rPr>
        <w:t>osôb podľa § 35a a údaje z preukazu totožnosti a</w:t>
      </w:r>
      <w:r w:rsidRPr="004862A1" w:rsidR="002B6D90">
        <w:rPr>
          <w:rFonts w:ascii="Times New Roman" w:hAnsi="Times New Roman"/>
          <w:sz w:val="24"/>
          <w:szCs w:val="24"/>
        </w:rPr>
        <w:t xml:space="preserve"> prípadne aj </w:t>
      </w:r>
      <w:r w:rsidRPr="004862A1" w:rsidR="006C12A8">
        <w:rPr>
          <w:rFonts w:ascii="Times New Roman" w:hAnsi="Times New Roman"/>
          <w:sz w:val="24"/>
          <w:szCs w:val="24"/>
        </w:rPr>
        <w:t>z ďalšieho dokladu, kópiu</w:t>
      </w:r>
      <w:r w:rsidRPr="004862A1" w:rsidR="002B6D90">
        <w:rPr>
          <w:rFonts w:ascii="Times New Roman" w:hAnsi="Times New Roman"/>
          <w:sz w:val="24"/>
          <w:szCs w:val="24"/>
        </w:rPr>
        <w:t xml:space="preserve"> </w:t>
      </w:r>
      <w:r w:rsidRPr="004862A1" w:rsidR="006C12A8">
        <w:rPr>
          <w:rFonts w:ascii="Times New Roman" w:hAnsi="Times New Roman"/>
          <w:sz w:val="24"/>
          <w:szCs w:val="24"/>
        </w:rPr>
        <w:t xml:space="preserve">ktorých mu na tento účel zasiela fyzická osoba, ktorá má záujem zúčastniť sa na hazardnej hre. </w:t>
      </w:r>
      <w:r w:rsidRPr="004862A1">
        <w:rPr>
          <w:rFonts w:ascii="Times New Roman" w:hAnsi="Times New Roman"/>
          <w:sz w:val="24"/>
          <w:szCs w:val="24"/>
        </w:rPr>
        <w:t>Spresňuje sa aj terminológia vo väzbe na § 38 odsek 1 písm</w:t>
      </w:r>
      <w:r w:rsidRPr="004862A1" w:rsidR="002650C6">
        <w:rPr>
          <w:rFonts w:ascii="Times New Roman" w:hAnsi="Times New Roman"/>
          <w:sz w:val="24"/>
          <w:szCs w:val="24"/>
        </w:rPr>
        <w:t>.</w:t>
      </w:r>
      <w:r w:rsidRPr="004862A1">
        <w:rPr>
          <w:rFonts w:ascii="Times New Roman" w:hAnsi="Times New Roman"/>
          <w:sz w:val="24"/>
          <w:szCs w:val="24"/>
        </w:rPr>
        <w:t xml:space="preserve"> a) zákona o hazardných hrách (prevádzkový čas)</w:t>
      </w:r>
      <w:r w:rsidRPr="004862A1" w:rsidR="006C12A8">
        <w:rPr>
          <w:rFonts w:ascii="Times New Roman" w:hAnsi="Times New Roman"/>
          <w:sz w:val="24"/>
          <w:szCs w:val="24"/>
        </w:rPr>
        <w:t>.</w:t>
      </w:r>
      <w:r w:rsidRPr="004862A1">
        <w:rPr>
          <w:rFonts w:ascii="Times New Roman" w:hAnsi="Times New Roman"/>
          <w:sz w:val="24"/>
          <w:szCs w:val="24"/>
        </w:rPr>
        <w:t xml:space="preserve"> Ustanoven</w:t>
      </w:r>
      <w:r w:rsidRPr="004862A1" w:rsidR="00E45261">
        <w:rPr>
          <w:rFonts w:ascii="Times New Roman" w:hAnsi="Times New Roman"/>
          <w:sz w:val="24"/>
          <w:szCs w:val="24"/>
        </w:rPr>
        <w:t xml:space="preserve">ím sa ďalej </w:t>
      </w:r>
      <w:r w:rsidRPr="004862A1">
        <w:rPr>
          <w:rFonts w:ascii="Times New Roman" w:hAnsi="Times New Roman"/>
          <w:sz w:val="24"/>
          <w:szCs w:val="24"/>
        </w:rPr>
        <w:t>spresňuje výkon stáleho do</w:t>
      </w:r>
      <w:r w:rsidRPr="004862A1" w:rsidR="00CA733F">
        <w:rPr>
          <w:rFonts w:ascii="Times New Roman" w:hAnsi="Times New Roman"/>
          <w:sz w:val="24"/>
          <w:szCs w:val="24"/>
        </w:rPr>
        <w:t>hľadu</w:t>
      </w:r>
      <w:r w:rsidRPr="004862A1">
        <w:rPr>
          <w:rFonts w:ascii="Times New Roman" w:hAnsi="Times New Roman"/>
          <w:sz w:val="24"/>
          <w:szCs w:val="24"/>
        </w:rPr>
        <w:t xml:space="preserve"> v herni, a to tak, že v herni s viacerými prevádzkovateľmi bude vykonávaný stály do</w:t>
      </w:r>
      <w:r w:rsidRPr="004862A1" w:rsidR="00CA733F">
        <w:rPr>
          <w:rFonts w:ascii="Times New Roman" w:hAnsi="Times New Roman"/>
          <w:sz w:val="24"/>
          <w:szCs w:val="24"/>
        </w:rPr>
        <w:t>hľad</w:t>
      </w:r>
      <w:r w:rsidRPr="004862A1">
        <w:rPr>
          <w:rFonts w:ascii="Times New Roman" w:hAnsi="Times New Roman"/>
          <w:sz w:val="24"/>
          <w:szCs w:val="24"/>
        </w:rPr>
        <w:t xml:space="preserve"> prostredníctvom fyzickej osoby, ktorá má pracovný pomer s jedným z prevádzkovateľov hazardnej hry v danej herni. Tento prevádzkovateľ musí mať udelenú individuálnu licenciu podľa § 22 ods. 1 zákona o hazardných hrách.</w:t>
      </w:r>
      <w:r w:rsidRPr="004862A1" w:rsidR="00E01998">
        <w:rPr>
          <w:rFonts w:ascii="Times New Roman" w:hAnsi="Times New Roman"/>
          <w:sz w:val="24"/>
          <w:szCs w:val="24"/>
        </w:rPr>
        <w:t xml:space="preserve"> </w:t>
      </w:r>
    </w:p>
    <w:p w:rsidR="00B07872" w:rsidRPr="004862A1">
      <w:pPr>
        <w:pStyle w:val="Heading2"/>
        <w:bidi w:val="0"/>
        <w:rPr>
          <w:rFonts w:ascii="Times New Roman" w:hAnsi="Times New Roman"/>
        </w:rPr>
      </w:pPr>
      <w:r w:rsidRPr="004862A1" w:rsidR="002650C6">
        <w:rPr>
          <w:rFonts w:ascii="Times New Roman" w:hAnsi="Times New Roman"/>
        </w:rPr>
        <w:t> </w:t>
      </w:r>
    </w:p>
    <w:p w:rsidR="00CA7B53" w:rsidRPr="004862A1" w:rsidP="00CA7B53">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 xml:space="preserve">bodu </w:t>
      </w:r>
      <w:r w:rsidRPr="004862A1" w:rsidR="00423EAD">
        <w:rPr>
          <w:rFonts w:ascii="Times New Roman" w:hAnsi="Times New Roman"/>
          <w:sz w:val="24"/>
          <w:szCs w:val="24"/>
        </w:rPr>
        <w:t>6</w:t>
      </w:r>
      <w:r w:rsidR="00115C06">
        <w:rPr>
          <w:rFonts w:ascii="Times New Roman" w:hAnsi="Times New Roman"/>
          <w:sz w:val="24"/>
          <w:szCs w:val="24"/>
        </w:rPr>
        <w:t>2</w:t>
      </w:r>
    </w:p>
    <w:p w:rsidR="002650C6"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Žrebovanie číselnej lotérie s názvom Eurojackpot uskutočňuje spoločnosť Veikkaus Oy, Vantaa, Fínsko za účasti overovateľa povereného fínskym národným policajným zborom. Žrebovanie prebieha spravidla v piatok a je platné pre všetky zúčastnené krajiny. Navrhovanou úpravou sa umožní prevádzkovať túto lotériu v rámci prevádzkového času v priebehu celého roka.</w:t>
      </w:r>
    </w:p>
    <w:p w:rsidR="00C11B9A" w:rsidRPr="004862A1" w:rsidP="00A33953">
      <w:pPr>
        <w:bidi w:val="0"/>
        <w:spacing w:after="0" w:line="240" w:lineRule="auto"/>
        <w:rPr>
          <w:rFonts w:ascii="Times New Roman" w:hAnsi="Times New Roman"/>
          <w:sz w:val="24"/>
          <w:szCs w:val="24"/>
        </w:rPr>
      </w:pPr>
    </w:p>
    <w:p w:rsidR="00CA7B53" w:rsidRPr="004862A1" w:rsidP="00CA7B53">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 xml:space="preserve">bodu </w:t>
      </w:r>
      <w:r w:rsidRPr="004862A1" w:rsidR="00F85236">
        <w:rPr>
          <w:rFonts w:ascii="Times New Roman" w:hAnsi="Times New Roman"/>
          <w:sz w:val="24"/>
          <w:szCs w:val="24"/>
        </w:rPr>
        <w:t>6</w:t>
      </w:r>
      <w:r w:rsidR="00A33953">
        <w:rPr>
          <w:rFonts w:ascii="Times New Roman" w:hAnsi="Times New Roman"/>
          <w:sz w:val="24"/>
          <w:szCs w:val="24"/>
        </w:rPr>
        <w:t>3</w:t>
      </w:r>
    </w:p>
    <w:p w:rsidR="002650C6" w:rsidRPr="004862A1" w:rsidP="00171063">
      <w:pPr>
        <w:pStyle w:val="Heading2"/>
        <w:bidi w:val="0"/>
        <w:rPr>
          <w:rFonts w:ascii="Times New Roman" w:hAnsi="Times New Roman"/>
        </w:rPr>
      </w:pPr>
      <w:r w:rsidRPr="004862A1" w:rsidR="00F72D3E">
        <w:rPr>
          <w:rFonts w:ascii="Times New Roman" w:hAnsi="Times New Roman"/>
        </w:rPr>
        <w:t xml:space="preserve">Rozširuje sa zákaz prevádzkovania technických zariadení určených na prevádzkovanie hazardných hier v ďalších inštitúciách, konkrétne </w:t>
      </w:r>
      <w:r w:rsidRPr="004862A1" w:rsidR="00B6424A">
        <w:rPr>
          <w:rFonts w:ascii="Times New Roman" w:hAnsi="Times New Roman"/>
        </w:rPr>
        <w:t>ide o</w:t>
      </w:r>
      <w:r w:rsidRPr="004862A1" w:rsidR="00F72D3E">
        <w:rPr>
          <w:rFonts w:ascii="Times New Roman" w:hAnsi="Times New Roman"/>
        </w:rPr>
        <w:t xml:space="preserve"> zariadenia sociálnoprávnej ochrany detí a sociálnej kurately a zariadenia pre liečbu nelátkových závislostí. </w:t>
      </w:r>
      <w:r w:rsidR="00A33953">
        <w:rPr>
          <w:rFonts w:ascii="Times New Roman" w:hAnsi="Times New Roman"/>
        </w:rPr>
        <w:t xml:space="preserve">Zákaz prevádzkovania technických zariadení vo vzdialenosti do 200 metrov od </w:t>
      </w:r>
      <w:r w:rsidR="009D0A23">
        <w:rPr>
          <w:rFonts w:ascii="Times New Roman" w:hAnsi="Times New Roman"/>
        </w:rPr>
        <w:t xml:space="preserve">vybraných </w:t>
      </w:r>
      <w:r w:rsidR="00A33953">
        <w:rPr>
          <w:rFonts w:ascii="Times New Roman" w:hAnsi="Times New Roman"/>
        </w:rPr>
        <w:t>zariadení a</w:t>
      </w:r>
      <w:r w:rsidR="009D0A23">
        <w:rPr>
          <w:rFonts w:ascii="Times New Roman" w:hAnsi="Times New Roman"/>
        </w:rPr>
        <w:t> </w:t>
      </w:r>
      <w:r w:rsidR="00A33953">
        <w:rPr>
          <w:rFonts w:ascii="Times New Roman" w:hAnsi="Times New Roman"/>
        </w:rPr>
        <w:t>budov</w:t>
      </w:r>
      <w:r w:rsidR="009D0A23">
        <w:rPr>
          <w:rFonts w:ascii="Times New Roman" w:hAnsi="Times New Roman"/>
        </w:rPr>
        <w:t xml:space="preserve"> (</w:t>
      </w:r>
      <w:r w:rsidR="00A33953">
        <w:rPr>
          <w:rFonts w:ascii="Times New Roman" w:hAnsi="Times New Roman"/>
        </w:rPr>
        <w:t>§ 35 ods. 1</w:t>
      </w:r>
      <w:r w:rsidR="00F46A6B">
        <w:rPr>
          <w:rFonts w:ascii="Times New Roman" w:hAnsi="Times New Roman"/>
        </w:rPr>
        <w:t>1 platného zákona</w:t>
      </w:r>
      <w:r w:rsidR="009D0A23">
        <w:rPr>
          <w:rFonts w:ascii="Times New Roman" w:hAnsi="Times New Roman"/>
        </w:rPr>
        <w:t>)</w:t>
      </w:r>
      <w:r w:rsidR="00A33953">
        <w:rPr>
          <w:rFonts w:ascii="Times New Roman" w:hAnsi="Times New Roman"/>
        </w:rPr>
        <w:t xml:space="preserve"> je </w:t>
      </w:r>
      <w:r w:rsidR="00F46A6B">
        <w:rPr>
          <w:rFonts w:ascii="Times New Roman" w:hAnsi="Times New Roman"/>
        </w:rPr>
        <w:t xml:space="preserve">vymedzený </w:t>
      </w:r>
      <w:r w:rsidR="00A33953">
        <w:rPr>
          <w:rFonts w:ascii="Times New Roman" w:hAnsi="Times New Roman"/>
        </w:rPr>
        <w:t>v prechodnom ustanovení (§ 58m</w:t>
      </w:r>
      <w:r w:rsidR="00132622">
        <w:rPr>
          <w:rFonts w:ascii="Times New Roman" w:hAnsi="Times New Roman"/>
        </w:rPr>
        <w:t xml:space="preserve"> návrhu zákona), ktorý bude platiť do 31.12.2018. Od 1.1.2019 sa budú môcť prevádzkovať </w:t>
      </w:r>
      <w:r w:rsidR="009D0A23">
        <w:rPr>
          <w:rFonts w:ascii="Times New Roman" w:hAnsi="Times New Roman"/>
        </w:rPr>
        <w:t xml:space="preserve">výherné prístroje, technické zariadenia obsluhované priamo hráčmi a terminály videohier </w:t>
      </w:r>
      <w:r w:rsidR="00132622">
        <w:rPr>
          <w:rFonts w:ascii="Times New Roman" w:hAnsi="Times New Roman"/>
        </w:rPr>
        <w:t xml:space="preserve">výlučne v herni. Táto povinnosť je ustanovená v návrhu § 35 ods. 24. V tomto prechodnom období </w:t>
      </w:r>
      <w:r w:rsidR="009D0A23">
        <w:rPr>
          <w:rFonts w:ascii="Times New Roman" w:hAnsi="Times New Roman"/>
        </w:rPr>
        <w:t xml:space="preserve">(roky 2017-2018) </w:t>
      </w:r>
      <w:r w:rsidR="00132622">
        <w:rPr>
          <w:rFonts w:ascii="Times New Roman" w:hAnsi="Times New Roman"/>
        </w:rPr>
        <w:t>sa z</w:t>
      </w:r>
      <w:r w:rsidRPr="004862A1" w:rsidR="00373155">
        <w:rPr>
          <w:rFonts w:ascii="Times New Roman" w:hAnsi="Times New Roman"/>
        </w:rPr>
        <w:t>a účelom jednotného určovania vzdialenosti navrhuje spresnenie postupu merania vzdialenosti 200</w:t>
      </w:r>
      <w:r w:rsidR="009D0A23">
        <w:rPr>
          <w:rFonts w:ascii="Times New Roman" w:hAnsi="Times New Roman"/>
        </w:rPr>
        <w:t xml:space="preserve"> </w:t>
      </w:r>
      <w:r w:rsidRPr="004862A1" w:rsidR="00373155">
        <w:rPr>
          <w:rFonts w:ascii="Times New Roman" w:hAnsi="Times New Roman"/>
        </w:rPr>
        <w:t xml:space="preserve">m. Za takúto vzdialenosť sa považuje pochôdzková vzdialenosť medzi </w:t>
      </w:r>
      <w:r w:rsidRPr="004862A1" w:rsidR="005E7B60">
        <w:rPr>
          <w:rFonts w:ascii="Times New Roman" w:hAnsi="Times New Roman"/>
        </w:rPr>
        <w:t xml:space="preserve"> </w:t>
      </w:r>
      <w:r w:rsidRPr="004862A1" w:rsidR="00F72D3E">
        <w:rPr>
          <w:rFonts w:ascii="Times New Roman" w:hAnsi="Times New Roman"/>
        </w:rPr>
        <w:t xml:space="preserve">najbližším </w:t>
      </w:r>
      <w:r w:rsidRPr="004862A1" w:rsidR="005E7B60">
        <w:rPr>
          <w:rFonts w:ascii="Times New Roman" w:hAnsi="Times New Roman"/>
        </w:rPr>
        <w:t>vchodom do prevádzky, v ktorej sú umiestnené zariadenia na prevádzkovanie uvedených hazardných hier a</w:t>
      </w:r>
      <w:r w:rsidRPr="004862A1" w:rsidR="00F72D3E">
        <w:rPr>
          <w:rFonts w:ascii="Times New Roman" w:hAnsi="Times New Roman"/>
        </w:rPr>
        <w:t xml:space="preserve"> najbližším </w:t>
      </w:r>
      <w:r w:rsidRPr="004862A1" w:rsidR="005E7B60">
        <w:rPr>
          <w:rFonts w:ascii="Times New Roman" w:hAnsi="Times New Roman"/>
        </w:rPr>
        <w:t xml:space="preserve">vchodom do </w:t>
      </w:r>
      <w:r w:rsidRPr="004862A1" w:rsidR="003C52B8">
        <w:rPr>
          <w:rFonts w:ascii="Times New Roman" w:hAnsi="Times New Roman"/>
        </w:rPr>
        <w:t>vymenovaných budov</w:t>
      </w:r>
      <w:r w:rsidR="00132622">
        <w:rPr>
          <w:rFonts w:ascii="Times New Roman" w:hAnsi="Times New Roman"/>
        </w:rPr>
        <w:t xml:space="preserve"> (ustanovenie § 58m)</w:t>
      </w:r>
      <w:r w:rsidRPr="004862A1" w:rsidR="005E7B60">
        <w:rPr>
          <w:rFonts w:ascii="Times New Roman" w:hAnsi="Times New Roman"/>
        </w:rPr>
        <w:t xml:space="preserve">. </w:t>
      </w:r>
      <w:r w:rsidRPr="004862A1" w:rsidR="00373155">
        <w:rPr>
          <w:rFonts w:ascii="Times New Roman" w:hAnsi="Times New Roman"/>
        </w:rPr>
        <w:t xml:space="preserve">Pochôdzkovú vzdialenosť je nutné vnímať ako vzdialenosť, ktorú je možné prekonať chôdzou po štandardných komunikáciách (chodníkoch a cestách, nie prekonávaním oplotení a pod). Zároveň sa stanovuje povinnosť využívať pri meraní vzdialenosti </w:t>
      </w:r>
      <w:r w:rsidRPr="004862A1" w:rsidR="003C52B8">
        <w:rPr>
          <w:rFonts w:ascii="Times New Roman" w:hAnsi="Times New Roman"/>
        </w:rPr>
        <w:t xml:space="preserve">kalibrované </w:t>
      </w:r>
      <w:r w:rsidRPr="004862A1" w:rsidR="00373155">
        <w:rPr>
          <w:rFonts w:ascii="Times New Roman" w:hAnsi="Times New Roman"/>
        </w:rPr>
        <w:t>meradlo.</w:t>
      </w:r>
      <w:r w:rsidRPr="004862A1">
        <w:rPr>
          <w:rFonts w:ascii="Times New Roman" w:hAnsi="Times New Roman"/>
        </w:rPr>
        <w:t> </w:t>
      </w:r>
    </w:p>
    <w:p w:rsidR="00373155" w:rsidRPr="004862A1" w:rsidP="00E32E9C">
      <w:pPr>
        <w:bidi w:val="0"/>
        <w:spacing w:after="0" w:line="240" w:lineRule="auto"/>
        <w:rPr>
          <w:rFonts w:ascii="Times New Roman" w:hAnsi="Times New Roman"/>
          <w:sz w:val="24"/>
          <w:szCs w:val="24"/>
        </w:rPr>
      </w:pPr>
    </w:p>
    <w:p w:rsidR="00373155" w:rsidRPr="004862A1" w:rsidP="00CA7B53">
      <w:pPr>
        <w:bidi w:val="0"/>
        <w:spacing w:after="0" w:line="240" w:lineRule="auto"/>
        <w:rPr>
          <w:rFonts w:ascii="Times New Roman" w:hAnsi="Times New Roman"/>
          <w:sz w:val="24"/>
          <w:szCs w:val="24"/>
        </w:rPr>
      </w:pPr>
      <w:r w:rsidRPr="004862A1" w:rsidR="00CA7B53">
        <w:rPr>
          <w:rFonts w:ascii="Times New Roman" w:hAnsi="Times New Roman"/>
          <w:sz w:val="24"/>
          <w:szCs w:val="24"/>
        </w:rPr>
        <w:t>K</w:t>
      </w:r>
      <w:r w:rsidRPr="004862A1" w:rsidR="00CA7B53">
        <w:t> </w:t>
      </w:r>
      <w:r w:rsidRPr="004862A1" w:rsidR="00CA7B53">
        <w:rPr>
          <w:rFonts w:ascii="Times New Roman" w:hAnsi="Times New Roman"/>
          <w:sz w:val="24"/>
          <w:szCs w:val="24"/>
        </w:rPr>
        <w:t xml:space="preserve">bodu </w:t>
      </w:r>
      <w:r w:rsidRPr="004862A1" w:rsidR="00F85236">
        <w:rPr>
          <w:rFonts w:ascii="Times New Roman" w:hAnsi="Times New Roman"/>
          <w:sz w:val="24"/>
          <w:szCs w:val="24"/>
        </w:rPr>
        <w:t>6</w:t>
      </w:r>
      <w:r w:rsidR="00651A7D">
        <w:rPr>
          <w:rFonts w:ascii="Times New Roman" w:hAnsi="Times New Roman"/>
          <w:sz w:val="24"/>
          <w:szCs w:val="24"/>
        </w:rPr>
        <w:t>4</w:t>
      </w:r>
    </w:p>
    <w:p w:rsidR="002650C6"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Na základe doterajších skúseností sa navrhuje rozšíriť okruh subjektov, ktor</w:t>
      </w:r>
      <w:r w:rsidR="00F46A6B">
        <w:rPr>
          <w:rFonts w:ascii="Times New Roman" w:hAnsi="Times New Roman"/>
          <w:sz w:val="24"/>
          <w:szCs w:val="24"/>
        </w:rPr>
        <w:t>ým</w:t>
      </w:r>
      <w:r w:rsidR="009D0A23">
        <w:rPr>
          <w:rFonts w:ascii="Times New Roman" w:hAnsi="Times New Roman"/>
          <w:sz w:val="24"/>
          <w:szCs w:val="24"/>
        </w:rPr>
        <w:t xml:space="preserve"> prevádzkovateľ bude môcť</w:t>
      </w:r>
      <w:r w:rsidRPr="004862A1">
        <w:rPr>
          <w:rFonts w:ascii="Times New Roman" w:hAnsi="Times New Roman"/>
          <w:sz w:val="24"/>
          <w:szCs w:val="24"/>
        </w:rPr>
        <w:t xml:space="preserve">  poskytnúť údaje o hráčoch, ich účasti na hre a informácie získané pri odbornom posudzovaní.</w:t>
      </w:r>
    </w:p>
    <w:p w:rsidR="002631C2" w:rsidRPr="004862A1" w:rsidP="00E32E9C">
      <w:pPr>
        <w:bidi w:val="0"/>
        <w:spacing w:after="0" w:line="240" w:lineRule="auto"/>
        <w:rPr>
          <w:rFonts w:ascii="Times New Roman" w:hAnsi="Times New Roman"/>
          <w:sz w:val="24"/>
          <w:szCs w:val="24"/>
        </w:rPr>
      </w:pPr>
    </w:p>
    <w:p w:rsidR="002650C6" w:rsidRPr="004862A1" w:rsidP="00B869E5">
      <w:pPr>
        <w:bidi w:val="0"/>
        <w:spacing w:after="0" w:line="240" w:lineRule="auto"/>
        <w:rPr>
          <w:rFonts w:ascii="Times New Roman" w:hAnsi="Times New Roman"/>
          <w:sz w:val="24"/>
          <w:szCs w:val="24"/>
        </w:rPr>
      </w:pPr>
      <w:r w:rsidRPr="004862A1" w:rsidR="00B5546E">
        <w:t> </w:t>
      </w:r>
      <w:r w:rsidRPr="004862A1" w:rsidR="00B869E5">
        <w:rPr>
          <w:rFonts w:ascii="Times New Roman" w:hAnsi="Times New Roman"/>
          <w:sz w:val="24"/>
          <w:szCs w:val="24"/>
        </w:rPr>
        <w:t>K</w:t>
      </w:r>
      <w:r w:rsidRPr="004862A1" w:rsidR="00B869E5">
        <w:t> </w:t>
      </w:r>
      <w:r w:rsidRPr="004862A1" w:rsidR="00B869E5">
        <w:rPr>
          <w:rFonts w:ascii="Times New Roman" w:hAnsi="Times New Roman"/>
          <w:sz w:val="24"/>
          <w:szCs w:val="24"/>
        </w:rPr>
        <w:t xml:space="preserve">bodu </w:t>
      </w:r>
      <w:r w:rsidRPr="004862A1" w:rsidR="00F85236">
        <w:rPr>
          <w:rFonts w:ascii="Times New Roman" w:hAnsi="Times New Roman"/>
          <w:sz w:val="24"/>
          <w:szCs w:val="24"/>
        </w:rPr>
        <w:t>6</w:t>
      </w:r>
      <w:r w:rsidR="00651A7D">
        <w:rPr>
          <w:rFonts w:ascii="Times New Roman" w:hAnsi="Times New Roman"/>
          <w:sz w:val="24"/>
          <w:szCs w:val="24"/>
        </w:rPr>
        <w:t>5</w:t>
      </w:r>
    </w:p>
    <w:p w:rsidR="00B5546E"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Zavádza sa povinnosť pre prevádzkovateľa kartových hier pokrového typu, ktorý ich prevádzkuje mimo kasína na základe všeobecnej licencie, viesť mesačnú evidenciu vkladov, výhier a poplatkov za účasť na hazardnej hre osobitne za prevádzky. Zároveň sa zavádza povinnosť ostatným prevádzkovateľom, ktorí už v súčasnosti vedú dennú alebo mesačnú evidenciu vkladov a výhier (tzn. okrem prevádzkovateľov hazardných hier podľa § 4 ods. 3 písm. a), b), e) a f) - prevádzkovateľov žrebových lotérií, tombol, okamžitých lotérií a lotérie pokladničných dokladov, ktorí dennú ani mesačnú evidenciu vkladov a výhier nevedú) zasielať tieto údaje daňovému úradu</w:t>
      </w:r>
      <w:r w:rsidRPr="004862A1" w:rsidR="005E7D35">
        <w:rPr>
          <w:rFonts w:ascii="Times New Roman" w:hAnsi="Times New Roman"/>
          <w:sz w:val="24"/>
          <w:szCs w:val="24"/>
        </w:rPr>
        <w:t>, miestne príslušnému podľa sídla prevádzkovateľa</w:t>
      </w:r>
      <w:r w:rsidRPr="004862A1">
        <w:rPr>
          <w:rFonts w:ascii="Times New Roman" w:hAnsi="Times New Roman"/>
          <w:sz w:val="24"/>
          <w:szCs w:val="24"/>
        </w:rPr>
        <w:t>.</w:t>
      </w:r>
    </w:p>
    <w:p w:rsidR="002631C2" w:rsidRPr="004862A1" w:rsidP="00E32E9C">
      <w:pPr>
        <w:bidi w:val="0"/>
        <w:spacing w:after="0" w:line="240" w:lineRule="auto"/>
        <w:rPr>
          <w:rFonts w:ascii="Times New Roman" w:hAnsi="Times New Roman"/>
          <w:sz w:val="24"/>
          <w:szCs w:val="24"/>
        </w:rPr>
      </w:pPr>
    </w:p>
    <w:p w:rsidR="00B5546E" w:rsidRPr="004862A1" w:rsidP="00B869E5">
      <w:pPr>
        <w:bidi w:val="0"/>
        <w:spacing w:after="0" w:line="240" w:lineRule="auto"/>
        <w:rPr>
          <w:rFonts w:ascii="Times New Roman" w:hAnsi="Times New Roman"/>
          <w:sz w:val="24"/>
          <w:szCs w:val="24"/>
        </w:rPr>
      </w:pPr>
      <w:r w:rsidRPr="004862A1" w:rsidR="00B869E5">
        <w:rPr>
          <w:rFonts w:ascii="Times New Roman" w:hAnsi="Times New Roman"/>
          <w:sz w:val="24"/>
          <w:szCs w:val="24"/>
        </w:rPr>
        <w:t>K</w:t>
      </w:r>
      <w:r w:rsidRPr="004862A1" w:rsidR="00B869E5">
        <w:t> </w:t>
      </w:r>
      <w:r w:rsidRPr="004862A1" w:rsidR="00B869E5">
        <w:rPr>
          <w:rFonts w:ascii="Times New Roman" w:hAnsi="Times New Roman"/>
          <w:sz w:val="24"/>
          <w:szCs w:val="24"/>
        </w:rPr>
        <w:t xml:space="preserve">bodu </w:t>
      </w:r>
      <w:r w:rsidRPr="004862A1" w:rsidR="00F85236">
        <w:rPr>
          <w:rFonts w:ascii="Times New Roman" w:hAnsi="Times New Roman"/>
          <w:sz w:val="24"/>
          <w:szCs w:val="24"/>
        </w:rPr>
        <w:t>6</w:t>
      </w:r>
      <w:r w:rsidR="00651A7D">
        <w:rPr>
          <w:rFonts w:ascii="Times New Roman" w:hAnsi="Times New Roman"/>
          <w:sz w:val="24"/>
          <w:szCs w:val="24"/>
        </w:rPr>
        <w:t>6</w:t>
      </w:r>
    </w:p>
    <w:p w:rsidR="002D502B" w:rsidRPr="004862A1" w:rsidP="002D502B">
      <w:pPr>
        <w:bidi w:val="0"/>
        <w:spacing w:after="0" w:line="240" w:lineRule="auto"/>
        <w:rPr>
          <w:rFonts w:ascii="Times New Roman" w:hAnsi="Times New Roman"/>
          <w:sz w:val="24"/>
          <w:szCs w:val="24"/>
        </w:rPr>
      </w:pPr>
      <w:r w:rsidRPr="004862A1">
        <w:rPr>
          <w:rFonts w:ascii="Times New Roman" w:hAnsi="Times New Roman"/>
          <w:sz w:val="24"/>
          <w:szCs w:val="24"/>
        </w:rPr>
        <w:t>Predkladaným návrhom sa sprehľadní celý segment prevádzkovania všetkých druhov zariadení na prevádzkovanie hazardných hier tým, že prevádzkovatelia budú povinní nahlasovať vybrané údaje orgánu dozoru. Prevádzkovateľovi sa zavádza povinnosť oznámiť orgánu dozoru pred spustením do prevádzky jednotlivého výherného prístroja, technického zariadenia obsluhovaného priamo hráčmi a terminálu videohry oznámiť túto skutočnosť spolu s vyčíslením stavu počítadla zariadenia, či už elektronického alebo mechanického. Zároveň sa zavádza povinnosť pre prevádzkovateľa oznámiť výmenu počítadiel vrátane vyčíslenia ich stavov, resp. ukončenie prevádzkovania hazardných hier prevádzkovaných prostredníctvom výherných prístrojov, hazardných hier prevádzkovaných prostredníctvom technických zariadení obsluhovaných priamo hráčmi a videohier vrátane vyčíslenia stavov počítadiel v stanovených termínoch. Prevádzkovateľ kurzových stávok je povinný pred začatím prevádzkovania stávkovej kancelárie oznámiť túto skutočnosť orgánu dozoru. Prevádzkovateľ kurzových stávok oznámi ukončenie prevádzkovania stávkovej kancelárie do 5 dní odo dňa ukončenia prevádzkovania. Rozsah a spôsob oznámení podľa tohto odseku písomne určí Finančné riaditeľstvo Slovenskej republiky. Návrhom tohto ustanovenia získa orgán dozoru potrebné informácie pre svoju činnosť, ktoré si dozorom nad prevádzkovaním hazardných hier na mieste môže overiť.</w:t>
      </w:r>
      <w:r w:rsidR="00C310B0">
        <w:rPr>
          <w:rFonts w:ascii="Times New Roman" w:hAnsi="Times New Roman"/>
          <w:sz w:val="24"/>
          <w:szCs w:val="24"/>
        </w:rPr>
        <w:t xml:space="preserve"> Zároveň sa z</w:t>
      </w:r>
      <w:r w:rsidRPr="004862A1" w:rsidR="00C310B0">
        <w:rPr>
          <w:rFonts w:ascii="Times New Roman" w:hAnsi="Times New Roman"/>
          <w:sz w:val="24"/>
          <w:szCs w:val="24"/>
        </w:rPr>
        <w:t>osúlaďuje pojem štátnej lotérie s ustanovením § 53 ods. 1 zákona o hazardných hrách</w:t>
      </w:r>
      <w:r w:rsidR="00C310B0">
        <w:rPr>
          <w:rFonts w:ascii="Times New Roman" w:hAnsi="Times New Roman"/>
          <w:sz w:val="24"/>
          <w:szCs w:val="24"/>
        </w:rPr>
        <w:t xml:space="preserve"> (§ 35 ods. 20).</w:t>
      </w:r>
    </w:p>
    <w:p w:rsidR="002631C2" w:rsidRPr="004862A1" w:rsidP="002D502B">
      <w:pPr>
        <w:bidi w:val="0"/>
        <w:spacing w:after="0" w:line="240" w:lineRule="auto"/>
        <w:rPr>
          <w:rFonts w:ascii="Times New Roman" w:hAnsi="Times New Roman"/>
          <w:sz w:val="24"/>
          <w:szCs w:val="24"/>
        </w:rPr>
      </w:pPr>
    </w:p>
    <w:p w:rsidR="00A46D13" w:rsidRPr="004862A1" w:rsidP="00C20376">
      <w:pPr>
        <w:bidi w:val="0"/>
        <w:spacing w:after="0" w:line="240" w:lineRule="auto"/>
        <w:rPr>
          <w:rFonts w:ascii="Times New Roman" w:hAnsi="Times New Roman"/>
          <w:sz w:val="24"/>
          <w:szCs w:val="24"/>
        </w:rPr>
      </w:pPr>
      <w:r w:rsidRPr="004862A1" w:rsidR="00C20376">
        <w:rPr>
          <w:rFonts w:ascii="Times New Roman" w:hAnsi="Times New Roman"/>
          <w:sz w:val="24"/>
          <w:szCs w:val="24"/>
        </w:rPr>
        <w:t>K</w:t>
      </w:r>
      <w:r w:rsidRPr="004862A1" w:rsidR="00C20376">
        <w:t> </w:t>
      </w:r>
      <w:r w:rsidRPr="004862A1" w:rsidR="00C20376">
        <w:rPr>
          <w:rFonts w:ascii="Times New Roman" w:hAnsi="Times New Roman"/>
          <w:sz w:val="24"/>
          <w:szCs w:val="24"/>
        </w:rPr>
        <w:t xml:space="preserve">bodu </w:t>
      </w:r>
      <w:r w:rsidRPr="004862A1" w:rsidR="00B55188">
        <w:rPr>
          <w:rFonts w:ascii="Times New Roman" w:hAnsi="Times New Roman"/>
          <w:sz w:val="24"/>
          <w:szCs w:val="24"/>
        </w:rPr>
        <w:t>6</w:t>
      </w:r>
      <w:r w:rsidR="00902517">
        <w:rPr>
          <w:rFonts w:ascii="Times New Roman" w:hAnsi="Times New Roman"/>
          <w:sz w:val="24"/>
          <w:szCs w:val="24"/>
        </w:rPr>
        <w:t>7</w:t>
      </w:r>
    </w:p>
    <w:p w:rsidR="0098615F" w:rsidRPr="004862A1" w:rsidP="003270E4">
      <w:pPr>
        <w:autoSpaceDE w:val="0"/>
        <w:autoSpaceDN w:val="0"/>
        <w:bidi w:val="0"/>
        <w:adjustRightInd w:val="0"/>
        <w:spacing w:after="0" w:line="240" w:lineRule="auto"/>
        <w:rPr>
          <w:rFonts w:ascii="Times New Roman" w:hAnsi="Times New Roman"/>
          <w:sz w:val="24"/>
          <w:szCs w:val="24"/>
          <w:lang w:eastAsia="sk-SK"/>
        </w:rPr>
      </w:pPr>
      <w:r w:rsidRPr="004862A1" w:rsidR="00146846">
        <w:rPr>
          <w:rFonts w:ascii="Times New Roman" w:hAnsi="Times New Roman"/>
          <w:sz w:val="24"/>
          <w:szCs w:val="24"/>
        </w:rPr>
        <w:t>V záujme zvýšenia ochrany najviac ohrozených skupín osôb (najmä mladistvých a osôb s vyššou mierou rizika vzniku závislosti) sa navrhuje</w:t>
      </w:r>
      <w:r w:rsidRPr="004862A1" w:rsidR="005E7D35">
        <w:rPr>
          <w:rFonts w:ascii="Times New Roman" w:hAnsi="Times New Roman"/>
          <w:sz w:val="24"/>
          <w:szCs w:val="24"/>
        </w:rPr>
        <w:t xml:space="preserve"> koncentrácia </w:t>
      </w:r>
      <w:r w:rsidRPr="004862A1" w:rsidR="00146846">
        <w:rPr>
          <w:rFonts w:ascii="Times New Roman" w:hAnsi="Times New Roman"/>
          <w:sz w:val="24"/>
          <w:szCs w:val="24"/>
        </w:rPr>
        <w:t>hazardn</w:t>
      </w:r>
      <w:r w:rsidRPr="004862A1" w:rsidR="005E7D35">
        <w:rPr>
          <w:rFonts w:ascii="Times New Roman" w:hAnsi="Times New Roman"/>
          <w:sz w:val="24"/>
          <w:szCs w:val="24"/>
        </w:rPr>
        <w:t>ých</w:t>
      </w:r>
      <w:r w:rsidRPr="004862A1" w:rsidR="00146846">
        <w:rPr>
          <w:rFonts w:ascii="Times New Roman" w:hAnsi="Times New Roman"/>
          <w:sz w:val="24"/>
          <w:szCs w:val="24"/>
        </w:rPr>
        <w:t xml:space="preserve"> h</w:t>
      </w:r>
      <w:r w:rsidRPr="004862A1" w:rsidR="005E7D35">
        <w:rPr>
          <w:rFonts w:ascii="Times New Roman" w:hAnsi="Times New Roman"/>
          <w:sz w:val="24"/>
          <w:szCs w:val="24"/>
        </w:rPr>
        <w:t>ier</w:t>
      </w:r>
      <w:r w:rsidRPr="004862A1" w:rsidR="00146846">
        <w:rPr>
          <w:rFonts w:ascii="Times New Roman" w:hAnsi="Times New Roman"/>
          <w:sz w:val="24"/>
          <w:szCs w:val="24"/>
        </w:rPr>
        <w:t>, pri prevádzkovaní</w:t>
      </w:r>
      <w:r w:rsidRPr="004862A1" w:rsidR="00327AE8">
        <w:rPr>
          <w:rFonts w:ascii="Times New Roman" w:hAnsi="Times New Roman"/>
          <w:sz w:val="24"/>
          <w:szCs w:val="24"/>
        </w:rPr>
        <w:t>,</w:t>
      </w:r>
      <w:r w:rsidRPr="004862A1" w:rsidR="00146846">
        <w:rPr>
          <w:rFonts w:ascii="Times New Roman" w:hAnsi="Times New Roman"/>
          <w:sz w:val="24"/>
          <w:szCs w:val="24"/>
        </w:rPr>
        <w:t xml:space="preserve"> ktorých sa využívajú zariadenia, ktoré počas hry môže obsluhovať hráč samostatne</w:t>
      </w:r>
      <w:r w:rsidRPr="004862A1" w:rsidR="002B2846">
        <w:rPr>
          <w:rFonts w:ascii="Times New Roman" w:hAnsi="Times New Roman"/>
          <w:sz w:val="24"/>
          <w:szCs w:val="24"/>
        </w:rPr>
        <w:t>, do herní.</w:t>
      </w:r>
      <w:r w:rsidRPr="004862A1" w:rsidR="00146846">
        <w:rPr>
          <w:rFonts w:ascii="Times New Roman" w:hAnsi="Times New Roman"/>
          <w:sz w:val="24"/>
          <w:szCs w:val="24"/>
        </w:rPr>
        <w:t xml:space="preserve"> </w:t>
      </w:r>
      <w:r w:rsidRPr="004862A1">
        <w:rPr>
          <w:rFonts w:ascii="Times New Roman" w:hAnsi="Times New Roman"/>
          <w:sz w:val="24"/>
          <w:szCs w:val="24"/>
        </w:rPr>
        <w:t xml:space="preserve">Ide o </w:t>
      </w:r>
      <w:r w:rsidRPr="004862A1">
        <w:rPr>
          <w:rFonts w:ascii="Times New Roman" w:hAnsi="Times New Roman"/>
          <w:sz w:val="24"/>
          <w:szCs w:val="24"/>
          <w:lang w:eastAsia="sk-SK"/>
        </w:rPr>
        <w:t>hazardné hry prevádzkované prostredníctvom výherných prístrojov, technických zariadení obsluhovaných priamo hráčmi</w:t>
      </w:r>
      <w:r w:rsidRPr="004862A1" w:rsidR="00756756">
        <w:rPr>
          <w:rFonts w:ascii="Times New Roman" w:hAnsi="Times New Roman"/>
          <w:sz w:val="24"/>
          <w:szCs w:val="24"/>
          <w:lang w:eastAsia="sk-SK"/>
        </w:rPr>
        <w:t xml:space="preserve"> a</w:t>
      </w:r>
      <w:r w:rsidRPr="004862A1">
        <w:rPr>
          <w:rFonts w:ascii="Times New Roman" w:hAnsi="Times New Roman"/>
          <w:sz w:val="24"/>
          <w:szCs w:val="24"/>
          <w:lang w:eastAsia="sk-SK"/>
        </w:rPr>
        <w:t xml:space="preserve"> videohry</w:t>
      </w:r>
      <w:r w:rsidRPr="004862A1" w:rsidR="002B2846">
        <w:rPr>
          <w:rFonts w:ascii="Times New Roman" w:hAnsi="Times New Roman"/>
          <w:sz w:val="24"/>
          <w:szCs w:val="24"/>
          <w:lang w:eastAsia="sk-SK"/>
        </w:rPr>
        <w:t>.</w:t>
      </w:r>
      <w:r w:rsidR="00573AE5">
        <w:rPr>
          <w:rFonts w:ascii="Times New Roman" w:hAnsi="Times New Roman"/>
          <w:sz w:val="24"/>
          <w:szCs w:val="24"/>
          <w:lang w:eastAsia="sk-SK"/>
        </w:rPr>
        <w:t xml:space="preserve"> Tieto hazardné hry budú prevádzkované od 1.1.2019 výlučne v herni.</w:t>
      </w:r>
      <w:r w:rsidRPr="004862A1" w:rsidR="002B2846">
        <w:rPr>
          <w:rFonts w:ascii="Times New Roman" w:hAnsi="Times New Roman"/>
          <w:sz w:val="24"/>
          <w:szCs w:val="24"/>
          <w:lang w:eastAsia="sk-SK"/>
        </w:rPr>
        <w:t xml:space="preserve"> N</w:t>
      </w:r>
      <w:r w:rsidRPr="004862A1" w:rsidR="00146846">
        <w:rPr>
          <w:rFonts w:ascii="Times New Roman" w:hAnsi="Times New Roman"/>
          <w:sz w:val="24"/>
          <w:szCs w:val="24"/>
        </w:rPr>
        <w:t xml:space="preserve">avrhuje </w:t>
      </w:r>
      <w:r w:rsidRPr="004862A1" w:rsidR="002B2846">
        <w:rPr>
          <w:rFonts w:ascii="Times New Roman" w:hAnsi="Times New Roman"/>
          <w:sz w:val="24"/>
          <w:szCs w:val="24"/>
        </w:rPr>
        <w:t xml:space="preserve">sa </w:t>
      </w:r>
      <w:r w:rsidRPr="004862A1" w:rsidR="00146846">
        <w:rPr>
          <w:rFonts w:ascii="Times New Roman" w:hAnsi="Times New Roman"/>
          <w:sz w:val="24"/>
          <w:szCs w:val="24"/>
        </w:rPr>
        <w:t xml:space="preserve">stanovenie minimálneho počtu  zariadení a to tak, aby celkový počet </w:t>
      </w:r>
      <w:r w:rsidRPr="004862A1" w:rsidR="00F356C1">
        <w:rPr>
          <w:rFonts w:ascii="Times New Roman" w:hAnsi="Times New Roman"/>
          <w:sz w:val="24"/>
          <w:szCs w:val="24"/>
          <w:lang w:eastAsia="sk-SK"/>
        </w:rPr>
        <w:t xml:space="preserve">výherných prístrojov, technických zariadení obsluhovaných priamo hráčmi, alebo terminálov videohier </w:t>
      </w:r>
      <w:r w:rsidRPr="004862A1" w:rsidR="00146846">
        <w:rPr>
          <w:rFonts w:ascii="Times New Roman" w:hAnsi="Times New Roman"/>
          <w:sz w:val="24"/>
          <w:szCs w:val="24"/>
        </w:rPr>
        <w:t xml:space="preserve">v herni bol najmenej </w:t>
      </w:r>
      <w:r w:rsidRPr="004862A1" w:rsidR="005558CF">
        <w:rPr>
          <w:rFonts w:ascii="Times New Roman" w:hAnsi="Times New Roman"/>
          <w:sz w:val="24"/>
          <w:szCs w:val="24"/>
        </w:rPr>
        <w:t>1</w:t>
      </w:r>
      <w:r w:rsidRPr="004862A1" w:rsidR="00082A7A">
        <w:rPr>
          <w:rFonts w:ascii="Times New Roman" w:hAnsi="Times New Roman"/>
          <w:sz w:val="24"/>
          <w:szCs w:val="24"/>
        </w:rPr>
        <w:t>2</w:t>
      </w:r>
      <w:r w:rsidRPr="004862A1" w:rsidR="00146846">
        <w:rPr>
          <w:rFonts w:ascii="Times New Roman" w:hAnsi="Times New Roman"/>
          <w:sz w:val="24"/>
          <w:szCs w:val="24"/>
        </w:rPr>
        <w:t xml:space="preserve"> ks</w:t>
      </w:r>
      <w:r w:rsidRPr="004862A1" w:rsidR="00F356C1">
        <w:rPr>
          <w:rFonts w:ascii="Times New Roman" w:hAnsi="Times New Roman"/>
          <w:sz w:val="24"/>
          <w:szCs w:val="24"/>
        </w:rPr>
        <w:t xml:space="preserve"> </w:t>
      </w:r>
      <w:r w:rsidRPr="004862A1" w:rsidR="00F356C1">
        <w:rPr>
          <w:rFonts w:ascii="Times New Roman" w:hAnsi="Times New Roman"/>
          <w:sz w:val="24"/>
          <w:szCs w:val="24"/>
          <w:lang w:eastAsia="sk-SK"/>
        </w:rPr>
        <w:t>alebo spoločne najmenej 1</w:t>
      </w:r>
      <w:r w:rsidRPr="004862A1" w:rsidR="00082A7A">
        <w:rPr>
          <w:rFonts w:ascii="Times New Roman" w:hAnsi="Times New Roman"/>
          <w:sz w:val="24"/>
          <w:szCs w:val="24"/>
          <w:lang w:eastAsia="sk-SK"/>
        </w:rPr>
        <w:t>2</w:t>
      </w:r>
      <w:r w:rsidRPr="004862A1" w:rsidR="00F356C1">
        <w:rPr>
          <w:rFonts w:ascii="Times New Roman" w:hAnsi="Times New Roman"/>
          <w:sz w:val="24"/>
          <w:szCs w:val="24"/>
          <w:lang w:eastAsia="sk-SK"/>
        </w:rPr>
        <w:t xml:space="preserve"> takýchto zariadení slúžiacich na prevádzkovanie týchto hazardných hier, pričom každé toto zariadenie sa považuje za jeden kus zariadenia bez ohľadu na počet hracích miest.</w:t>
      </w:r>
      <w:r w:rsidRPr="004862A1">
        <w:rPr>
          <w:rFonts w:ascii="Times New Roman" w:hAnsi="Times New Roman"/>
          <w:sz w:val="24"/>
          <w:szCs w:val="24"/>
        </w:rPr>
        <w:t xml:space="preserve"> </w:t>
      </w:r>
    </w:p>
    <w:p w:rsidR="00C11B9A" w:rsidRPr="004862A1" w:rsidP="00C20376">
      <w:pPr>
        <w:bidi w:val="0"/>
        <w:spacing w:after="0" w:line="240" w:lineRule="auto"/>
        <w:rPr>
          <w:rFonts w:ascii="Times New Roman" w:hAnsi="Times New Roman"/>
          <w:sz w:val="24"/>
          <w:szCs w:val="24"/>
        </w:rPr>
      </w:pPr>
    </w:p>
    <w:p w:rsidR="00CA6185" w:rsidRPr="004862A1" w:rsidP="00C20376">
      <w:pPr>
        <w:bidi w:val="0"/>
        <w:spacing w:after="0" w:line="240" w:lineRule="auto"/>
        <w:rPr>
          <w:rFonts w:ascii="Times New Roman" w:hAnsi="Times New Roman"/>
          <w:sz w:val="24"/>
          <w:szCs w:val="24"/>
        </w:rPr>
      </w:pPr>
      <w:r w:rsidRPr="004862A1" w:rsidR="00C20376">
        <w:rPr>
          <w:rFonts w:ascii="Times New Roman" w:hAnsi="Times New Roman"/>
          <w:sz w:val="24"/>
          <w:szCs w:val="24"/>
        </w:rPr>
        <w:t>K</w:t>
      </w:r>
      <w:r w:rsidRPr="004862A1" w:rsidR="00C20376">
        <w:t> </w:t>
      </w:r>
      <w:r w:rsidRPr="004862A1" w:rsidR="00C20376">
        <w:rPr>
          <w:rFonts w:ascii="Times New Roman" w:hAnsi="Times New Roman"/>
          <w:sz w:val="24"/>
          <w:szCs w:val="24"/>
        </w:rPr>
        <w:t xml:space="preserve">bodu </w:t>
      </w:r>
      <w:r w:rsidRPr="004862A1" w:rsidR="0060204D">
        <w:rPr>
          <w:rFonts w:ascii="Times New Roman" w:hAnsi="Times New Roman"/>
          <w:sz w:val="24"/>
          <w:szCs w:val="24"/>
        </w:rPr>
        <w:t>6</w:t>
      </w:r>
      <w:r w:rsidRPr="004862A1" w:rsidR="00423EAD">
        <w:rPr>
          <w:rFonts w:ascii="Times New Roman" w:hAnsi="Times New Roman"/>
          <w:sz w:val="24"/>
          <w:szCs w:val="24"/>
        </w:rPr>
        <w:t>8</w:t>
      </w:r>
    </w:p>
    <w:p w:rsidR="00003CE6" w:rsidRPr="004862A1" w:rsidP="0017521A">
      <w:pPr>
        <w:bidi w:val="0"/>
        <w:spacing w:after="0" w:line="240" w:lineRule="auto"/>
        <w:rPr>
          <w:rFonts w:ascii="Times New Roman" w:hAnsi="Times New Roman"/>
          <w:sz w:val="24"/>
          <w:szCs w:val="24"/>
        </w:rPr>
      </w:pPr>
      <w:r w:rsidRPr="004862A1" w:rsidR="00A46D13">
        <w:rPr>
          <w:rFonts w:ascii="Times New Roman" w:hAnsi="Times New Roman"/>
          <w:sz w:val="24"/>
          <w:szCs w:val="24"/>
        </w:rPr>
        <w:t>Zákonom sa zriaďuje register fyzických osôb</w:t>
      </w:r>
      <w:r w:rsidRPr="004862A1" w:rsidR="00577A96">
        <w:rPr>
          <w:rFonts w:ascii="Times New Roman" w:hAnsi="Times New Roman"/>
          <w:sz w:val="24"/>
          <w:szCs w:val="24"/>
        </w:rPr>
        <w:t>,</w:t>
      </w:r>
      <w:r w:rsidRPr="004862A1" w:rsidR="00A46D13">
        <w:rPr>
          <w:rFonts w:ascii="Times New Roman" w:hAnsi="Times New Roman"/>
          <w:sz w:val="24"/>
          <w:szCs w:val="24"/>
        </w:rPr>
        <w:t xml:space="preserve"> do ktorého sa </w:t>
      </w:r>
      <w:r w:rsidRPr="004862A1" w:rsidR="00702472">
        <w:rPr>
          <w:rFonts w:ascii="Times New Roman" w:hAnsi="Times New Roman"/>
          <w:sz w:val="24"/>
          <w:szCs w:val="24"/>
        </w:rPr>
        <w:t>zapisujú</w:t>
      </w:r>
      <w:r w:rsidRPr="004862A1" w:rsidR="00A46D13">
        <w:rPr>
          <w:rFonts w:ascii="Times New Roman" w:hAnsi="Times New Roman"/>
          <w:sz w:val="24"/>
          <w:szCs w:val="24"/>
        </w:rPr>
        <w:t xml:space="preserve"> všetky fyzické osoby vylúčené z účasti na hazardných hrách</w:t>
      </w:r>
      <w:r w:rsidRPr="004862A1" w:rsidR="005558CF">
        <w:rPr>
          <w:rFonts w:ascii="Times New Roman" w:hAnsi="Times New Roman"/>
          <w:sz w:val="24"/>
          <w:szCs w:val="24"/>
        </w:rPr>
        <w:t xml:space="preserve">. </w:t>
      </w:r>
      <w:r w:rsidRPr="004862A1" w:rsidR="00A46D13">
        <w:rPr>
          <w:rFonts w:ascii="Times New Roman" w:hAnsi="Times New Roman"/>
          <w:sz w:val="24"/>
          <w:szCs w:val="24"/>
        </w:rPr>
        <w:t>Týmto novým ustanovením sa reaguje na Odporúčanie komisie o zásadách ochrany spotrebiteľov a hráčov využívajúcic</w:t>
      </w:r>
      <w:r w:rsidRPr="004862A1" w:rsidR="00702472">
        <w:rPr>
          <w:rFonts w:ascii="Times New Roman" w:hAnsi="Times New Roman"/>
          <w:sz w:val="24"/>
          <w:szCs w:val="24"/>
        </w:rPr>
        <w:t>h služby online hazardných hier</w:t>
      </w:r>
      <w:r w:rsidRPr="004862A1" w:rsidR="00A46D13">
        <w:rPr>
          <w:rFonts w:ascii="Times New Roman" w:hAnsi="Times New Roman"/>
          <w:sz w:val="24"/>
          <w:szCs w:val="24"/>
        </w:rPr>
        <w:t>. Fyzickými osobami vylúčenými z účasti na hazardný</w:t>
      </w:r>
      <w:r w:rsidRPr="004862A1" w:rsidR="00702472">
        <w:rPr>
          <w:rFonts w:ascii="Times New Roman" w:hAnsi="Times New Roman"/>
          <w:sz w:val="24"/>
          <w:szCs w:val="24"/>
        </w:rPr>
        <w:t xml:space="preserve">ch hrách sú všetky osoby, ktoré </w:t>
      </w:r>
      <w:r w:rsidRPr="004862A1" w:rsidR="00A46D13">
        <w:rPr>
          <w:rFonts w:ascii="Times New Roman" w:hAnsi="Times New Roman"/>
          <w:sz w:val="24"/>
          <w:szCs w:val="24"/>
        </w:rPr>
        <w:t xml:space="preserve">poberajú pomoc v hmotnej núdzi (pomoc v hmotnej núdzi zahŕňa dávku v hmotnej núdzi, ochranný príspevok, aktivačný príspevok, príspevok na nezaopatrené dieťa a príspevok na bývanie). Fyzickými osobami vylúčenými z účasti na hazardných hrách sú aj osoby, ktoré sami požiadali o vylúčenie, alebo </w:t>
      </w:r>
      <w:r w:rsidRPr="004862A1" w:rsidR="00577A96">
        <w:rPr>
          <w:rFonts w:ascii="Times New Roman" w:hAnsi="Times New Roman"/>
          <w:sz w:val="24"/>
          <w:szCs w:val="24"/>
        </w:rPr>
        <w:t xml:space="preserve">im bola diagnostikovaná choroba patologického hráčstva. </w:t>
      </w:r>
      <w:r w:rsidRPr="004862A1" w:rsidR="004674A5">
        <w:rPr>
          <w:rFonts w:ascii="Times New Roman" w:hAnsi="Times New Roman"/>
          <w:sz w:val="24"/>
          <w:szCs w:val="24"/>
        </w:rPr>
        <w:t xml:space="preserve">Dôsledkom zápisu </w:t>
      </w:r>
      <w:r w:rsidR="00A1023F">
        <w:rPr>
          <w:rFonts w:ascii="Times New Roman" w:hAnsi="Times New Roman"/>
          <w:sz w:val="24"/>
          <w:szCs w:val="24"/>
        </w:rPr>
        <w:t>do</w:t>
      </w:r>
      <w:r w:rsidRPr="004862A1" w:rsidR="004674A5">
        <w:rPr>
          <w:rFonts w:ascii="Times New Roman" w:hAnsi="Times New Roman"/>
          <w:sz w:val="24"/>
          <w:szCs w:val="24"/>
        </w:rPr>
        <w:t xml:space="preserve"> registr</w:t>
      </w:r>
      <w:r w:rsidR="00A1023F">
        <w:rPr>
          <w:rFonts w:ascii="Times New Roman" w:hAnsi="Times New Roman"/>
          <w:sz w:val="24"/>
          <w:szCs w:val="24"/>
        </w:rPr>
        <w:t>a</w:t>
      </w:r>
      <w:r w:rsidRPr="004862A1" w:rsidR="004674A5">
        <w:rPr>
          <w:rFonts w:ascii="Times New Roman" w:hAnsi="Times New Roman"/>
          <w:sz w:val="24"/>
          <w:szCs w:val="24"/>
        </w:rPr>
        <w:t xml:space="preserve"> fyzických osôb vylúčených z účasti na hazardných hrách je zákaz z</w:t>
      </w:r>
      <w:r w:rsidRPr="004862A1" w:rsidR="00577A96">
        <w:rPr>
          <w:rFonts w:ascii="Times New Roman" w:hAnsi="Times New Roman"/>
          <w:sz w:val="24"/>
          <w:szCs w:val="24"/>
        </w:rPr>
        <w:t>účastniť sa</w:t>
      </w:r>
      <w:r w:rsidRPr="004862A1" w:rsidR="004674A5">
        <w:rPr>
          <w:rFonts w:ascii="Times New Roman" w:hAnsi="Times New Roman"/>
          <w:sz w:val="24"/>
          <w:szCs w:val="24"/>
        </w:rPr>
        <w:t xml:space="preserve"> na hazardných hrách, bližšie špecifikovaných v predmetnej úprave, č</w:t>
      </w:r>
      <w:r w:rsidRPr="004862A1" w:rsidR="00DA0484">
        <w:rPr>
          <w:rFonts w:ascii="Times New Roman" w:hAnsi="Times New Roman"/>
          <w:sz w:val="24"/>
          <w:szCs w:val="24"/>
        </w:rPr>
        <w:t xml:space="preserve">o je jedným zo základných zámerov úpravy zákona. </w:t>
      </w:r>
      <w:r w:rsidRPr="004862A1" w:rsidR="00DA0484">
        <w:rPr>
          <w:rFonts w:ascii="Times New Roman" w:hAnsi="Times New Roman"/>
          <w:sz w:val="24"/>
          <w:szCs w:val="24"/>
          <w:lang w:eastAsia="cs-CZ"/>
        </w:rPr>
        <w:t xml:space="preserve">Ak fyzická osoba požiada o vylúčenie z účasti na hazardných hrách, správca registra vykoná zápis do registra vylúčených osôb pričom výmaz z registra vylúčených osôb bude možný až po uplynutí </w:t>
      </w:r>
      <w:r w:rsidR="00573AE5">
        <w:rPr>
          <w:rFonts w:ascii="Times New Roman" w:hAnsi="Times New Roman"/>
          <w:sz w:val="24"/>
          <w:szCs w:val="24"/>
          <w:lang w:eastAsia="cs-CZ"/>
        </w:rPr>
        <w:t>½ roka</w:t>
      </w:r>
      <w:r w:rsidRPr="004862A1" w:rsidR="00DA0484">
        <w:rPr>
          <w:rFonts w:ascii="Times New Roman" w:hAnsi="Times New Roman"/>
          <w:sz w:val="24"/>
          <w:szCs w:val="24"/>
          <w:lang w:eastAsia="cs-CZ"/>
        </w:rPr>
        <w:t xml:space="preserve">. </w:t>
      </w:r>
      <w:r w:rsidRPr="004862A1" w:rsidR="00DA0484">
        <w:rPr>
          <w:rFonts w:ascii="Times New Roman" w:hAnsi="Times New Roman"/>
          <w:sz w:val="24"/>
          <w:szCs w:val="24"/>
        </w:rPr>
        <w:t>Zápis fyzickej osoby, ktorej bola diagnostikovaná choroba patologického hráčstva, bude vykonávaný na základe oznámenia príslušného poskytovateľa zdravotnej starostlivosti; to isté platí aj vo vzťahu k výmazu takejto osoby z registra.</w:t>
      </w:r>
    </w:p>
    <w:p w:rsidR="004674A5" w:rsidRPr="004862A1" w:rsidP="00E32E9C">
      <w:pPr>
        <w:bidi w:val="0"/>
        <w:spacing w:after="0" w:line="240" w:lineRule="auto"/>
        <w:rPr>
          <w:rFonts w:ascii="Times New Roman" w:hAnsi="Times New Roman"/>
          <w:sz w:val="24"/>
          <w:szCs w:val="24"/>
        </w:rPr>
      </w:pPr>
    </w:p>
    <w:p w:rsidR="00A46D13" w:rsidRPr="004862A1" w:rsidP="00C20376">
      <w:pPr>
        <w:bidi w:val="0"/>
        <w:spacing w:after="0" w:line="240" w:lineRule="auto"/>
        <w:rPr>
          <w:rFonts w:ascii="Times New Roman" w:hAnsi="Times New Roman"/>
          <w:sz w:val="24"/>
          <w:szCs w:val="24"/>
        </w:rPr>
      </w:pPr>
      <w:r w:rsidRPr="004862A1" w:rsidR="00C20376">
        <w:rPr>
          <w:rFonts w:ascii="Times New Roman" w:hAnsi="Times New Roman"/>
          <w:sz w:val="24"/>
          <w:szCs w:val="24"/>
        </w:rPr>
        <w:t>K</w:t>
      </w:r>
      <w:r w:rsidRPr="004862A1" w:rsidR="00C20376">
        <w:t> </w:t>
      </w:r>
      <w:r w:rsidRPr="004862A1" w:rsidR="00C20376">
        <w:rPr>
          <w:rFonts w:ascii="Times New Roman" w:hAnsi="Times New Roman"/>
          <w:sz w:val="24"/>
          <w:szCs w:val="24"/>
        </w:rPr>
        <w:t xml:space="preserve">bodu </w:t>
      </w:r>
      <w:r w:rsidRPr="004862A1" w:rsidR="0060204D">
        <w:rPr>
          <w:rFonts w:ascii="Times New Roman" w:hAnsi="Times New Roman"/>
          <w:sz w:val="24"/>
          <w:szCs w:val="24"/>
        </w:rPr>
        <w:t>6</w:t>
      </w:r>
      <w:r w:rsidRPr="004862A1" w:rsidR="00423EAD">
        <w:rPr>
          <w:rFonts w:ascii="Times New Roman" w:hAnsi="Times New Roman"/>
          <w:sz w:val="24"/>
          <w:szCs w:val="24"/>
        </w:rPr>
        <w:t>9</w:t>
      </w:r>
    </w:p>
    <w:p w:rsidR="004674A5"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Legislatívno-technická úprava.</w:t>
      </w:r>
    </w:p>
    <w:p w:rsidR="002631C2" w:rsidRPr="004862A1" w:rsidP="00E32E9C">
      <w:pPr>
        <w:bidi w:val="0"/>
        <w:spacing w:after="0" w:line="240" w:lineRule="auto"/>
        <w:rPr>
          <w:rFonts w:ascii="Times New Roman" w:hAnsi="Times New Roman"/>
          <w:sz w:val="24"/>
          <w:szCs w:val="24"/>
        </w:rPr>
      </w:pPr>
    </w:p>
    <w:p w:rsidR="004674A5" w:rsidRPr="004862A1" w:rsidP="00C20376">
      <w:pPr>
        <w:bidi w:val="0"/>
        <w:spacing w:after="0" w:line="240" w:lineRule="auto"/>
        <w:rPr>
          <w:rFonts w:ascii="Times New Roman" w:hAnsi="Times New Roman"/>
          <w:sz w:val="24"/>
          <w:szCs w:val="24"/>
        </w:rPr>
      </w:pPr>
      <w:r w:rsidRPr="004862A1" w:rsidR="00C20376">
        <w:rPr>
          <w:rFonts w:ascii="Times New Roman" w:hAnsi="Times New Roman"/>
          <w:sz w:val="24"/>
          <w:szCs w:val="24"/>
        </w:rPr>
        <w:t>K</w:t>
      </w:r>
      <w:r w:rsidRPr="004862A1" w:rsidR="00C20376">
        <w:t> </w:t>
      </w:r>
      <w:r w:rsidRPr="004862A1" w:rsidR="00C20376">
        <w:rPr>
          <w:rFonts w:ascii="Times New Roman" w:hAnsi="Times New Roman"/>
          <w:sz w:val="24"/>
          <w:szCs w:val="24"/>
        </w:rPr>
        <w:t xml:space="preserve">bodu </w:t>
      </w:r>
      <w:r w:rsidRPr="004862A1" w:rsidR="00423EAD">
        <w:rPr>
          <w:rFonts w:ascii="Times New Roman" w:hAnsi="Times New Roman"/>
          <w:sz w:val="24"/>
          <w:szCs w:val="24"/>
        </w:rPr>
        <w:t>70</w:t>
      </w:r>
    </w:p>
    <w:p w:rsidR="004674A5"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Návrh súvisí s komplexnou úpravou zlepšenia zabezpečenia neuhradených odvodov, úrokov z omeškania a nevyplatených výhier, a to formou uloženia finančnej zábezpeky na účet daňového úradu, miestne príslušného podľa sídla žiadateľa.</w:t>
      </w:r>
    </w:p>
    <w:p w:rsidR="006A59CA" w:rsidRPr="004862A1" w:rsidP="006A59CA">
      <w:pPr>
        <w:bidi w:val="0"/>
        <w:spacing w:after="0" w:line="240" w:lineRule="auto"/>
        <w:rPr>
          <w:rFonts w:ascii="Times New Roman" w:hAnsi="Times New Roman"/>
          <w:sz w:val="24"/>
          <w:szCs w:val="24"/>
        </w:rPr>
      </w:pPr>
      <w:r w:rsidRPr="004862A1">
        <w:rPr>
          <w:rFonts w:ascii="Times New Roman" w:hAnsi="Times New Roman"/>
          <w:sz w:val="24"/>
          <w:szCs w:val="24"/>
        </w:rPr>
        <w:t>Zjednocujú sa podmienky pri uvoľňovaní finančnej zábezpeky v prípade prevádzkovateľa, ktorému uplynula doba platnosti licencie, alebo mu bola licencia odňatá či zrušená. Zároveň sa upresňuje doklad, ktorým žiadateľ preukáže vysporiadanie záväzkov na krytie</w:t>
      </w:r>
      <w:r w:rsidRPr="004862A1" w:rsidR="003F3C91">
        <w:rPr>
          <w:rFonts w:ascii="Times New Roman" w:hAnsi="Times New Roman"/>
          <w:sz w:val="24"/>
          <w:szCs w:val="24"/>
        </w:rPr>
        <w:t>,</w:t>
      </w:r>
      <w:r w:rsidRPr="004862A1">
        <w:rPr>
          <w:rFonts w:ascii="Times New Roman" w:hAnsi="Times New Roman"/>
          <w:sz w:val="24"/>
          <w:szCs w:val="24"/>
        </w:rPr>
        <w:t xml:space="preserve"> ktorých je finančná zábezpeka určená. </w:t>
      </w:r>
    </w:p>
    <w:p w:rsidR="006A59CA" w:rsidRPr="004862A1" w:rsidP="006A59CA">
      <w:pPr>
        <w:bidi w:val="0"/>
        <w:spacing w:after="0" w:line="240" w:lineRule="auto"/>
        <w:rPr>
          <w:rFonts w:ascii="Times New Roman" w:hAnsi="Times New Roman"/>
          <w:sz w:val="24"/>
          <w:szCs w:val="24"/>
        </w:rPr>
      </w:pPr>
      <w:r w:rsidRPr="004862A1">
        <w:rPr>
          <w:rFonts w:ascii="Times New Roman" w:hAnsi="Times New Roman"/>
          <w:sz w:val="24"/>
          <w:szCs w:val="24"/>
        </w:rPr>
        <w:t>Vo väzbe na zavedenie jednotného pojmu „príslušný správca odvodu“ sa navrhuje aj úprava týchto ustanovení tak, aby prevádzkovateľ, ktorý požiada o uvoľnenie finančnej zábezpeky z dôvodu neuhradených odvodov alebo ukončenia prevádzkovania hazardnej hry, predložil doklad o neuhradení, resp. vysporiadaní odvodov nielen zo strany daňového úradu, ale aj zo strany obce.</w:t>
      </w:r>
    </w:p>
    <w:p w:rsidR="006A59CA" w:rsidRPr="004862A1" w:rsidP="006A59CA">
      <w:pPr>
        <w:bidi w:val="0"/>
        <w:spacing w:after="0" w:line="240" w:lineRule="auto"/>
        <w:rPr>
          <w:rFonts w:ascii="Times New Roman" w:hAnsi="Times New Roman"/>
          <w:sz w:val="24"/>
          <w:szCs w:val="24"/>
        </w:rPr>
      </w:pPr>
      <w:r w:rsidRPr="004862A1">
        <w:rPr>
          <w:rFonts w:ascii="Times New Roman" w:hAnsi="Times New Roman"/>
          <w:sz w:val="24"/>
          <w:szCs w:val="24"/>
        </w:rPr>
        <w:t>Navrhuje sa skrátenie doby, počas ktorej nemá prevádzkovateľ uhradené svoje záväzky z odvodov, a to z troch mesiacov na jeden mesiac</w:t>
      </w:r>
      <w:r w:rsidRPr="004862A1" w:rsidR="0060204D">
        <w:rPr>
          <w:rFonts w:ascii="Times New Roman" w:hAnsi="Times New Roman"/>
          <w:sz w:val="24"/>
          <w:szCs w:val="24"/>
        </w:rPr>
        <w:t>,</w:t>
      </w:r>
      <w:r w:rsidRPr="004862A1">
        <w:rPr>
          <w:rFonts w:ascii="Times New Roman" w:hAnsi="Times New Roman"/>
          <w:sz w:val="24"/>
          <w:szCs w:val="24"/>
        </w:rPr>
        <w:t xml:space="preserve"> po uplynutí 1 mesiaca ministerstvo na žiadosť daňového úradu miestne príslušného podľa sídla prevádzkovateľa, resp. príslušnej obce, ktorá vykonáva správu odvodov rozhodne o uvoľnení finančnej zábezpeky.  </w:t>
      </w:r>
    </w:p>
    <w:p w:rsidR="002631C2" w:rsidRPr="004862A1" w:rsidP="00E32E9C">
      <w:pPr>
        <w:bidi w:val="0"/>
        <w:spacing w:after="0" w:line="240" w:lineRule="auto"/>
        <w:rPr>
          <w:rFonts w:ascii="Times New Roman" w:hAnsi="Times New Roman"/>
          <w:sz w:val="24"/>
          <w:szCs w:val="24"/>
        </w:rPr>
      </w:pPr>
    </w:p>
    <w:p w:rsidR="004674A5" w:rsidRPr="004862A1" w:rsidP="00195F76">
      <w:pPr>
        <w:bidi w:val="0"/>
        <w:spacing w:after="0" w:line="240" w:lineRule="auto"/>
        <w:rPr>
          <w:rFonts w:ascii="Times New Roman" w:hAnsi="Times New Roman"/>
          <w:sz w:val="24"/>
          <w:szCs w:val="24"/>
        </w:rPr>
      </w:pPr>
      <w:r w:rsidRPr="004862A1" w:rsidR="00195F76">
        <w:rPr>
          <w:rFonts w:ascii="Times New Roman" w:hAnsi="Times New Roman"/>
          <w:sz w:val="24"/>
          <w:szCs w:val="24"/>
        </w:rPr>
        <w:t>K</w:t>
      </w:r>
      <w:r w:rsidRPr="004862A1" w:rsidR="00195F76">
        <w:t> </w:t>
      </w:r>
      <w:r w:rsidRPr="004862A1" w:rsidR="00195F76">
        <w:rPr>
          <w:rFonts w:ascii="Times New Roman" w:hAnsi="Times New Roman"/>
          <w:sz w:val="24"/>
          <w:szCs w:val="24"/>
        </w:rPr>
        <w:t>bodu</w:t>
      </w:r>
      <w:r w:rsidRPr="004862A1" w:rsidR="00B55188">
        <w:rPr>
          <w:rFonts w:ascii="Times New Roman" w:hAnsi="Times New Roman"/>
          <w:sz w:val="24"/>
          <w:szCs w:val="24"/>
        </w:rPr>
        <w:t xml:space="preserve"> 7</w:t>
      </w:r>
      <w:r w:rsidRPr="004862A1" w:rsidR="00423EAD">
        <w:rPr>
          <w:rFonts w:ascii="Times New Roman" w:hAnsi="Times New Roman"/>
          <w:sz w:val="24"/>
          <w:szCs w:val="24"/>
        </w:rPr>
        <w:t>1</w:t>
      </w:r>
    </w:p>
    <w:p w:rsidR="004674A5" w:rsidRPr="004862A1" w:rsidP="00E32E9C">
      <w:pPr>
        <w:bidi w:val="0"/>
        <w:spacing w:after="0" w:line="240" w:lineRule="auto"/>
        <w:rPr>
          <w:rFonts w:ascii="Times New Roman" w:hAnsi="Times New Roman"/>
          <w:sz w:val="24"/>
          <w:szCs w:val="24"/>
        </w:rPr>
      </w:pPr>
      <w:r w:rsidRPr="004862A1" w:rsidR="00146846">
        <w:rPr>
          <w:rFonts w:ascii="Times New Roman" w:hAnsi="Times New Roman"/>
          <w:sz w:val="24"/>
          <w:szCs w:val="24"/>
        </w:rPr>
        <w:t>Jedná sa o opatrenie navrhované v rámci spresnenia a sprísnenia podmienok prevádzkovania hazardných hier v súvislosti so zmenami v ukladaní finančnej zábezpeky, ktorá je určená na krytie nevy</w:t>
      </w:r>
      <w:r w:rsidRPr="004862A1" w:rsidR="00C1576E">
        <w:rPr>
          <w:rFonts w:ascii="Times New Roman" w:hAnsi="Times New Roman"/>
          <w:sz w:val="24"/>
          <w:szCs w:val="24"/>
        </w:rPr>
        <w:t>s</w:t>
      </w:r>
      <w:r w:rsidRPr="004862A1" w:rsidR="00146846">
        <w:rPr>
          <w:rFonts w:ascii="Times New Roman" w:hAnsi="Times New Roman"/>
          <w:sz w:val="24"/>
          <w:szCs w:val="24"/>
        </w:rPr>
        <w:t>poriadaných záväzkov prevádzkovateľa hazardnej hry, ktoré vznikli neuhradením odvodov, úrokov z omeškania a nevyplatením výhier hráčom.</w:t>
      </w:r>
    </w:p>
    <w:p w:rsidR="00AA558B" w:rsidP="00195F76">
      <w:pPr>
        <w:bidi w:val="0"/>
        <w:spacing w:after="0" w:line="240" w:lineRule="auto"/>
        <w:rPr>
          <w:rFonts w:ascii="Times New Roman" w:hAnsi="Times New Roman"/>
          <w:sz w:val="24"/>
          <w:szCs w:val="24"/>
        </w:rPr>
      </w:pPr>
    </w:p>
    <w:p w:rsidR="004674A5" w:rsidRPr="004862A1" w:rsidP="00195F76">
      <w:pPr>
        <w:bidi w:val="0"/>
        <w:spacing w:after="0" w:line="240" w:lineRule="auto"/>
        <w:rPr>
          <w:rFonts w:ascii="Times New Roman" w:hAnsi="Times New Roman"/>
          <w:sz w:val="24"/>
          <w:szCs w:val="24"/>
        </w:rPr>
      </w:pPr>
      <w:r w:rsidRPr="004862A1" w:rsidR="00195F76">
        <w:rPr>
          <w:rFonts w:ascii="Times New Roman" w:hAnsi="Times New Roman"/>
          <w:sz w:val="24"/>
          <w:szCs w:val="24"/>
        </w:rPr>
        <w:t>K</w:t>
      </w:r>
      <w:r w:rsidRPr="004862A1" w:rsidR="00195F76">
        <w:t> </w:t>
      </w:r>
      <w:r w:rsidRPr="004862A1" w:rsidR="00195F76">
        <w:rPr>
          <w:rFonts w:ascii="Times New Roman" w:hAnsi="Times New Roman"/>
          <w:sz w:val="24"/>
          <w:szCs w:val="24"/>
        </w:rPr>
        <w:t>bodu</w:t>
      </w:r>
      <w:r w:rsidRPr="004862A1" w:rsidR="00B55188">
        <w:rPr>
          <w:rFonts w:ascii="Times New Roman" w:hAnsi="Times New Roman"/>
          <w:sz w:val="24"/>
          <w:szCs w:val="24"/>
        </w:rPr>
        <w:t xml:space="preserve"> 7</w:t>
      </w:r>
      <w:r w:rsidRPr="004862A1" w:rsidR="00423EAD">
        <w:rPr>
          <w:rFonts w:ascii="Times New Roman" w:hAnsi="Times New Roman"/>
          <w:sz w:val="24"/>
          <w:szCs w:val="24"/>
        </w:rPr>
        <w:t>2</w:t>
      </w:r>
    </w:p>
    <w:p w:rsidR="0081207F"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Navrhuje sa zvýšiť výšku finančnej zábezpeky z 1 000 eur na 1 500 eur, čo je samotná výška odvodu za prevádzkovanie kartových hier mimo kasína. Návrh reaguje na skúsenosti z aplikačnej praxe.</w:t>
      </w:r>
    </w:p>
    <w:p w:rsidR="002631C2" w:rsidRPr="004862A1" w:rsidP="00E32E9C">
      <w:pPr>
        <w:bidi w:val="0"/>
        <w:spacing w:after="0" w:line="240" w:lineRule="auto"/>
        <w:rPr>
          <w:rFonts w:ascii="Times New Roman" w:hAnsi="Times New Roman"/>
          <w:sz w:val="24"/>
          <w:szCs w:val="24"/>
        </w:rPr>
      </w:pPr>
    </w:p>
    <w:p w:rsidR="0081207F" w:rsidRPr="004862A1" w:rsidP="00195F76">
      <w:pPr>
        <w:bidi w:val="0"/>
        <w:spacing w:after="0" w:line="240" w:lineRule="auto"/>
        <w:rPr>
          <w:rFonts w:ascii="Times New Roman" w:hAnsi="Times New Roman"/>
          <w:sz w:val="24"/>
          <w:szCs w:val="24"/>
        </w:rPr>
      </w:pPr>
      <w:r w:rsidRPr="004862A1" w:rsidR="00195F76">
        <w:rPr>
          <w:rFonts w:ascii="Times New Roman" w:hAnsi="Times New Roman"/>
          <w:sz w:val="24"/>
          <w:szCs w:val="24"/>
        </w:rPr>
        <w:t>K</w:t>
      </w:r>
      <w:r w:rsidRPr="004862A1" w:rsidR="00195F76">
        <w:t> </w:t>
      </w:r>
      <w:r w:rsidRPr="004862A1" w:rsidR="00195F76">
        <w:rPr>
          <w:rFonts w:ascii="Times New Roman" w:hAnsi="Times New Roman"/>
          <w:sz w:val="24"/>
          <w:szCs w:val="24"/>
        </w:rPr>
        <w:t xml:space="preserve">bodu </w:t>
      </w:r>
      <w:r w:rsidRPr="004862A1" w:rsidR="00B55188">
        <w:rPr>
          <w:rFonts w:ascii="Times New Roman" w:hAnsi="Times New Roman"/>
          <w:sz w:val="24"/>
          <w:szCs w:val="24"/>
        </w:rPr>
        <w:t>7</w:t>
      </w:r>
      <w:r w:rsidR="00AA558B">
        <w:rPr>
          <w:rFonts w:ascii="Times New Roman" w:hAnsi="Times New Roman"/>
          <w:sz w:val="24"/>
          <w:szCs w:val="24"/>
        </w:rPr>
        <w:t>3</w:t>
      </w:r>
    </w:p>
    <w:p w:rsidR="00A16156"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Úpravou § 37 ods. 1 písm. i) sa navrhuje zvýšiť odvod z hernej istiny pri hazardných hrách prevádzkovaných v kasíne o 1% a to celkovo z 29% na 30%, pričom do štátneho rozpočtu z 26% na 27%. Hernou istinou je v tomto prípade výška vkladov po odpočítaní vyplatených výhier.</w:t>
      </w:r>
    </w:p>
    <w:p w:rsidR="002631C2" w:rsidRPr="004862A1" w:rsidP="00E32E9C">
      <w:pPr>
        <w:bidi w:val="0"/>
        <w:spacing w:after="0" w:line="240" w:lineRule="auto"/>
        <w:rPr>
          <w:rFonts w:ascii="Times New Roman" w:hAnsi="Times New Roman"/>
          <w:sz w:val="24"/>
          <w:szCs w:val="24"/>
        </w:rPr>
      </w:pPr>
    </w:p>
    <w:p w:rsidR="00A16156" w:rsidRPr="004862A1" w:rsidP="00195F76">
      <w:pPr>
        <w:bidi w:val="0"/>
        <w:spacing w:after="0" w:line="240" w:lineRule="auto"/>
        <w:rPr>
          <w:rFonts w:ascii="Times New Roman" w:hAnsi="Times New Roman"/>
          <w:sz w:val="24"/>
          <w:szCs w:val="24"/>
        </w:rPr>
      </w:pPr>
      <w:r w:rsidRPr="004862A1" w:rsidR="00195F76">
        <w:rPr>
          <w:rFonts w:ascii="Times New Roman" w:hAnsi="Times New Roman"/>
          <w:sz w:val="24"/>
          <w:szCs w:val="24"/>
        </w:rPr>
        <w:t>K</w:t>
      </w:r>
      <w:r w:rsidRPr="004862A1" w:rsidR="00195F76">
        <w:t> </w:t>
      </w:r>
      <w:r w:rsidRPr="004862A1" w:rsidR="00195F76">
        <w:rPr>
          <w:rFonts w:ascii="Times New Roman" w:hAnsi="Times New Roman"/>
          <w:sz w:val="24"/>
          <w:szCs w:val="24"/>
        </w:rPr>
        <w:t xml:space="preserve">bodu </w:t>
      </w:r>
      <w:r w:rsidRPr="004862A1" w:rsidR="00B55188">
        <w:rPr>
          <w:rFonts w:ascii="Times New Roman" w:hAnsi="Times New Roman"/>
          <w:sz w:val="24"/>
          <w:szCs w:val="24"/>
        </w:rPr>
        <w:t>7</w:t>
      </w:r>
      <w:r w:rsidR="00AA558B">
        <w:rPr>
          <w:rFonts w:ascii="Times New Roman" w:hAnsi="Times New Roman"/>
          <w:sz w:val="24"/>
          <w:szCs w:val="24"/>
        </w:rPr>
        <w:t>4</w:t>
      </w:r>
    </w:p>
    <w:p w:rsidR="00116E77" w:rsidRPr="004862A1" w:rsidP="00E32E9C">
      <w:pPr>
        <w:bidi w:val="0"/>
        <w:spacing w:after="0" w:line="240" w:lineRule="auto"/>
        <w:rPr>
          <w:rFonts w:ascii="Times New Roman" w:hAnsi="Times New Roman"/>
          <w:sz w:val="24"/>
          <w:szCs w:val="24"/>
        </w:rPr>
      </w:pPr>
      <w:r w:rsidRPr="004862A1" w:rsidR="00A16156">
        <w:rPr>
          <w:rFonts w:ascii="Times New Roman" w:hAnsi="Times New Roman"/>
          <w:sz w:val="24"/>
          <w:szCs w:val="24"/>
        </w:rPr>
        <w:t xml:space="preserve">Zmenou § 37 ods. 1 písm. j) sa stanovuje odvod z prevádzkovania výherných prístrojov. Ide o paušálny odvod, ktorý prevádzkovateľ platí za jeden výherný prístroj bez ohľadu na dobu jeho prevádzkovania počas kalendárneho roka. Týmto ustanovením sa navrhuje zvýšiť paušálny odvod do štátneho rozpočtu z 2 100 eur na 2 </w:t>
      </w:r>
      <w:r w:rsidRPr="004862A1" w:rsidR="000E18F0">
        <w:rPr>
          <w:rFonts w:ascii="Times New Roman" w:hAnsi="Times New Roman"/>
          <w:sz w:val="24"/>
          <w:szCs w:val="24"/>
        </w:rPr>
        <w:t>6</w:t>
      </w:r>
      <w:r w:rsidRPr="004862A1" w:rsidR="00A16156">
        <w:rPr>
          <w:rFonts w:ascii="Times New Roman" w:hAnsi="Times New Roman"/>
          <w:sz w:val="24"/>
          <w:szCs w:val="24"/>
        </w:rPr>
        <w:t xml:space="preserve">00 eur a v prípade prevádzkovania výherných prístrojov v kasíne z 4 200 eur na 4 </w:t>
      </w:r>
      <w:r w:rsidRPr="004862A1" w:rsidR="000E18F0">
        <w:rPr>
          <w:rFonts w:ascii="Times New Roman" w:hAnsi="Times New Roman"/>
          <w:sz w:val="24"/>
          <w:szCs w:val="24"/>
        </w:rPr>
        <w:t>7</w:t>
      </w:r>
      <w:r w:rsidRPr="004862A1" w:rsidR="00A16156">
        <w:rPr>
          <w:rFonts w:ascii="Times New Roman" w:hAnsi="Times New Roman"/>
          <w:sz w:val="24"/>
          <w:szCs w:val="24"/>
        </w:rPr>
        <w:t>00 eur.</w:t>
      </w:r>
    </w:p>
    <w:p w:rsidR="00B35E1F" w:rsidRPr="004862A1" w:rsidP="00740E18">
      <w:pPr>
        <w:bidi w:val="0"/>
        <w:spacing w:after="0" w:line="240" w:lineRule="auto"/>
        <w:rPr>
          <w:rFonts w:ascii="Times New Roman" w:hAnsi="Times New Roman"/>
          <w:sz w:val="24"/>
          <w:szCs w:val="24"/>
        </w:rPr>
      </w:pPr>
      <w:r w:rsidRPr="004862A1" w:rsidR="00740E18">
        <w:rPr>
          <w:rFonts w:ascii="Times New Roman" w:hAnsi="Times New Roman"/>
          <w:sz w:val="24"/>
          <w:szCs w:val="24"/>
        </w:rPr>
        <w:t xml:space="preserve">V § 37 ods. 1 písm. l) sa stanovuje odvod z prevádzkovania videohier. Ide o paušálny odvod a prevádzkovatelia ho odvádzajú bez ohľadu na dobu prevádzkovania videohier počas kalendárneho roka. Navrhuje sa jeho zvýšenie zo súčasných 4 200 eur na 4 700 eur do štátneho rozpočtu za každý terminál prevádzkovaný v kalendárnom roku. </w:t>
      </w:r>
    </w:p>
    <w:p w:rsidR="00B35E1F" w:rsidRPr="004862A1" w:rsidP="00740E18">
      <w:pPr>
        <w:bidi w:val="0"/>
        <w:spacing w:after="0" w:line="240" w:lineRule="auto"/>
        <w:rPr>
          <w:rFonts w:ascii="Times New Roman" w:hAnsi="Times New Roman"/>
          <w:sz w:val="24"/>
          <w:szCs w:val="24"/>
        </w:rPr>
      </w:pPr>
      <w:r w:rsidRPr="004862A1">
        <w:rPr>
          <w:rFonts w:ascii="Times New Roman" w:hAnsi="Times New Roman"/>
          <w:sz w:val="24"/>
          <w:szCs w:val="24"/>
        </w:rPr>
        <w:t>V nadväznosti na navrhovanú zmenu systému platenia odvodov do rozpočtu obcí sa príslušne upravujú nielen spomínané písmená j) a l) ale aj písmeno k) tohto zákona.</w:t>
      </w:r>
    </w:p>
    <w:p w:rsidR="00116E77" w:rsidRPr="004862A1" w:rsidP="00E32E9C">
      <w:pPr>
        <w:bidi w:val="0"/>
        <w:spacing w:after="0" w:line="240" w:lineRule="auto"/>
        <w:rPr>
          <w:rFonts w:ascii="Times New Roman" w:hAnsi="Times New Roman"/>
          <w:sz w:val="24"/>
          <w:szCs w:val="24"/>
        </w:rPr>
      </w:pPr>
    </w:p>
    <w:p w:rsidR="00A16156" w:rsidRPr="004862A1" w:rsidP="00195F76">
      <w:pPr>
        <w:bidi w:val="0"/>
        <w:spacing w:after="0" w:line="240" w:lineRule="auto"/>
        <w:rPr>
          <w:rFonts w:ascii="Times New Roman" w:hAnsi="Times New Roman"/>
          <w:sz w:val="24"/>
          <w:szCs w:val="24"/>
        </w:rPr>
      </w:pPr>
      <w:r w:rsidRPr="004862A1" w:rsidR="00195F76">
        <w:rPr>
          <w:rFonts w:ascii="Times New Roman" w:hAnsi="Times New Roman"/>
          <w:sz w:val="24"/>
          <w:szCs w:val="24"/>
        </w:rPr>
        <w:t>K</w:t>
      </w:r>
      <w:r w:rsidRPr="004862A1" w:rsidR="00195F76">
        <w:t> </w:t>
      </w:r>
      <w:r w:rsidRPr="004862A1" w:rsidR="00195F76">
        <w:rPr>
          <w:rFonts w:ascii="Times New Roman" w:hAnsi="Times New Roman"/>
          <w:sz w:val="24"/>
          <w:szCs w:val="24"/>
        </w:rPr>
        <w:t xml:space="preserve">bodu </w:t>
      </w:r>
      <w:r w:rsidRPr="004862A1" w:rsidR="00740E18">
        <w:rPr>
          <w:rFonts w:ascii="Times New Roman" w:hAnsi="Times New Roman"/>
          <w:sz w:val="24"/>
          <w:szCs w:val="24"/>
        </w:rPr>
        <w:t>7</w:t>
      </w:r>
      <w:r w:rsidR="00AA558B">
        <w:rPr>
          <w:rFonts w:ascii="Times New Roman" w:hAnsi="Times New Roman"/>
          <w:sz w:val="24"/>
          <w:szCs w:val="24"/>
        </w:rPr>
        <w:t>5</w:t>
      </w:r>
    </w:p>
    <w:p w:rsidR="00116E77" w:rsidRPr="004862A1" w:rsidP="00E32E9C">
      <w:pPr>
        <w:bidi w:val="0"/>
        <w:spacing w:after="0" w:line="240" w:lineRule="auto"/>
        <w:rPr>
          <w:rFonts w:ascii="Times New Roman" w:hAnsi="Times New Roman"/>
          <w:sz w:val="24"/>
          <w:szCs w:val="24"/>
        </w:rPr>
      </w:pPr>
      <w:r w:rsidRPr="004862A1" w:rsidR="0081207F">
        <w:rPr>
          <w:rFonts w:ascii="Times New Roman" w:hAnsi="Times New Roman"/>
          <w:sz w:val="24"/>
          <w:szCs w:val="24"/>
        </w:rPr>
        <w:t xml:space="preserve">Legislatívno-technické upresnenie odseku z dôvodu  zavedenia jednotného pojmu „príslušný správca odvodov“. V praxi to bude znamenať, že prevádzkovateľ uhradí do štátneho rozpočtu </w:t>
      </w:r>
      <w:r w:rsidRPr="004862A1" w:rsidR="002D57AA">
        <w:rPr>
          <w:rFonts w:ascii="Times New Roman" w:hAnsi="Times New Roman"/>
          <w:sz w:val="24"/>
          <w:szCs w:val="24"/>
        </w:rPr>
        <w:t xml:space="preserve">a do rozpočtu obce </w:t>
      </w:r>
      <w:r w:rsidRPr="004862A1" w:rsidR="0081207F">
        <w:rPr>
          <w:rFonts w:ascii="Times New Roman" w:hAnsi="Times New Roman"/>
          <w:sz w:val="24"/>
          <w:szCs w:val="24"/>
        </w:rPr>
        <w:t>podľa sídla prevádzkovateľa zákonom stanovenú výšku úhrady odvodu</w:t>
      </w:r>
      <w:r w:rsidRPr="004862A1" w:rsidR="002D57AA">
        <w:rPr>
          <w:rFonts w:ascii="Times New Roman" w:hAnsi="Times New Roman"/>
          <w:sz w:val="24"/>
          <w:szCs w:val="24"/>
        </w:rPr>
        <w:t>.</w:t>
      </w:r>
      <w:r w:rsidRPr="004862A1" w:rsidR="0081207F">
        <w:rPr>
          <w:rFonts w:ascii="Times New Roman" w:hAnsi="Times New Roman"/>
          <w:sz w:val="24"/>
          <w:szCs w:val="24"/>
        </w:rPr>
        <w:t xml:space="preserve"> </w:t>
      </w:r>
    </w:p>
    <w:p w:rsidR="002D57AA" w:rsidRPr="004862A1" w:rsidP="00E32E9C">
      <w:pPr>
        <w:bidi w:val="0"/>
        <w:spacing w:after="0" w:line="240" w:lineRule="auto"/>
        <w:rPr>
          <w:rFonts w:ascii="Times New Roman" w:hAnsi="Times New Roman"/>
          <w:sz w:val="24"/>
          <w:szCs w:val="24"/>
        </w:rPr>
      </w:pPr>
    </w:p>
    <w:p w:rsidR="004674A5" w:rsidRPr="004862A1" w:rsidP="002D1B41">
      <w:pPr>
        <w:bidi w:val="0"/>
        <w:spacing w:after="0" w:line="240" w:lineRule="auto"/>
        <w:rPr>
          <w:rFonts w:ascii="Times New Roman" w:hAnsi="Times New Roman"/>
          <w:sz w:val="24"/>
          <w:szCs w:val="24"/>
        </w:rPr>
      </w:pPr>
      <w:r w:rsidRPr="004862A1" w:rsidR="002D1B41">
        <w:rPr>
          <w:rFonts w:ascii="Times New Roman" w:hAnsi="Times New Roman"/>
          <w:sz w:val="24"/>
          <w:szCs w:val="24"/>
        </w:rPr>
        <w:t>K</w:t>
      </w:r>
      <w:r w:rsidRPr="004862A1" w:rsidR="002D1B41">
        <w:t> </w:t>
      </w:r>
      <w:r w:rsidRPr="004862A1" w:rsidR="002D1B41">
        <w:rPr>
          <w:rFonts w:ascii="Times New Roman" w:hAnsi="Times New Roman"/>
          <w:sz w:val="24"/>
          <w:szCs w:val="24"/>
        </w:rPr>
        <w:t>bodu</w:t>
      </w:r>
      <w:r w:rsidRPr="004862A1" w:rsidR="00B55188">
        <w:rPr>
          <w:rFonts w:ascii="Times New Roman" w:hAnsi="Times New Roman"/>
          <w:sz w:val="24"/>
          <w:szCs w:val="24"/>
        </w:rPr>
        <w:t xml:space="preserve"> </w:t>
      </w:r>
      <w:r w:rsidRPr="004862A1" w:rsidR="00740E18">
        <w:rPr>
          <w:rFonts w:ascii="Times New Roman" w:hAnsi="Times New Roman"/>
          <w:sz w:val="24"/>
          <w:szCs w:val="24"/>
        </w:rPr>
        <w:t>7</w:t>
      </w:r>
      <w:r w:rsidR="00AA558B">
        <w:rPr>
          <w:rFonts w:ascii="Times New Roman" w:hAnsi="Times New Roman"/>
          <w:sz w:val="24"/>
          <w:szCs w:val="24"/>
        </w:rPr>
        <w:t>6</w:t>
      </w:r>
    </w:p>
    <w:p w:rsidR="0081207F"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Úprava je vyvolaná z dôvodu potreby legislatívno-technického upresnenia odseku  zavedením jednotného pojmu príslušný správca odvodov. Zároveň sa navrhuje upresnenie lehoty úhrady odvodu tak, aby prevádzkovateľ uhradil odvod až po potvrdení správnosti vyúčtovania odvodov z prevádzkovania žrebových lotérií, tombol a okamžitých lotérií.</w:t>
      </w:r>
    </w:p>
    <w:p w:rsidR="00116E77" w:rsidRPr="004862A1" w:rsidP="00E32E9C">
      <w:pPr>
        <w:bidi w:val="0"/>
        <w:spacing w:after="0" w:line="240" w:lineRule="auto"/>
        <w:rPr>
          <w:rFonts w:ascii="Times New Roman" w:hAnsi="Times New Roman"/>
          <w:sz w:val="24"/>
          <w:szCs w:val="24"/>
        </w:rPr>
      </w:pPr>
    </w:p>
    <w:p w:rsidR="0081207F" w:rsidRPr="004862A1" w:rsidP="002D1B41">
      <w:pPr>
        <w:bidi w:val="0"/>
        <w:spacing w:after="0" w:line="240" w:lineRule="auto"/>
        <w:rPr>
          <w:rFonts w:ascii="Times New Roman" w:hAnsi="Times New Roman"/>
          <w:sz w:val="24"/>
          <w:szCs w:val="24"/>
        </w:rPr>
      </w:pPr>
      <w:r w:rsidRPr="004862A1" w:rsidR="002D1B41">
        <w:rPr>
          <w:rFonts w:ascii="Times New Roman" w:hAnsi="Times New Roman"/>
          <w:sz w:val="24"/>
          <w:szCs w:val="24"/>
        </w:rPr>
        <w:t>K</w:t>
      </w:r>
      <w:r w:rsidRPr="004862A1" w:rsidR="002D1B41">
        <w:t> </w:t>
      </w:r>
      <w:r w:rsidRPr="004862A1" w:rsidR="002D1B41">
        <w:rPr>
          <w:rFonts w:ascii="Times New Roman" w:hAnsi="Times New Roman"/>
          <w:sz w:val="24"/>
          <w:szCs w:val="24"/>
        </w:rPr>
        <w:t>bodu</w:t>
      </w:r>
      <w:r w:rsidRPr="004862A1" w:rsidR="00B55188">
        <w:rPr>
          <w:rFonts w:ascii="Times New Roman" w:hAnsi="Times New Roman"/>
          <w:sz w:val="24"/>
          <w:szCs w:val="24"/>
        </w:rPr>
        <w:t xml:space="preserve"> </w:t>
      </w:r>
      <w:r w:rsidRPr="004862A1" w:rsidR="00740E18">
        <w:rPr>
          <w:rFonts w:ascii="Times New Roman" w:hAnsi="Times New Roman"/>
          <w:sz w:val="24"/>
          <w:szCs w:val="24"/>
        </w:rPr>
        <w:t>7</w:t>
      </w:r>
      <w:r w:rsidR="00AA558B">
        <w:rPr>
          <w:rFonts w:ascii="Times New Roman" w:hAnsi="Times New Roman"/>
          <w:sz w:val="24"/>
          <w:szCs w:val="24"/>
        </w:rPr>
        <w:t>7</w:t>
      </w:r>
    </w:p>
    <w:p w:rsidR="0081207F"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Nadväzne na zavedenie jednotného pojmu</w:t>
      </w:r>
      <w:r w:rsidRPr="004862A1" w:rsidR="002147DC">
        <w:rPr>
          <w:rFonts w:ascii="Times New Roman" w:hAnsi="Times New Roman"/>
          <w:sz w:val="24"/>
          <w:szCs w:val="24"/>
        </w:rPr>
        <w:t xml:space="preserve"> príslušný</w:t>
      </w:r>
      <w:r w:rsidRPr="004862A1">
        <w:rPr>
          <w:rFonts w:ascii="Times New Roman" w:hAnsi="Times New Roman"/>
          <w:sz w:val="24"/>
          <w:szCs w:val="24"/>
        </w:rPr>
        <w:t xml:space="preserve"> správca odvodu sa navrhuje úprava ustanovenia tak, že prevádzkovateľ výherného prístroja bude odvádzať odvod daňovému úradu miestne príslušnému podľa sídla prevádzkovateľa a nie ako doteraz, kedy sa uhrádzal odvod daňovému úradu miestne príslušnému podľa miesta, kde sa výherný prístroj v kalendárnom roku začal prevádzkovať.</w:t>
      </w:r>
    </w:p>
    <w:p w:rsidR="00116E77" w:rsidRPr="004862A1" w:rsidP="00E32E9C">
      <w:pPr>
        <w:bidi w:val="0"/>
        <w:spacing w:after="0" w:line="240" w:lineRule="auto"/>
        <w:rPr>
          <w:rFonts w:ascii="Times New Roman" w:hAnsi="Times New Roman"/>
          <w:sz w:val="24"/>
          <w:szCs w:val="24"/>
        </w:rPr>
      </w:pPr>
    </w:p>
    <w:p w:rsidR="0081207F" w:rsidRPr="004862A1" w:rsidP="002D1B41">
      <w:pPr>
        <w:bidi w:val="0"/>
        <w:spacing w:after="0" w:line="240" w:lineRule="auto"/>
        <w:rPr>
          <w:rFonts w:ascii="Times New Roman" w:hAnsi="Times New Roman"/>
          <w:sz w:val="24"/>
          <w:szCs w:val="24"/>
        </w:rPr>
      </w:pPr>
      <w:r w:rsidRPr="004862A1" w:rsidR="002D1B41">
        <w:rPr>
          <w:rFonts w:ascii="Times New Roman" w:hAnsi="Times New Roman"/>
          <w:sz w:val="24"/>
          <w:szCs w:val="24"/>
        </w:rPr>
        <w:t>K</w:t>
      </w:r>
      <w:r w:rsidRPr="004862A1" w:rsidR="002D1B41">
        <w:t> </w:t>
      </w:r>
      <w:r w:rsidRPr="004862A1" w:rsidR="002D1B41">
        <w:rPr>
          <w:rFonts w:ascii="Times New Roman" w:hAnsi="Times New Roman"/>
          <w:sz w:val="24"/>
          <w:szCs w:val="24"/>
        </w:rPr>
        <w:t>bodu</w:t>
      </w:r>
      <w:r w:rsidRPr="004862A1" w:rsidR="00B55188">
        <w:rPr>
          <w:rFonts w:ascii="Times New Roman" w:hAnsi="Times New Roman"/>
          <w:sz w:val="24"/>
          <w:szCs w:val="24"/>
        </w:rPr>
        <w:t xml:space="preserve"> </w:t>
      </w:r>
      <w:r w:rsidRPr="004862A1" w:rsidR="00740E18">
        <w:rPr>
          <w:rFonts w:ascii="Times New Roman" w:hAnsi="Times New Roman"/>
          <w:sz w:val="24"/>
          <w:szCs w:val="24"/>
        </w:rPr>
        <w:t>7</w:t>
      </w:r>
      <w:r w:rsidR="00AA558B">
        <w:rPr>
          <w:rFonts w:ascii="Times New Roman" w:hAnsi="Times New Roman"/>
          <w:sz w:val="24"/>
          <w:szCs w:val="24"/>
        </w:rPr>
        <w:t>8</w:t>
      </w:r>
    </w:p>
    <w:p w:rsidR="0081207F"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 xml:space="preserve">Úprava je vyvolaná z dôvodu potreby legislatívno-technického upresnenia odseku zavedením jednotného pojmu správcu odvodov, ktorým je v tomto prípade daňový </w:t>
      </w:r>
      <w:r w:rsidRPr="004862A1" w:rsidR="007113B9">
        <w:rPr>
          <w:rFonts w:ascii="Times New Roman" w:hAnsi="Times New Roman"/>
          <w:sz w:val="24"/>
          <w:szCs w:val="24"/>
        </w:rPr>
        <w:t xml:space="preserve">úrad </w:t>
      </w:r>
      <w:r w:rsidRPr="004862A1">
        <w:rPr>
          <w:rFonts w:ascii="Times New Roman" w:hAnsi="Times New Roman"/>
          <w:sz w:val="24"/>
          <w:szCs w:val="24"/>
        </w:rPr>
        <w:t>miestne príslušný podľa sídla prevádzkovateľa technických zariadení obsluhovaných priamo hráčmi.</w:t>
      </w:r>
    </w:p>
    <w:p w:rsidR="00116E77" w:rsidRPr="004862A1" w:rsidP="00660F27">
      <w:pPr>
        <w:bidi w:val="0"/>
        <w:spacing w:after="0" w:line="240" w:lineRule="auto"/>
        <w:rPr>
          <w:rFonts w:ascii="Times New Roman" w:hAnsi="Times New Roman"/>
          <w:sz w:val="24"/>
          <w:szCs w:val="24"/>
        </w:rPr>
      </w:pPr>
    </w:p>
    <w:p w:rsidR="004674A5" w:rsidRPr="004862A1" w:rsidP="00660F27">
      <w:pPr>
        <w:bidi w:val="0"/>
        <w:spacing w:after="0" w:line="240" w:lineRule="auto"/>
        <w:rPr>
          <w:rFonts w:ascii="Times New Roman" w:hAnsi="Times New Roman"/>
          <w:sz w:val="24"/>
          <w:szCs w:val="24"/>
        </w:rPr>
      </w:pPr>
      <w:r w:rsidRPr="004862A1" w:rsidR="00660F27">
        <w:rPr>
          <w:rFonts w:ascii="Times New Roman" w:hAnsi="Times New Roman"/>
          <w:sz w:val="24"/>
          <w:szCs w:val="24"/>
        </w:rPr>
        <w:t>K</w:t>
      </w:r>
      <w:r w:rsidRPr="004862A1" w:rsidR="00660F27">
        <w:t> </w:t>
      </w:r>
      <w:r w:rsidRPr="004862A1" w:rsidR="00660F27">
        <w:rPr>
          <w:rFonts w:ascii="Times New Roman" w:hAnsi="Times New Roman"/>
          <w:sz w:val="24"/>
          <w:szCs w:val="24"/>
        </w:rPr>
        <w:t>bodu</w:t>
      </w:r>
      <w:r w:rsidRPr="004862A1" w:rsidR="00B55188">
        <w:rPr>
          <w:rFonts w:ascii="Times New Roman" w:hAnsi="Times New Roman"/>
          <w:sz w:val="24"/>
          <w:szCs w:val="24"/>
        </w:rPr>
        <w:t xml:space="preserve"> </w:t>
      </w:r>
      <w:r w:rsidR="00AA558B">
        <w:rPr>
          <w:rFonts w:ascii="Times New Roman" w:hAnsi="Times New Roman"/>
          <w:sz w:val="24"/>
          <w:szCs w:val="24"/>
        </w:rPr>
        <w:t>79</w:t>
      </w:r>
    </w:p>
    <w:p w:rsidR="001F4A04" w:rsidRPr="004862A1" w:rsidP="00E32E9C">
      <w:pPr>
        <w:bidi w:val="0"/>
        <w:spacing w:after="0" w:line="240" w:lineRule="auto"/>
        <w:rPr>
          <w:rFonts w:ascii="Times New Roman" w:hAnsi="Times New Roman"/>
          <w:sz w:val="24"/>
          <w:szCs w:val="24"/>
        </w:rPr>
      </w:pPr>
      <w:r w:rsidRPr="004862A1" w:rsidR="0081207F">
        <w:rPr>
          <w:rFonts w:ascii="Times New Roman" w:hAnsi="Times New Roman"/>
          <w:sz w:val="24"/>
          <w:szCs w:val="24"/>
        </w:rPr>
        <w:t xml:space="preserve">Cieľom návrhu je nastaviť spravodlivejší systém platenia odvodov a to tak, že prevádzkovateľ uhradí odvod za každý deň prevádzkovania technického zariadenia obsluhovaného priamo hráčmi príslušnej obci, na území ktorej bude povolené prevádzkovanie tohto technického zariadenia na základe hlásenia zo strany prevádzkovateľa o počte technických zariadení a počte dní, počas ktorých bolo technické zariadenie prevádzkované na území obce. Hlásenie predkladá prevádzkovateľ obci k 1. máju a k 31. decembru kalendárneho roka. V týchto termínoch </w:t>
      </w:r>
      <w:r w:rsidRPr="004862A1" w:rsidR="00740E18">
        <w:rPr>
          <w:rFonts w:ascii="Times New Roman" w:hAnsi="Times New Roman"/>
          <w:sz w:val="24"/>
          <w:szCs w:val="24"/>
        </w:rPr>
        <w:t xml:space="preserve">prevádzkovateľ predkladá obci vyúčtovanie a </w:t>
      </w:r>
      <w:r w:rsidRPr="004862A1" w:rsidR="0081207F">
        <w:rPr>
          <w:rFonts w:ascii="Times New Roman" w:hAnsi="Times New Roman"/>
          <w:sz w:val="24"/>
          <w:szCs w:val="24"/>
        </w:rPr>
        <w:t xml:space="preserve">uhrádza </w:t>
      </w:r>
      <w:r w:rsidRPr="004862A1" w:rsidR="00740E18">
        <w:rPr>
          <w:rFonts w:ascii="Times New Roman" w:hAnsi="Times New Roman"/>
          <w:sz w:val="24"/>
          <w:szCs w:val="24"/>
        </w:rPr>
        <w:t xml:space="preserve">aj </w:t>
      </w:r>
      <w:r w:rsidRPr="004862A1" w:rsidR="0081207F">
        <w:rPr>
          <w:rFonts w:ascii="Times New Roman" w:hAnsi="Times New Roman"/>
          <w:sz w:val="24"/>
          <w:szCs w:val="24"/>
        </w:rPr>
        <w:t>odvod.</w:t>
      </w:r>
      <w:r w:rsidRPr="004862A1">
        <w:rPr>
          <w:rFonts w:ascii="Times New Roman" w:hAnsi="Times New Roman"/>
          <w:sz w:val="24"/>
          <w:szCs w:val="24"/>
        </w:rPr>
        <w:t xml:space="preserve"> Ustanovenie sa zaoberá aj situáciou, kedy prevádzkovateľ premiestňuje technické zariadenie obsluhované priamo hráčmi na územie inej obce, čím ho reálne neprevádzkuje, resp. začne jeho prevádzkovanie prvýkrát v priebehu roka. Tieto situácie sú navrhované tak, aby prevádzkovateľ uhradil odvod za prevádzkovanie technických zariadení obsluhovaných priamo hráčmi v danom kalendárnom roku všetkým obciam </w:t>
      </w:r>
      <w:r w:rsidRPr="004862A1" w:rsidR="00F94364">
        <w:rPr>
          <w:rFonts w:ascii="Times New Roman" w:hAnsi="Times New Roman"/>
          <w:sz w:val="24"/>
          <w:szCs w:val="24"/>
        </w:rPr>
        <w:t xml:space="preserve">spolu </w:t>
      </w:r>
      <w:r w:rsidRPr="004862A1">
        <w:rPr>
          <w:rFonts w:ascii="Times New Roman" w:hAnsi="Times New Roman"/>
          <w:sz w:val="24"/>
          <w:szCs w:val="24"/>
        </w:rPr>
        <w:t xml:space="preserve">vo </w:t>
      </w:r>
      <w:r w:rsidRPr="004862A1" w:rsidR="00F94364">
        <w:rPr>
          <w:rFonts w:ascii="Times New Roman" w:hAnsi="Times New Roman"/>
          <w:sz w:val="24"/>
          <w:szCs w:val="24"/>
        </w:rPr>
        <w:t xml:space="preserve"> </w:t>
      </w:r>
      <w:r w:rsidRPr="004862A1">
        <w:rPr>
          <w:rFonts w:ascii="Times New Roman" w:hAnsi="Times New Roman"/>
          <w:sz w:val="24"/>
          <w:szCs w:val="24"/>
        </w:rPr>
        <w:t>výške 900 €.</w:t>
      </w:r>
    </w:p>
    <w:p w:rsidR="004629CB" w:rsidP="00E32E9C">
      <w:pPr>
        <w:bidi w:val="0"/>
        <w:spacing w:after="0" w:line="240" w:lineRule="auto"/>
        <w:rPr>
          <w:rFonts w:ascii="Times New Roman" w:hAnsi="Times New Roman"/>
          <w:sz w:val="24"/>
          <w:szCs w:val="24"/>
        </w:rPr>
      </w:pPr>
    </w:p>
    <w:p w:rsidR="001E5B06" w:rsidRPr="004862A1" w:rsidP="00E32E9C">
      <w:pPr>
        <w:bidi w:val="0"/>
        <w:spacing w:after="0" w:line="240" w:lineRule="auto"/>
        <w:rPr>
          <w:rFonts w:ascii="Times New Roman" w:hAnsi="Times New Roman"/>
          <w:sz w:val="24"/>
          <w:szCs w:val="24"/>
        </w:rPr>
      </w:pPr>
    </w:p>
    <w:p w:rsidR="0081207F" w:rsidRPr="004862A1" w:rsidP="00660F27">
      <w:pPr>
        <w:bidi w:val="0"/>
        <w:spacing w:after="0" w:line="240" w:lineRule="auto"/>
        <w:rPr>
          <w:rFonts w:ascii="Times New Roman" w:hAnsi="Times New Roman"/>
          <w:sz w:val="24"/>
          <w:szCs w:val="24"/>
        </w:rPr>
      </w:pPr>
      <w:r w:rsidRPr="004862A1" w:rsidR="00660F27">
        <w:rPr>
          <w:rFonts w:ascii="Times New Roman" w:hAnsi="Times New Roman"/>
          <w:sz w:val="24"/>
          <w:szCs w:val="24"/>
        </w:rPr>
        <w:t>K</w:t>
      </w:r>
      <w:r w:rsidRPr="004862A1" w:rsidR="00660F27">
        <w:t> </w:t>
      </w:r>
      <w:r w:rsidRPr="004862A1" w:rsidR="00660F27">
        <w:rPr>
          <w:rFonts w:ascii="Times New Roman" w:hAnsi="Times New Roman"/>
          <w:sz w:val="24"/>
          <w:szCs w:val="24"/>
        </w:rPr>
        <w:t xml:space="preserve">bodu </w:t>
      </w:r>
      <w:r w:rsidRPr="004862A1" w:rsidR="00B55188">
        <w:rPr>
          <w:rFonts w:ascii="Times New Roman" w:hAnsi="Times New Roman"/>
          <w:sz w:val="24"/>
          <w:szCs w:val="24"/>
        </w:rPr>
        <w:t>8</w:t>
      </w:r>
      <w:r w:rsidR="00AA558B">
        <w:rPr>
          <w:rFonts w:ascii="Times New Roman" w:hAnsi="Times New Roman"/>
          <w:sz w:val="24"/>
          <w:szCs w:val="24"/>
        </w:rPr>
        <w:t>0</w:t>
      </w:r>
    </w:p>
    <w:p w:rsidR="004629CB" w:rsidRPr="004862A1" w:rsidP="00E32E9C">
      <w:pPr>
        <w:bidi w:val="0"/>
        <w:spacing w:after="0" w:line="240" w:lineRule="auto"/>
        <w:rPr>
          <w:rFonts w:ascii="Times New Roman" w:hAnsi="Times New Roman"/>
          <w:sz w:val="24"/>
          <w:szCs w:val="24"/>
        </w:rPr>
      </w:pPr>
      <w:r w:rsidRPr="004862A1" w:rsidR="0081207F">
        <w:rPr>
          <w:rFonts w:ascii="Times New Roman" w:hAnsi="Times New Roman"/>
          <w:sz w:val="24"/>
          <w:szCs w:val="24"/>
        </w:rPr>
        <w:t>Úprava je vyvolaná z dôvodu potreby legislatívno-technického upresnenia odseku  zavedením jednotného pojmu správcu odvodov</w:t>
      </w:r>
      <w:r w:rsidRPr="004862A1" w:rsidR="007113B9">
        <w:rPr>
          <w:rFonts w:ascii="Times New Roman" w:hAnsi="Times New Roman"/>
          <w:sz w:val="24"/>
          <w:szCs w:val="24"/>
        </w:rPr>
        <w:t>,</w:t>
      </w:r>
      <w:r w:rsidRPr="004862A1" w:rsidR="0081207F">
        <w:rPr>
          <w:rFonts w:ascii="Times New Roman" w:hAnsi="Times New Roman"/>
          <w:sz w:val="24"/>
          <w:szCs w:val="24"/>
        </w:rPr>
        <w:t xml:space="preserve"> ktorým je v tomto prípade daňový </w:t>
      </w:r>
      <w:r w:rsidRPr="004862A1" w:rsidR="007113B9">
        <w:rPr>
          <w:rFonts w:ascii="Times New Roman" w:hAnsi="Times New Roman"/>
          <w:sz w:val="24"/>
          <w:szCs w:val="24"/>
        </w:rPr>
        <w:t xml:space="preserve">úrad </w:t>
      </w:r>
      <w:r w:rsidRPr="004862A1" w:rsidR="0081207F">
        <w:rPr>
          <w:rFonts w:ascii="Times New Roman" w:hAnsi="Times New Roman"/>
          <w:sz w:val="24"/>
          <w:szCs w:val="24"/>
        </w:rPr>
        <w:t>miestne príslušný podľa sídla prevádzkovateľa videohier.</w:t>
      </w:r>
    </w:p>
    <w:p w:rsidR="00740E18" w:rsidRPr="004862A1" w:rsidP="00E32E9C">
      <w:pPr>
        <w:bidi w:val="0"/>
        <w:spacing w:after="0" w:line="240" w:lineRule="auto"/>
        <w:rPr>
          <w:rFonts w:ascii="Times New Roman" w:hAnsi="Times New Roman"/>
          <w:sz w:val="24"/>
          <w:szCs w:val="24"/>
        </w:rPr>
      </w:pPr>
    </w:p>
    <w:p w:rsidR="004674A5" w:rsidRPr="004862A1" w:rsidP="00660F27">
      <w:pPr>
        <w:bidi w:val="0"/>
        <w:spacing w:after="0" w:line="240" w:lineRule="auto"/>
        <w:rPr>
          <w:rFonts w:ascii="Times New Roman" w:hAnsi="Times New Roman"/>
          <w:sz w:val="24"/>
          <w:szCs w:val="24"/>
        </w:rPr>
      </w:pPr>
      <w:r w:rsidRPr="004862A1" w:rsidR="00660F27">
        <w:rPr>
          <w:rFonts w:ascii="Times New Roman" w:hAnsi="Times New Roman"/>
          <w:sz w:val="24"/>
          <w:szCs w:val="24"/>
        </w:rPr>
        <w:t>K</w:t>
      </w:r>
      <w:r w:rsidRPr="004862A1" w:rsidR="00660F27">
        <w:t> </w:t>
      </w:r>
      <w:r w:rsidRPr="004862A1" w:rsidR="00660F27">
        <w:rPr>
          <w:rFonts w:ascii="Times New Roman" w:hAnsi="Times New Roman"/>
          <w:sz w:val="24"/>
          <w:szCs w:val="24"/>
        </w:rPr>
        <w:t xml:space="preserve">bodu </w:t>
      </w:r>
      <w:r w:rsidRPr="004862A1" w:rsidR="00B55188">
        <w:rPr>
          <w:rFonts w:ascii="Times New Roman" w:hAnsi="Times New Roman"/>
          <w:sz w:val="24"/>
          <w:szCs w:val="24"/>
        </w:rPr>
        <w:t>8</w:t>
      </w:r>
      <w:r w:rsidR="00C06C05">
        <w:rPr>
          <w:rFonts w:ascii="Times New Roman" w:hAnsi="Times New Roman"/>
          <w:sz w:val="24"/>
          <w:szCs w:val="24"/>
        </w:rPr>
        <w:t>1</w:t>
      </w:r>
    </w:p>
    <w:p w:rsidR="0081207F"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Cieľom návrhu</w:t>
      </w:r>
      <w:r w:rsidRPr="004862A1" w:rsidR="00C84CDF">
        <w:rPr>
          <w:rFonts w:ascii="Times New Roman" w:hAnsi="Times New Roman"/>
          <w:sz w:val="24"/>
          <w:szCs w:val="24"/>
        </w:rPr>
        <w:t xml:space="preserve"> § 37 ods. 9</w:t>
      </w:r>
      <w:r w:rsidRPr="004862A1">
        <w:rPr>
          <w:rFonts w:ascii="Times New Roman" w:hAnsi="Times New Roman"/>
          <w:sz w:val="24"/>
          <w:szCs w:val="24"/>
        </w:rPr>
        <w:t xml:space="preserve"> je nastaviť spravodlivejší systém platenia odvodov a to tak, že prevádzkovateľ uhradí odvod za každý deň prevádzkovania terminálu videohier príslušnej obci, na území ktorej bude povolené prevádzkovanie tohto terminálu na základe hlásenia zo strany prevádzkovateľa o počte terminálov videohier a počte dní, počas ktorých bol terminál videohier prevádzkovaný na území obce. Hlásenie predkladá prevádzkovateľ obci k 1. máju a k 31. decembru kalendárneho roka. V týchto termínoch </w:t>
      </w:r>
      <w:r w:rsidRPr="004862A1" w:rsidR="00ED43AB">
        <w:rPr>
          <w:rFonts w:ascii="Times New Roman" w:hAnsi="Times New Roman"/>
          <w:sz w:val="24"/>
          <w:szCs w:val="24"/>
        </w:rPr>
        <w:t>prevádzkovateľ predkladá obci vyúčtovanie a uhrádza aj odvod.</w:t>
      </w:r>
      <w:r w:rsidRPr="004862A1" w:rsidR="00ED43AB">
        <w:rPr>
          <w:rFonts w:ascii="Times New Roman" w:hAnsi="Times New Roman"/>
          <w:sz w:val="24"/>
          <w:szCs w:val="24"/>
        </w:rPr>
        <w:t xml:space="preserve"> </w:t>
      </w:r>
      <w:r w:rsidRPr="004862A1" w:rsidR="00560556">
        <w:rPr>
          <w:rFonts w:ascii="Times New Roman" w:hAnsi="Times New Roman"/>
          <w:sz w:val="24"/>
          <w:szCs w:val="24"/>
        </w:rPr>
        <w:t>Ustanovenie sa zaoberá aj situáciou, kedy prevádzkovateľ premiestňuje terminál videohier na územie inej obce</w:t>
      </w:r>
      <w:r w:rsidRPr="004862A1" w:rsidR="001F4A04">
        <w:rPr>
          <w:rFonts w:ascii="Times New Roman" w:hAnsi="Times New Roman"/>
          <w:sz w:val="24"/>
          <w:szCs w:val="24"/>
        </w:rPr>
        <w:t>, čím</w:t>
      </w:r>
      <w:r w:rsidRPr="004862A1" w:rsidR="00560556">
        <w:rPr>
          <w:rFonts w:ascii="Times New Roman" w:hAnsi="Times New Roman"/>
          <w:sz w:val="24"/>
          <w:szCs w:val="24"/>
        </w:rPr>
        <w:t xml:space="preserve"> ho reálne neprevádzkuje, resp. začne jeho prevádzkovanie v prvýkrát v priebehu roka. Tieto situácie sú navrhované tak, aby prevádzkovateľ uhradil odvod za prevádzkovanie videohier </w:t>
      </w:r>
      <w:r w:rsidRPr="004862A1" w:rsidR="001F4A04">
        <w:rPr>
          <w:rFonts w:ascii="Times New Roman" w:hAnsi="Times New Roman"/>
          <w:sz w:val="24"/>
          <w:szCs w:val="24"/>
        </w:rPr>
        <w:t xml:space="preserve">v danom kalendárnom roku spolu všetkým obciam vo výške 800 </w:t>
      </w:r>
      <w:r w:rsidRPr="004862A1" w:rsidR="00CB0D0E">
        <w:rPr>
          <w:rFonts w:ascii="Times New Roman" w:hAnsi="Times New Roman"/>
          <w:sz w:val="24"/>
          <w:szCs w:val="24"/>
        </w:rPr>
        <w:t>eur</w:t>
      </w:r>
      <w:r w:rsidRPr="004862A1" w:rsidR="001F4A04">
        <w:rPr>
          <w:rFonts w:ascii="Times New Roman" w:hAnsi="Times New Roman"/>
          <w:sz w:val="24"/>
          <w:szCs w:val="24"/>
        </w:rPr>
        <w:t>.</w:t>
      </w:r>
      <w:r w:rsidRPr="004862A1" w:rsidR="00CB0D0E">
        <w:rPr>
          <w:rFonts w:ascii="Times New Roman" w:hAnsi="Times New Roman"/>
          <w:sz w:val="24"/>
          <w:szCs w:val="24"/>
        </w:rPr>
        <w:t xml:space="preserve"> </w:t>
      </w:r>
      <w:r w:rsidRPr="004862A1" w:rsidR="00C84CDF">
        <w:rPr>
          <w:rFonts w:ascii="Times New Roman" w:hAnsi="Times New Roman"/>
          <w:sz w:val="24"/>
          <w:szCs w:val="24"/>
        </w:rPr>
        <w:t>V § 37 ods. 10 a 11 sa l</w:t>
      </w:r>
      <w:r w:rsidRPr="004862A1">
        <w:rPr>
          <w:rFonts w:ascii="Times New Roman" w:hAnsi="Times New Roman"/>
          <w:sz w:val="24"/>
          <w:szCs w:val="24"/>
        </w:rPr>
        <w:t>egislatívno-technick</w:t>
      </w:r>
      <w:r w:rsidRPr="004862A1" w:rsidR="00C84CDF">
        <w:rPr>
          <w:rFonts w:ascii="Times New Roman" w:hAnsi="Times New Roman"/>
          <w:sz w:val="24"/>
          <w:szCs w:val="24"/>
        </w:rPr>
        <w:t>y</w:t>
      </w:r>
      <w:r w:rsidRPr="004862A1">
        <w:rPr>
          <w:rFonts w:ascii="Times New Roman" w:hAnsi="Times New Roman"/>
          <w:sz w:val="24"/>
          <w:szCs w:val="24"/>
        </w:rPr>
        <w:t xml:space="preserve"> upres</w:t>
      </w:r>
      <w:r w:rsidRPr="004862A1" w:rsidR="00C84CDF">
        <w:rPr>
          <w:rFonts w:ascii="Times New Roman" w:hAnsi="Times New Roman"/>
          <w:sz w:val="24"/>
          <w:szCs w:val="24"/>
        </w:rPr>
        <w:t>ňuje znenie</w:t>
      </w:r>
      <w:r w:rsidRPr="004862A1">
        <w:rPr>
          <w:rFonts w:ascii="Times New Roman" w:hAnsi="Times New Roman"/>
          <w:sz w:val="24"/>
          <w:szCs w:val="24"/>
        </w:rPr>
        <w:t xml:space="preserve"> odsek</w:t>
      </w:r>
      <w:r w:rsidRPr="004862A1" w:rsidR="00CB0D0E">
        <w:rPr>
          <w:rFonts w:ascii="Times New Roman" w:hAnsi="Times New Roman"/>
          <w:sz w:val="24"/>
          <w:szCs w:val="24"/>
        </w:rPr>
        <w:t>ov</w:t>
      </w:r>
      <w:r w:rsidRPr="004862A1">
        <w:rPr>
          <w:rFonts w:ascii="Times New Roman" w:hAnsi="Times New Roman"/>
          <w:sz w:val="24"/>
          <w:szCs w:val="24"/>
        </w:rPr>
        <w:t xml:space="preserve"> z dôvodu zavedenia </w:t>
      </w:r>
      <w:r w:rsidRPr="004862A1" w:rsidR="00521B8C">
        <w:rPr>
          <w:rFonts w:ascii="Times New Roman" w:hAnsi="Times New Roman"/>
          <w:sz w:val="24"/>
          <w:szCs w:val="24"/>
        </w:rPr>
        <w:t>jednotného pojmu správcu odvod</w:t>
      </w:r>
      <w:r w:rsidRPr="004862A1" w:rsidR="00C84CDF">
        <w:rPr>
          <w:rFonts w:ascii="Times New Roman" w:hAnsi="Times New Roman"/>
          <w:sz w:val="24"/>
          <w:szCs w:val="24"/>
        </w:rPr>
        <w:t>u</w:t>
      </w:r>
      <w:r w:rsidRPr="004862A1" w:rsidR="00521B8C">
        <w:rPr>
          <w:rFonts w:ascii="Times New Roman" w:hAnsi="Times New Roman"/>
          <w:sz w:val="24"/>
          <w:szCs w:val="24"/>
        </w:rPr>
        <w:t>.</w:t>
      </w:r>
    </w:p>
    <w:p w:rsidR="00521B8C" w:rsidRPr="004862A1" w:rsidP="00171063">
      <w:pPr>
        <w:pStyle w:val="Heading2"/>
        <w:bidi w:val="0"/>
        <w:rPr>
          <w:rFonts w:ascii="Times New Roman" w:hAnsi="Times New Roman"/>
        </w:rPr>
      </w:pPr>
    </w:p>
    <w:p w:rsidR="00CA7EFD" w:rsidRPr="004862A1" w:rsidP="00CA7EFD">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 xml:space="preserve">bodu </w:t>
      </w:r>
      <w:r w:rsidRPr="004862A1" w:rsidR="00B55188">
        <w:rPr>
          <w:rFonts w:ascii="Times New Roman" w:hAnsi="Times New Roman"/>
          <w:sz w:val="24"/>
          <w:szCs w:val="24"/>
        </w:rPr>
        <w:t>8</w:t>
      </w:r>
      <w:r w:rsidR="00C06C05">
        <w:rPr>
          <w:rFonts w:ascii="Times New Roman" w:hAnsi="Times New Roman"/>
          <w:sz w:val="24"/>
          <w:szCs w:val="24"/>
        </w:rPr>
        <w:t>2</w:t>
      </w:r>
    </w:p>
    <w:p w:rsidR="00521B8C"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Úprava je vyvolaná z dôvodu potreby legislatívno-technického upresnenia odseku zavedením jednotného pojmu správcu odvodov.</w:t>
      </w:r>
    </w:p>
    <w:p w:rsidR="00CA7EFD" w:rsidRPr="004862A1" w:rsidP="00E32E9C">
      <w:pPr>
        <w:bidi w:val="0"/>
        <w:spacing w:after="0" w:line="240" w:lineRule="auto"/>
        <w:rPr>
          <w:rFonts w:ascii="Times New Roman" w:hAnsi="Times New Roman"/>
          <w:sz w:val="24"/>
          <w:szCs w:val="24"/>
        </w:rPr>
      </w:pPr>
    </w:p>
    <w:p w:rsidR="00521B8C" w:rsidRPr="004862A1" w:rsidP="00CA7EFD">
      <w:pPr>
        <w:bidi w:val="0"/>
        <w:spacing w:after="0" w:line="240" w:lineRule="auto"/>
        <w:rPr>
          <w:rFonts w:ascii="Times New Roman" w:hAnsi="Times New Roman"/>
          <w:sz w:val="24"/>
          <w:szCs w:val="24"/>
        </w:rPr>
      </w:pPr>
      <w:r w:rsidRPr="004862A1" w:rsidR="00CA7EFD">
        <w:rPr>
          <w:rFonts w:ascii="Times New Roman" w:hAnsi="Times New Roman"/>
          <w:sz w:val="24"/>
          <w:szCs w:val="24"/>
        </w:rPr>
        <w:t>K</w:t>
      </w:r>
      <w:r w:rsidRPr="004862A1" w:rsidR="00CA7EFD">
        <w:t> </w:t>
      </w:r>
      <w:r w:rsidRPr="004862A1" w:rsidR="00CA7EFD">
        <w:rPr>
          <w:rFonts w:ascii="Times New Roman" w:hAnsi="Times New Roman"/>
          <w:sz w:val="24"/>
          <w:szCs w:val="24"/>
        </w:rPr>
        <w:t xml:space="preserve">bodu </w:t>
      </w:r>
      <w:r w:rsidRPr="004862A1" w:rsidR="00347365">
        <w:rPr>
          <w:rFonts w:ascii="Times New Roman" w:hAnsi="Times New Roman"/>
          <w:sz w:val="24"/>
          <w:szCs w:val="24"/>
        </w:rPr>
        <w:t>8</w:t>
      </w:r>
      <w:r w:rsidR="00C06C05">
        <w:rPr>
          <w:rFonts w:ascii="Times New Roman" w:hAnsi="Times New Roman"/>
          <w:sz w:val="24"/>
          <w:szCs w:val="24"/>
        </w:rPr>
        <w:t>3</w:t>
      </w:r>
    </w:p>
    <w:p w:rsidR="00CA7EFD" w:rsidRPr="004862A1" w:rsidP="00CA7EFD">
      <w:pPr>
        <w:bidi w:val="0"/>
        <w:spacing w:after="0" w:line="240" w:lineRule="auto"/>
        <w:rPr>
          <w:rFonts w:ascii="Times New Roman" w:hAnsi="Times New Roman"/>
          <w:sz w:val="24"/>
          <w:szCs w:val="24"/>
        </w:rPr>
      </w:pPr>
      <w:r w:rsidRPr="004862A1" w:rsidR="00521B8C">
        <w:rPr>
          <w:rFonts w:ascii="Times New Roman" w:hAnsi="Times New Roman"/>
          <w:sz w:val="24"/>
          <w:szCs w:val="24"/>
        </w:rPr>
        <w:t>Úprava je vyvolaná z dôvodu potreby legislatívno-technického upresnenia odseku  zavedením jednotného pojmu správcu odvodov. Navrhované ustanovenie vyplýva z aplikačnej praxe a spresňuje postup správcu odvodu pri vymáhaní nedoplatkov na odvodoch prevádzkovateľov hazardných hier, tzn. na úhradu nedoplatkov v prvom rade využ</w:t>
      </w:r>
      <w:r w:rsidRPr="004862A1" w:rsidR="00CE5363">
        <w:rPr>
          <w:rFonts w:ascii="Times New Roman" w:hAnsi="Times New Roman"/>
          <w:sz w:val="24"/>
          <w:szCs w:val="24"/>
        </w:rPr>
        <w:t>iť inštitút finančnej zábezpeky</w:t>
      </w:r>
      <w:r w:rsidRPr="004862A1" w:rsidR="00521B8C">
        <w:rPr>
          <w:rFonts w:ascii="Times New Roman" w:hAnsi="Times New Roman"/>
          <w:sz w:val="24"/>
          <w:szCs w:val="24"/>
        </w:rPr>
        <w:t>.</w:t>
      </w:r>
    </w:p>
    <w:p w:rsidR="00CA7EFD" w:rsidRPr="004862A1" w:rsidP="00E32E9C">
      <w:pPr>
        <w:bidi w:val="0"/>
        <w:spacing w:after="0" w:line="240" w:lineRule="auto"/>
        <w:rPr>
          <w:rFonts w:ascii="Times New Roman" w:hAnsi="Times New Roman"/>
          <w:sz w:val="24"/>
          <w:szCs w:val="24"/>
        </w:rPr>
      </w:pPr>
    </w:p>
    <w:p w:rsidR="00521B8C" w:rsidRPr="004862A1" w:rsidP="00CA7EFD">
      <w:pPr>
        <w:bidi w:val="0"/>
        <w:spacing w:after="0" w:line="240" w:lineRule="auto"/>
        <w:rPr>
          <w:rFonts w:ascii="Times New Roman" w:hAnsi="Times New Roman"/>
          <w:sz w:val="24"/>
          <w:szCs w:val="24"/>
        </w:rPr>
      </w:pPr>
      <w:r w:rsidRPr="004862A1" w:rsidR="00CA7EFD">
        <w:rPr>
          <w:rFonts w:ascii="Times New Roman" w:hAnsi="Times New Roman"/>
          <w:sz w:val="24"/>
          <w:szCs w:val="24"/>
        </w:rPr>
        <w:t>K</w:t>
      </w:r>
      <w:r w:rsidRPr="004862A1" w:rsidR="00CA7EFD">
        <w:t> </w:t>
      </w:r>
      <w:r w:rsidRPr="004862A1" w:rsidR="00CA7EFD">
        <w:rPr>
          <w:rFonts w:ascii="Times New Roman" w:hAnsi="Times New Roman"/>
          <w:sz w:val="24"/>
          <w:szCs w:val="24"/>
        </w:rPr>
        <w:t xml:space="preserve">bodu </w:t>
      </w:r>
      <w:r w:rsidRPr="004862A1" w:rsidR="000C7E99">
        <w:rPr>
          <w:rFonts w:ascii="Times New Roman" w:hAnsi="Times New Roman"/>
          <w:sz w:val="24"/>
          <w:szCs w:val="24"/>
        </w:rPr>
        <w:t>8</w:t>
      </w:r>
      <w:r w:rsidR="00C06C05">
        <w:rPr>
          <w:rFonts w:ascii="Times New Roman" w:hAnsi="Times New Roman"/>
          <w:sz w:val="24"/>
          <w:szCs w:val="24"/>
        </w:rPr>
        <w:t>4</w:t>
      </w:r>
    </w:p>
    <w:p w:rsidR="00521B8C" w:rsidRPr="004862A1" w:rsidP="00581F90">
      <w:pPr>
        <w:bidi w:val="0"/>
        <w:spacing w:after="0" w:line="240" w:lineRule="auto"/>
        <w:rPr>
          <w:rFonts w:ascii="Times New Roman" w:hAnsi="Times New Roman"/>
          <w:sz w:val="24"/>
          <w:szCs w:val="24"/>
        </w:rPr>
      </w:pPr>
      <w:r w:rsidRPr="004862A1">
        <w:rPr>
          <w:rFonts w:ascii="Times New Roman" w:hAnsi="Times New Roman"/>
          <w:sz w:val="24"/>
          <w:szCs w:val="24"/>
        </w:rPr>
        <w:t>Definícia výťažku sa presúva z § 37 odsek 19 do ustanovenia § 2, ktoré vymedzuje pojmy.</w:t>
      </w:r>
    </w:p>
    <w:p w:rsidR="00581F90" w:rsidRPr="004862A1" w:rsidP="00581F90">
      <w:pPr>
        <w:bidi w:val="0"/>
        <w:spacing w:after="0" w:line="240" w:lineRule="auto"/>
        <w:rPr>
          <w:rFonts w:ascii="Times New Roman" w:hAnsi="Times New Roman"/>
          <w:sz w:val="24"/>
          <w:szCs w:val="24"/>
        </w:rPr>
      </w:pPr>
    </w:p>
    <w:p w:rsidR="00581F90" w:rsidRPr="004862A1" w:rsidP="00581F90">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 xml:space="preserve">bodu </w:t>
      </w:r>
      <w:r w:rsidRPr="004862A1" w:rsidR="000C7E99">
        <w:rPr>
          <w:rFonts w:ascii="Times New Roman" w:hAnsi="Times New Roman"/>
          <w:sz w:val="24"/>
          <w:szCs w:val="24"/>
        </w:rPr>
        <w:t>8</w:t>
      </w:r>
      <w:r w:rsidR="00C06C05">
        <w:rPr>
          <w:rFonts w:ascii="Times New Roman" w:hAnsi="Times New Roman"/>
          <w:sz w:val="24"/>
          <w:szCs w:val="24"/>
        </w:rPr>
        <w:t>5</w:t>
      </w:r>
    </w:p>
    <w:p w:rsidR="00CB50BF" w:rsidRPr="004862A1" w:rsidP="00CB50BF">
      <w:pPr>
        <w:bidi w:val="0"/>
        <w:spacing w:after="0" w:line="240" w:lineRule="auto"/>
        <w:rPr>
          <w:rFonts w:ascii="Times New Roman" w:hAnsi="Times New Roman"/>
          <w:sz w:val="24"/>
          <w:szCs w:val="24"/>
        </w:rPr>
      </w:pPr>
      <w:r w:rsidRPr="004862A1" w:rsidR="00146846">
        <w:rPr>
          <w:rFonts w:ascii="Times New Roman" w:hAnsi="Times New Roman"/>
          <w:sz w:val="24"/>
          <w:szCs w:val="24"/>
        </w:rPr>
        <w:t>Spresnenie vymedzenia herne sa navrhuje v súvislosti s opatreniami  smerujúcimi k zvýšeniu ochrany skupín zraniteľných osôb (najmä mladistvých a osôb s vyššou mierou rizika vzniku závislosti).</w:t>
      </w:r>
      <w:r w:rsidRPr="004862A1">
        <w:rPr>
          <w:rFonts w:ascii="Times New Roman" w:hAnsi="Times New Roman"/>
          <w:sz w:val="24"/>
          <w:szCs w:val="24"/>
        </w:rPr>
        <w:t xml:space="preserve"> Zavádza sa zákaz reklamy </w:t>
      </w:r>
      <w:r w:rsidRPr="004862A1" w:rsidR="002205BD">
        <w:rPr>
          <w:rFonts w:ascii="Times New Roman" w:hAnsi="Times New Roman"/>
          <w:sz w:val="24"/>
          <w:szCs w:val="24"/>
        </w:rPr>
        <w:t xml:space="preserve">v oblasti hazardných hier </w:t>
      </w:r>
      <w:r w:rsidRPr="004862A1">
        <w:rPr>
          <w:rFonts w:ascii="Times New Roman" w:hAnsi="Times New Roman"/>
          <w:sz w:val="24"/>
          <w:szCs w:val="24"/>
        </w:rPr>
        <w:t>v akejkoľvek forme na vonkajších častiach herne</w:t>
      </w:r>
      <w:r w:rsidRPr="004862A1" w:rsidR="002205BD">
        <w:rPr>
          <w:rFonts w:ascii="Times New Roman" w:hAnsi="Times New Roman"/>
          <w:sz w:val="24"/>
          <w:szCs w:val="24"/>
        </w:rPr>
        <w:t>,</w:t>
      </w:r>
      <w:r w:rsidRPr="004862A1">
        <w:rPr>
          <w:rFonts w:ascii="Times New Roman" w:hAnsi="Times New Roman"/>
          <w:sz w:val="24"/>
          <w:szCs w:val="24"/>
        </w:rPr>
        <w:t xml:space="preserve"> vrátane reklamy na alkoholické nápoje.</w:t>
      </w:r>
    </w:p>
    <w:p w:rsidR="000209CF" w:rsidRPr="004862A1" w:rsidP="00E32E9C">
      <w:pPr>
        <w:bidi w:val="0"/>
        <w:spacing w:after="0" w:line="240" w:lineRule="auto"/>
        <w:rPr>
          <w:rFonts w:ascii="Times New Roman" w:hAnsi="Times New Roman"/>
          <w:sz w:val="24"/>
          <w:szCs w:val="24"/>
        </w:rPr>
      </w:pPr>
    </w:p>
    <w:p w:rsidR="00521B8C" w:rsidRPr="004862A1" w:rsidP="00581F90">
      <w:pPr>
        <w:bidi w:val="0"/>
        <w:spacing w:after="0" w:line="240" w:lineRule="auto"/>
        <w:rPr>
          <w:rFonts w:ascii="Times New Roman" w:hAnsi="Times New Roman"/>
          <w:sz w:val="24"/>
          <w:szCs w:val="24"/>
        </w:rPr>
      </w:pPr>
      <w:r w:rsidRPr="004862A1" w:rsidR="00581F90">
        <w:rPr>
          <w:rFonts w:ascii="Times New Roman" w:hAnsi="Times New Roman"/>
          <w:sz w:val="24"/>
          <w:szCs w:val="24"/>
        </w:rPr>
        <w:t>K</w:t>
      </w:r>
      <w:r w:rsidRPr="004862A1" w:rsidR="00581F90">
        <w:t> </w:t>
      </w:r>
      <w:r w:rsidRPr="004862A1" w:rsidR="00581F90">
        <w:rPr>
          <w:rFonts w:ascii="Times New Roman" w:hAnsi="Times New Roman"/>
          <w:sz w:val="24"/>
          <w:szCs w:val="24"/>
        </w:rPr>
        <w:t>bodu</w:t>
      </w:r>
      <w:r w:rsidRPr="004862A1" w:rsidR="00B55188">
        <w:rPr>
          <w:rFonts w:ascii="Times New Roman" w:hAnsi="Times New Roman"/>
          <w:sz w:val="24"/>
          <w:szCs w:val="24"/>
        </w:rPr>
        <w:t xml:space="preserve"> </w:t>
      </w:r>
      <w:r w:rsidRPr="004862A1" w:rsidR="000C7E99">
        <w:rPr>
          <w:rFonts w:ascii="Times New Roman" w:hAnsi="Times New Roman"/>
          <w:sz w:val="24"/>
          <w:szCs w:val="24"/>
        </w:rPr>
        <w:t>8</w:t>
      </w:r>
      <w:r w:rsidR="00C06C05">
        <w:rPr>
          <w:rFonts w:ascii="Times New Roman" w:hAnsi="Times New Roman"/>
          <w:sz w:val="24"/>
          <w:szCs w:val="24"/>
        </w:rPr>
        <w:t>6</w:t>
      </w:r>
    </w:p>
    <w:p w:rsidR="00521B8C" w:rsidRPr="004862A1" w:rsidP="00581F90">
      <w:pPr>
        <w:bidi w:val="0"/>
        <w:spacing w:after="0" w:line="240" w:lineRule="auto"/>
        <w:rPr>
          <w:rFonts w:ascii="Times New Roman" w:hAnsi="Times New Roman"/>
          <w:sz w:val="24"/>
          <w:szCs w:val="24"/>
        </w:rPr>
      </w:pPr>
      <w:r w:rsidRPr="004862A1">
        <w:rPr>
          <w:rFonts w:ascii="Times New Roman" w:hAnsi="Times New Roman"/>
          <w:sz w:val="24"/>
          <w:szCs w:val="24"/>
        </w:rPr>
        <w:t>Navrhovaná úprava je vyvolaná aplikačnou praxou.</w:t>
      </w:r>
    </w:p>
    <w:p w:rsidR="00581F90" w:rsidP="00581F90">
      <w:pPr>
        <w:bidi w:val="0"/>
        <w:spacing w:after="0" w:line="240" w:lineRule="auto"/>
        <w:rPr>
          <w:rFonts w:ascii="Times New Roman" w:hAnsi="Times New Roman"/>
          <w:sz w:val="24"/>
          <w:szCs w:val="24"/>
        </w:rPr>
      </w:pPr>
    </w:p>
    <w:p w:rsidR="001E5B06" w:rsidRPr="004862A1" w:rsidP="00581F90">
      <w:pPr>
        <w:bidi w:val="0"/>
        <w:spacing w:after="0" w:line="240" w:lineRule="auto"/>
        <w:rPr>
          <w:rFonts w:ascii="Times New Roman" w:hAnsi="Times New Roman"/>
          <w:sz w:val="24"/>
          <w:szCs w:val="24"/>
        </w:rPr>
      </w:pPr>
    </w:p>
    <w:p w:rsidR="00CB50BF" w:rsidRPr="004862A1" w:rsidP="00CB50BF">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bodu</w:t>
      </w:r>
      <w:r w:rsidRPr="004862A1" w:rsidR="00B55188">
        <w:rPr>
          <w:rFonts w:ascii="Times New Roman" w:hAnsi="Times New Roman"/>
          <w:sz w:val="24"/>
          <w:szCs w:val="24"/>
        </w:rPr>
        <w:t xml:space="preserve"> </w:t>
      </w:r>
      <w:r w:rsidRPr="004862A1" w:rsidR="000C7E99">
        <w:rPr>
          <w:rFonts w:ascii="Times New Roman" w:hAnsi="Times New Roman"/>
          <w:sz w:val="24"/>
          <w:szCs w:val="24"/>
        </w:rPr>
        <w:t>8</w:t>
      </w:r>
      <w:r w:rsidR="00C06C05">
        <w:rPr>
          <w:rFonts w:ascii="Times New Roman" w:hAnsi="Times New Roman"/>
          <w:sz w:val="24"/>
          <w:szCs w:val="24"/>
        </w:rPr>
        <w:t>7</w:t>
      </w:r>
    </w:p>
    <w:p w:rsidR="00CB50BF" w:rsidRPr="004862A1" w:rsidP="00581F90">
      <w:pPr>
        <w:bidi w:val="0"/>
        <w:spacing w:after="0" w:line="240" w:lineRule="auto"/>
        <w:rPr>
          <w:rFonts w:ascii="Times New Roman" w:hAnsi="Times New Roman"/>
          <w:color w:val="auto"/>
          <w:sz w:val="24"/>
          <w:szCs w:val="24"/>
        </w:rPr>
      </w:pPr>
      <w:r w:rsidRPr="004862A1">
        <w:rPr>
          <w:rFonts w:ascii="Times New Roman" w:hAnsi="Times New Roman"/>
          <w:color w:val="auto"/>
          <w:sz w:val="24"/>
          <w:szCs w:val="24"/>
        </w:rPr>
        <w:t xml:space="preserve">V záujme posilnenia ochrany žrebov pred zneužitím sa navrhuje zavedenie povinného bezpečnostného prvku vo forme jedinečného kódu na overenie výhernosti žrebu, ktorý musí byť v čase predaja zakrytý stieracou vrstvou. </w:t>
      </w:r>
    </w:p>
    <w:p w:rsidR="00876433" w:rsidP="00581F90">
      <w:pPr>
        <w:bidi w:val="0"/>
        <w:spacing w:after="0" w:line="240" w:lineRule="auto"/>
        <w:rPr>
          <w:rFonts w:ascii="Times New Roman" w:hAnsi="Times New Roman"/>
          <w:sz w:val="24"/>
          <w:szCs w:val="24"/>
        </w:rPr>
      </w:pPr>
    </w:p>
    <w:p w:rsidR="001E5B06" w:rsidP="00581F90">
      <w:pPr>
        <w:bidi w:val="0"/>
        <w:spacing w:after="0" w:line="240" w:lineRule="auto"/>
        <w:rPr>
          <w:rFonts w:ascii="Times New Roman" w:hAnsi="Times New Roman"/>
          <w:sz w:val="24"/>
          <w:szCs w:val="24"/>
        </w:rPr>
      </w:pPr>
    </w:p>
    <w:p w:rsidR="001E5B06" w:rsidP="00581F90">
      <w:pPr>
        <w:bidi w:val="0"/>
        <w:spacing w:after="0" w:line="240" w:lineRule="auto"/>
        <w:rPr>
          <w:rFonts w:ascii="Times New Roman" w:hAnsi="Times New Roman"/>
          <w:sz w:val="24"/>
          <w:szCs w:val="24"/>
        </w:rPr>
      </w:pPr>
    </w:p>
    <w:p w:rsidR="00581F90" w:rsidRPr="004862A1" w:rsidP="00581F90">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bodu</w:t>
      </w:r>
      <w:r w:rsidRPr="004862A1" w:rsidR="00B55188">
        <w:rPr>
          <w:rFonts w:ascii="Times New Roman" w:hAnsi="Times New Roman"/>
          <w:sz w:val="24"/>
          <w:szCs w:val="24"/>
        </w:rPr>
        <w:t xml:space="preserve"> </w:t>
      </w:r>
      <w:r w:rsidRPr="004862A1" w:rsidR="000C7E99">
        <w:rPr>
          <w:rFonts w:ascii="Times New Roman" w:hAnsi="Times New Roman"/>
          <w:sz w:val="24"/>
          <w:szCs w:val="24"/>
        </w:rPr>
        <w:t>8</w:t>
      </w:r>
      <w:r w:rsidR="00C06C05">
        <w:rPr>
          <w:rFonts w:ascii="Times New Roman" w:hAnsi="Times New Roman"/>
          <w:sz w:val="24"/>
          <w:szCs w:val="24"/>
        </w:rPr>
        <w:t>8</w:t>
      </w:r>
    </w:p>
    <w:p w:rsidR="00521B8C"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 xml:space="preserve">Je neefektívne, aby orgán dozoru bol neustále prítomný v prevádzke, v ktorej sa žrebuje bingo alebo lotériová hra </w:t>
      </w:r>
      <w:r w:rsidR="00C06C05">
        <w:rPr>
          <w:rFonts w:ascii="Times New Roman" w:hAnsi="Times New Roman"/>
          <w:sz w:val="24"/>
          <w:szCs w:val="24"/>
        </w:rPr>
        <w:t>K</w:t>
      </w:r>
      <w:r w:rsidRPr="004862A1">
        <w:rPr>
          <w:rFonts w:ascii="Times New Roman" w:hAnsi="Times New Roman"/>
          <w:sz w:val="24"/>
          <w:szCs w:val="24"/>
        </w:rPr>
        <w:t>lub keno, ktoré prebiehajú automatizovaným generátorom náhodných čísiel a boli odborne posúdené a osvedčené poverenou skúšobňou.</w:t>
      </w:r>
    </w:p>
    <w:p w:rsidR="000C7E99" w:rsidRPr="004862A1" w:rsidP="00E32E9C">
      <w:pPr>
        <w:bidi w:val="0"/>
        <w:spacing w:after="0" w:line="240" w:lineRule="auto"/>
        <w:rPr>
          <w:rFonts w:ascii="Times New Roman" w:hAnsi="Times New Roman"/>
          <w:sz w:val="24"/>
          <w:szCs w:val="24"/>
        </w:rPr>
      </w:pPr>
    </w:p>
    <w:p w:rsidR="001E5B06" w:rsidP="00581F90">
      <w:pPr>
        <w:bidi w:val="0"/>
        <w:spacing w:after="0" w:line="240" w:lineRule="auto"/>
        <w:rPr>
          <w:rFonts w:ascii="Times New Roman" w:hAnsi="Times New Roman"/>
          <w:sz w:val="24"/>
          <w:szCs w:val="24"/>
        </w:rPr>
      </w:pPr>
    </w:p>
    <w:p w:rsidR="00581F90" w:rsidRPr="004862A1" w:rsidP="00581F90">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bodu</w:t>
      </w:r>
      <w:r w:rsidRPr="004862A1" w:rsidR="00B55188">
        <w:rPr>
          <w:rFonts w:ascii="Times New Roman" w:hAnsi="Times New Roman"/>
          <w:sz w:val="24"/>
          <w:szCs w:val="24"/>
        </w:rPr>
        <w:t xml:space="preserve"> </w:t>
      </w:r>
      <w:r w:rsidR="00C06C05">
        <w:rPr>
          <w:rFonts w:ascii="Times New Roman" w:hAnsi="Times New Roman"/>
          <w:sz w:val="24"/>
          <w:szCs w:val="24"/>
        </w:rPr>
        <w:t>8</w:t>
      </w:r>
      <w:r w:rsidRPr="004862A1" w:rsidR="00423EAD">
        <w:rPr>
          <w:rFonts w:ascii="Times New Roman" w:hAnsi="Times New Roman"/>
          <w:sz w:val="24"/>
          <w:szCs w:val="24"/>
        </w:rPr>
        <w:t>9</w:t>
      </w:r>
      <w:r w:rsidRPr="004862A1">
        <w:rPr>
          <w:rFonts w:ascii="Times New Roman" w:hAnsi="Times New Roman"/>
          <w:sz w:val="24"/>
          <w:szCs w:val="24"/>
        </w:rPr>
        <w:t xml:space="preserve"> </w:t>
      </w:r>
    </w:p>
    <w:p w:rsidR="00521B8C"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Upresnenie terminológie vo väzbe na § 4</w:t>
      </w:r>
      <w:r w:rsidRPr="004862A1" w:rsidR="007113B9">
        <w:rPr>
          <w:rFonts w:ascii="Times New Roman" w:hAnsi="Times New Roman"/>
          <w:sz w:val="24"/>
          <w:szCs w:val="24"/>
        </w:rPr>
        <w:t>3</w:t>
      </w:r>
      <w:r w:rsidRPr="004862A1">
        <w:rPr>
          <w:rFonts w:ascii="Times New Roman" w:hAnsi="Times New Roman"/>
          <w:sz w:val="24"/>
          <w:szCs w:val="24"/>
        </w:rPr>
        <w:t xml:space="preserve"> odsek 5</w:t>
      </w:r>
      <w:r w:rsidRPr="004862A1" w:rsidR="007113B9">
        <w:rPr>
          <w:rFonts w:ascii="Times New Roman" w:hAnsi="Times New Roman"/>
          <w:sz w:val="24"/>
          <w:szCs w:val="24"/>
        </w:rPr>
        <w:t xml:space="preserve"> </w:t>
      </w:r>
      <w:r w:rsidRPr="004862A1">
        <w:rPr>
          <w:rFonts w:ascii="Times New Roman" w:hAnsi="Times New Roman"/>
          <w:sz w:val="24"/>
          <w:szCs w:val="24"/>
        </w:rPr>
        <w:t>a zároveň návrh na skrátenie lehoty na znehodnotenie nepredaných žrebov z dôvodu neprimerane dlhej doby na znehodnotenie žrebov po uplynutí vyúčtovania lotériovej hry.</w:t>
      </w:r>
    </w:p>
    <w:p w:rsidR="00581F90" w:rsidRPr="004862A1" w:rsidP="00E32E9C">
      <w:pPr>
        <w:bidi w:val="0"/>
        <w:spacing w:after="0" w:line="240" w:lineRule="auto"/>
        <w:rPr>
          <w:rFonts w:ascii="Times New Roman" w:hAnsi="Times New Roman"/>
          <w:sz w:val="24"/>
          <w:szCs w:val="24"/>
        </w:rPr>
      </w:pPr>
    </w:p>
    <w:p w:rsidR="00521B8C" w:rsidRPr="004862A1" w:rsidP="00581F90">
      <w:pPr>
        <w:bidi w:val="0"/>
        <w:spacing w:after="0" w:line="240" w:lineRule="auto"/>
        <w:rPr>
          <w:rFonts w:ascii="Times New Roman" w:hAnsi="Times New Roman"/>
          <w:sz w:val="24"/>
          <w:szCs w:val="24"/>
        </w:rPr>
      </w:pPr>
      <w:r w:rsidRPr="004862A1" w:rsidR="00581F90">
        <w:rPr>
          <w:rFonts w:ascii="Times New Roman" w:hAnsi="Times New Roman"/>
          <w:sz w:val="24"/>
          <w:szCs w:val="24"/>
        </w:rPr>
        <w:t>K</w:t>
      </w:r>
      <w:r w:rsidRPr="004862A1" w:rsidR="00581F90">
        <w:t> </w:t>
      </w:r>
      <w:r w:rsidRPr="004862A1" w:rsidR="00581F90">
        <w:rPr>
          <w:rFonts w:ascii="Times New Roman" w:hAnsi="Times New Roman"/>
          <w:sz w:val="24"/>
          <w:szCs w:val="24"/>
        </w:rPr>
        <w:t>bodu</w:t>
      </w:r>
      <w:r w:rsidRPr="004862A1" w:rsidR="00B55188">
        <w:rPr>
          <w:rFonts w:ascii="Times New Roman" w:hAnsi="Times New Roman"/>
          <w:sz w:val="24"/>
          <w:szCs w:val="24"/>
        </w:rPr>
        <w:t xml:space="preserve"> 9</w:t>
      </w:r>
      <w:r w:rsidR="00C06C05">
        <w:rPr>
          <w:rFonts w:ascii="Times New Roman" w:hAnsi="Times New Roman"/>
          <w:sz w:val="24"/>
          <w:szCs w:val="24"/>
        </w:rPr>
        <w:t>0</w:t>
      </w:r>
    </w:p>
    <w:p w:rsidR="00146846"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 xml:space="preserve">Jedná sa o spresnenie vo vzťahu k hrám, ktoré sa v kasíne prevádzkujú na základe inej </w:t>
      </w:r>
      <w:r w:rsidRPr="004862A1" w:rsidR="00EB02D9">
        <w:rPr>
          <w:rFonts w:ascii="Times New Roman" w:hAnsi="Times New Roman"/>
          <w:sz w:val="24"/>
          <w:szCs w:val="24"/>
        </w:rPr>
        <w:t xml:space="preserve">individuálnej </w:t>
      </w:r>
      <w:r w:rsidRPr="004862A1">
        <w:rPr>
          <w:rFonts w:ascii="Times New Roman" w:hAnsi="Times New Roman"/>
          <w:sz w:val="24"/>
          <w:szCs w:val="24"/>
        </w:rPr>
        <w:t>licencie</w:t>
      </w:r>
      <w:r w:rsidRPr="004862A1" w:rsidR="00EB02D9">
        <w:rPr>
          <w:rFonts w:ascii="Times New Roman" w:hAnsi="Times New Roman"/>
          <w:sz w:val="24"/>
          <w:szCs w:val="24"/>
        </w:rPr>
        <w:t>, pričom sa kasíno považuje za herňu a je možné v ňom umiestniť zariadenia aj na základe individuálnej licencie na prevádzkovanie výherných prístrojov, technických zariadení obsluhovaných priamo hráčmi, videohier alebo stávkových hier</w:t>
      </w:r>
      <w:r w:rsidRPr="004862A1">
        <w:rPr>
          <w:rFonts w:ascii="Times New Roman" w:hAnsi="Times New Roman"/>
          <w:sz w:val="24"/>
          <w:szCs w:val="24"/>
        </w:rPr>
        <w:t xml:space="preserve">.  </w:t>
      </w:r>
    </w:p>
    <w:p w:rsidR="00581F90" w:rsidRPr="004862A1" w:rsidP="00E32E9C">
      <w:pPr>
        <w:bidi w:val="0"/>
        <w:spacing w:after="0" w:line="240" w:lineRule="auto"/>
        <w:rPr>
          <w:rFonts w:ascii="Times New Roman" w:hAnsi="Times New Roman"/>
          <w:sz w:val="24"/>
          <w:szCs w:val="24"/>
        </w:rPr>
      </w:pPr>
    </w:p>
    <w:p w:rsidR="00146846" w:rsidRPr="004862A1" w:rsidP="00581F90">
      <w:pPr>
        <w:bidi w:val="0"/>
        <w:spacing w:after="0" w:line="240" w:lineRule="auto"/>
        <w:rPr>
          <w:rFonts w:ascii="Times New Roman" w:hAnsi="Times New Roman"/>
          <w:sz w:val="24"/>
          <w:szCs w:val="24"/>
        </w:rPr>
      </w:pPr>
      <w:r w:rsidRPr="004862A1" w:rsidR="00581F90">
        <w:rPr>
          <w:rFonts w:ascii="Times New Roman" w:hAnsi="Times New Roman"/>
          <w:sz w:val="24"/>
          <w:szCs w:val="24"/>
        </w:rPr>
        <w:t>K</w:t>
      </w:r>
      <w:r w:rsidRPr="004862A1" w:rsidR="00581F90">
        <w:t> </w:t>
      </w:r>
      <w:r w:rsidRPr="004862A1" w:rsidR="00581F90">
        <w:rPr>
          <w:rFonts w:ascii="Times New Roman" w:hAnsi="Times New Roman"/>
          <w:sz w:val="24"/>
          <w:szCs w:val="24"/>
        </w:rPr>
        <w:t>bodu</w:t>
      </w:r>
      <w:r w:rsidRPr="004862A1" w:rsidR="00B55188">
        <w:rPr>
          <w:rFonts w:ascii="Times New Roman" w:hAnsi="Times New Roman"/>
          <w:sz w:val="24"/>
          <w:szCs w:val="24"/>
        </w:rPr>
        <w:t xml:space="preserve"> 9</w:t>
      </w:r>
      <w:r w:rsidR="00C06C05">
        <w:rPr>
          <w:rFonts w:ascii="Times New Roman" w:hAnsi="Times New Roman"/>
          <w:sz w:val="24"/>
          <w:szCs w:val="24"/>
        </w:rPr>
        <w:t>1</w:t>
      </w:r>
      <w:r w:rsidRPr="004862A1" w:rsidR="00581F90">
        <w:rPr>
          <w:rFonts w:ascii="Times New Roman" w:hAnsi="Times New Roman"/>
          <w:sz w:val="24"/>
          <w:szCs w:val="24"/>
        </w:rPr>
        <w:t xml:space="preserve"> </w:t>
      </w:r>
    </w:p>
    <w:p w:rsidR="00521B8C"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Legislatívno-gramatická úprava textu.</w:t>
      </w:r>
    </w:p>
    <w:p w:rsidR="00581F90" w:rsidRPr="004862A1" w:rsidP="00E32E9C">
      <w:pPr>
        <w:bidi w:val="0"/>
        <w:spacing w:after="0" w:line="240" w:lineRule="auto"/>
        <w:rPr>
          <w:rFonts w:ascii="Times New Roman" w:hAnsi="Times New Roman"/>
          <w:sz w:val="24"/>
          <w:szCs w:val="24"/>
        </w:rPr>
      </w:pPr>
    </w:p>
    <w:p w:rsidR="00521B8C" w:rsidRPr="004862A1" w:rsidP="00581F90">
      <w:pPr>
        <w:bidi w:val="0"/>
        <w:spacing w:after="0" w:line="240" w:lineRule="auto"/>
        <w:rPr>
          <w:rFonts w:ascii="Times New Roman" w:hAnsi="Times New Roman"/>
          <w:sz w:val="24"/>
          <w:szCs w:val="24"/>
        </w:rPr>
      </w:pPr>
      <w:r w:rsidRPr="004862A1" w:rsidR="00581F90">
        <w:rPr>
          <w:rFonts w:ascii="Times New Roman" w:hAnsi="Times New Roman"/>
          <w:sz w:val="24"/>
          <w:szCs w:val="24"/>
        </w:rPr>
        <w:t>K</w:t>
      </w:r>
      <w:r w:rsidRPr="004862A1" w:rsidR="00581F90">
        <w:t> </w:t>
      </w:r>
      <w:r w:rsidRPr="004862A1" w:rsidR="00581F90">
        <w:rPr>
          <w:rFonts w:ascii="Times New Roman" w:hAnsi="Times New Roman"/>
          <w:sz w:val="24"/>
          <w:szCs w:val="24"/>
        </w:rPr>
        <w:t>bodu</w:t>
      </w:r>
      <w:r w:rsidRPr="004862A1" w:rsidR="00B55188">
        <w:rPr>
          <w:rFonts w:ascii="Times New Roman" w:hAnsi="Times New Roman"/>
          <w:sz w:val="24"/>
          <w:szCs w:val="24"/>
        </w:rPr>
        <w:t xml:space="preserve"> </w:t>
      </w:r>
      <w:r w:rsidRPr="004862A1" w:rsidR="000C7E99">
        <w:rPr>
          <w:rFonts w:ascii="Times New Roman" w:hAnsi="Times New Roman"/>
          <w:sz w:val="24"/>
          <w:szCs w:val="24"/>
        </w:rPr>
        <w:t>9</w:t>
      </w:r>
      <w:r w:rsidR="00C06C05">
        <w:rPr>
          <w:rFonts w:ascii="Times New Roman" w:hAnsi="Times New Roman"/>
          <w:sz w:val="24"/>
          <w:szCs w:val="24"/>
        </w:rPr>
        <w:t>2</w:t>
      </w:r>
    </w:p>
    <w:p w:rsidR="00521B8C"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Upresňuje sa text pre prípad prevádzkovania hazardných hier v kasíne nielen akciovou spoločnosťou, ale aj spoločnosťou s ručením obmedzeným.</w:t>
      </w:r>
    </w:p>
    <w:p w:rsidR="00581F90" w:rsidRPr="004862A1" w:rsidP="00E32E9C">
      <w:pPr>
        <w:bidi w:val="0"/>
        <w:spacing w:after="0" w:line="240" w:lineRule="auto"/>
        <w:rPr>
          <w:rFonts w:ascii="Times New Roman" w:hAnsi="Times New Roman"/>
          <w:sz w:val="24"/>
          <w:szCs w:val="24"/>
        </w:rPr>
      </w:pPr>
    </w:p>
    <w:p w:rsidR="004674A5" w:rsidRPr="004862A1" w:rsidP="00581F90">
      <w:pPr>
        <w:bidi w:val="0"/>
        <w:spacing w:after="0" w:line="240" w:lineRule="auto"/>
        <w:rPr>
          <w:rFonts w:ascii="Times New Roman" w:hAnsi="Times New Roman"/>
          <w:sz w:val="24"/>
          <w:szCs w:val="24"/>
        </w:rPr>
      </w:pPr>
      <w:r w:rsidRPr="004862A1" w:rsidR="00581F90">
        <w:rPr>
          <w:rFonts w:ascii="Times New Roman" w:hAnsi="Times New Roman"/>
          <w:sz w:val="24"/>
          <w:szCs w:val="24"/>
        </w:rPr>
        <w:t>K</w:t>
      </w:r>
      <w:r w:rsidRPr="004862A1" w:rsidR="00581F90">
        <w:t> </w:t>
      </w:r>
      <w:r w:rsidRPr="004862A1" w:rsidR="00581F90">
        <w:rPr>
          <w:rFonts w:ascii="Times New Roman" w:hAnsi="Times New Roman"/>
          <w:sz w:val="24"/>
          <w:szCs w:val="24"/>
        </w:rPr>
        <w:t>bodu</w:t>
      </w:r>
      <w:r w:rsidRPr="004862A1" w:rsidR="00B55188">
        <w:rPr>
          <w:rFonts w:ascii="Times New Roman" w:hAnsi="Times New Roman"/>
          <w:sz w:val="24"/>
          <w:szCs w:val="24"/>
        </w:rPr>
        <w:t xml:space="preserve"> </w:t>
      </w:r>
      <w:r w:rsidRPr="004862A1" w:rsidR="00F83945">
        <w:rPr>
          <w:rFonts w:ascii="Times New Roman" w:hAnsi="Times New Roman"/>
          <w:sz w:val="24"/>
          <w:szCs w:val="24"/>
        </w:rPr>
        <w:t>9</w:t>
      </w:r>
      <w:r w:rsidR="00C06C05">
        <w:rPr>
          <w:rFonts w:ascii="Times New Roman" w:hAnsi="Times New Roman"/>
          <w:sz w:val="24"/>
          <w:szCs w:val="24"/>
        </w:rPr>
        <w:t>3</w:t>
      </w:r>
    </w:p>
    <w:p w:rsidR="00F83945" w:rsidRPr="004862A1" w:rsidP="00581F90">
      <w:pPr>
        <w:bidi w:val="0"/>
        <w:spacing w:after="0" w:line="240" w:lineRule="auto"/>
        <w:rPr>
          <w:rFonts w:ascii="Times New Roman" w:hAnsi="Times New Roman"/>
          <w:sz w:val="24"/>
          <w:szCs w:val="24"/>
        </w:rPr>
      </w:pPr>
      <w:r w:rsidRPr="004862A1" w:rsidR="00BA3348">
        <w:rPr>
          <w:rFonts w:ascii="Times New Roman" w:hAnsi="Times New Roman"/>
          <w:sz w:val="24"/>
          <w:szCs w:val="24"/>
        </w:rPr>
        <w:t xml:space="preserve">Navrhovaným znením sa zavádza zákaz prijímania stávok na </w:t>
      </w:r>
      <w:r w:rsidR="00732157">
        <w:rPr>
          <w:rFonts w:ascii="Times New Roman" w:hAnsi="Times New Roman"/>
          <w:sz w:val="24"/>
          <w:szCs w:val="24"/>
        </w:rPr>
        <w:t xml:space="preserve">výsledky číselných lotérií a na </w:t>
      </w:r>
      <w:r w:rsidRPr="004862A1" w:rsidR="00BA3348">
        <w:rPr>
          <w:rFonts w:ascii="Times New Roman" w:hAnsi="Times New Roman"/>
          <w:sz w:val="24"/>
          <w:szCs w:val="24"/>
        </w:rPr>
        <w:t xml:space="preserve">športové podujatie, ktoré sa koná na území Slovenskej republiky a je určené pre športovcov mladších ako 18 rokov. Prevádzkovateľovi sa dáva nová povinnosť bezodkladne informovať národný športový zväz príslušného športu o podozrení z manipulácie súťaže alebo podozrení z prípravy manipulácie súťaže v zmysle opatrení o proti manipulácii súťaže ustanovených v zákone  </w:t>
      </w:r>
    </w:p>
    <w:p w:rsidR="00B35E1F" w:rsidRPr="004862A1" w:rsidP="00581F90">
      <w:pPr>
        <w:bidi w:val="0"/>
        <w:spacing w:after="0" w:line="240" w:lineRule="auto"/>
        <w:rPr>
          <w:rFonts w:ascii="Times New Roman" w:hAnsi="Times New Roman"/>
          <w:sz w:val="24"/>
          <w:szCs w:val="24"/>
        </w:rPr>
      </w:pPr>
    </w:p>
    <w:p w:rsidR="00F83945" w:rsidRPr="004862A1" w:rsidP="00581F90">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bodu 9</w:t>
      </w:r>
      <w:r w:rsidR="00C06C05">
        <w:rPr>
          <w:rFonts w:ascii="Times New Roman" w:hAnsi="Times New Roman"/>
          <w:sz w:val="24"/>
          <w:szCs w:val="24"/>
        </w:rPr>
        <w:t>4</w:t>
      </w:r>
    </w:p>
    <w:p w:rsidR="00F83945" w:rsidRPr="004862A1" w:rsidP="00581F90">
      <w:pPr>
        <w:bidi w:val="0"/>
        <w:spacing w:after="0" w:line="240" w:lineRule="auto"/>
        <w:rPr>
          <w:rFonts w:ascii="Times New Roman" w:hAnsi="Times New Roman"/>
          <w:sz w:val="24"/>
          <w:szCs w:val="24"/>
        </w:rPr>
      </w:pPr>
      <w:r w:rsidRPr="004862A1">
        <w:rPr>
          <w:rFonts w:ascii="Times New Roman" w:hAnsi="Times New Roman"/>
          <w:sz w:val="24"/>
          <w:szCs w:val="24"/>
        </w:rPr>
        <w:t>Legislatívno-technická úprava.</w:t>
      </w:r>
    </w:p>
    <w:p w:rsidR="00F83945" w:rsidRPr="004862A1" w:rsidP="00581F90">
      <w:pPr>
        <w:bidi w:val="0"/>
        <w:spacing w:after="0" w:line="240" w:lineRule="auto"/>
        <w:rPr>
          <w:rFonts w:ascii="Times New Roman" w:hAnsi="Times New Roman"/>
          <w:sz w:val="24"/>
          <w:szCs w:val="24"/>
        </w:rPr>
      </w:pPr>
    </w:p>
    <w:p w:rsidR="00F83945" w:rsidP="00F83945">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bodu 9</w:t>
      </w:r>
      <w:r w:rsidR="00732157">
        <w:rPr>
          <w:rFonts w:ascii="Times New Roman" w:hAnsi="Times New Roman"/>
          <w:sz w:val="24"/>
          <w:szCs w:val="24"/>
        </w:rPr>
        <w:t>5</w:t>
      </w:r>
    </w:p>
    <w:p w:rsidR="00732157" w:rsidP="00F83945">
      <w:pPr>
        <w:bidi w:val="0"/>
        <w:spacing w:after="0" w:line="240" w:lineRule="auto"/>
        <w:rPr>
          <w:rFonts w:ascii="Times New Roman" w:hAnsi="Times New Roman"/>
          <w:sz w:val="24"/>
          <w:szCs w:val="24"/>
        </w:rPr>
      </w:pPr>
      <w:r w:rsidR="00230CC2">
        <w:rPr>
          <w:rFonts w:ascii="Times New Roman" w:hAnsi="Times New Roman"/>
          <w:sz w:val="24"/>
          <w:szCs w:val="24"/>
        </w:rPr>
        <w:t xml:space="preserve">Z dôvodu vyššej právnej istoty sa zavádza ustanovenie, na základe ktorého nemožno udeliť licenciu na prevádzkovanie hazardných hier tzv. bližšie „nešpecifikovaných“ (§ 3 písm. i),  ktoré sú zameniteľné alebo podobné štátnej lotérii,  inej spoločnosti, ako národnej lotériovej spoločnosti.   </w:t>
      </w:r>
    </w:p>
    <w:p w:rsidR="002F2286" w:rsidP="00F83945">
      <w:pPr>
        <w:bidi w:val="0"/>
        <w:spacing w:after="0" w:line="240" w:lineRule="auto"/>
        <w:rPr>
          <w:rFonts w:ascii="Times New Roman" w:hAnsi="Times New Roman"/>
          <w:sz w:val="24"/>
          <w:szCs w:val="24"/>
        </w:rPr>
      </w:pPr>
      <w:r>
        <w:rPr>
          <w:rFonts w:ascii="Times New Roman" w:hAnsi="Times New Roman"/>
          <w:sz w:val="24"/>
          <w:szCs w:val="24"/>
        </w:rPr>
        <w:t xml:space="preserve"> </w:t>
      </w:r>
    </w:p>
    <w:p w:rsidR="00732157" w:rsidP="00732157">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bodu 9</w:t>
      </w:r>
      <w:r>
        <w:rPr>
          <w:rFonts w:ascii="Times New Roman" w:hAnsi="Times New Roman"/>
          <w:sz w:val="24"/>
          <w:szCs w:val="24"/>
        </w:rPr>
        <w:t>6</w:t>
      </w:r>
    </w:p>
    <w:p w:rsidR="00856E2D" w:rsidRPr="004862A1" w:rsidP="00856E2D">
      <w:pPr>
        <w:bidi w:val="0"/>
        <w:spacing w:after="0" w:line="240" w:lineRule="auto"/>
        <w:rPr>
          <w:rFonts w:ascii="Times New Roman" w:hAnsi="Times New Roman"/>
          <w:sz w:val="24"/>
          <w:szCs w:val="24"/>
          <w:lang w:eastAsia="sk-SK"/>
        </w:rPr>
      </w:pPr>
      <w:r w:rsidRPr="004862A1" w:rsidR="00521B8C">
        <w:rPr>
          <w:rFonts w:ascii="Times New Roman" w:hAnsi="Times New Roman"/>
          <w:sz w:val="24"/>
          <w:szCs w:val="24"/>
        </w:rPr>
        <w:t xml:space="preserve">Úprava </w:t>
      </w:r>
      <w:r w:rsidRPr="004862A1" w:rsidR="00F83945">
        <w:rPr>
          <w:rFonts w:ascii="Times New Roman" w:hAnsi="Times New Roman"/>
          <w:sz w:val="24"/>
          <w:szCs w:val="24"/>
        </w:rPr>
        <w:t xml:space="preserve">§ 54 až 56 </w:t>
      </w:r>
      <w:r w:rsidRPr="004862A1" w:rsidR="00521B8C">
        <w:rPr>
          <w:rFonts w:ascii="Times New Roman" w:hAnsi="Times New Roman"/>
          <w:sz w:val="24"/>
          <w:szCs w:val="24"/>
        </w:rPr>
        <w:t>je vyvolaná novými ustanoveniami, upravujúcimi orgán</w:t>
      </w:r>
      <w:r w:rsidRPr="004862A1" w:rsidR="00F04EF6">
        <w:rPr>
          <w:rFonts w:ascii="Times New Roman" w:hAnsi="Times New Roman"/>
          <w:sz w:val="24"/>
          <w:szCs w:val="24"/>
        </w:rPr>
        <w:t xml:space="preserve">y </w:t>
      </w:r>
      <w:r w:rsidRPr="004862A1" w:rsidR="00521B8C">
        <w:rPr>
          <w:rFonts w:ascii="Times New Roman" w:hAnsi="Times New Roman"/>
          <w:sz w:val="24"/>
          <w:szCs w:val="24"/>
        </w:rPr>
        <w:t>dozoru a správcu odvodu. Okrem legislatívno-technickej úpravy paragrafového znenia sa</w:t>
      </w:r>
      <w:r w:rsidRPr="004862A1" w:rsidR="00154B50">
        <w:rPr>
          <w:rFonts w:ascii="Times New Roman" w:hAnsi="Times New Roman"/>
          <w:sz w:val="24"/>
          <w:szCs w:val="24"/>
        </w:rPr>
        <w:t xml:space="preserve"> upravuje rozsah sankcií za porušenie </w:t>
      </w:r>
      <w:r w:rsidRPr="004862A1" w:rsidR="00154B50">
        <w:rPr>
          <w:rFonts w:ascii="Times New Roman" w:hAnsi="Times New Roman"/>
          <w:sz w:val="24"/>
          <w:szCs w:val="24"/>
          <w:lang w:eastAsia="sk-SK"/>
        </w:rPr>
        <w:t xml:space="preserve">ustanovení zákona, osobitých </w:t>
      </w:r>
      <w:r w:rsidRPr="004862A1" w:rsidR="00F04EF6">
        <w:rPr>
          <w:rFonts w:ascii="Times New Roman" w:hAnsi="Times New Roman"/>
          <w:sz w:val="24"/>
          <w:szCs w:val="24"/>
          <w:lang w:eastAsia="sk-SK"/>
        </w:rPr>
        <w:t>predpisov</w:t>
      </w:r>
      <w:r w:rsidRPr="004862A1" w:rsidR="00154B50">
        <w:rPr>
          <w:rFonts w:ascii="Times New Roman" w:hAnsi="Times New Roman"/>
          <w:sz w:val="24"/>
          <w:szCs w:val="24"/>
          <w:lang w:eastAsia="sk-SK"/>
        </w:rPr>
        <w:t xml:space="preserve"> a iných všeobecne záväzných právnych predpisov, ktoré sa vzťahujú na prevádzkovanie hazardných hier, propagovanie hazardných hier, podmienok prevádzkovania hazardných hier podľa udelenej alebo vydanej licencie, povinnosti podľa herného plánu vrátane pravidiel hazardných hier alebo neplnenie povinnosti uložených právoplatným rozhodnutím orgán</w:t>
      </w:r>
      <w:r w:rsidRPr="004862A1" w:rsidR="00F04EF6">
        <w:rPr>
          <w:rFonts w:ascii="Times New Roman" w:hAnsi="Times New Roman"/>
          <w:sz w:val="24"/>
          <w:szCs w:val="24"/>
          <w:lang w:eastAsia="sk-SK"/>
        </w:rPr>
        <w:t>mi</w:t>
      </w:r>
      <w:r w:rsidRPr="004862A1" w:rsidR="00154B50">
        <w:rPr>
          <w:rFonts w:ascii="Times New Roman" w:hAnsi="Times New Roman"/>
          <w:sz w:val="24"/>
          <w:szCs w:val="24"/>
          <w:lang w:eastAsia="sk-SK"/>
        </w:rPr>
        <w:t xml:space="preserve"> dozoru</w:t>
      </w:r>
      <w:r w:rsidRPr="004862A1" w:rsidR="00154B50">
        <w:rPr>
          <w:rFonts w:ascii="Times New Roman" w:hAnsi="Times New Roman"/>
          <w:sz w:val="24"/>
          <w:szCs w:val="24"/>
        </w:rPr>
        <w:t xml:space="preserve">, pričom pri </w:t>
      </w:r>
      <w:r w:rsidRPr="004862A1" w:rsidR="00154B50">
        <w:rPr>
          <w:rFonts w:ascii="Times New Roman" w:hAnsi="Times New Roman"/>
          <w:sz w:val="24"/>
          <w:szCs w:val="24"/>
          <w:lang w:eastAsia="sk-SK"/>
        </w:rPr>
        <w:t>ukladaní sankcií orgán</w:t>
      </w:r>
      <w:r w:rsidRPr="004862A1" w:rsidR="00F04EF6">
        <w:rPr>
          <w:rFonts w:ascii="Times New Roman" w:hAnsi="Times New Roman"/>
          <w:sz w:val="24"/>
          <w:szCs w:val="24"/>
          <w:lang w:eastAsia="sk-SK"/>
        </w:rPr>
        <w:t>y</w:t>
      </w:r>
      <w:r w:rsidRPr="004862A1" w:rsidR="00154B50">
        <w:rPr>
          <w:rFonts w:ascii="Times New Roman" w:hAnsi="Times New Roman"/>
          <w:sz w:val="24"/>
          <w:szCs w:val="24"/>
          <w:lang w:eastAsia="sk-SK"/>
        </w:rPr>
        <w:t xml:space="preserve"> dozoru vychádza</w:t>
      </w:r>
      <w:r w:rsidRPr="004862A1" w:rsidR="00F04EF6">
        <w:rPr>
          <w:rFonts w:ascii="Times New Roman" w:hAnsi="Times New Roman"/>
          <w:sz w:val="24"/>
          <w:szCs w:val="24"/>
          <w:lang w:eastAsia="sk-SK"/>
        </w:rPr>
        <w:t>jú</w:t>
      </w:r>
      <w:r w:rsidRPr="004862A1" w:rsidR="00154B50">
        <w:rPr>
          <w:rFonts w:ascii="Times New Roman" w:hAnsi="Times New Roman"/>
          <w:sz w:val="24"/>
          <w:szCs w:val="24"/>
          <w:lang w:eastAsia="sk-SK"/>
        </w:rPr>
        <w:t xml:space="preserve"> z povahy, závažnosti, spôsobu, miery zavinenia, dĺžky trvania a následkov porušenia povinností</w:t>
      </w:r>
      <w:r w:rsidRPr="004862A1" w:rsidR="00876433">
        <w:rPr>
          <w:rFonts w:ascii="Times New Roman" w:hAnsi="Times New Roman"/>
          <w:sz w:val="24"/>
          <w:szCs w:val="24"/>
          <w:lang w:eastAsia="sk-SK"/>
        </w:rPr>
        <w:t xml:space="preserve"> a</w:t>
      </w:r>
      <w:r w:rsidRPr="004862A1" w:rsidR="00154B50">
        <w:rPr>
          <w:rFonts w:ascii="Times New Roman" w:hAnsi="Times New Roman"/>
          <w:sz w:val="24"/>
          <w:szCs w:val="24"/>
          <w:lang w:eastAsia="sk-SK"/>
        </w:rPr>
        <w:t xml:space="preserve"> pri uložení výšky sankcie zohľadn</w:t>
      </w:r>
      <w:r w:rsidRPr="004862A1" w:rsidR="00F04EF6">
        <w:rPr>
          <w:rFonts w:ascii="Times New Roman" w:hAnsi="Times New Roman"/>
          <w:sz w:val="24"/>
          <w:szCs w:val="24"/>
          <w:lang w:eastAsia="sk-SK"/>
        </w:rPr>
        <w:t>ia</w:t>
      </w:r>
      <w:r w:rsidRPr="004862A1" w:rsidR="00154B50">
        <w:rPr>
          <w:rFonts w:ascii="Times New Roman" w:hAnsi="Times New Roman"/>
          <w:sz w:val="24"/>
          <w:szCs w:val="24"/>
          <w:lang w:eastAsia="sk-SK"/>
        </w:rPr>
        <w:t xml:space="preserve"> skutočnosť, že dozorovaný subjekt, resp. iné osoby vymedzené v príslušnom ustanovení do vydania rozhodnutia o sankcii sami zistili porušenie povinnosti a obnovili právny stav. Toto ustanovenie zároveň upravuje lehotu ukladania sankcií, postup pri opätovnom porušení povinností zo strany dozorovaného subjektu a splatnosť pokút. Zároveň sa ustanovuje, aby pokuty za priestupky a pokuty za správne delikty spravoval Úr</w:t>
      </w:r>
      <w:r w:rsidRPr="004862A1" w:rsidR="00D77034">
        <w:rPr>
          <w:rFonts w:ascii="Times New Roman" w:hAnsi="Times New Roman"/>
          <w:sz w:val="24"/>
          <w:szCs w:val="24"/>
          <w:lang w:eastAsia="sk-SK"/>
        </w:rPr>
        <w:t>a</w:t>
      </w:r>
      <w:r w:rsidRPr="004862A1" w:rsidR="00154B50">
        <w:rPr>
          <w:rFonts w:ascii="Times New Roman" w:hAnsi="Times New Roman"/>
          <w:sz w:val="24"/>
          <w:szCs w:val="24"/>
          <w:lang w:eastAsia="sk-SK"/>
        </w:rPr>
        <w:t>d vládneho auditu</w:t>
      </w:r>
      <w:r w:rsidRPr="004862A1" w:rsidR="00F04EF6">
        <w:rPr>
          <w:rFonts w:ascii="Times New Roman" w:hAnsi="Times New Roman"/>
          <w:sz w:val="24"/>
          <w:szCs w:val="24"/>
          <w:lang w:eastAsia="sk-SK"/>
        </w:rPr>
        <w:t>, okrem pokút uloženým daňovým úradom, a to</w:t>
      </w:r>
      <w:r w:rsidRPr="004862A1" w:rsidR="008A0A81">
        <w:rPr>
          <w:rFonts w:ascii="Times New Roman" w:hAnsi="Times New Roman"/>
          <w:sz w:val="24"/>
          <w:szCs w:val="24"/>
          <w:lang w:eastAsia="sk-SK"/>
        </w:rPr>
        <w:t xml:space="preserve"> z </w:t>
      </w:r>
      <w:r w:rsidRPr="004862A1">
        <w:rPr>
          <w:rFonts w:ascii="Times New Roman" w:hAnsi="Times New Roman"/>
          <w:sz w:val="24"/>
          <w:szCs w:val="24"/>
          <w:lang w:eastAsia="sk-SK"/>
        </w:rPr>
        <w:t>dôvodu, že tento úrad spravuje už v súčasnosti pokuty, ktoré sú príjmom štátneho rozpočtu a ktoré udelilo ministerstv</w:t>
      </w:r>
      <w:r w:rsidRPr="004862A1" w:rsidR="003B16BA">
        <w:rPr>
          <w:rFonts w:ascii="Times New Roman" w:hAnsi="Times New Roman"/>
          <w:sz w:val="24"/>
          <w:szCs w:val="24"/>
          <w:lang w:eastAsia="sk-SK"/>
        </w:rPr>
        <w:t>o alebo NBS ako devízové orgány alebo</w:t>
      </w:r>
      <w:r w:rsidRPr="004862A1">
        <w:rPr>
          <w:rFonts w:ascii="Times New Roman" w:hAnsi="Times New Roman"/>
          <w:sz w:val="24"/>
          <w:szCs w:val="24"/>
          <w:lang w:eastAsia="sk-SK"/>
        </w:rPr>
        <w:t xml:space="preserve"> pokuty, ktoré sú príjmom štátneho rozpočtu a ktoré udelila NBS v rámci dohľadu nad finančným trhom. </w:t>
      </w:r>
    </w:p>
    <w:p w:rsidR="00581F90" w:rsidRPr="004862A1" w:rsidP="00E32E9C">
      <w:pPr>
        <w:bidi w:val="0"/>
        <w:spacing w:after="0" w:line="240" w:lineRule="auto"/>
        <w:rPr>
          <w:rFonts w:ascii="Times New Roman" w:hAnsi="Times New Roman"/>
          <w:sz w:val="24"/>
          <w:szCs w:val="24"/>
        </w:rPr>
      </w:pPr>
      <w:r w:rsidRPr="004862A1" w:rsidR="00154B50">
        <w:rPr>
          <w:rFonts w:ascii="Times New Roman" w:hAnsi="Times New Roman"/>
          <w:sz w:val="24"/>
          <w:szCs w:val="24"/>
        </w:rPr>
        <w:t xml:space="preserve">Návrh úpravy </w:t>
      </w:r>
      <w:r w:rsidRPr="004862A1" w:rsidR="005818A9">
        <w:rPr>
          <w:rFonts w:ascii="Times New Roman" w:hAnsi="Times New Roman"/>
          <w:sz w:val="24"/>
          <w:szCs w:val="24"/>
        </w:rPr>
        <w:t xml:space="preserve">§ 55 </w:t>
      </w:r>
      <w:r w:rsidRPr="004862A1" w:rsidR="00154B50">
        <w:rPr>
          <w:rFonts w:ascii="Times New Roman" w:hAnsi="Times New Roman"/>
          <w:sz w:val="24"/>
          <w:szCs w:val="24"/>
        </w:rPr>
        <w:t>vyplýva z aplikačnej praxe, na základe ktorej sa navrhuje úprava pokút za priestupky, ktor</w:t>
      </w:r>
      <w:r w:rsidRPr="004862A1" w:rsidR="00CB50BF">
        <w:rPr>
          <w:rFonts w:ascii="Times New Roman" w:hAnsi="Times New Roman"/>
          <w:sz w:val="24"/>
          <w:szCs w:val="24"/>
        </w:rPr>
        <w:t>ých</w:t>
      </w:r>
      <w:r w:rsidRPr="004862A1" w:rsidR="00154B50">
        <w:rPr>
          <w:rFonts w:ascii="Times New Roman" w:hAnsi="Times New Roman"/>
          <w:sz w:val="24"/>
          <w:szCs w:val="24"/>
        </w:rPr>
        <w:t xml:space="preserve"> sa dopustí fyzická osoba, ktorá je dozorovaným subjektom podľa príslušných ustanovení zákona.</w:t>
      </w:r>
    </w:p>
    <w:p w:rsidR="00CC0E93" w:rsidP="006C4A42">
      <w:pPr>
        <w:bidi w:val="0"/>
        <w:spacing w:after="0" w:line="240" w:lineRule="auto"/>
        <w:rPr>
          <w:rFonts w:ascii="Times New Roman" w:hAnsi="Times New Roman"/>
          <w:sz w:val="24"/>
          <w:szCs w:val="24"/>
        </w:rPr>
      </w:pPr>
      <w:r w:rsidRPr="004862A1" w:rsidR="00C44310">
        <w:rPr>
          <w:rFonts w:ascii="Times New Roman" w:hAnsi="Times New Roman"/>
          <w:sz w:val="24"/>
          <w:szCs w:val="24"/>
        </w:rPr>
        <w:t xml:space="preserve">Návrh úpravy </w:t>
      </w:r>
      <w:r w:rsidRPr="004862A1" w:rsidR="005818A9">
        <w:rPr>
          <w:rFonts w:ascii="Times New Roman" w:hAnsi="Times New Roman"/>
          <w:sz w:val="24"/>
          <w:szCs w:val="24"/>
        </w:rPr>
        <w:t xml:space="preserve">§ 56 </w:t>
      </w:r>
      <w:r w:rsidRPr="004862A1" w:rsidR="00C44310">
        <w:rPr>
          <w:rFonts w:ascii="Times New Roman" w:hAnsi="Times New Roman"/>
          <w:sz w:val="24"/>
          <w:szCs w:val="24"/>
        </w:rPr>
        <w:t>vyplýva z aplikačnej praxe, pretože s</w:t>
      </w:r>
      <w:r w:rsidRPr="004862A1" w:rsidR="00521B8C">
        <w:rPr>
          <w:rFonts w:ascii="Times New Roman" w:hAnsi="Times New Roman"/>
          <w:sz w:val="24"/>
          <w:szCs w:val="24"/>
        </w:rPr>
        <w:t xml:space="preserve">účasné nastavenie sankčného mechanizmu neposkytuje priestor na jednoznačnosť výkladu a postupu v jeho uplatňovaní. </w:t>
      </w:r>
      <w:r w:rsidRPr="004862A1" w:rsidR="008A0A81">
        <w:rPr>
          <w:rFonts w:ascii="Times New Roman" w:hAnsi="Times New Roman"/>
          <w:sz w:val="24"/>
          <w:szCs w:val="24"/>
        </w:rPr>
        <w:t xml:space="preserve">Taktiež na základe poznatkov z aplikačnej praxe sa navrhuje </w:t>
      </w:r>
      <w:r w:rsidRPr="004862A1" w:rsidR="00521B8C">
        <w:rPr>
          <w:rFonts w:ascii="Times New Roman" w:hAnsi="Times New Roman"/>
          <w:sz w:val="24"/>
          <w:szCs w:val="24"/>
        </w:rPr>
        <w:t xml:space="preserve">upraviť rozmedzie </w:t>
      </w:r>
      <w:r w:rsidRPr="004862A1" w:rsidR="00154B50">
        <w:rPr>
          <w:rFonts w:ascii="Times New Roman" w:hAnsi="Times New Roman"/>
          <w:sz w:val="24"/>
          <w:szCs w:val="24"/>
        </w:rPr>
        <w:t>a</w:t>
      </w:r>
      <w:r w:rsidRPr="004862A1" w:rsidR="00521B8C">
        <w:rPr>
          <w:rFonts w:ascii="Times New Roman" w:hAnsi="Times New Roman"/>
          <w:sz w:val="24"/>
          <w:szCs w:val="24"/>
        </w:rPr>
        <w:t xml:space="preserve"> zav</w:t>
      </w:r>
      <w:r w:rsidRPr="004862A1" w:rsidR="008A0A81">
        <w:rPr>
          <w:rFonts w:ascii="Times New Roman" w:hAnsi="Times New Roman"/>
          <w:sz w:val="24"/>
          <w:szCs w:val="24"/>
        </w:rPr>
        <w:t>iesť</w:t>
      </w:r>
      <w:r w:rsidRPr="004862A1" w:rsidR="00C44310">
        <w:rPr>
          <w:rFonts w:ascii="Times New Roman" w:hAnsi="Times New Roman"/>
          <w:sz w:val="24"/>
          <w:szCs w:val="24"/>
        </w:rPr>
        <w:t xml:space="preserve"> </w:t>
      </w:r>
      <w:r w:rsidRPr="004862A1" w:rsidR="00521B8C">
        <w:rPr>
          <w:rFonts w:ascii="Times New Roman" w:hAnsi="Times New Roman"/>
          <w:sz w:val="24"/>
          <w:szCs w:val="24"/>
        </w:rPr>
        <w:t>nové druhy pokút.</w:t>
      </w:r>
    </w:p>
    <w:p w:rsidR="001E5B06" w:rsidRPr="004862A1" w:rsidP="006C4A42">
      <w:pPr>
        <w:bidi w:val="0"/>
        <w:spacing w:after="0" w:line="240" w:lineRule="auto"/>
        <w:rPr>
          <w:rFonts w:ascii="Times New Roman" w:hAnsi="Times New Roman"/>
          <w:sz w:val="24"/>
          <w:szCs w:val="24"/>
        </w:rPr>
      </w:pPr>
    </w:p>
    <w:p w:rsidR="006C4A42" w:rsidRPr="004862A1" w:rsidP="006C4A42">
      <w:pPr>
        <w:bidi w:val="0"/>
        <w:spacing w:after="0" w:line="240" w:lineRule="auto"/>
        <w:rPr>
          <w:rFonts w:ascii="Times New Roman" w:hAnsi="Times New Roman"/>
          <w:sz w:val="24"/>
          <w:szCs w:val="24"/>
        </w:rPr>
      </w:pPr>
    </w:p>
    <w:p w:rsidR="006C4A42" w:rsidRPr="004862A1" w:rsidP="006C4A42">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bodu</w:t>
      </w:r>
      <w:r w:rsidRPr="004862A1" w:rsidR="00B55188">
        <w:rPr>
          <w:rFonts w:ascii="Times New Roman" w:hAnsi="Times New Roman"/>
          <w:sz w:val="24"/>
          <w:szCs w:val="24"/>
        </w:rPr>
        <w:t xml:space="preserve"> </w:t>
      </w:r>
      <w:r w:rsidRPr="004862A1" w:rsidR="00F83945">
        <w:rPr>
          <w:rFonts w:ascii="Times New Roman" w:hAnsi="Times New Roman"/>
          <w:sz w:val="24"/>
          <w:szCs w:val="24"/>
        </w:rPr>
        <w:t>9</w:t>
      </w:r>
      <w:r w:rsidRPr="004862A1" w:rsidR="00423EAD">
        <w:rPr>
          <w:rFonts w:ascii="Times New Roman" w:hAnsi="Times New Roman"/>
          <w:sz w:val="24"/>
          <w:szCs w:val="24"/>
        </w:rPr>
        <w:t>7</w:t>
      </w:r>
    </w:p>
    <w:p w:rsidR="00852A47" w:rsidP="00E570DA">
      <w:pPr>
        <w:bidi w:val="0"/>
        <w:rPr>
          <w:rFonts w:ascii="Times New Roman" w:hAnsi="Times New Roman"/>
          <w:sz w:val="24"/>
          <w:szCs w:val="24"/>
        </w:rPr>
      </w:pPr>
      <w:r w:rsidRPr="004862A1" w:rsidR="00CC0E93">
        <w:rPr>
          <w:rFonts w:ascii="Times New Roman" w:hAnsi="Times New Roman"/>
          <w:sz w:val="24"/>
          <w:szCs w:val="24"/>
        </w:rPr>
        <w:t>Legislatívno-technická úprava.</w:t>
      </w:r>
    </w:p>
    <w:p w:rsidR="006C4A42" w:rsidRPr="004862A1" w:rsidP="006C4A42">
      <w:pPr>
        <w:bidi w:val="0"/>
        <w:spacing w:after="0" w:line="240" w:lineRule="auto"/>
        <w:rPr>
          <w:rFonts w:ascii="Times New Roman" w:hAnsi="Times New Roman"/>
          <w:sz w:val="24"/>
          <w:szCs w:val="24"/>
        </w:rPr>
      </w:pPr>
      <w:r w:rsidRPr="004862A1">
        <w:rPr>
          <w:rFonts w:ascii="Times New Roman" w:hAnsi="Times New Roman"/>
          <w:sz w:val="24"/>
          <w:szCs w:val="24"/>
        </w:rPr>
        <w:t xml:space="preserve">K bodu </w:t>
      </w:r>
      <w:r w:rsidRPr="004862A1" w:rsidR="00F83945">
        <w:rPr>
          <w:rFonts w:ascii="Times New Roman" w:hAnsi="Times New Roman"/>
          <w:sz w:val="24"/>
          <w:szCs w:val="24"/>
        </w:rPr>
        <w:t>9</w:t>
      </w:r>
      <w:r w:rsidRPr="004862A1" w:rsidR="00423EAD">
        <w:rPr>
          <w:rFonts w:ascii="Times New Roman" w:hAnsi="Times New Roman"/>
          <w:sz w:val="24"/>
          <w:szCs w:val="24"/>
        </w:rPr>
        <w:t>8</w:t>
      </w:r>
    </w:p>
    <w:p w:rsidR="00CC0E93" w:rsidRPr="004862A1" w:rsidP="006C4A42">
      <w:pPr>
        <w:bidi w:val="0"/>
        <w:spacing w:after="0" w:line="240" w:lineRule="auto"/>
        <w:rPr>
          <w:rFonts w:ascii="Times New Roman" w:hAnsi="Times New Roman"/>
          <w:sz w:val="24"/>
          <w:szCs w:val="24"/>
        </w:rPr>
      </w:pPr>
      <w:r w:rsidRPr="004862A1" w:rsidR="00852A47">
        <w:rPr>
          <w:rFonts w:ascii="Times New Roman" w:hAnsi="Times New Roman"/>
          <w:sz w:val="24"/>
          <w:szCs w:val="24"/>
        </w:rPr>
        <w:t>Legislatívno-technická úprava.</w:t>
      </w:r>
    </w:p>
    <w:p w:rsidR="00004ABC" w:rsidRPr="004862A1" w:rsidP="006C4A42">
      <w:pPr>
        <w:bidi w:val="0"/>
        <w:spacing w:after="0" w:line="240" w:lineRule="auto"/>
        <w:rPr>
          <w:rFonts w:ascii="Times New Roman" w:hAnsi="Times New Roman"/>
          <w:sz w:val="24"/>
          <w:szCs w:val="24"/>
        </w:rPr>
      </w:pPr>
    </w:p>
    <w:p w:rsidR="00521B8C" w:rsidRPr="004862A1" w:rsidP="006C4A42">
      <w:pPr>
        <w:bidi w:val="0"/>
        <w:spacing w:after="0" w:line="240" w:lineRule="auto"/>
        <w:rPr>
          <w:rFonts w:ascii="Times New Roman" w:hAnsi="Times New Roman"/>
          <w:sz w:val="24"/>
          <w:szCs w:val="24"/>
        </w:rPr>
      </w:pPr>
      <w:r w:rsidRPr="004862A1" w:rsidR="006C4A42">
        <w:rPr>
          <w:rFonts w:ascii="Times New Roman" w:hAnsi="Times New Roman"/>
          <w:sz w:val="24"/>
          <w:szCs w:val="24"/>
        </w:rPr>
        <w:t>K</w:t>
      </w:r>
      <w:r w:rsidRPr="004862A1" w:rsidR="006C4A42">
        <w:t> </w:t>
      </w:r>
      <w:r w:rsidRPr="004862A1" w:rsidR="006C4A42">
        <w:rPr>
          <w:rFonts w:ascii="Times New Roman" w:hAnsi="Times New Roman"/>
          <w:sz w:val="24"/>
          <w:szCs w:val="24"/>
        </w:rPr>
        <w:t xml:space="preserve">bodu </w:t>
      </w:r>
      <w:r w:rsidRPr="004862A1" w:rsidR="00F83945">
        <w:rPr>
          <w:rFonts w:ascii="Times New Roman" w:hAnsi="Times New Roman"/>
          <w:sz w:val="24"/>
          <w:szCs w:val="24"/>
        </w:rPr>
        <w:t>9</w:t>
      </w:r>
      <w:r w:rsidRPr="004862A1" w:rsidR="00423EAD">
        <w:rPr>
          <w:rFonts w:ascii="Times New Roman" w:hAnsi="Times New Roman"/>
          <w:sz w:val="24"/>
          <w:szCs w:val="24"/>
        </w:rPr>
        <w:t>9</w:t>
      </w:r>
    </w:p>
    <w:p w:rsidR="009E1DF1"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Jednoznačné zadefinovanie výkonu dozoru mimo procesov správneho konania a taktiež aj zápis fyzických osôb do registra</w:t>
      </w:r>
      <w:r w:rsidRPr="004862A1" w:rsidR="00F04EF6">
        <w:rPr>
          <w:rFonts w:ascii="Times New Roman" w:hAnsi="Times New Roman"/>
          <w:sz w:val="24"/>
          <w:szCs w:val="24"/>
        </w:rPr>
        <w:t xml:space="preserve"> vylúčených osôb a výmaz z tohto</w:t>
      </w:r>
      <w:r w:rsidRPr="004862A1">
        <w:rPr>
          <w:rFonts w:ascii="Times New Roman" w:hAnsi="Times New Roman"/>
          <w:sz w:val="24"/>
          <w:szCs w:val="24"/>
        </w:rPr>
        <w:t xml:space="preserve"> registra.</w:t>
      </w:r>
    </w:p>
    <w:p w:rsidR="00852A47" w:rsidRPr="004862A1" w:rsidP="00171063">
      <w:pPr>
        <w:pStyle w:val="Heading2"/>
        <w:bidi w:val="0"/>
        <w:rPr>
          <w:rFonts w:ascii="Times New Roman" w:hAnsi="Times New Roman"/>
        </w:rPr>
      </w:pPr>
    </w:p>
    <w:p w:rsidR="006C4A42" w:rsidRPr="004862A1" w:rsidP="006C4A42">
      <w:pPr>
        <w:bidi w:val="0"/>
        <w:spacing w:after="0" w:line="240" w:lineRule="auto"/>
        <w:rPr>
          <w:rFonts w:ascii="Times New Roman" w:hAnsi="Times New Roman"/>
          <w:sz w:val="24"/>
          <w:szCs w:val="24"/>
        </w:rPr>
      </w:pPr>
      <w:r w:rsidRPr="004862A1">
        <w:rPr>
          <w:rFonts w:ascii="Times New Roman" w:hAnsi="Times New Roman"/>
          <w:sz w:val="24"/>
          <w:szCs w:val="24"/>
        </w:rPr>
        <w:t>K</w:t>
      </w:r>
      <w:r w:rsidRPr="004862A1">
        <w:t> </w:t>
      </w:r>
      <w:r w:rsidRPr="004862A1">
        <w:rPr>
          <w:rFonts w:ascii="Times New Roman" w:hAnsi="Times New Roman"/>
          <w:sz w:val="24"/>
          <w:szCs w:val="24"/>
        </w:rPr>
        <w:t xml:space="preserve">bodu </w:t>
      </w:r>
      <w:r w:rsidRPr="004862A1" w:rsidR="00423EAD">
        <w:rPr>
          <w:rFonts w:ascii="Times New Roman" w:hAnsi="Times New Roman"/>
          <w:sz w:val="24"/>
          <w:szCs w:val="24"/>
        </w:rPr>
        <w:t>100</w:t>
      </w:r>
    </w:p>
    <w:p w:rsidR="009E1DF1" w:rsidP="00E32E9C">
      <w:pPr>
        <w:bidi w:val="0"/>
        <w:spacing w:after="0" w:line="240" w:lineRule="auto"/>
        <w:rPr>
          <w:rFonts w:ascii="Times New Roman" w:hAnsi="Times New Roman"/>
          <w:sz w:val="24"/>
          <w:szCs w:val="24"/>
        </w:rPr>
      </w:pPr>
      <w:r w:rsidRPr="004862A1">
        <w:rPr>
          <w:rFonts w:ascii="Times New Roman" w:hAnsi="Times New Roman"/>
          <w:sz w:val="24"/>
          <w:szCs w:val="24"/>
        </w:rPr>
        <w:t>Navrhuje sa spresniť prechodným ustanovením použitie navrhnutých zmien predmetnej úpravy.</w:t>
      </w:r>
    </w:p>
    <w:p w:rsidR="001E5B06" w:rsidRPr="004862A1" w:rsidP="00E32E9C">
      <w:pPr>
        <w:bidi w:val="0"/>
        <w:spacing w:after="0" w:line="240" w:lineRule="auto"/>
        <w:rPr>
          <w:rFonts w:ascii="Times New Roman" w:hAnsi="Times New Roman"/>
          <w:sz w:val="24"/>
          <w:szCs w:val="24"/>
        </w:rPr>
      </w:pPr>
    </w:p>
    <w:p w:rsidR="006C4A42" w:rsidRPr="004862A1" w:rsidP="00FE4F5B">
      <w:pPr>
        <w:pStyle w:val="Heading1"/>
        <w:bidi w:val="0"/>
      </w:pPr>
    </w:p>
    <w:p w:rsidR="00B07872" w:rsidRPr="004862A1">
      <w:pPr>
        <w:pStyle w:val="Heading1"/>
        <w:bidi w:val="0"/>
      </w:pPr>
      <w:r w:rsidRPr="004862A1" w:rsidR="006C4A42">
        <w:t>K </w:t>
      </w:r>
      <w:r w:rsidRPr="004862A1" w:rsidR="006C4A42">
        <w:rPr>
          <w:rFonts w:hint="default"/>
        </w:rPr>
        <w:t>Č</w:t>
      </w:r>
      <w:r w:rsidRPr="004862A1" w:rsidR="006C4A42">
        <w:rPr>
          <w:rFonts w:hint="default"/>
        </w:rPr>
        <w:t>l. II</w:t>
      </w:r>
      <w:r w:rsidRPr="004862A1" w:rsidR="00CE5363">
        <w:t> </w:t>
      </w:r>
    </w:p>
    <w:p w:rsidR="00885311" w:rsidP="00885311">
      <w:pPr>
        <w:bidi w:val="0"/>
        <w:spacing w:after="0" w:line="240" w:lineRule="auto"/>
        <w:rPr>
          <w:rFonts w:ascii="Times New Roman" w:hAnsi="Times New Roman"/>
          <w:sz w:val="24"/>
          <w:szCs w:val="24"/>
        </w:rPr>
      </w:pPr>
      <w:r w:rsidRPr="004862A1">
        <w:rPr>
          <w:rFonts w:ascii="Times New Roman" w:hAnsi="Times New Roman"/>
          <w:sz w:val="24"/>
          <w:szCs w:val="24"/>
        </w:rPr>
        <w:t>Navrhuje sa úprava a doplnenie položky 140 zákona o správnych poplatkoch. Navrhuje sa zvýšiť položku za vydanie vyjadrenia k umiestneniu technických zariadení alebo zariadení používaných pri prevádzkovaní videohier, za každé vyjadrenie zo 100 € na 200 €</w:t>
      </w:r>
      <w:r w:rsidRPr="004862A1" w:rsidR="00913DFE">
        <w:rPr>
          <w:rFonts w:ascii="Times New Roman" w:hAnsi="Times New Roman"/>
          <w:sz w:val="24"/>
          <w:szCs w:val="24"/>
        </w:rPr>
        <w:t>,</w:t>
      </w:r>
      <w:r w:rsidRPr="004862A1">
        <w:rPr>
          <w:rFonts w:ascii="Times New Roman" w:hAnsi="Times New Roman"/>
          <w:sz w:val="24"/>
          <w:szCs w:val="24"/>
        </w:rPr>
        <w:t xml:space="preserve"> a to z dôvodu, že príslušné obce budú vydávať toto vyjadrenie pre prevádzkovateľov uvedených druhov hazardných hier s platnosťou počas celej doby platnosti individuálnej licencie (tzn. platnosť vyjadrenia bude 2 roky, oproti súčasnosti, kedy je toto vyjadrenie platné 1 rok).  Ďalej sa navrhuje zaviesť správny poplatok za vydanie súhlasu obce </w:t>
      </w:r>
      <w:r w:rsidRPr="004862A1" w:rsidR="00E90E51">
        <w:rPr>
          <w:rFonts w:ascii="Times New Roman" w:hAnsi="Times New Roman"/>
          <w:sz w:val="24"/>
          <w:szCs w:val="24"/>
        </w:rPr>
        <w:t xml:space="preserve">k umiestneniu stávkovej kancelárie </w:t>
      </w:r>
      <w:r w:rsidRPr="004862A1">
        <w:rPr>
          <w:rFonts w:ascii="Times New Roman" w:hAnsi="Times New Roman"/>
          <w:sz w:val="24"/>
          <w:szCs w:val="24"/>
        </w:rPr>
        <w:t>a binga vo výške 200 € za každý takýto súhlas, ktorý bude platiť počas celej doby platnosti individuálnej licencie (5 rokov)</w:t>
      </w:r>
      <w:r w:rsidRPr="004862A1" w:rsidR="00E90E51">
        <w:rPr>
          <w:rFonts w:ascii="Times New Roman" w:hAnsi="Times New Roman"/>
          <w:sz w:val="24"/>
          <w:szCs w:val="24"/>
        </w:rPr>
        <w:t xml:space="preserve">, ako aj správny poplatok v sume 200 € za vydanie vyjadrenia k umiestneniu kasína. Taktiež sa navrhuje zaviesť poplatok za vykonanie </w:t>
      </w:r>
      <w:r w:rsidRPr="004862A1" w:rsidR="00DA0484">
        <w:rPr>
          <w:rFonts w:ascii="Times New Roman" w:hAnsi="Times New Roman"/>
          <w:sz w:val="24"/>
          <w:szCs w:val="24"/>
        </w:rPr>
        <w:t>zmeny v údajoch alebo dokladoch, na základe ktorých bola právnická osoba zapísaná do evidencie prevádzkovateľov hazardných hier na základe všeobecnej licencie</w:t>
      </w:r>
      <w:r w:rsidRPr="004862A1" w:rsidR="00F83945">
        <w:rPr>
          <w:rFonts w:ascii="Times New Roman" w:hAnsi="Times New Roman"/>
          <w:sz w:val="24"/>
          <w:szCs w:val="24"/>
        </w:rPr>
        <w:t>. Z dôvodu zrušenia vydávania identifikačných kariet sa ruší aj správny poplatok za ich vydávanie.</w:t>
      </w:r>
    </w:p>
    <w:p w:rsidR="001E5B06" w:rsidRPr="004862A1" w:rsidP="00885311">
      <w:pPr>
        <w:bidi w:val="0"/>
        <w:spacing w:after="0" w:line="240" w:lineRule="auto"/>
        <w:rPr>
          <w:rFonts w:ascii="Times New Roman" w:hAnsi="Times New Roman"/>
          <w:sz w:val="24"/>
          <w:szCs w:val="24"/>
        </w:rPr>
      </w:pPr>
    </w:p>
    <w:p w:rsidR="009E1DF1" w:rsidRPr="004862A1" w:rsidP="00E32E9C">
      <w:pPr>
        <w:bidi w:val="0"/>
        <w:spacing w:after="0" w:line="240" w:lineRule="auto"/>
        <w:rPr>
          <w:rFonts w:ascii="Times New Roman" w:hAnsi="Times New Roman"/>
          <w:sz w:val="24"/>
          <w:szCs w:val="24"/>
        </w:rPr>
      </w:pPr>
    </w:p>
    <w:p w:rsidR="009E1DF1" w:rsidRPr="004862A1" w:rsidP="00FE4F5B">
      <w:pPr>
        <w:pStyle w:val="Heading1"/>
        <w:bidi w:val="0"/>
      </w:pPr>
      <w:r w:rsidRPr="004862A1" w:rsidR="006C4A42">
        <w:t>K </w:t>
      </w:r>
      <w:r w:rsidRPr="004862A1" w:rsidR="006C4A42">
        <w:rPr>
          <w:rFonts w:hint="default"/>
        </w:rPr>
        <w:t>Č</w:t>
      </w:r>
      <w:r w:rsidRPr="004862A1" w:rsidR="006C4A42">
        <w:rPr>
          <w:rFonts w:hint="default"/>
        </w:rPr>
        <w:t>l. III</w:t>
      </w:r>
      <w:r w:rsidRPr="004862A1">
        <w:t> </w:t>
      </w:r>
    </w:p>
    <w:p w:rsidR="00FE4F5B"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Z dôvodu zabezpečenia možnosti efektívneho vykonávania dozoru nad poskytovaním zakázaných ponúk sa navrhuje rozšíriť okruh subjektov oprávnených požadovať sprístupnenie informácií podliehajúcich bankovému tajomstvu, ktoré sú nevyhnutné na vykonanie dozoru podľa zákona o hazardných hrách.</w:t>
      </w:r>
    </w:p>
    <w:p w:rsidR="00CE5363" w:rsidRPr="004862A1" w:rsidP="00E32E9C">
      <w:pPr>
        <w:bidi w:val="0"/>
        <w:spacing w:after="0" w:line="240" w:lineRule="auto"/>
        <w:rPr>
          <w:rFonts w:ascii="Times New Roman" w:hAnsi="Times New Roman"/>
          <w:sz w:val="24"/>
          <w:szCs w:val="24"/>
        </w:rPr>
      </w:pPr>
    </w:p>
    <w:p w:rsidR="00FE4F5B" w:rsidRPr="004862A1" w:rsidP="00FE4F5B">
      <w:pPr>
        <w:pStyle w:val="Heading1"/>
        <w:bidi w:val="0"/>
      </w:pPr>
      <w:r w:rsidRPr="004862A1" w:rsidR="006C4A42">
        <w:t>K </w:t>
      </w:r>
      <w:r w:rsidRPr="004862A1" w:rsidR="006C4A42">
        <w:rPr>
          <w:rFonts w:hint="default"/>
        </w:rPr>
        <w:t>Č</w:t>
      </w:r>
      <w:r w:rsidRPr="004862A1" w:rsidR="006C4A42">
        <w:rPr>
          <w:rFonts w:hint="default"/>
        </w:rPr>
        <w:t>l. IV</w:t>
      </w:r>
    </w:p>
    <w:p w:rsidR="00FE4F5B" w:rsidP="00FE4F5B">
      <w:pPr>
        <w:pStyle w:val="Heading1"/>
        <w:bidi w:val="0"/>
      </w:pPr>
      <w:r w:rsidRPr="004862A1">
        <w:rPr>
          <w:rFonts w:hint="default"/>
        </w:rPr>
        <w:t>Keďž</w:t>
      </w:r>
      <w:r w:rsidRPr="004862A1">
        <w:rPr>
          <w:rFonts w:hint="default"/>
        </w:rPr>
        <w:t>e osobou vylúč</w:t>
      </w:r>
      <w:r w:rsidRPr="004862A1">
        <w:rPr>
          <w:rFonts w:hint="default"/>
        </w:rPr>
        <w:t>enou z </w:t>
      </w:r>
      <w:r w:rsidRPr="004862A1">
        <w:rPr>
          <w:rFonts w:hint="default"/>
        </w:rPr>
        <w:t>úč</w:t>
      </w:r>
      <w:r w:rsidRPr="004862A1">
        <w:rPr>
          <w:rFonts w:hint="default"/>
        </w:rPr>
        <w:t>asti na hazardný</w:t>
      </w:r>
      <w:r w:rsidRPr="004862A1">
        <w:rPr>
          <w:rFonts w:hint="default"/>
        </w:rPr>
        <w:t>ch hrá</w:t>
      </w:r>
      <w:r w:rsidRPr="004862A1">
        <w:rPr>
          <w:rFonts w:hint="default"/>
        </w:rPr>
        <w:t>ch je okrem iné</w:t>
      </w:r>
      <w:r w:rsidRPr="004862A1">
        <w:rPr>
          <w:rFonts w:hint="default"/>
        </w:rPr>
        <w:t>ho aj fyzická</w:t>
      </w:r>
      <w:r w:rsidRPr="004862A1">
        <w:rPr>
          <w:rFonts w:hint="default"/>
        </w:rPr>
        <w:t xml:space="preserve"> osoba, ktorej bola diagnostikovaná</w:t>
      </w:r>
      <w:r w:rsidRPr="004862A1">
        <w:rPr>
          <w:rFonts w:hint="default"/>
        </w:rPr>
        <w:t xml:space="preserve"> choroba patologické</w:t>
      </w:r>
      <w:r w:rsidRPr="004862A1">
        <w:rPr>
          <w:rFonts w:hint="default"/>
        </w:rPr>
        <w:t>ho hráč</w:t>
      </w:r>
      <w:r w:rsidRPr="004862A1">
        <w:rPr>
          <w:rFonts w:hint="default"/>
        </w:rPr>
        <w:t>stva je potrebné</w:t>
      </w:r>
      <w:r w:rsidRPr="004862A1">
        <w:rPr>
          <w:rFonts w:hint="default"/>
        </w:rPr>
        <w:t xml:space="preserve"> upraviť</w:t>
      </w:r>
      <w:r w:rsidRPr="004862A1">
        <w:rPr>
          <w:rFonts w:hint="default"/>
        </w:rPr>
        <w:t xml:space="preserve"> spô</w:t>
      </w:r>
      <w:r w:rsidRPr="004862A1">
        <w:rPr>
          <w:rFonts w:hint="default"/>
        </w:rPr>
        <w:t>sob poskytovania ú</w:t>
      </w:r>
      <w:r w:rsidRPr="004862A1">
        <w:rPr>
          <w:rFonts w:hint="default"/>
        </w:rPr>
        <w:t>dajov zo zdravotnej dokumentá</w:t>
      </w:r>
      <w:r w:rsidRPr="004862A1">
        <w:rPr>
          <w:rFonts w:hint="default"/>
        </w:rPr>
        <w:t xml:space="preserve">cie  do </w:t>
      </w:r>
      <w:r w:rsidRPr="004862A1">
        <w:rPr>
          <w:rFonts w:hint="default"/>
        </w:rPr>
        <w:t>registra vylúč</w:t>
      </w:r>
      <w:r w:rsidRPr="004862A1">
        <w:rPr>
          <w:rFonts w:hint="default"/>
        </w:rPr>
        <w:t>ený</w:t>
      </w:r>
      <w:r w:rsidRPr="004862A1">
        <w:rPr>
          <w:rFonts w:hint="default"/>
        </w:rPr>
        <w:t>ch osô</w:t>
      </w:r>
      <w:r w:rsidRPr="004862A1">
        <w:rPr>
          <w:rFonts w:hint="default"/>
        </w:rPr>
        <w:t>b. Vzhľ</w:t>
      </w:r>
      <w:r w:rsidRPr="004862A1">
        <w:rPr>
          <w:rFonts w:hint="default"/>
        </w:rPr>
        <w:t>adom na uvedené</w:t>
      </w:r>
      <w:r w:rsidRPr="004862A1">
        <w:rPr>
          <w:rFonts w:hint="default"/>
        </w:rPr>
        <w:t xml:space="preserve"> sa navrhuje, aby poskytovateľ</w:t>
      </w:r>
      <w:r w:rsidRPr="004862A1">
        <w:rPr>
          <w:rFonts w:hint="default"/>
        </w:rPr>
        <w:t xml:space="preserve"> zdravotnej starostlivosti bol povinný</w:t>
      </w:r>
      <w:r w:rsidRPr="004862A1">
        <w:rPr>
          <w:rFonts w:hint="default"/>
        </w:rPr>
        <w:t xml:space="preserve"> urč</w:t>
      </w:r>
      <w:r w:rsidRPr="004862A1">
        <w:rPr>
          <w:rFonts w:hint="default"/>
        </w:rPr>
        <w:t>ený</w:t>
      </w:r>
      <w:r w:rsidRPr="004862A1">
        <w:rPr>
          <w:rFonts w:hint="default"/>
        </w:rPr>
        <w:t>m spô</w:t>
      </w:r>
      <w:r w:rsidRPr="004862A1">
        <w:rPr>
          <w:rFonts w:hint="default"/>
        </w:rPr>
        <w:t>sobom a v </w:t>
      </w:r>
      <w:r w:rsidRPr="004862A1">
        <w:rPr>
          <w:rFonts w:hint="default"/>
        </w:rPr>
        <w:t>urč</w:t>
      </w:r>
      <w:r w:rsidRPr="004862A1">
        <w:rPr>
          <w:rFonts w:hint="default"/>
        </w:rPr>
        <w:t>enej lehote poskytovať</w:t>
      </w:r>
      <w:r w:rsidRPr="004862A1">
        <w:rPr>
          <w:rFonts w:hint="default"/>
        </w:rPr>
        <w:t xml:space="preserve"> sprá</w:t>
      </w:r>
      <w:r w:rsidRPr="004862A1">
        <w:rPr>
          <w:rFonts w:hint="default"/>
        </w:rPr>
        <w:t>vcovi registra vylúč</w:t>
      </w:r>
      <w:r w:rsidRPr="004862A1">
        <w:rPr>
          <w:rFonts w:hint="default"/>
        </w:rPr>
        <w:t>ený</w:t>
      </w:r>
      <w:r w:rsidRPr="004862A1">
        <w:rPr>
          <w:rFonts w:hint="default"/>
        </w:rPr>
        <w:t>ch osô</w:t>
      </w:r>
      <w:r w:rsidRPr="004862A1">
        <w:rPr>
          <w:rFonts w:hint="default"/>
        </w:rPr>
        <w:t xml:space="preserve">b </w:t>
      </w:r>
      <w:r w:rsidRPr="004862A1" w:rsidR="00BE0C58">
        <w:rPr>
          <w:rFonts w:hint="default"/>
        </w:rPr>
        <w:t>ú</w:t>
      </w:r>
      <w:r w:rsidRPr="004862A1" w:rsidR="00BE0C58">
        <w:rPr>
          <w:rFonts w:hint="default"/>
        </w:rPr>
        <w:t>daje v </w:t>
      </w:r>
      <w:r w:rsidRPr="004862A1" w:rsidR="00BE0C58">
        <w:rPr>
          <w:rFonts w:hint="default"/>
        </w:rPr>
        <w:t>urč</w:t>
      </w:r>
      <w:r w:rsidRPr="004862A1" w:rsidR="00BE0C58">
        <w:rPr>
          <w:rFonts w:hint="default"/>
        </w:rPr>
        <w:t>enom rozsahu.</w:t>
      </w:r>
    </w:p>
    <w:p w:rsidR="001E5B06" w:rsidRPr="001E5B06" w:rsidP="001E5B06">
      <w:pPr>
        <w:bidi w:val="0"/>
      </w:pPr>
    </w:p>
    <w:p w:rsidR="006C4A42" w:rsidRPr="004862A1" w:rsidP="00E32E9C">
      <w:pPr>
        <w:bidi w:val="0"/>
        <w:spacing w:after="0" w:line="240" w:lineRule="auto"/>
        <w:rPr>
          <w:rFonts w:ascii="Times New Roman" w:hAnsi="Times New Roman"/>
          <w:sz w:val="24"/>
          <w:szCs w:val="24"/>
        </w:rPr>
      </w:pPr>
    </w:p>
    <w:p w:rsidR="009E1DF1" w:rsidRPr="004862A1" w:rsidP="00FE4F5B">
      <w:pPr>
        <w:pStyle w:val="Heading1"/>
        <w:bidi w:val="0"/>
      </w:pPr>
      <w:r w:rsidRPr="004862A1" w:rsidR="006C4A42">
        <w:t>K </w:t>
      </w:r>
      <w:r w:rsidRPr="004862A1" w:rsidR="006C4A42">
        <w:rPr>
          <w:rFonts w:hint="default"/>
        </w:rPr>
        <w:t>Č</w:t>
      </w:r>
      <w:r w:rsidRPr="004862A1" w:rsidR="006C4A42">
        <w:rPr>
          <w:rFonts w:hint="default"/>
        </w:rPr>
        <w:t>l. V </w:t>
      </w:r>
    </w:p>
    <w:p w:rsidR="00496A10" w:rsidP="00885311">
      <w:pPr>
        <w:bidi w:val="0"/>
        <w:spacing w:after="0" w:line="240" w:lineRule="auto"/>
        <w:rPr>
          <w:rFonts w:ascii="Times New Roman" w:hAnsi="Times New Roman"/>
          <w:sz w:val="24"/>
          <w:szCs w:val="24"/>
        </w:rPr>
      </w:pPr>
      <w:r w:rsidRPr="004862A1">
        <w:rPr>
          <w:rFonts w:ascii="Times New Roman" w:hAnsi="Times New Roman"/>
          <w:sz w:val="24"/>
          <w:szCs w:val="24"/>
        </w:rPr>
        <w:t>Navrhovaná úprava zákona o orgánoch štátnej správy v oblasti daní a poplatkov reaguje na opatrenie zakotvené v Akčnom pláne boja proti daňovým podvodom umožnením vykonávania dozoru daňov</w:t>
      </w:r>
      <w:r w:rsidR="00573AE5">
        <w:rPr>
          <w:rFonts w:ascii="Times New Roman" w:hAnsi="Times New Roman"/>
          <w:sz w:val="24"/>
          <w:szCs w:val="24"/>
        </w:rPr>
        <w:t>ému</w:t>
      </w:r>
      <w:r w:rsidRPr="004862A1">
        <w:rPr>
          <w:rFonts w:ascii="Times New Roman" w:hAnsi="Times New Roman"/>
          <w:sz w:val="24"/>
          <w:szCs w:val="24"/>
        </w:rPr>
        <w:t xml:space="preserve"> úrad</w:t>
      </w:r>
      <w:r w:rsidR="00573AE5">
        <w:rPr>
          <w:rFonts w:ascii="Times New Roman" w:hAnsi="Times New Roman"/>
          <w:sz w:val="24"/>
          <w:szCs w:val="24"/>
        </w:rPr>
        <w:t>u</w:t>
      </w:r>
      <w:r w:rsidRPr="004862A1">
        <w:rPr>
          <w:rFonts w:ascii="Times New Roman" w:hAnsi="Times New Roman"/>
          <w:sz w:val="24"/>
          <w:szCs w:val="24"/>
        </w:rPr>
        <w:t xml:space="preserve"> aj mimo jeho miestnej príslušnosti.</w:t>
      </w:r>
    </w:p>
    <w:p w:rsidR="001E5B06" w:rsidRPr="004862A1" w:rsidP="00885311">
      <w:pPr>
        <w:bidi w:val="0"/>
        <w:spacing w:after="0" w:line="240" w:lineRule="auto"/>
        <w:rPr>
          <w:rFonts w:ascii="Times New Roman" w:hAnsi="Times New Roman"/>
          <w:sz w:val="24"/>
          <w:szCs w:val="24"/>
        </w:rPr>
      </w:pPr>
    </w:p>
    <w:p w:rsidR="00496A10" w:rsidRPr="004862A1" w:rsidP="00885311">
      <w:pPr>
        <w:bidi w:val="0"/>
        <w:spacing w:after="0" w:line="240" w:lineRule="auto"/>
        <w:rPr>
          <w:rFonts w:ascii="Times New Roman" w:hAnsi="Times New Roman"/>
          <w:sz w:val="24"/>
          <w:szCs w:val="24"/>
        </w:rPr>
      </w:pPr>
    </w:p>
    <w:p w:rsidR="00496A10" w:rsidRPr="004862A1" w:rsidP="004862A1">
      <w:pPr>
        <w:pStyle w:val="Heading1"/>
        <w:bidi w:val="0"/>
        <w:rPr>
          <w:rFonts w:hint="default"/>
        </w:rPr>
      </w:pPr>
      <w:r w:rsidRPr="004862A1">
        <w:t>K </w:t>
      </w:r>
      <w:r w:rsidRPr="004862A1">
        <w:rPr>
          <w:rFonts w:hint="default"/>
        </w:rPr>
        <w:t>Č</w:t>
      </w:r>
      <w:r w:rsidRPr="004862A1">
        <w:rPr>
          <w:rFonts w:hint="default"/>
        </w:rPr>
        <w:t>l. VI </w:t>
      </w:r>
    </w:p>
    <w:p w:rsidR="00885311" w:rsidRPr="004862A1" w:rsidP="00885311">
      <w:pPr>
        <w:bidi w:val="0"/>
        <w:spacing w:after="0" w:line="240" w:lineRule="auto"/>
        <w:rPr>
          <w:rFonts w:ascii="Times New Roman" w:hAnsi="Times New Roman"/>
          <w:sz w:val="24"/>
          <w:szCs w:val="24"/>
        </w:rPr>
      </w:pPr>
      <w:r w:rsidRPr="004862A1">
        <w:rPr>
          <w:rFonts w:ascii="Times New Roman" w:hAnsi="Times New Roman"/>
          <w:sz w:val="24"/>
          <w:szCs w:val="24"/>
        </w:rPr>
        <w:t xml:space="preserve">Navrhovaným článkom sa novelizuje zákon č. 492/2009 Z. z. o platobných službách a o zmene a doplnení niektorých zákonov v znení zákona č. 130/2011 Z. z. </w:t>
      </w:r>
    </w:p>
    <w:p w:rsidR="00732157" w:rsidP="00885311">
      <w:pPr>
        <w:bidi w:val="0"/>
        <w:spacing w:after="0" w:line="240" w:lineRule="auto"/>
        <w:rPr>
          <w:rFonts w:ascii="Times New Roman" w:hAnsi="Times New Roman"/>
          <w:sz w:val="24"/>
          <w:szCs w:val="24"/>
        </w:rPr>
      </w:pPr>
      <w:r w:rsidRPr="004862A1" w:rsidR="00885311">
        <w:rPr>
          <w:rFonts w:ascii="Times New Roman" w:hAnsi="Times New Roman"/>
          <w:sz w:val="24"/>
          <w:szCs w:val="24"/>
        </w:rPr>
        <w:t xml:space="preserve">Navrhovaným ustanovením poskytovateľ platobnej služby bude </w:t>
      </w:r>
      <w:r w:rsidRPr="004862A1" w:rsidR="00BD5D9B">
        <w:rPr>
          <w:rFonts w:ascii="Times New Roman" w:hAnsi="Times New Roman"/>
          <w:sz w:val="24"/>
          <w:szCs w:val="24"/>
        </w:rPr>
        <w:t xml:space="preserve">povinný </w:t>
      </w:r>
      <w:r w:rsidRPr="004862A1" w:rsidR="00885311">
        <w:rPr>
          <w:rFonts w:ascii="Times New Roman" w:hAnsi="Times New Roman"/>
          <w:sz w:val="24"/>
          <w:szCs w:val="24"/>
        </w:rPr>
        <w:t>nevykonať platobnú operáciu</w:t>
      </w:r>
      <w:r w:rsidRPr="004862A1" w:rsidR="00496A10">
        <w:rPr>
          <w:rFonts w:ascii="Times New Roman" w:hAnsi="Times New Roman"/>
          <w:sz w:val="24"/>
          <w:szCs w:val="24"/>
        </w:rPr>
        <w:t xml:space="preserve"> ani neposkytn</w:t>
      </w:r>
      <w:r w:rsidR="00573AE5">
        <w:rPr>
          <w:rFonts w:ascii="Times New Roman" w:hAnsi="Times New Roman"/>
          <w:sz w:val="24"/>
          <w:szCs w:val="24"/>
        </w:rPr>
        <w:t>úť</w:t>
      </w:r>
      <w:r w:rsidRPr="004862A1" w:rsidR="00496A10">
        <w:rPr>
          <w:rFonts w:ascii="Times New Roman" w:hAnsi="Times New Roman"/>
          <w:sz w:val="24"/>
          <w:szCs w:val="24"/>
        </w:rPr>
        <w:t xml:space="preserve"> platobnú službu</w:t>
      </w:r>
      <w:r w:rsidRPr="004862A1" w:rsidR="00885311">
        <w:rPr>
          <w:rFonts w:ascii="Times New Roman" w:hAnsi="Times New Roman"/>
          <w:sz w:val="24"/>
          <w:szCs w:val="24"/>
        </w:rPr>
        <w:t xml:space="preserve">, </w:t>
      </w:r>
      <w:r>
        <w:rPr>
          <w:rFonts w:ascii="Times New Roman" w:hAnsi="Times New Roman"/>
          <w:sz w:val="24"/>
          <w:szCs w:val="24"/>
        </w:rPr>
        <w:t>v prospech účtu subjektu poskytujúceho z</w:t>
      </w:r>
      <w:r w:rsidRPr="004862A1" w:rsidR="00885311">
        <w:rPr>
          <w:rFonts w:ascii="Times New Roman" w:hAnsi="Times New Roman"/>
          <w:sz w:val="24"/>
          <w:szCs w:val="24"/>
        </w:rPr>
        <w:t>ak</w:t>
      </w:r>
      <w:r>
        <w:rPr>
          <w:rFonts w:ascii="Times New Roman" w:hAnsi="Times New Roman"/>
          <w:sz w:val="24"/>
          <w:szCs w:val="24"/>
        </w:rPr>
        <w:t>ázanú ponuku, t.j. hazardnú hru, na ktorú nebola udelená licencia.</w:t>
      </w:r>
    </w:p>
    <w:p w:rsidR="00885311" w:rsidP="00885311">
      <w:pPr>
        <w:bidi w:val="0"/>
        <w:spacing w:after="0" w:line="240" w:lineRule="auto"/>
        <w:rPr>
          <w:rFonts w:ascii="Times New Roman" w:hAnsi="Times New Roman"/>
          <w:sz w:val="24"/>
          <w:szCs w:val="24"/>
        </w:rPr>
      </w:pPr>
      <w:r w:rsidR="00412857">
        <w:rPr>
          <w:rFonts w:ascii="Times New Roman" w:hAnsi="Times New Roman"/>
          <w:sz w:val="24"/>
          <w:szCs w:val="24"/>
        </w:rPr>
        <w:t xml:space="preserve">Poskytovateľ platobnej služby </w:t>
      </w:r>
      <w:r w:rsidR="00732157">
        <w:rPr>
          <w:rFonts w:ascii="Times New Roman" w:hAnsi="Times New Roman"/>
          <w:sz w:val="24"/>
          <w:szCs w:val="24"/>
        </w:rPr>
        <w:t xml:space="preserve">túto povinnosť musí splniť bezodkladne po doručení príkazu súdu </w:t>
      </w:r>
      <w:r w:rsidR="00412857">
        <w:rPr>
          <w:rFonts w:ascii="Times New Roman" w:hAnsi="Times New Roman"/>
          <w:sz w:val="24"/>
          <w:szCs w:val="24"/>
        </w:rPr>
        <w:t>Finančn</w:t>
      </w:r>
      <w:r w:rsidR="00732157">
        <w:rPr>
          <w:rFonts w:ascii="Times New Roman" w:hAnsi="Times New Roman"/>
          <w:sz w:val="24"/>
          <w:szCs w:val="24"/>
        </w:rPr>
        <w:t>ým</w:t>
      </w:r>
      <w:r w:rsidR="00412857">
        <w:rPr>
          <w:rFonts w:ascii="Times New Roman" w:hAnsi="Times New Roman"/>
          <w:sz w:val="24"/>
          <w:szCs w:val="24"/>
        </w:rPr>
        <w:t xml:space="preserve"> riaditeľstv</w:t>
      </w:r>
      <w:r w:rsidR="00732157">
        <w:rPr>
          <w:rFonts w:ascii="Times New Roman" w:hAnsi="Times New Roman"/>
          <w:sz w:val="24"/>
          <w:szCs w:val="24"/>
        </w:rPr>
        <w:t>om</w:t>
      </w:r>
      <w:r w:rsidR="00230CC2">
        <w:rPr>
          <w:rFonts w:ascii="Times New Roman" w:hAnsi="Times New Roman"/>
          <w:sz w:val="24"/>
          <w:szCs w:val="24"/>
        </w:rPr>
        <w:t xml:space="preserve"> Slovenskej republiky</w:t>
      </w:r>
      <w:r w:rsidR="00E970B9">
        <w:rPr>
          <w:rFonts w:ascii="Times New Roman" w:hAnsi="Times New Roman"/>
          <w:sz w:val="24"/>
          <w:szCs w:val="24"/>
        </w:rPr>
        <w:t xml:space="preserve"> Slovenskej republiky</w:t>
      </w:r>
      <w:r w:rsidR="00732157">
        <w:rPr>
          <w:rFonts w:ascii="Times New Roman" w:hAnsi="Times New Roman"/>
          <w:sz w:val="24"/>
          <w:szCs w:val="24"/>
        </w:rPr>
        <w:t>.</w:t>
      </w:r>
      <w:r w:rsidR="00412857">
        <w:rPr>
          <w:rFonts w:ascii="Times New Roman" w:hAnsi="Times New Roman"/>
          <w:sz w:val="24"/>
          <w:szCs w:val="24"/>
        </w:rPr>
        <w:t xml:space="preserve"> </w:t>
      </w:r>
    </w:p>
    <w:p w:rsidR="001E5B06" w:rsidRPr="004862A1" w:rsidP="00885311">
      <w:pPr>
        <w:bidi w:val="0"/>
        <w:spacing w:after="0" w:line="240" w:lineRule="auto"/>
        <w:rPr>
          <w:rFonts w:ascii="Times New Roman" w:hAnsi="Times New Roman"/>
          <w:sz w:val="24"/>
          <w:szCs w:val="24"/>
        </w:rPr>
      </w:pPr>
    </w:p>
    <w:p w:rsidR="009E1DF1" w:rsidRPr="004862A1" w:rsidP="00E32E9C">
      <w:pPr>
        <w:bidi w:val="0"/>
        <w:spacing w:after="0" w:line="240" w:lineRule="auto"/>
        <w:rPr>
          <w:rFonts w:ascii="Times New Roman" w:hAnsi="Times New Roman"/>
          <w:sz w:val="24"/>
          <w:szCs w:val="24"/>
        </w:rPr>
      </w:pPr>
      <w:r w:rsidRPr="004862A1">
        <w:rPr>
          <w:rFonts w:ascii="Times New Roman" w:hAnsi="Times New Roman"/>
          <w:sz w:val="24"/>
          <w:szCs w:val="24"/>
        </w:rPr>
        <w:t xml:space="preserve">   </w:t>
      </w:r>
    </w:p>
    <w:p w:rsidR="00496A10" w:rsidRPr="004862A1" w:rsidP="00496A10">
      <w:pPr>
        <w:pStyle w:val="Heading1"/>
        <w:bidi w:val="0"/>
        <w:rPr>
          <w:rFonts w:hint="default"/>
        </w:rPr>
      </w:pPr>
      <w:r w:rsidRPr="004862A1">
        <w:t>K </w:t>
      </w:r>
      <w:r w:rsidRPr="004862A1">
        <w:rPr>
          <w:rFonts w:hint="default"/>
        </w:rPr>
        <w:t>Č</w:t>
      </w:r>
      <w:r w:rsidRPr="004862A1">
        <w:rPr>
          <w:rFonts w:hint="default"/>
        </w:rPr>
        <w:t>l. VII </w:t>
      </w:r>
    </w:p>
    <w:p w:rsidR="00496A10" w:rsidP="00E32E9C">
      <w:pPr>
        <w:bidi w:val="0"/>
        <w:spacing w:after="0" w:line="240" w:lineRule="auto"/>
        <w:rPr>
          <w:rFonts w:ascii="Times New Roman" w:hAnsi="Times New Roman"/>
          <w:sz w:val="24"/>
          <w:szCs w:val="24"/>
        </w:rPr>
      </w:pPr>
      <w:r w:rsidRPr="004862A1" w:rsidR="00A963FF">
        <w:rPr>
          <w:rFonts w:ascii="Times New Roman" w:hAnsi="Times New Roman"/>
          <w:sz w:val="24"/>
          <w:szCs w:val="24"/>
        </w:rPr>
        <w:t>Navrhovaným článkom sa novelizuje zákon č. 333/2011 Z. z. o orgánoch štátnej správy v oblasti daní, poplatkov a colníctva v znení neskorších predpisov a </w:t>
      </w:r>
      <w:r w:rsidRPr="004862A1" w:rsidR="00BA3348">
        <w:rPr>
          <w:rFonts w:ascii="Times New Roman" w:hAnsi="Times New Roman"/>
          <w:sz w:val="24"/>
          <w:szCs w:val="24"/>
        </w:rPr>
        <w:t>zavádza</w:t>
      </w:r>
      <w:r w:rsidRPr="004862A1" w:rsidR="00A963FF">
        <w:rPr>
          <w:rFonts w:ascii="Times New Roman" w:hAnsi="Times New Roman"/>
          <w:sz w:val="24"/>
          <w:szCs w:val="24"/>
        </w:rPr>
        <w:t xml:space="preserve"> sa </w:t>
      </w:r>
      <w:r w:rsidRPr="004862A1" w:rsidR="00BA3348">
        <w:rPr>
          <w:rFonts w:ascii="Times New Roman" w:hAnsi="Times New Roman"/>
          <w:sz w:val="24"/>
          <w:szCs w:val="24"/>
        </w:rPr>
        <w:t xml:space="preserve"> kompetencia Finančnému riaditeľstvu </w:t>
      </w:r>
      <w:r w:rsidRPr="004862A1" w:rsidR="00A963FF">
        <w:rPr>
          <w:rFonts w:ascii="Times New Roman" w:hAnsi="Times New Roman"/>
          <w:sz w:val="24"/>
          <w:szCs w:val="24"/>
        </w:rPr>
        <w:t>overiť výsledky dozoru v oblasti hazardných hier vykonaných colným úradom.</w:t>
      </w:r>
    </w:p>
    <w:p w:rsidR="001E5B06" w:rsidRPr="004862A1" w:rsidP="00E32E9C">
      <w:pPr>
        <w:bidi w:val="0"/>
        <w:spacing w:after="0" w:line="240" w:lineRule="auto"/>
        <w:rPr>
          <w:rFonts w:ascii="Times New Roman" w:hAnsi="Times New Roman"/>
          <w:sz w:val="24"/>
          <w:szCs w:val="24"/>
        </w:rPr>
      </w:pPr>
    </w:p>
    <w:p w:rsidR="00496A10" w:rsidRPr="004862A1" w:rsidP="00E32E9C">
      <w:pPr>
        <w:bidi w:val="0"/>
        <w:spacing w:after="0" w:line="240" w:lineRule="auto"/>
        <w:rPr>
          <w:rFonts w:ascii="Times New Roman" w:hAnsi="Times New Roman"/>
          <w:sz w:val="24"/>
          <w:szCs w:val="24"/>
        </w:rPr>
      </w:pPr>
    </w:p>
    <w:p w:rsidR="008A73C8" w:rsidRPr="004862A1" w:rsidP="00FE4F5B">
      <w:pPr>
        <w:pStyle w:val="Heading1"/>
        <w:bidi w:val="0"/>
      </w:pPr>
      <w:r w:rsidRPr="004862A1" w:rsidR="006C4A42">
        <w:t>K </w:t>
      </w:r>
      <w:r w:rsidRPr="004862A1" w:rsidR="006C4A42">
        <w:rPr>
          <w:rFonts w:hint="default"/>
        </w:rPr>
        <w:t>Č</w:t>
      </w:r>
      <w:r w:rsidRPr="004862A1" w:rsidR="006C4A42">
        <w:rPr>
          <w:rFonts w:hint="default"/>
        </w:rPr>
        <w:t>l. VI</w:t>
      </w:r>
      <w:r w:rsidRPr="004862A1" w:rsidR="00496A10">
        <w:t>II</w:t>
      </w:r>
      <w:r w:rsidRPr="004862A1" w:rsidR="006C4A42">
        <w:t> </w:t>
      </w:r>
    </w:p>
    <w:p w:rsidR="00885311" w:rsidRPr="004862A1" w:rsidP="00885311">
      <w:pPr>
        <w:bidi w:val="0"/>
        <w:spacing w:after="0" w:line="240" w:lineRule="auto"/>
        <w:rPr>
          <w:rFonts w:ascii="Times New Roman" w:hAnsi="Times New Roman"/>
          <w:sz w:val="24"/>
          <w:szCs w:val="24"/>
        </w:rPr>
      </w:pPr>
      <w:r w:rsidRPr="004862A1">
        <w:rPr>
          <w:rFonts w:ascii="Times New Roman" w:hAnsi="Times New Roman"/>
          <w:sz w:val="24"/>
          <w:szCs w:val="24"/>
        </w:rPr>
        <w:t>Navrhovaným článkom sa novelizuje zákon č. 351/2011 Z. z. o elektronických komunikáciách v znení neskorších predpisov v nadväznosti na zosúladenie znenia novely zákona č. 171/2005 Z. z. o hazardných hrách a o zmene a doplnení niektorých zákonov v znení neskorších predpisov.</w:t>
      </w:r>
    </w:p>
    <w:p w:rsidR="00230CC2" w:rsidP="00885311">
      <w:pPr>
        <w:bidi w:val="0"/>
        <w:spacing w:after="0" w:line="240" w:lineRule="auto"/>
        <w:rPr>
          <w:rFonts w:ascii="Times New Roman" w:hAnsi="Times New Roman"/>
          <w:sz w:val="24"/>
          <w:szCs w:val="24"/>
        </w:rPr>
      </w:pPr>
      <w:r w:rsidRPr="004862A1" w:rsidR="00885311">
        <w:rPr>
          <w:rFonts w:ascii="Times New Roman" w:hAnsi="Times New Roman"/>
          <w:sz w:val="24"/>
          <w:szCs w:val="24"/>
        </w:rPr>
        <w:t xml:space="preserve">Návrh ustanovenia ukladá povinnosti podniku (podnik na účely zákona o elektronických komunikáciách je každá osoba, ktorá poskytuje sieť alebo službu; poskytovanie siete alebo služby v oblasti elektronických komunikácií pre tretiu osobu je podnikaním) </w:t>
      </w:r>
      <w:r w:rsidR="0041745C">
        <w:rPr>
          <w:rFonts w:ascii="Times New Roman" w:hAnsi="Times New Roman"/>
          <w:sz w:val="24"/>
          <w:szCs w:val="24"/>
        </w:rPr>
        <w:t>na základe príkazu súdu zamedziť</w:t>
      </w:r>
      <w:r w:rsidRPr="004862A1" w:rsidR="00885311">
        <w:rPr>
          <w:rFonts w:ascii="Times New Roman" w:hAnsi="Times New Roman"/>
          <w:sz w:val="24"/>
          <w:szCs w:val="24"/>
        </w:rPr>
        <w:t xml:space="preserve"> prístup </w:t>
      </w:r>
      <w:r w:rsidR="0041745C">
        <w:rPr>
          <w:rFonts w:ascii="Times New Roman" w:hAnsi="Times New Roman"/>
          <w:sz w:val="24"/>
          <w:szCs w:val="24"/>
        </w:rPr>
        <w:t>k webovému sídlu, na ktorom sa poskytuje hazardná hra, na ktorú nebola udelená licencia</w:t>
      </w:r>
      <w:r>
        <w:rPr>
          <w:rFonts w:ascii="Times New Roman" w:hAnsi="Times New Roman"/>
          <w:sz w:val="24"/>
          <w:szCs w:val="24"/>
        </w:rPr>
        <w:t>.</w:t>
      </w:r>
    </w:p>
    <w:p w:rsidR="001E5B06" w:rsidP="00885311">
      <w:pPr>
        <w:bidi w:val="0"/>
        <w:spacing w:after="0" w:line="240" w:lineRule="auto"/>
        <w:rPr>
          <w:rFonts w:ascii="Times New Roman" w:hAnsi="Times New Roman"/>
          <w:sz w:val="24"/>
          <w:szCs w:val="24"/>
        </w:rPr>
      </w:pPr>
    </w:p>
    <w:p w:rsidR="00CB50BF" w:rsidRPr="004862A1" w:rsidP="00FE4F5B">
      <w:pPr>
        <w:pStyle w:val="Heading1"/>
        <w:bidi w:val="0"/>
        <w:rPr>
          <w:rFonts w:eastAsia="Times New Roman"/>
        </w:rPr>
      </w:pPr>
    </w:p>
    <w:p w:rsidR="00CB50BF" w:rsidRPr="004862A1" w:rsidP="00FE4F5B">
      <w:pPr>
        <w:pStyle w:val="Heading1"/>
        <w:bidi w:val="0"/>
      </w:pPr>
      <w:r w:rsidRPr="004862A1" w:rsidR="006C4A42">
        <w:t>K </w:t>
      </w:r>
      <w:r w:rsidRPr="004862A1" w:rsidR="006C4A42">
        <w:rPr>
          <w:rFonts w:hint="default"/>
        </w:rPr>
        <w:t>Č</w:t>
      </w:r>
      <w:r w:rsidRPr="004862A1" w:rsidR="006C4A42">
        <w:rPr>
          <w:rFonts w:hint="default"/>
        </w:rPr>
        <w:t>l. VII </w:t>
      </w:r>
    </w:p>
    <w:p w:rsidR="00E570DA" w:rsidP="00E570DA">
      <w:pPr>
        <w:bidi w:val="0"/>
        <w:rPr>
          <w:rFonts w:ascii="Times New Roman" w:hAnsi="Times New Roman"/>
          <w:sz w:val="24"/>
          <w:szCs w:val="24"/>
        </w:rPr>
      </w:pPr>
      <w:r w:rsidRPr="004862A1">
        <w:rPr>
          <w:rFonts w:ascii="Times New Roman" w:hAnsi="Times New Roman"/>
          <w:sz w:val="24"/>
          <w:szCs w:val="24"/>
        </w:rPr>
        <w:t>Navrhuje sa prijať účinnosť zákona od 1.</w:t>
      </w:r>
      <w:r w:rsidRPr="004862A1" w:rsidR="006232BD">
        <w:rPr>
          <w:rFonts w:ascii="Times New Roman" w:hAnsi="Times New Roman"/>
          <w:sz w:val="24"/>
          <w:szCs w:val="24"/>
        </w:rPr>
        <w:t xml:space="preserve"> januára </w:t>
      </w:r>
      <w:r w:rsidRPr="004862A1">
        <w:rPr>
          <w:rFonts w:ascii="Times New Roman" w:hAnsi="Times New Roman"/>
          <w:sz w:val="24"/>
          <w:szCs w:val="24"/>
        </w:rPr>
        <w:t>2017.</w:t>
      </w:r>
    </w:p>
    <w:p w:rsidR="001E5B06" w:rsidP="00E570DA">
      <w:pPr>
        <w:bidi w:val="0"/>
        <w:rPr>
          <w:rFonts w:ascii="Times New Roman" w:hAnsi="Times New Roman"/>
          <w:sz w:val="24"/>
          <w:szCs w:val="24"/>
        </w:rPr>
      </w:pPr>
    </w:p>
    <w:p w:rsidR="001E5B06" w:rsidRPr="001E5B06" w:rsidP="001E5B06">
      <w:pPr>
        <w:bidi w:val="0"/>
        <w:rPr>
          <w:rFonts w:ascii="Times New Roman" w:hAnsi="Times New Roman"/>
          <w:sz w:val="24"/>
          <w:szCs w:val="24"/>
        </w:rPr>
      </w:pPr>
      <w:r w:rsidRPr="001E5B06">
        <w:rPr>
          <w:rFonts w:ascii="Times New Roman" w:hAnsi="Times New Roman"/>
          <w:sz w:val="24"/>
          <w:szCs w:val="24"/>
        </w:rPr>
        <w:t xml:space="preserve">Schválené vládou Slovenskej republiky dňa </w:t>
      </w:r>
      <w:r>
        <w:rPr>
          <w:rFonts w:ascii="Times New Roman" w:hAnsi="Times New Roman"/>
          <w:sz w:val="24"/>
          <w:szCs w:val="24"/>
        </w:rPr>
        <w:t>2</w:t>
      </w:r>
      <w:r w:rsidRPr="001E5B06">
        <w:rPr>
          <w:rFonts w:ascii="Times New Roman" w:hAnsi="Times New Roman"/>
          <w:sz w:val="24"/>
          <w:szCs w:val="24"/>
        </w:rPr>
        <w:t xml:space="preserve">1. </w:t>
      </w:r>
      <w:r>
        <w:rPr>
          <w:rFonts w:ascii="Times New Roman" w:hAnsi="Times New Roman"/>
          <w:sz w:val="24"/>
          <w:szCs w:val="24"/>
        </w:rPr>
        <w:t>septembra</w:t>
      </w:r>
      <w:r w:rsidRPr="001E5B06">
        <w:rPr>
          <w:rFonts w:ascii="Times New Roman" w:hAnsi="Times New Roman"/>
          <w:sz w:val="24"/>
          <w:szCs w:val="24"/>
        </w:rPr>
        <w:t xml:space="preserve"> 2016.</w:t>
      </w:r>
    </w:p>
    <w:p w:rsidR="001E5B06" w:rsidP="001E5B06">
      <w:pPr>
        <w:bidi w:val="0"/>
        <w:spacing w:after="0" w:line="240" w:lineRule="auto"/>
        <w:jc w:val="center"/>
        <w:rPr>
          <w:rFonts w:ascii="Times New Roman" w:hAnsi="Times New Roman"/>
          <w:sz w:val="24"/>
          <w:szCs w:val="24"/>
        </w:rPr>
      </w:pPr>
    </w:p>
    <w:p w:rsidR="001E5B06" w:rsidP="001E5B06">
      <w:pPr>
        <w:bidi w:val="0"/>
        <w:spacing w:after="0" w:line="240" w:lineRule="auto"/>
        <w:jc w:val="center"/>
        <w:rPr>
          <w:rFonts w:ascii="Times New Roman" w:hAnsi="Times New Roman"/>
          <w:sz w:val="24"/>
          <w:szCs w:val="24"/>
        </w:rPr>
      </w:pPr>
    </w:p>
    <w:p w:rsidR="001E5B06" w:rsidP="001E5B06">
      <w:pPr>
        <w:bidi w:val="0"/>
        <w:spacing w:after="0" w:line="240" w:lineRule="auto"/>
        <w:jc w:val="center"/>
        <w:rPr>
          <w:rFonts w:ascii="Times New Roman" w:hAnsi="Times New Roman"/>
          <w:sz w:val="24"/>
          <w:szCs w:val="24"/>
        </w:rPr>
      </w:pPr>
    </w:p>
    <w:p w:rsidR="001E5B06" w:rsidP="001E5B06">
      <w:pPr>
        <w:bidi w:val="0"/>
        <w:spacing w:after="0" w:line="240" w:lineRule="auto"/>
        <w:jc w:val="center"/>
        <w:rPr>
          <w:rFonts w:ascii="Times New Roman" w:hAnsi="Times New Roman"/>
          <w:sz w:val="24"/>
          <w:szCs w:val="24"/>
        </w:rPr>
      </w:pPr>
    </w:p>
    <w:p w:rsidR="001E5B06" w:rsidP="001E5B06">
      <w:pPr>
        <w:bidi w:val="0"/>
        <w:spacing w:after="0" w:line="240" w:lineRule="auto"/>
        <w:jc w:val="center"/>
        <w:rPr>
          <w:rFonts w:ascii="Times New Roman" w:hAnsi="Times New Roman"/>
          <w:sz w:val="24"/>
          <w:szCs w:val="24"/>
        </w:rPr>
      </w:pPr>
    </w:p>
    <w:p w:rsidR="001E5B06" w:rsidRPr="000E40F3" w:rsidP="001E5B06">
      <w:pPr>
        <w:bidi w:val="0"/>
        <w:spacing w:after="0" w:line="240" w:lineRule="auto"/>
        <w:jc w:val="center"/>
        <w:rPr>
          <w:rFonts w:ascii="Times New Roman" w:hAnsi="Times New Roman"/>
          <w:b/>
          <w:sz w:val="24"/>
          <w:szCs w:val="24"/>
        </w:rPr>
      </w:pPr>
      <w:r w:rsidRPr="000E40F3">
        <w:rPr>
          <w:rFonts w:ascii="Times New Roman" w:hAnsi="Times New Roman"/>
          <w:b/>
          <w:sz w:val="24"/>
          <w:szCs w:val="24"/>
        </w:rPr>
        <w:t>Robert  F i c o</w:t>
      </w:r>
      <w:r w:rsidRPr="000E40F3" w:rsidR="000E40F3">
        <w:rPr>
          <w:rFonts w:ascii="Times New Roman" w:hAnsi="Times New Roman"/>
          <w:b/>
          <w:sz w:val="24"/>
          <w:szCs w:val="24"/>
        </w:rPr>
        <w:t>, v. r.</w:t>
      </w:r>
    </w:p>
    <w:p w:rsidR="001E5B06" w:rsidRPr="001E5B06" w:rsidP="001E5B06">
      <w:pPr>
        <w:bidi w:val="0"/>
        <w:spacing w:after="0" w:line="240" w:lineRule="auto"/>
        <w:jc w:val="center"/>
        <w:rPr>
          <w:rFonts w:ascii="Times New Roman" w:hAnsi="Times New Roman"/>
          <w:sz w:val="24"/>
          <w:szCs w:val="24"/>
        </w:rPr>
      </w:pPr>
      <w:r w:rsidRPr="001E5B06">
        <w:rPr>
          <w:rFonts w:ascii="Times New Roman" w:hAnsi="Times New Roman"/>
          <w:sz w:val="24"/>
          <w:szCs w:val="24"/>
        </w:rPr>
        <w:t>predseda vlády</w:t>
      </w:r>
    </w:p>
    <w:p w:rsidR="001E5B06" w:rsidRPr="001E5B06" w:rsidP="001E5B06">
      <w:pPr>
        <w:bidi w:val="0"/>
        <w:spacing w:after="0" w:line="240" w:lineRule="auto"/>
        <w:jc w:val="center"/>
        <w:rPr>
          <w:rFonts w:ascii="Times New Roman" w:hAnsi="Times New Roman"/>
          <w:sz w:val="24"/>
          <w:szCs w:val="24"/>
        </w:rPr>
      </w:pPr>
      <w:r w:rsidRPr="001E5B06">
        <w:rPr>
          <w:rFonts w:ascii="Times New Roman" w:hAnsi="Times New Roman"/>
          <w:sz w:val="24"/>
          <w:szCs w:val="24"/>
        </w:rPr>
        <w:t>Slovenskej republiky</w:t>
      </w:r>
    </w:p>
    <w:p w:rsidR="001E5B06" w:rsidRPr="001E5B06" w:rsidP="001E5B06">
      <w:pPr>
        <w:bidi w:val="0"/>
        <w:spacing w:after="0" w:line="240" w:lineRule="auto"/>
        <w:jc w:val="center"/>
        <w:rPr>
          <w:rFonts w:ascii="Times New Roman" w:hAnsi="Times New Roman"/>
          <w:sz w:val="24"/>
          <w:szCs w:val="24"/>
        </w:rPr>
      </w:pPr>
    </w:p>
    <w:p w:rsidR="001E5B06" w:rsidRPr="001E5B06" w:rsidP="001E5B06">
      <w:pPr>
        <w:bidi w:val="0"/>
        <w:spacing w:after="0" w:line="240" w:lineRule="auto"/>
        <w:jc w:val="center"/>
        <w:rPr>
          <w:rFonts w:ascii="Times New Roman" w:hAnsi="Times New Roman"/>
          <w:sz w:val="24"/>
          <w:szCs w:val="24"/>
        </w:rPr>
      </w:pPr>
    </w:p>
    <w:p w:rsidR="001E5B06" w:rsidRPr="001E5B06" w:rsidP="001E5B06">
      <w:pPr>
        <w:bidi w:val="0"/>
        <w:spacing w:after="0" w:line="240" w:lineRule="auto"/>
        <w:jc w:val="center"/>
        <w:rPr>
          <w:rFonts w:ascii="Times New Roman" w:hAnsi="Times New Roman"/>
          <w:sz w:val="24"/>
          <w:szCs w:val="24"/>
        </w:rPr>
      </w:pPr>
    </w:p>
    <w:p w:rsidR="001E5B06" w:rsidP="001E5B06">
      <w:pPr>
        <w:bidi w:val="0"/>
        <w:spacing w:after="0" w:line="240" w:lineRule="auto"/>
        <w:jc w:val="center"/>
        <w:rPr>
          <w:rFonts w:ascii="Times New Roman" w:hAnsi="Times New Roman"/>
          <w:sz w:val="24"/>
          <w:szCs w:val="24"/>
        </w:rPr>
      </w:pPr>
    </w:p>
    <w:p w:rsidR="001E5B06" w:rsidRPr="001E5B06" w:rsidP="001E5B06">
      <w:pPr>
        <w:bidi w:val="0"/>
        <w:spacing w:after="0" w:line="240" w:lineRule="auto"/>
        <w:jc w:val="center"/>
        <w:rPr>
          <w:rFonts w:ascii="Times New Roman" w:hAnsi="Times New Roman"/>
          <w:sz w:val="24"/>
          <w:szCs w:val="24"/>
        </w:rPr>
      </w:pPr>
    </w:p>
    <w:p w:rsidR="001E5B06" w:rsidRPr="001E5B06" w:rsidP="001E5B06">
      <w:pPr>
        <w:bidi w:val="0"/>
        <w:spacing w:after="0" w:line="240" w:lineRule="auto"/>
        <w:jc w:val="center"/>
        <w:rPr>
          <w:rFonts w:ascii="Times New Roman" w:hAnsi="Times New Roman"/>
          <w:sz w:val="24"/>
          <w:szCs w:val="24"/>
        </w:rPr>
      </w:pPr>
    </w:p>
    <w:p w:rsidR="001E5B06" w:rsidRPr="001E5B06" w:rsidP="001E5B06">
      <w:pPr>
        <w:bidi w:val="0"/>
        <w:spacing w:after="0" w:line="240" w:lineRule="auto"/>
        <w:jc w:val="center"/>
        <w:rPr>
          <w:rFonts w:ascii="Times New Roman" w:hAnsi="Times New Roman"/>
          <w:sz w:val="24"/>
          <w:szCs w:val="24"/>
        </w:rPr>
      </w:pPr>
    </w:p>
    <w:p w:rsidR="001E5B06" w:rsidRPr="000E40F3" w:rsidP="001E5B06">
      <w:pPr>
        <w:bidi w:val="0"/>
        <w:spacing w:after="0" w:line="240" w:lineRule="auto"/>
        <w:jc w:val="center"/>
        <w:rPr>
          <w:rFonts w:ascii="Times New Roman" w:hAnsi="Times New Roman"/>
          <w:b/>
          <w:sz w:val="24"/>
          <w:szCs w:val="24"/>
        </w:rPr>
      </w:pPr>
      <w:r w:rsidRPr="000E40F3">
        <w:rPr>
          <w:rFonts w:ascii="Times New Roman" w:hAnsi="Times New Roman"/>
          <w:b/>
          <w:sz w:val="24"/>
          <w:szCs w:val="24"/>
        </w:rPr>
        <w:t>Peter K a ž i m í r</w:t>
      </w:r>
      <w:r w:rsidRPr="000E40F3" w:rsidR="000E40F3">
        <w:rPr>
          <w:rFonts w:ascii="Times New Roman" w:hAnsi="Times New Roman"/>
          <w:b/>
          <w:sz w:val="24"/>
          <w:szCs w:val="24"/>
        </w:rPr>
        <w:t>, v. r.</w:t>
      </w:r>
    </w:p>
    <w:p w:rsidR="001E5B06" w:rsidRPr="001E5B06" w:rsidP="001E5B06">
      <w:pPr>
        <w:bidi w:val="0"/>
        <w:spacing w:after="0" w:line="240" w:lineRule="auto"/>
        <w:jc w:val="center"/>
        <w:rPr>
          <w:rFonts w:ascii="Times New Roman" w:hAnsi="Times New Roman"/>
          <w:sz w:val="24"/>
          <w:szCs w:val="24"/>
        </w:rPr>
      </w:pPr>
      <w:r w:rsidRPr="001E5B06">
        <w:rPr>
          <w:rFonts w:ascii="Times New Roman" w:hAnsi="Times New Roman"/>
          <w:sz w:val="24"/>
          <w:szCs w:val="24"/>
        </w:rPr>
        <w:t>minister financií</w:t>
      </w:r>
    </w:p>
    <w:p w:rsidR="001E5B06" w:rsidRPr="001E5B06" w:rsidP="001E5B06">
      <w:pPr>
        <w:bidi w:val="0"/>
        <w:spacing w:after="0" w:line="240" w:lineRule="auto"/>
        <w:jc w:val="center"/>
        <w:rPr>
          <w:rFonts w:ascii="Times New Roman" w:hAnsi="Times New Roman"/>
          <w:sz w:val="24"/>
          <w:szCs w:val="24"/>
        </w:rPr>
      </w:pPr>
      <w:r w:rsidRPr="001E5B06">
        <w:rPr>
          <w:rFonts w:ascii="Times New Roman" w:hAnsi="Times New Roman"/>
          <w:sz w:val="24"/>
          <w:szCs w:val="24"/>
        </w:rPr>
        <w:t>Slovenskej republiky</w:t>
      </w:r>
    </w:p>
    <w:p w:rsidR="001E5B06" w:rsidRPr="00E570DA" w:rsidP="001E5B06">
      <w:pPr>
        <w:bidi w:val="0"/>
        <w:spacing w:after="0" w:line="240" w:lineRule="auto"/>
        <w:jc w:val="center"/>
        <w:rPr>
          <w:rFonts w:ascii="Times New Roman" w:hAnsi="Times New Roman"/>
          <w:sz w:val="24"/>
          <w:szCs w:val="24"/>
        </w:rPr>
      </w:pPr>
    </w:p>
    <w:sectPr w:rsidSect="00F90B7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Arial Narrow">
    <w:altName w:val="Century Gothic"/>
    <w:panose1 w:val="00000000000000000000"/>
    <w:charset w:val="EE"/>
    <w:family w:val="swiss"/>
    <w:pitch w:val="variable"/>
    <w:sig w:usb0="00000000" w:usb1="00000000" w:usb2="00000000" w:usb3="00000000" w:csb0="0000009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774D"/>
    <w:multiLevelType w:val="hybridMultilevel"/>
    <w:tmpl w:val="D8303F30"/>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B433E76"/>
    <w:multiLevelType w:val="hybridMultilevel"/>
    <w:tmpl w:val="8B549830"/>
    <w:lvl w:ilvl="0">
      <w:start w:val="1"/>
      <w:numFmt w:val="decimal"/>
      <w:lvlText w:val="(%1)"/>
      <w:lvlJc w:val="left"/>
      <w:pPr>
        <w:ind w:left="2340" w:hanging="360"/>
      </w:pPr>
      <w:rPr>
        <w:rFonts w:cs="Times New Roman" w:hint="default"/>
        <w:rtl w:val="0"/>
        <w:cs w:val="0"/>
      </w:rPr>
    </w:lvl>
    <w:lvl w:ilvl="1">
      <w:start w:val="1"/>
      <w:numFmt w:val="lowerLetter"/>
      <w:lvlText w:val="%2)"/>
      <w:lvlJc w:val="left"/>
      <w:pPr>
        <w:ind w:left="3060" w:hanging="360"/>
      </w:pPr>
      <w:rPr>
        <w:rFonts w:cs="Times New Roman" w:hint="default"/>
        <w:rtl w:val="0"/>
        <w:cs w:val="0"/>
      </w:rPr>
    </w:lvl>
    <w:lvl w:ilvl="2">
      <w:start w:val="1"/>
      <w:numFmt w:val="lowerRoman"/>
      <w:lvlText w:val="%3."/>
      <w:lvlJc w:val="right"/>
      <w:pPr>
        <w:ind w:left="3780" w:hanging="180"/>
      </w:pPr>
      <w:rPr>
        <w:rFonts w:cs="Times New Roman"/>
        <w:rtl w:val="0"/>
        <w:cs w:val="0"/>
      </w:rPr>
    </w:lvl>
    <w:lvl w:ilvl="3">
      <w:start w:val="1"/>
      <w:numFmt w:val="decimal"/>
      <w:lvlText w:val="%4."/>
      <w:lvlJc w:val="left"/>
      <w:pPr>
        <w:ind w:left="4500" w:hanging="360"/>
      </w:pPr>
      <w:rPr>
        <w:rFonts w:cs="Times New Roman"/>
        <w:rtl w:val="0"/>
        <w:cs w:val="0"/>
      </w:rPr>
    </w:lvl>
    <w:lvl w:ilvl="4">
      <w:start w:val="1"/>
      <w:numFmt w:val="lowerLetter"/>
      <w:lvlText w:val="%5."/>
      <w:lvlJc w:val="left"/>
      <w:pPr>
        <w:ind w:left="5220" w:hanging="360"/>
      </w:pPr>
      <w:rPr>
        <w:rFonts w:cs="Times New Roman"/>
        <w:rtl w:val="0"/>
        <w:cs w:val="0"/>
      </w:rPr>
    </w:lvl>
    <w:lvl w:ilvl="5">
      <w:start w:val="1"/>
      <w:numFmt w:val="lowerRoman"/>
      <w:lvlText w:val="%6."/>
      <w:lvlJc w:val="right"/>
      <w:pPr>
        <w:ind w:left="5940" w:hanging="180"/>
      </w:pPr>
      <w:rPr>
        <w:rFonts w:cs="Times New Roman"/>
        <w:rtl w:val="0"/>
        <w:cs w:val="0"/>
      </w:rPr>
    </w:lvl>
    <w:lvl w:ilvl="6">
      <w:start w:val="1"/>
      <w:numFmt w:val="decimal"/>
      <w:lvlText w:val="%7."/>
      <w:lvlJc w:val="left"/>
      <w:pPr>
        <w:ind w:left="6660" w:hanging="360"/>
      </w:pPr>
      <w:rPr>
        <w:rFonts w:cs="Times New Roman"/>
        <w:rtl w:val="0"/>
        <w:cs w:val="0"/>
      </w:rPr>
    </w:lvl>
    <w:lvl w:ilvl="7">
      <w:start w:val="1"/>
      <w:numFmt w:val="lowerLetter"/>
      <w:lvlText w:val="%8."/>
      <w:lvlJc w:val="left"/>
      <w:pPr>
        <w:ind w:left="7380" w:hanging="360"/>
      </w:pPr>
      <w:rPr>
        <w:rFonts w:cs="Times New Roman"/>
        <w:rtl w:val="0"/>
        <w:cs w:val="0"/>
      </w:rPr>
    </w:lvl>
    <w:lvl w:ilvl="8">
      <w:start w:val="1"/>
      <w:numFmt w:val="lowerRoman"/>
      <w:lvlText w:val="%9."/>
      <w:lvlJc w:val="right"/>
      <w:pPr>
        <w:ind w:left="8100" w:hanging="180"/>
      </w:pPr>
      <w:rPr>
        <w:rFonts w:cs="Times New Roman"/>
        <w:rtl w:val="0"/>
        <w:cs w:val="0"/>
      </w:rPr>
    </w:lvl>
  </w:abstractNum>
  <w:abstractNum w:abstractNumId="2">
    <w:nsid w:val="15B62604"/>
    <w:multiLevelType w:val="multilevel"/>
    <w:tmpl w:val="E834A5FA"/>
    <w:lvl w:ilvl="0">
      <w:start w:val="1"/>
      <w:numFmt w:val="decimal"/>
      <w:suff w:val="space"/>
      <w:lvlText w:val="K Čl. %1"/>
      <w:lvlJc w:val="left"/>
      <w:rPr>
        <w:rFonts w:ascii="Arial Narrow" w:hAnsi="Arial Narrow" w:cs="Times New Roman" w:hint="default"/>
        <w:b/>
        <w:i w:val="0"/>
        <w:color w:val="000000" w:themeColor="tx1" w:themeShade="FF"/>
        <w:sz w:val="22"/>
        <w:rtl w:val="0"/>
        <w:cs w:val="0"/>
      </w:rPr>
    </w:lvl>
    <w:lvl w:ilvl="1">
      <w:start w:val="1"/>
      <w:numFmt w:val="none"/>
      <w:suff w:val="nothing"/>
      <w:lvlText w:val="K bodu 1"/>
      <w:lvlJc w:val="left"/>
      <w:rPr>
        <w:rFonts w:ascii="Arial Narrow" w:hAnsi="Arial Narrow" w:cs="Times New Roman" w:hint="default"/>
        <w:b/>
        <w:i w:val="0"/>
        <w:sz w:val="22"/>
        <w:rtl w:val="0"/>
        <w:cs w:val="0"/>
      </w:rPr>
    </w:lvl>
    <w:lvl w:ilvl="2">
      <w:start w:val="1"/>
      <w:numFmt w:val="none"/>
      <w:suff w:val="nothing"/>
      <w:lvlJc w:val="left"/>
      <w:rPr>
        <w:rFonts w:cs="Times New Roman" w:hint="default"/>
        <w:rtl w:val="0"/>
        <w:cs w:val="0"/>
      </w:rPr>
    </w:lvl>
    <w:lvl w:ilvl="3">
      <w:start w:val="1"/>
      <w:numFmt w:val="none"/>
      <w:suff w:val="nothing"/>
      <w:lvlJc w:val="left"/>
      <w:rPr>
        <w:rFonts w:cs="Times New Roman" w:hint="default"/>
        <w:rtl w:val="0"/>
        <w:cs w:val="0"/>
      </w:rPr>
    </w:lvl>
    <w:lvl w:ilvl="4">
      <w:start w:val="1"/>
      <w:numFmt w:val="none"/>
      <w:suff w:val="nothing"/>
      <w:lvlJc w:val="left"/>
      <w:rPr>
        <w:rFonts w:cs="Times New Roman" w:hint="default"/>
        <w:rtl w:val="0"/>
        <w:cs w:val="0"/>
      </w:rPr>
    </w:lvl>
    <w:lvl w:ilvl="5">
      <w:start w:val="1"/>
      <w:numFmt w:val="none"/>
      <w:suff w:val="nothing"/>
      <w:lvlJc w:val="left"/>
      <w:rPr>
        <w:rFonts w:cs="Times New Roman" w:hint="default"/>
        <w:rtl w:val="0"/>
        <w:cs w:val="0"/>
      </w:rPr>
    </w:lvl>
    <w:lvl w:ilvl="6">
      <w:start w:val="1"/>
      <w:numFmt w:val="none"/>
      <w:suff w:val="nothing"/>
      <w:lvlJc w:val="left"/>
      <w:rPr>
        <w:rFonts w:cs="Times New Roman" w:hint="default"/>
        <w:rtl w:val="0"/>
        <w:cs w:val="0"/>
      </w:rPr>
    </w:lvl>
    <w:lvl w:ilvl="7">
      <w:start w:val="1"/>
      <w:numFmt w:val="none"/>
      <w:suff w:val="nothing"/>
      <w:lvlJc w:val="left"/>
      <w:rPr>
        <w:rFonts w:cs="Times New Roman" w:hint="default"/>
        <w:rtl w:val="0"/>
        <w:cs w:val="0"/>
      </w:rPr>
    </w:lvl>
    <w:lvl w:ilvl="8">
      <w:start w:val="1"/>
      <w:numFmt w:val="none"/>
      <w:suff w:val="nothing"/>
      <w:lvlJc w:val="left"/>
      <w:rPr>
        <w:rFonts w:cs="Times New Roman" w:hint="default"/>
        <w:rtl w:val="0"/>
        <w:cs w:val="0"/>
      </w:rPr>
    </w:lvl>
  </w:abstractNum>
  <w:abstractNum w:abstractNumId="3">
    <w:nsid w:val="168643F9"/>
    <w:multiLevelType w:val="hybridMultilevel"/>
    <w:tmpl w:val="8AAEA94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1C547A3D"/>
    <w:multiLevelType w:val="multilevel"/>
    <w:tmpl w:val="D06AF91C"/>
    <w:lvl w:ilvl="0">
      <w:start w:val="1"/>
      <w:numFmt w:val="decimal"/>
      <w:suff w:val="space"/>
      <w:lvlText w:val="K Čl. %1"/>
      <w:lvlJc w:val="left"/>
      <w:rPr>
        <w:rFonts w:ascii="Times New Roman" w:hAnsi="Times New Roman" w:cs="Times New Roman" w:hint="default"/>
        <w:b/>
        <w:i w:val="0"/>
        <w:color w:val="000000" w:themeColor="tx1" w:themeShade="FF"/>
        <w:sz w:val="24"/>
        <w:rtl w:val="0"/>
        <w:cs w:val="0"/>
      </w:rPr>
    </w:lvl>
    <w:lvl w:ilvl="1">
      <w:start w:val="1"/>
      <w:numFmt w:val="none"/>
      <w:suff w:val="nothing"/>
      <w:lvlJc w:val="left"/>
      <w:rPr>
        <w:rFonts w:cs="Times New Roman" w:hint="default"/>
        <w:rtl w:val="0"/>
        <w:cs w:val="0"/>
      </w:rPr>
    </w:lvl>
    <w:lvl w:ilvl="2">
      <w:start w:val="1"/>
      <w:numFmt w:val="none"/>
      <w:suff w:val="nothing"/>
      <w:lvlJc w:val="left"/>
      <w:rPr>
        <w:rFonts w:cs="Times New Roman" w:hint="default"/>
        <w:rtl w:val="0"/>
        <w:cs w:val="0"/>
      </w:rPr>
    </w:lvl>
    <w:lvl w:ilvl="3">
      <w:start w:val="1"/>
      <w:numFmt w:val="none"/>
      <w:suff w:val="nothing"/>
      <w:lvlJc w:val="left"/>
      <w:rPr>
        <w:rFonts w:cs="Times New Roman" w:hint="default"/>
        <w:rtl w:val="0"/>
        <w:cs w:val="0"/>
      </w:rPr>
    </w:lvl>
    <w:lvl w:ilvl="4">
      <w:start w:val="1"/>
      <w:numFmt w:val="none"/>
      <w:suff w:val="nothing"/>
      <w:lvlJc w:val="left"/>
      <w:rPr>
        <w:rFonts w:cs="Times New Roman" w:hint="default"/>
        <w:rtl w:val="0"/>
        <w:cs w:val="0"/>
      </w:rPr>
    </w:lvl>
    <w:lvl w:ilvl="5">
      <w:start w:val="1"/>
      <w:numFmt w:val="none"/>
      <w:suff w:val="nothing"/>
      <w:lvlJc w:val="left"/>
      <w:rPr>
        <w:rFonts w:cs="Times New Roman" w:hint="default"/>
        <w:rtl w:val="0"/>
        <w:cs w:val="0"/>
      </w:rPr>
    </w:lvl>
    <w:lvl w:ilvl="6">
      <w:start w:val="1"/>
      <w:numFmt w:val="none"/>
      <w:suff w:val="nothing"/>
      <w:lvlJc w:val="left"/>
      <w:rPr>
        <w:rFonts w:cs="Times New Roman" w:hint="default"/>
        <w:rtl w:val="0"/>
        <w:cs w:val="0"/>
      </w:rPr>
    </w:lvl>
    <w:lvl w:ilvl="7">
      <w:start w:val="1"/>
      <w:numFmt w:val="none"/>
      <w:suff w:val="nothing"/>
      <w:lvlJc w:val="left"/>
      <w:rPr>
        <w:rFonts w:cs="Times New Roman" w:hint="default"/>
        <w:rtl w:val="0"/>
        <w:cs w:val="0"/>
      </w:rPr>
    </w:lvl>
    <w:lvl w:ilvl="8">
      <w:start w:val="1"/>
      <w:numFmt w:val="none"/>
      <w:suff w:val="nothing"/>
      <w:lvlJc w:val="left"/>
      <w:rPr>
        <w:rFonts w:cs="Times New Roman" w:hint="default"/>
        <w:rtl w:val="0"/>
        <w:cs w:val="0"/>
      </w:rPr>
    </w:lvl>
  </w:abstractNum>
  <w:abstractNum w:abstractNumId="5">
    <w:nsid w:val="236F15C9"/>
    <w:multiLevelType w:val="hybridMultilevel"/>
    <w:tmpl w:val="AB0EDCF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F754935"/>
    <w:multiLevelType w:val="multilevel"/>
    <w:tmpl w:val="1FDA4430"/>
    <w:lvl w:ilvl="0">
      <w:start w:val="1"/>
      <w:numFmt w:val="upperRoman"/>
      <w:lvlText w:val="K Čl. %1"/>
      <w:lvlJc w:val="left"/>
      <w:pPr>
        <w:ind w:left="786" w:hanging="360"/>
      </w:pPr>
      <w:rPr>
        <w:rFonts w:cs="Times New Roman"/>
        <w:b/>
        <w:bCs w:val="0"/>
        <w:i w:val="0"/>
        <w:iCs w:val="0"/>
        <w:caps w:val="0"/>
        <w:smallCaps w:val="0"/>
        <w:strike w:val="0"/>
        <w:dstrike w:val="0"/>
        <w:vanish w:val="0"/>
        <w:color w:val="000000"/>
        <w:spacing w:val="0"/>
        <w:kern w:val="0"/>
        <w:position w:val="0"/>
        <w:u w:val="none"/>
        <w:effect w:val="none"/>
        <w:vertAlign w:val="baseline"/>
        <w:rtl w:val="0"/>
        <w:cs w:val="0"/>
      </w:rPr>
    </w:lvl>
    <w:lvl w:ilvl="1">
      <w:start w:val="1"/>
      <w:numFmt w:val="decimal"/>
      <w:suff w:val="nothing"/>
      <w:lvlText w:val="K bodu %2"/>
      <w:lvlJc w:val="left"/>
      <w:rPr>
        <w:rFonts w:ascii="Times New Roman" w:hAnsi="Times New Roman" w:cs="Times New Roman"/>
        <w:b w:val="0"/>
        <w:bCs w:val="0"/>
        <w:i w:val="0"/>
        <w:iCs w:val="0"/>
        <w:caps w:val="0"/>
        <w:smallCaps w:val="0"/>
        <w:strike w:val="0"/>
        <w:dstrike w:val="0"/>
        <w:vanish w:val="0"/>
        <w:color w:val="000000"/>
        <w:spacing w:val="0"/>
        <w:w w:val="0"/>
        <w:kern w:val="0"/>
        <w:position w:val="0"/>
        <w:sz w:val="22"/>
        <w:szCs w:val="22"/>
        <w:u w:val="none" w:color="000000"/>
        <w:effect w:val="none"/>
        <w:vertAlign w:val="baseline"/>
        <w:rtl w:val="0"/>
        <w:cs w:val="0"/>
      </w:rPr>
    </w:lvl>
    <w:lvl w:ilvl="2">
      <w:start w:val="1"/>
      <w:numFmt w:val="none"/>
      <w:suff w:val="nothing"/>
      <w:lvlJc w:val="left"/>
      <w:rPr>
        <w:rFonts w:cs="Times New Roman" w:hint="default"/>
        <w:rtl w:val="0"/>
        <w:cs w:val="0"/>
      </w:rPr>
    </w:lvl>
    <w:lvl w:ilvl="3">
      <w:start w:val="1"/>
      <w:numFmt w:val="none"/>
      <w:suff w:val="nothing"/>
      <w:lvlJc w:val="left"/>
      <w:rPr>
        <w:rFonts w:cs="Times New Roman" w:hint="default"/>
        <w:rtl w:val="0"/>
        <w:cs w:val="0"/>
      </w:rPr>
    </w:lvl>
    <w:lvl w:ilvl="4">
      <w:start w:val="1"/>
      <w:numFmt w:val="none"/>
      <w:suff w:val="nothing"/>
      <w:lvlJc w:val="left"/>
      <w:rPr>
        <w:rFonts w:cs="Times New Roman" w:hint="default"/>
        <w:rtl w:val="0"/>
        <w:cs w:val="0"/>
      </w:rPr>
    </w:lvl>
    <w:lvl w:ilvl="5">
      <w:start w:val="1"/>
      <w:numFmt w:val="none"/>
      <w:suff w:val="nothing"/>
      <w:lvlJc w:val="left"/>
      <w:rPr>
        <w:rFonts w:cs="Times New Roman" w:hint="default"/>
        <w:rtl w:val="0"/>
        <w:cs w:val="0"/>
      </w:rPr>
    </w:lvl>
    <w:lvl w:ilvl="6">
      <w:start w:val="1"/>
      <w:numFmt w:val="none"/>
      <w:suff w:val="nothing"/>
      <w:lvlJc w:val="left"/>
      <w:rPr>
        <w:rFonts w:cs="Times New Roman" w:hint="default"/>
        <w:rtl w:val="0"/>
        <w:cs w:val="0"/>
      </w:rPr>
    </w:lvl>
    <w:lvl w:ilvl="7">
      <w:start w:val="1"/>
      <w:numFmt w:val="none"/>
      <w:suff w:val="nothing"/>
      <w:lvlJc w:val="left"/>
      <w:rPr>
        <w:rFonts w:cs="Times New Roman" w:hint="default"/>
        <w:rtl w:val="0"/>
        <w:cs w:val="0"/>
      </w:rPr>
    </w:lvl>
    <w:lvl w:ilvl="8">
      <w:start w:val="1"/>
      <w:numFmt w:val="none"/>
      <w:suff w:val="nothing"/>
      <w:lvlJc w:val="left"/>
      <w:rPr>
        <w:rFonts w:cs="Times New Roman" w:hint="default"/>
        <w:rtl w:val="0"/>
        <w:cs w:val="0"/>
      </w:rPr>
    </w:lvl>
  </w:abstractNum>
  <w:abstractNum w:abstractNumId="7">
    <w:nsid w:val="32EB2C5A"/>
    <w:multiLevelType w:val="multilevel"/>
    <w:tmpl w:val="091A929C"/>
    <w:lvl w:ilvl="0">
      <w:start w:val="1"/>
      <w:numFmt w:val="decimal"/>
      <w:suff w:val="space"/>
      <w:lvlText w:val="Kapitola %1"/>
      <w:lvlJc w:val="left"/>
      <w:rPr>
        <w:rFonts w:cs="Times New Roman"/>
        <w:rtl w:val="0"/>
        <w:cs w:val="0"/>
      </w:rPr>
    </w:lvl>
    <w:lvl w:ilvl="1">
      <w:start w:val="1"/>
      <w:numFmt w:val="none"/>
      <w:suff w:val="nothing"/>
      <w:lvlJc w:val="left"/>
      <w:rPr>
        <w:rFonts w:cs="Times New Roman"/>
        <w:b w:val="0"/>
        <w:bCs w:val="0"/>
        <w:i w:val="0"/>
        <w:iCs w:val="0"/>
        <w:caps w:val="0"/>
        <w:smallCaps w:val="0"/>
        <w:strike w:val="0"/>
        <w:dstrike w:val="0"/>
        <w:vanish w:val="0"/>
        <w:color w:val="000000"/>
        <w:spacing w:val="0"/>
        <w:kern w:val="0"/>
        <w:position w:val="0"/>
        <w:u w:val="none"/>
        <w:effect w:val="none"/>
        <w:vertAlign w:val="baseline"/>
        <w:rtl w:val="0"/>
        <w:cs w:val="0"/>
      </w:rPr>
    </w:lvl>
    <w:lvl w:ilvl="2">
      <w:start w:val="1"/>
      <w:numFmt w:val="none"/>
      <w:pStyle w:val="Heading3"/>
      <w:suff w:val="nothing"/>
      <w:lvlJc w:val="left"/>
      <w:rPr>
        <w:rFonts w:cs="Times New Roman"/>
        <w:rtl w:val="0"/>
        <w:cs w:val="0"/>
      </w:rPr>
    </w:lvl>
    <w:lvl w:ilvl="3">
      <w:start w:val="1"/>
      <w:numFmt w:val="none"/>
      <w:pStyle w:val="Heading4"/>
      <w:suff w:val="nothing"/>
      <w:lvlJc w:val="left"/>
      <w:rPr>
        <w:rFonts w:cs="Times New Roman"/>
        <w:rtl w:val="0"/>
        <w:cs w:val="0"/>
      </w:rPr>
    </w:lvl>
    <w:lvl w:ilvl="4">
      <w:start w:val="1"/>
      <w:numFmt w:val="none"/>
      <w:pStyle w:val="Heading5"/>
      <w:suff w:val="nothing"/>
      <w:lvlJc w:val="left"/>
      <w:rPr>
        <w:rFonts w:cs="Times New Roman"/>
        <w:rtl w:val="0"/>
        <w:cs w:val="0"/>
      </w:rPr>
    </w:lvl>
    <w:lvl w:ilvl="5">
      <w:start w:val="1"/>
      <w:numFmt w:val="none"/>
      <w:pStyle w:val="Heading6"/>
      <w:suff w:val="nothing"/>
      <w:lvlJc w:val="left"/>
      <w:rPr>
        <w:rFonts w:cs="Times New Roman"/>
        <w:rtl w:val="0"/>
        <w:cs w:val="0"/>
      </w:rPr>
    </w:lvl>
    <w:lvl w:ilvl="6">
      <w:start w:val="1"/>
      <w:numFmt w:val="none"/>
      <w:pStyle w:val="Heading7"/>
      <w:suff w:val="nothing"/>
      <w:lvlJc w:val="left"/>
      <w:rPr>
        <w:rFonts w:cs="Times New Roman"/>
        <w:rtl w:val="0"/>
        <w:cs w:val="0"/>
      </w:rPr>
    </w:lvl>
    <w:lvl w:ilvl="7">
      <w:start w:val="1"/>
      <w:numFmt w:val="none"/>
      <w:pStyle w:val="Heading8"/>
      <w:suff w:val="nothing"/>
      <w:lvlJc w:val="left"/>
      <w:rPr>
        <w:rFonts w:cs="Times New Roman"/>
        <w:rtl w:val="0"/>
        <w:cs w:val="0"/>
      </w:rPr>
    </w:lvl>
    <w:lvl w:ilvl="8">
      <w:start w:val="1"/>
      <w:numFmt w:val="none"/>
      <w:pStyle w:val="Heading9"/>
      <w:suff w:val="nothing"/>
      <w:lvlJc w:val="left"/>
      <w:rPr>
        <w:rFonts w:cs="Times New Roman"/>
        <w:rtl w:val="0"/>
        <w:cs w:val="0"/>
      </w:rPr>
    </w:lvl>
  </w:abstractNum>
  <w:abstractNum w:abstractNumId="8">
    <w:nsid w:val="59F72374"/>
    <w:multiLevelType w:val="multilevel"/>
    <w:tmpl w:val="BED0B8C0"/>
    <w:lvl w:ilvl="0">
      <w:start w:val="1"/>
      <w:numFmt w:val="decimal"/>
      <w:suff w:val="space"/>
      <w:lvlText w:val="Kapitola %1"/>
      <w:lvlJc w:val="left"/>
      <w:rPr>
        <w:rFonts w:cs="Times New Roman"/>
        <w:rtl w:val="0"/>
        <w:cs w:val="0"/>
      </w:rPr>
    </w:lvl>
    <w:lvl w:ilvl="1">
      <w:start w:val="1"/>
      <w:numFmt w:val="none"/>
      <w:suff w:val="nothing"/>
      <w:lvlJc w:val="left"/>
      <w:rPr>
        <w:rFonts w:cs="Times New Roman"/>
        <w:rtl w:val="0"/>
        <w:cs w:val="0"/>
      </w:rPr>
    </w:lvl>
    <w:lvl w:ilvl="2">
      <w:start w:val="1"/>
      <w:numFmt w:val="none"/>
      <w:suff w:val="nothing"/>
      <w:lvlJc w:val="left"/>
      <w:rPr>
        <w:rFonts w:cs="Times New Roman"/>
        <w:rtl w:val="0"/>
        <w:cs w:val="0"/>
      </w:rPr>
    </w:lvl>
    <w:lvl w:ilvl="3">
      <w:start w:val="1"/>
      <w:numFmt w:val="none"/>
      <w:suff w:val="nothing"/>
      <w:lvlJc w:val="left"/>
      <w:rPr>
        <w:rFonts w:cs="Times New Roman"/>
        <w:rtl w:val="0"/>
        <w:cs w:val="0"/>
      </w:rPr>
    </w:lvl>
    <w:lvl w:ilvl="4">
      <w:start w:val="1"/>
      <w:numFmt w:val="none"/>
      <w:suff w:val="nothing"/>
      <w:lvlJc w:val="left"/>
      <w:rPr>
        <w:rFonts w:cs="Times New Roman"/>
        <w:rtl w:val="0"/>
        <w:cs w:val="0"/>
      </w:rPr>
    </w:lvl>
    <w:lvl w:ilvl="5">
      <w:start w:val="1"/>
      <w:numFmt w:val="none"/>
      <w:suff w:val="nothing"/>
      <w:lvlJc w:val="left"/>
      <w:rPr>
        <w:rFonts w:cs="Times New Roman"/>
        <w:rtl w:val="0"/>
        <w:cs w:val="0"/>
      </w:rPr>
    </w:lvl>
    <w:lvl w:ilvl="6">
      <w:start w:val="1"/>
      <w:numFmt w:val="none"/>
      <w:suff w:val="nothing"/>
      <w:lvlJc w:val="left"/>
      <w:rPr>
        <w:rFonts w:cs="Times New Roman"/>
        <w:rtl w:val="0"/>
        <w:cs w:val="0"/>
      </w:rPr>
    </w:lvl>
    <w:lvl w:ilvl="7">
      <w:start w:val="1"/>
      <w:numFmt w:val="none"/>
      <w:suff w:val="nothing"/>
      <w:lvlJc w:val="left"/>
      <w:rPr>
        <w:rFonts w:cs="Times New Roman"/>
        <w:rtl w:val="0"/>
        <w:cs w:val="0"/>
      </w:rPr>
    </w:lvl>
    <w:lvl w:ilvl="8">
      <w:start w:val="1"/>
      <w:numFmt w:val="none"/>
      <w:suff w:val="nothing"/>
      <w:lvlJc w:val="left"/>
      <w:rPr>
        <w:rFonts w:cs="Times New Roman"/>
        <w:rtl w:val="0"/>
        <w:cs w:val="0"/>
      </w:rPr>
    </w:lvl>
  </w:abstractNum>
  <w:abstractNum w:abstractNumId="9">
    <w:nsid w:val="5B9F271D"/>
    <w:multiLevelType w:val="multilevel"/>
    <w:tmpl w:val="DFE27BBC"/>
    <w:lvl w:ilvl="0">
      <w:start w:val="1"/>
      <w:numFmt w:val="decimal"/>
      <w:suff w:val="space"/>
      <w:lvlText w:val="K Čl. %1"/>
      <w:lvlJc w:val="left"/>
      <w:rPr>
        <w:rFonts w:ascii="Arial Narrow" w:hAnsi="Arial Narrow" w:cs="Times New Roman" w:hint="default"/>
        <w:b/>
        <w:i w:val="0"/>
        <w:color w:val="000000" w:themeColor="tx1" w:themeShade="FF"/>
        <w:sz w:val="22"/>
        <w:rtl w:val="0"/>
        <w:cs w:val="0"/>
      </w:rPr>
    </w:lvl>
    <w:lvl w:ilvl="1">
      <w:start w:val="1"/>
      <w:numFmt w:val="none"/>
      <w:suff w:val="nothing"/>
      <w:lvlJc w:val="left"/>
      <w:rPr>
        <w:rFonts w:cs="Times New Roman" w:hint="default"/>
        <w:rtl w:val="0"/>
        <w:cs w:val="0"/>
      </w:rPr>
    </w:lvl>
    <w:lvl w:ilvl="2">
      <w:start w:val="1"/>
      <w:numFmt w:val="none"/>
      <w:suff w:val="nothing"/>
      <w:lvlJc w:val="left"/>
      <w:rPr>
        <w:rFonts w:cs="Times New Roman" w:hint="default"/>
        <w:rtl w:val="0"/>
        <w:cs w:val="0"/>
      </w:rPr>
    </w:lvl>
    <w:lvl w:ilvl="3">
      <w:start w:val="1"/>
      <w:numFmt w:val="none"/>
      <w:suff w:val="nothing"/>
      <w:lvlJc w:val="left"/>
      <w:rPr>
        <w:rFonts w:cs="Times New Roman" w:hint="default"/>
        <w:rtl w:val="0"/>
        <w:cs w:val="0"/>
      </w:rPr>
    </w:lvl>
    <w:lvl w:ilvl="4">
      <w:start w:val="1"/>
      <w:numFmt w:val="none"/>
      <w:suff w:val="nothing"/>
      <w:lvlJc w:val="left"/>
      <w:rPr>
        <w:rFonts w:cs="Times New Roman" w:hint="default"/>
        <w:rtl w:val="0"/>
        <w:cs w:val="0"/>
      </w:rPr>
    </w:lvl>
    <w:lvl w:ilvl="5">
      <w:start w:val="1"/>
      <w:numFmt w:val="none"/>
      <w:suff w:val="nothing"/>
      <w:lvlJc w:val="left"/>
      <w:rPr>
        <w:rFonts w:cs="Times New Roman" w:hint="default"/>
        <w:rtl w:val="0"/>
        <w:cs w:val="0"/>
      </w:rPr>
    </w:lvl>
    <w:lvl w:ilvl="6">
      <w:start w:val="1"/>
      <w:numFmt w:val="none"/>
      <w:suff w:val="nothing"/>
      <w:lvlJc w:val="left"/>
      <w:rPr>
        <w:rFonts w:cs="Times New Roman" w:hint="default"/>
        <w:rtl w:val="0"/>
        <w:cs w:val="0"/>
      </w:rPr>
    </w:lvl>
    <w:lvl w:ilvl="7">
      <w:start w:val="1"/>
      <w:numFmt w:val="none"/>
      <w:suff w:val="nothing"/>
      <w:lvlJc w:val="left"/>
      <w:rPr>
        <w:rFonts w:cs="Times New Roman" w:hint="default"/>
        <w:rtl w:val="0"/>
        <w:cs w:val="0"/>
      </w:rPr>
    </w:lvl>
    <w:lvl w:ilvl="8">
      <w:start w:val="1"/>
      <w:numFmt w:val="none"/>
      <w:suff w:val="nothing"/>
      <w:lvlJc w:val="left"/>
      <w:rPr>
        <w:rFonts w:cs="Times New Roman" w:hint="default"/>
        <w:rtl w:val="0"/>
        <w:cs w:val="0"/>
      </w:rPr>
    </w:lvl>
  </w:abstractNum>
  <w:abstractNum w:abstractNumId="10">
    <w:nsid w:val="76F014F2"/>
    <w:multiLevelType w:val="multilevel"/>
    <w:tmpl w:val="9118CC26"/>
    <w:lvl w:ilvl="0">
      <w:start w:val="1"/>
      <w:numFmt w:val="decimal"/>
      <w:suff w:val="space"/>
      <w:lvlText w:val="Kapitola %1"/>
      <w:lvlJc w:val="left"/>
      <w:rPr>
        <w:rFonts w:cs="Times New Roman"/>
        <w:rtl w:val="0"/>
        <w:cs w:val="0"/>
      </w:rPr>
    </w:lvl>
    <w:lvl w:ilvl="1">
      <w:start w:val="1"/>
      <w:numFmt w:val="none"/>
      <w:suff w:val="nothing"/>
      <w:lvlJc w:val="left"/>
      <w:rPr>
        <w:rFonts w:cs="Times New Roman"/>
        <w:b w:val="0"/>
        <w:bCs w:val="0"/>
        <w:i w:val="0"/>
        <w:iCs w:val="0"/>
        <w:caps w:val="0"/>
        <w:smallCaps w:val="0"/>
        <w:strike w:val="0"/>
        <w:dstrike w:val="0"/>
        <w:vanish w:val="0"/>
        <w:color w:val="000000"/>
        <w:spacing w:val="0"/>
        <w:kern w:val="0"/>
        <w:position w:val="0"/>
        <w:u w:val="none"/>
        <w:effect w:val="none"/>
        <w:vertAlign w:val="baseline"/>
        <w:rtl w:val="0"/>
        <w:cs w:val="0"/>
      </w:rPr>
    </w:lvl>
    <w:lvl w:ilvl="2">
      <w:start w:val="1"/>
      <w:numFmt w:val="none"/>
      <w:suff w:val="nothing"/>
      <w:lvlJc w:val="left"/>
      <w:rPr>
        <w:rFonts w:cs="Times New Roman"/>
        <w:rtl w:val="0"/>
        <w:cs w:val="0"/>
      </w:rPr>
    </w:lvl>
    <w:lvl w:ilvl="3">
      <w:start w:val="1"/>
      <w:numFmt w:val="none"/>
      <w:suff w:val="nothing"/>
      <w:lvlJc w:val="left"/>
      <w:rPr>
        <w:rFonts w:cs="Times New Roman"/>
        <w:rtl w:val="0"/>
        <w:cs w:val="0"/>
      </w:rPr>
    </w:lvl>
    <w:lvl w:ilvl="4">
      <w:start w:val="1"/>
      <w:numFmt w:val="none"/>
      <w:suff w:val="nothing"/>
      <w:lvlJc w:val="left"/>
      <w:rPr>
        <w:rFonts w:cs="Times New Roman"/>
        <w:rtl w:val="0"/>
        <w:cs w:val="0"/>
      </w:rPr>
    </w:lvl>
    <w:lvl w:ilvl="5">
      <w:start w:val="1"/>
      <w:numFmt w:val="none"/>
      <w:suff w:val="nothing"/>
      <w:lvlJc w:val="left"/>
      <w:rPr>
        <w:rFonts w:cs="Times New Roman"/>
        <w:rtl w:val="0"/>
        <w:cs w:val="0"/>
      </w:rPr>
    </w:lvl>
    <w:lvl w:ilvl="6">
      <w:start w:val="1"/>
      <w:numFmt w:val="none"/>
      <w:suff w:val="nothing"/>
      <w:lvlJc w:val="left"/>
      <w:rPr>
        <w:rFonts w:cs="Times New Roman"/>
        <w:rtl w:val="0"/>
        <w:cs w:val="0"/>
      </w:rPr>
    </w:lvl>
    <w:lvl w:ilvl="7">
      <w:start w:val="1"/>
      <w:numFmt w:val="none"/>
      <w:suff w:val="nothing"/>
      <w:lvlJc w:val="left"/>
      <w:rPr>
        <w:rFonts w:cs="Times New Roman"/>
        <w:rtl w:val="0"/>
        <w:cs w:val="0"/>
      </w:rPr>
    </w:lvl>
    <w:lvl w:ilvl="8">
      <w:start w:val="1"/>
      <w:numFmt w:val="none"/>
      <w:suff w:val="nothing"/>
      <w:lvlJc w:val="left"/>
      <w:rPr>
        <w:rFonts w:cs="Times New Roman"/>
        <w:rtl w:val="0"/>
        <w:cs w:val="0"/>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10"/>
  </w:num>
  <w:num w:numId="8">
    <w:abstractNumId w:val="6"/>
  </w:num>
  <w:num w:numId="9">
    <w:abstractNumId w:val="2"/>
  </w:num>
  <w:num w:numId="10">
    <w:abstractNumId w:val="5"/>
  </w:num>
  <w:num w:numId="11">
    <w:abstractNumId w:val="3"/>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5224"/>
  <w:doNotTrackMoves/>
  <w:defaultTabStop w:val="708"/>
  <w:hyphenationZone w:val="425"/>
  <w:characterSpacingControl w:val="doNotCompress"/>
  <w:compat/>
  <w:rsids>
    <w:rsidRoot w:val="00D76A0B"/>
    <w:rsid w:val="00003AE7"/>
    <w:rsid w:val="00003CE6"/>
    <w:rsid w:val="00004ABC"/>
    <w:rsid w:val="000103AB"/>
    <w:rsid w:val="000209CF"/>
    <w:rsid w:val="0002680A"/>
    <w:rsid w:val="000353D2"/>
    <w:rsid w:val="000358C2"/>
    <w:rsid w:val="00064FB9"/>
    <w:rsid w:val="00070C48"/>
    <w:rsid w:val="00070F71"/>
    <w:rsid w:val="00082A7A"/>
    <w:rsid w:val="000834C9"/>
    <w:rsid w:val="00085672"/>
    <w:rsid w:val="0009078C"/>
    <w:rsid w:val="0009307F"/>
    <w:rsid w:val="00095209"/>
    <w:rsid w:val="000A7326"/>
    <w:rsid w:val="000B1D17"/>
    <w:rsid w:val="000B3FEF"/>
    <w:rsid w:val="000B5127"/>
    <w:rsid w:val="000C3228"/>
    <w:rsid w:val="000C3ACD"/>
    <w:rsid w:val="000C7E99"/>
    <w:rsid w:val="000D029D"/>
    <w:rsid w:val="000D78E8"/>
    <w:rsid w:val="000E18F0"/>
    <w:rsid w:val="000E40F3"/>
    <w:rsid w:val="000E6BBD"/>
    <w:rsid w:val="000F45F6"/>
    <w:rsid w:val="000F466A"/>
    <w:rsid w:val="000F4E18"/>
    <w:rsid w:val="00100FD2"/>
    <w:rsid w:val="0010486A"/>
    <w:rsid w:val="00110CE3"/>
    <w:rsid w:val="00115C06"/>
    <w:rsid w:val="00116E77"/>
    <w:rsid w:val="0012647E"/>
    <w:rsid w:val="001315FE"/>
    <w:rsid w:val="00132622"/>
    <w:rsid w:val="00143A6E"/>
    <w:rsid w:val="00146846"/>
    <w:rsid w:val="0015391B"/>
    <w:rsid w:val="00154B50"/>
    <w:rsid w:val="00171063"/>
    <w:rsid w:val="00172734"/>
    <w:rsid w:val="0017521A"/>
    <w:rsid w:val="00175D54"/>
    <w:rsid w:val="00190378"/>
    <w:rsid w:val="00195F76"/>
    <w:rsid w:val="001B2246"/>
    <w:rsid w:val="001B583D"/>
    <w:rsid w:val="001C4F34"/>
    <w:rsid w:val="001C5602"/>
    <w:rsid w:val="001C69A2"/>
    <w:rsid w:val="001D2A1C"/>
    <w:rsid w:val="001E5798"/>
    <w:rsid w:val="001E5B06"/>
    <w:rsid w:val="001F2576"/>
    <w:rsid w:val="001F4A04"/>
    <w:rsid w:val="001F6737"/>
    <w:rsid w:val="002147DC"/>
    <w:rsid w:val="00217A4C"/>
    <w:rsid w:val="002205BD"/>
    <w:rsid w:val="00222F98"/>
    <w:rsid w:val="00223EDB"/>
    <w:rsid w:val="00230CC2"/>
    <w:rsid w:val="00232950"/>
    <w:rsid w:val="00237780"/>
    <w:rsid w:val="0024560C"/>
    <w:rsid w:val="002458B3"/>
    <w:rsid w:val="0026234E"/>
    <w:rsid w:val="00262601"/>
    <w:rsid w:val="002631C2"/>
    <w:rsid w:val="002650C6"/>
    <w:rsid w:val="00265A6C"/>
    <w:rsid w:val="00270CC2"/>
    <w:rsid w:val="00272EBE"/>
    <w:rsid w:val="00290FB9"/>
    <w:rsid w:val="002939CB"/>
    <w:rsid w:val="002956E8"/>
    <w:rsid w:val="00296C78"/>
    <w:rsid w:val="00297EEE"/>
    <w:rsid w:val="002B2846"/>
    <w:rsid w:val="002B4D6A"/>
    <w:rsid w:val="002B5F0E"/>
    <w:rsid w:val="002B6D90"/>
    <w:rsid w:val="002C1A9C"/>
    <w:rsid w:val="002C55F3"/>
    <w:rsid w:val="002D1B41"/>
    <w:rsid w:val="002D502B"/>
    <w:rsid w:val="002D52A0"/>
    <w:rsid w:val="002D57AA"/>
    <w:rsid w:val="002E0B19"/>
    <w:rsid w:val="002F0646"/>
    <w:rsid w:val="002F2286"/>
    <w:rsid w:val="00310075"/>
    <w:rsid w:val="003107C7"/>
    <w:rsid w:val="00314FA0"/>
    <w:rsid w:val="003270E4"/>
    <w:rsid w:val="00327AE8"/>
    <w:rsid w:val="00343DFA"/>
    <w:rsid w:val="00347365"/>
    <w:rsid w:val="00353B35"/>
    <w:rsid w:val="00357E5F"/>
    <w:rsid w:val="003612DA"/>
    <w:rsid w:val="00363715"/>
    <w:rsid w:val="00366218"/>
    <w:rsid w:val="00373155"/>
    <w:rsid w:val="00374DF4"/>
    <w:rsid w:val="00380693"/>
    <w:rsid w:val="00390446"/>
    <w:rsid w:val="003B16BA"/>
    <w:rsid w:val="003B3857"/>
    <w:rsid w:val="003B6AC2"/>
    <w:rsid w:val="003C52B8"/>
    <w:rsid w:val="003D66EE"/>
    <w:rsid w:val="003E162A"/>
    <w:rsid w:val="003F31C1"/>
    <w:rsid w:val="003F3C91"/>
    <w:rsid w:val="00400C1A"/>
    <w:rsid w:val="00405FD9"/>
    <w:rsid w:val="00412857"/>
    <w:rsid w:val="0041745C"/>
    <w:rsid w:val="004228FD"/>
    <w:rsid w:val="00423EAD"/>
    <w:rsid w:val="00424ACD"/>
    <w:rsid w:val="00425FB1"/>
    <w:rsid w:val="00426633"/>
    <w:rsid w:val="00426EAE"/>
    <w:rsid w:val="00427170"/>
    <w:rsid w:val="00435A87"/>
    <w:rsid w:val="00446632"/>
    <w:rsid w:val="004611DB"/>
    <w:rsid w:val="004616DF"/>
    <w:rsid w:val="0046257A"/>
    <w:rsid w:val="004629CB"/>
    <w:rsid w:val="004674A5"/>
    <w:rsid w:val="00473FEB"/>
    <w:rsid w:val="00474B17"/>
    <w:rsid w:val="00475CF3"/>
    <w:rsid w:val="004860D4"/>
    <w:rsid w:val="004862A1"/>
    <w:rsid w:val="00487E91"/>
    <w:rsid w:val="00492676"/>
    <w:rsid w:val="00493597"/>
    <w:rsid w:val="00493844"/>
    <w:rsid w:val="00496A10"/>
    <w:rsid w:val="004A116E"/>
    <w:rsid w:val="004A15E4"/>
    <w:rsid w:val="004A7041"/>
    <w:rsid w:val="004B15BD"/>
    <w:rsid w:val="004B1E00"/>
    <w:rsid w:val="004B2191"/>
    <w:rsid w:val="004C2D79"/>
    <w:rsid w:val="004C2F19"/>
    <w:rsid w:val="004C3B1B"/>
    <w:rsid w:val="004C7C77"/>
    <w:rsid w:val="004E0854"/>
    <w:rsid w:val="004F03DB"/>
    <w:rsid w:val="004F2B18"/>
    <w:rsid w:val="004F77E1"/>
    <w:rsid w:val="00507B5F"/>
    <w:rsid w:val="00512AFE"/>
    <w:rsid w:val="00513CE2"/>
    <w:rsid w:val="005163E9"/>
    <w:rsid w:val="00521B8C"/>
    <w:rsid w:val="005307BF"/>
    <w:rsid w:val="00533055"/>
    <w:rsid w:val="00534C28"/>
    <w:rsid w:val="005442F6"/>
    <w:rsid w:val="005558CF"/>
    <w:rsid w:val="00560556"/>
    <w:rsid w:val="005645C1"/>
    <w:rsid w:val="00564D88"/>
    <w:rsid w:val="00573AE5"/>
    <w:rsid w:val="00577A96"/>
    <w:rsid w:val="005818A9"/>
    <w:rsid w:val="00581F90"/>
    <w:rsid w:val="00583065"/>
    <w:rsid w:val="0058681C"/>
    <w:rsid w:val="00594198"/>
    <w:rsid w:val="005A7012"/>
    <w:rsid w:val="005A794E"/>
    <w:rsid w:val="005B26E2"/>
    <w:rsid w:val="005B5C14"/>
    <w:rsid w:val="005C0494"/>
    <w:rsid w:val="005C4631"/>
    <w:rsid w:val="005D1016"/>
    <w:rsid w:val="005E02EC"/>
    <w:rsid w:val="005E6C77"/>
    <w:rsid w:val="005E7B60"/>
    <w:rsid w:val="005E7D35"/>
    <w:rsid w:val="005F136E"/>
    <w:rsid w:val="005F1BF9"/>
    <w:rsid w:val="006018A1"/>
    <w:rsid w:val="0060204D"/>
    <w:rsid w:val="00606B4C"/>
    <w:rsid w:val="006201A9"/>
    <w:rsid w:val="006232BD"/>
    <w:rsid w:val="006234D0"/>
    <w:rsid w:val="00626C00"/>
    <w:rsid w:val="006275E2"/>
    <w:rsid w:val="00630329"/>
    <w:rsid w:val="00634B09"/>
    <w:rsid w:val="00651A7D"/>
    <w:rsid w:val="00660A19"/>
    <w:rsid w:val="00660F27"/>
    <w:rsid w:val="006630D4"/>
    <w:rsid w:val="00666F58"/>
    <w:rsid w:val="00667BAA"/>
    <w:rsid w:val="00667CD9"/>
    <w:rsid w:val="00674583"/>
    <w:rsid w:val="00674D64"/>
    <w:rsid w:val="00676641"/>
    <w:rsid w:val="0068765F"/>
    <w:rsid w:val="006916A7"/>
    <w:rsid w:val="00694F21"/>
    <w:rsid w:val="006A28AE"/>
    <w:rsid w:val="006A59CA"/>
    <w:rsid w:val="006B40B8"/>
    <w:rsid w:val="006B541A"/>
    <w:rsid w:val="006B656A"/>
    <w:rsid w:val="006C12A8"/>
    <w:rsid w:val="006C2B32"/>
    <w:rsid w:val="006C4A42"/>
    <w:rsid w:val="006D0275"/>
    <w:rsid w:val="006D79A1"/>
    <w:rsid w:val="006E2E34"/>
    <w:rsid w:val="006E53A8"/>
    <w:rsid w:val="006E5B7C"/>
    <w:rsid w:val="006F5C67"/>
    <w:rsid w:val="006F6BA8"/>
    <w:rsid w:val="006F7184"/>
    <w:rsid w:val="00702472"/>
    <w:rsid w:val="007113B9"/>
    <w:rsid w:val="00720755"/>
    <w:rsid w:val="00720B89"/>
    <w:rsid w:val="00730071"/>
    <w:rsid w:val="00732157"/>
    <w:rsid w:val="0073525F"/>
    <w:rsid w:val="00735CA0"/>
    <w:rsid w:val="00740E18"/>
    <w:rsid w:val="007422E4"/>
    <w:rsid w:val="0074336F"/>
    <w:rsid w:val="007514DB"/>
    <w:rsid w:val="00751AD3"/>
    <w:rsid w:val="00756089"/>
    <w:rsid w:val="00756756"/>
    <w:rsid w:val="00771188"/>
    <w:rsid w:val="00771CD4"/>
    <w:rsid w:val="00775675"/>
    <w:rsid w:val="00794390"/>
    <w:rsid w:val="00797475"/>
    <w:rsid w:val="007977D9"/>
    <w:rsid w:val="007A01A9"/>
    <w:rsid w:val="007C4FED"/>
    <w:rsid w:val="007D4359"/>
    <w:rsid w:val="007D652B"/>
    <w:rsid w:val="007E270D"/>
    <w:rsid w:val="007E4D44"/>
    <w:rsid w:val="007E54FE"/>
    <w:rsid w:val="007F39D6"/>
    <w:rsid w:val="007F3A5F"/>
    <w:rsid w:val="007F49AD"/>
    <w:rsid w:val="008054F6"/>
    <w:rsid w:val="0081207F"/>
    <w:rsid w:val="00813FC8"/>
    <w:rsid w:val="00821BEE"/>
    <w:rsid w:val="00822408"/>
    <w:rsid w:val="00845426"/>
    <w:rsid w:val="00847A98"/>
    <w:rsid w:val="008522D4"/>
    <w:rsid w:val="00852A47"/>
    <w:rsid w:val="00856E2D"/>
    <w:rsid w:val="00861BB5"/>
    <w:rsid w:val="008650F7"/>
    <w:rsid w:val="00867335"/>
    <w:rsid w:val="00871D03"/>
    <w:rsid w:val="00875E2B"/>
    <w:rsid w:val="00876433"/>
    <w:rsid w:val="00885311"/>
    <w:rsid w:val="00885ACA"/>
    <w:rsid w:val="00894FBA"/>
    <w:rsid w:val="008A0A81"/>
    <w:rsid w:val="008A73C8"/>
    <w:rsid w:val="008C2BEC"/>
    <w:rsid w:val="008C3A55"/>
    <w:rsid w:val="008D1F36"/>
    <w:rsid w:val="008D5B40"/>
    <w:rsid w:val="008F0F46"/>
    <w:rsid w:val="008F5EDD"/>
    <w:rsid w:val="00902517"/>
    <w:rsid w:val="00905A82"/>
    <w:rsid w:val="009076FC"/>
    <w:rsid w:val="00907BE4"/>
    <w:rsid w:val="00913DFE"/>
    <w:rsid w:val="00926103"/>
    <w:rsid w:val="009336E8"/>
    <w:rsid w:val="00933BF5"/>
    <w:rsid w:val="00935191"/>
    <w:rsid w:val="00937F7C"/>
    <w:rsid w:val="0094026F"/>
    <w:rsid w:val="00942924"/>
    <w:rsid w:val="0096391F"/>
    <w:rsid w:val="00971BC1"/>
    <w:rsid w:val="0097771D"/>
    <w:rsid w:val="00980CD2"/>
    <w:rsid w:val="0098615F"/>
    <w:rsid w:val="0099687C"/>
    <w:rsid w:val="009B2FAE"/>
    <w:rsid w:val="009C4B28"/>
    <w:rsid w:val="009D0A23"/>
    <w:rsid w:val="009D7D0B"/>
    <w:rsid w:val="009E172E"/>
    <w:rsid w:val="009E1DF1"/>
    <w:rsid w:val="009E61C4"/>
    <w:rsid w:val="009E663F"/>
    <w:rsid w:val="009F01D3"/>
    <w:rsid w:val="009F14CF"/>
    <w:rsid w:val="00A06F82"/>
    <w:rsid w:val="00A1023F"/>
    <w:rsid w:val="00A13BD0"/>
    <w:rsid w:val="00A16156"/>
    <w:rsid w:val="00A2209F"/>
    <w:rsid w:val="00A30343"/>
    <w:rsid w:val="00A33953"/>
    <w:rsid w:val="00A43CCF"/>
    <w:rsid w:val="00A45F51"/>
    <w:rsid w:val="00A46D13"/>
    <w:rsid w:val="00A73F74"/>
    <w:rsid w:val="00A82435"/>
    <w:rsid w:val="00A903CC"/>
    <w:rsid w:val="00A94BAE"/>
    <w:rsid w:val="00A963FF"/>
    <w:rsid w:val="00AA558B"/>
    <w:rsid w:val="00AA6958"/>
    <w:rsid w:val="00AC10FD"/>
    <w:rsid w:val="00AC4CD8"/>
    <w:rsid w:val="00AC5587"/>
    <w:rsid w:val="00AD3194"/>
    <w:rsid w:val="00AD39AB"/>
    <w:rsid w:val="00AE2FEF"/>
    <w:rsid w:val="00AE357E"/>
    <w:rsid w:val="00AE49C2"/>
    <w:rsid w:val="00AE64E4"/>
    <w:rsid w:val="00B05224"/>
    <w:rsid w:val="00B07872"/>
    <w:rsid w:val="00B352FC"/>
    <w:rsid w:val="00B35E1F"/>
    <w:rsid w:val="00B41107"/>
    <w:rsid w:val="00B50F02"/>
    <w:rsid w:val="00B516E8"/>
    <w:rsid w:val="00B52980"/>
    <w:rsid w:val="00B535CB"/>
    <w:rsid w:val="00B55188"/>
    <w:rsid w:val="00B55272"/>
    <w:rsid w:val="00B5546E"/>
    <w:rsid w:val="00B6424A"/>
    <w:rsid w:val="00B70744"/>
    <w:rsid w:val="00B7747D"/>
    <w:rsid w:val="00B813A6"/>
    <w:rsid w:val="00B83595"/>
    <w:rsid w:val="00B869E5"/>
    <w:rsid w:val="00B8788D"/>
    <w:rsid w:val="00B90B09"/>
    <w:rsid w:val="00BA3348"/>
    <w:rsid w:val="00BA33FC"/>
    <w:rsid w:val="00BB6F8A"/>
    <w:rsid w:val="00BC2023"/>
    <w:rsid w:val="00BC240E"/>
    <w:rsid w:val="00BD03B9"/>
    <w:rsid w:val="00BD5D9B"/>
    <w:rsid w:val="00BE0C58"/>
    <w:rsid w:val="00BE2C07"/>
    <w:rsid w:val="00BE7108"/>
    <w:rsid w:val="00BE7D64"/>
    <w:rsid w:val="00BF54E3"/>
    <w:rsid w:val="00BF60AC"/>
    <w:rsid w:val="00BF74A9"/>
    <w:rsid w:val="00C00529"/>
    <w:rsid w:val="00C0245C"/>
    <w:rsid w:val="00C06C05"/>
    <w:rsid w:val="00C113CB"/>
    <w:rsid w:val="00C11B9A"/>
    <w:rsid w:val="00C1576E"/>
    <w:rsid w:val="00C15AC1"/>
    <w:rsid w:val="00C1685D"/>
    <w:rsid w:val="00C16B0B"/>
    <w:rsid w:val="00C20032"/>
    <w:rsid w:val="00C20376"/>
    <w:rsid w:val="00C310B0"/>
    <w:rsid w:val="00C31D4F"/>
    <w:rsid w:val="00C3485A"/>
    <w:rsid w:val="00C34995"/>
    <w:rsid w:val="00C400F5"/>
    <w:rsid w:val="00C44310"/>
    <w:rsid w:val="00C44B54"/>
    <w:rsid w:val="00C46D78"/>
    <w:rsid w:val="00C504D8"/>
    <w:rsid w:val="00C532B1"/>
    <w:rsid w:val="00C63D75"/>
    <w:rsid w:val="00C66949"/>
    <w:rsid w:val="00C67967"/>
    <w:rsid w:val="00C72EA2"/>
    <w:rsid w:val="00C84CDF"/>
    <w:rsid w:val="00C852D6"/>
    <w:rsid w:val="00C86602"/>
    <w:rsid w:val="00C9054B"/>
    <w:rsid w:val="00C96B4E"/>
    <w:rsid w:val="00C97E33"/>
    <w:rsid w:val="00CA6185"/>
    <w:rsid w:val="00CA733F"/>
    <w:rsid w:val="00CA7B53"/>
    <w:rsid w:val="00CA7EFD"/>
    <w:rsid w:val="00CB0D0E"/>
    <w:rsid w:val="00CB1AB1"/>
    <w:rsid w:val="00CB3A9E"/>
    <w:rsid w:val="00CB50BF"/>
    <w:rsid w:val="00CC0E93"/>
    <w:rsid w:val="00CC5481"/>
    <w:rsid w:val="00CE5363"/>
    <w:rsid w:val="00D0219D"/>
    <w:rsid w:val="00D10575"/>
    <w:rsid w:val="00D15593"/>
    <w:rsid w:val="00D179D8"/>
    <w:rsid w:val="00D20FF5"/>
    <w:rsid w:val="00D36DED"/>
    <w:rsid w:val="00D44F12"/>
    <w:rsid w:val="00D46C97"/>
    <w:rsid w:val="00D53AD7"/>
    <w:rsid w:val="00D70FD1"/>
    <w:rsid w:val="00D76A0B"/>
    <w:rsid w:val="00D77034"/>
    <w:rsid w:val="00D80BD0"/>
    <w:rsid w:val="00D84359"/>
    <w:rsid w:val="00D874EE"/>
    <w:rsid w:val="00D91388"/>
    <w:rsid w:val="00D97ED3"/>
    <w:rsid w:val="00DA0484"/>
    <w:rsid w:val="00DA0BA3"/>
    <w:rsid w:val="00DB1846"/>
    <w:rsid w:val="00DB2538"/>
    <w:rsid w:val="00DB4843"/>
    <w:rsid w:val="00DC1EAF"/>
    <w:rsid w:val="00DC3EED"/>
    <w:rsid w:val="00DD53EA"/>
    <w:rsid w:val="00DD6ED6"/>
    <w:rsid w:val="00DE19A9"/>
    <w:rsid w:val="00DF225F"/>
    <w:rsid w:val="00E01998"/>
    <w:rsid w:val="00E0231F"/>
    <w:rsid w:val="00E034B1"/>
    <w:rsid w:val="00E03716"/>
    <w:rsid w:val="00E04FD3"/>
    <w:rsid w:val="00E06B3D"/>
    <w:rsid w:val="00E122B7"/>
    <w:rsid w:val="00E22356"/>
    <w:rsid w:val="00E32E9C"/>
    <w:rsid w:val="00E36C9D"/>
    <w:rsid w:val="00E43C0D"/>
    <w:rsid w:val="00E45208"/>
    <w:rsid w:val="00E45261"/>
    <w:rsid w:val="00E45FC6"/>
    <w:rsid w:val="00E507D2"/>
    <w:rsid w:val="00E570DA"/>
    <w:rsid w:val="00E73AD0"/>
    <w:rsid w:val="00E8153F"/>
    <w:rsid w:val="00E843AA"/>
    <w:rsid w:val="00E877BD"/>
    <w:rsid w:val="00E90E51"/>
    <w:rsid w:val="00E94305"/>
    <w:rsid w:val="00E970B9"/>
    <w:rsid w:val="00E971FC"/>
    <w:rsid w:val="00EB02D9"/>
    <w:rsid w:val="00EC5909"/>
    <w:rsid w:val="00ED320E"/>
    <w:rsid w:val="00ED43AB"/>
    <w:rsid w:val="00EF21E3"/>
    <w:rsid w:val="00EF4C47"/>
    <w:rsid w:val="00F04EF6"/>
    <w:rsid w:val="00F0687D"/>
    <w:rsid w:val="00F0768B"/>
    <w:rsid w:val="00F14909"/>
    <w:rsid w:val="00F24A98"/>
    <w:rsid w:val="00F26EB8"/>
    <w:rsid w:val="00F27BB0"/>
    <w:rsid w:val="00F335FC"/>
    <w:rsid w:val="00F356C1"/>
    <w:rsid w:val="00F37A3F"/>
    <w:rsid w:val="00F4328C"/>
    <w:rsid w:val="00F43701"/>
    <w:rsid w:val="00F46A6B"/>
    <w:rsid w:val="00F54C4E"/>
    <w:rsid w:val="00F600B7"/>
    <w:rsid w:val="00F65A14"/>
    <w:rsid w:val="00F72D3E"/>
    <w:rsid w:val="00F7307F"/>
    <w:rsid w:val="00F775B7"/>
    <w:rsid w:val="00F83945"/>
    <w:rsid w:val="00F85236"/>
    <w:rsid w:val="00F90B75"/>
    <w:rsid w:val="00F90DB6"/>
    <w:rsid w:val="00F916C2"/>
    <w:rsid w:val="00F91C5F"/>
    <w:rsid w:val="00F94364"/>
    <w:rsid w:val="00FA2228"/>
    <w:rsid w:val="00FA59EC"/>
    <w:rsid w:val="00FB1C12"/>
    <w:rsid w:val="00FB5CFA"/>
    <w:rsid w:val="00FC1221"/>
    <w:rsid w:val="00FC2085"/>
    <w:rsid w:val="00FD7C21"/>
    <w:rsid w:val="00FE4F5B"/>
    <w:rsid w:val="00FF42F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F46"/>
    <w:pPr>
      <w:framePr w:wrap="auto"/>
      <w:widowControl/>
      <w:autoSpaceDE/>
      <w:autoSpaceDN/>
      <w:adjustRightInd/>
      <w:spacing w:after="160" w:line="259" w:lineRule="auto"/>
      <w:ind w:left="0" w:right="0"/>
      <w:jc w:val="both"/>
      <w:textAlignment w:val="auto"/>
    </w:pPr>
    <w:rPr>
      <w:rFonts w:ascii="Arial Narrow" w:hAnsi="Arial Narrow" w:cs="Times New Roman"/>
      <w:color w:val="000000" w:themeColor="tx1" w:themeShade="FF"/>
      <w:sz w:val="22"/>
      <w:szCs w:val="22"/>
      <w:rtl w:val="0"/>
      <w:cs w:val="0"/>
      <w:lang w:val="sk-SK" w:eastAsia="en-US" w:bidi="ar-SA"/>
    </w:rPr>
  </w:style>
  <w:style w:type="paragraph" w:styleId="Heading1">
    <w:name w:val="heading 1"/>
    <w:basedOn w:val="Normal"/>
    <w:next w:val="Normal"/>
    <w:link w:val="Nadpis1Char"/>
    <w:autoRedefine/>
    <w:uiPriority w:val="9"/>
    <w:qFormat/>
    <w:rsid w:val="00FE4F5B"/>
    <w:pPr>
      <w:keepNext/>
      <w:keepLines/>
      <w:spacing w:after="0" w:line="240" w:lineRule="auto"/>
      <w:jc w:val="both"/>
      <w:outlineLvl w:val="0"/>
    </w:pPr>
    <w:rPr>
      <w:rFonts w:ascii="Times New Roman" w:hAnsi="Times New Roman" w:eastAsiaTheme="majorEastAsia"/>
      <w:sz w:val="24"/>
      <w:szCs w:val="24"/>
    </w:rPr>
  </w:style>
  <w:style w:type="paragraph" w:styleId="Heading2">
    <w:name w:val="heading 2"/>
    <w:basedOn w:val="Normal"/>
    <w:next w:val="Normal"/>
    <w:link w:val="Nadpis2Char"/>
    <w:autoRedefine/>
    <w:uiPriority w:val="9"/>
    <w:unhideWhenUsed/>
    <w:qFormat/>
    <w:rsid w:val="00171063"/>
    <w:pPr>
      <w:keepNext/>
      <w:keepLines/>
      <w:spacing w:after="0" w:line="240" w:lineRule="auto"/>
      <w:jc w:val="both"/>
      <w:outlineLvl w:val="1"/>
    </w:pPr>
    <w:rPr>
      <w:rFonts w:ascii="Times New Roman" w:hAnsi="Times New Roman"/>
      <w:sz w:val="24"/>
      <w:szCs w:val="24"/>
    </w:rPr>
  </w:style>
  <w:style w:type="paragraph" w:styleId="Heading3">
    <w:name w:val="heading 3"/>
    <w:basedOn w:val="Normal"/>
    <w:next w:val="Normal"/>
    <w:link w:val="Nadpis3Char"/>
    <w:uiPriority w:val="9"/>
    <w:semiHidden/>
    <w:unhideWhenUsed/>
    <w:qFormat/>
    <w:rsid w:val="00DC1EAF"/>
    <w:pPr>
      <w:keepNext/>
      <w:keepLines/>
      <w:numPr>
        <w:ilvl w:val="2"/>
        <w:numId w:val="6"/>
      </w:numPr>
      <w:spacing w:before="40" w:after="0"/>
      <w:jc w:val="both"/>
      <w:outlineLvl w:val="2"/>
    </w:pPr>
    <w:rPr>
      <w:rFonts w:asciiTheme="majorHAnsi" w:eastAsiaTheme="majorEastAsia" w:hAnsiTheme="majorHAnsi"/>
      <w:color w:val="1F4D78" w:themeColor="accent1" w:themeShade="7F"/>
      <w:sz w:val="24"/>
      <w:szCs w:val="24"/>
    </w:rPr>
  </w:style>
  <w:style w:type="paragraph" w:styleId="Heading4">
    <w:name w:val="heading 4"/>
    <w:basedOn w:val="Normal"/>
    <w:next w:val="Normal"/>
    <w:link w:val="Nadpis4Char"/>
    <w:uiPriority w:val="9"/>
    <w:semiHidden/>
    <w:unhideWhenUsed/>
    <w:qFormat/>
    <w:rsid w:val="00DC1EAF"/>
    <w:pPr>
      <w:keepNext/>
      <w:keepLines/>
      <w:numPr>
        <w:ilvl w:val="3"/>
        <w:numId w:val="6"/>
      </w:numPr>
      <w:spacing w:before="40" w:after="0"/>
      <w:jc w:val="both"/>
      <w:outlineLvl w:val="3"/>
    </w:pPr>
    <w:rPr>
      <w:rFonts w:asciiTheme="majorHAnsi" w:eastAsiaTheme="majorEastAsia" w:hAnsiTheme="majorHAnsi"/>
      <w:i/>
      <w:iCs/>
      <w:color w:val="2E74B5" w:themeColor="accent1" w:themeShade="BF"/>
    </w:rPr>
  </w:style>
  <w:style w:type="paragraph" w:styleId="Heading5">
    <w:name w:val="heading 5"/>
    <w:basedOn w:val="Normal"/>
    <w:next w:val="Normal"/>
    <w:link w:val="Nadpis5Char"/>
    <w:uiPriority w:val="9"/>
    <w:semiHidden/>
    <w:unhideWhenUsed/>
    <w:qFormat/>
    <w:rsid w:val="00DC1EAF"/>
    <w:pPr>
      <w:keepNext/>
      <w:keepLines/>
      <w:numPr>
        <w:ilvl w:val="4"/>
        <w:numId w:val="6"/>
      </w:numPr>
      <w:spacing w:before="40" w:after="0"/>
      <w:jc w:val="both"/>
      <w:outlineLvl w:val="4"/>
    </w:pPr>
    <w:rPr>
      <w:rFonts w:asciiTheme="majorHAnsi" w:eastAsiaTheme="majorEastAsia" w:hAnsiTheme="majorHAnsi"/>
      <w:color w:val="2E74B5" w:themeColor="accent1" w:themeShade="BF"/>
    </w:rPr>
  </w:style>
  <w:style w:type="paragraph" w:styleId="Heading6">
    <w:name w:val="heading 6"/>
    <w:basedOn w:val="Normal"/>
    <w:next w:val="Normal"/>
    <w:link w:val="Nadpis6Char"/>
    <w:uiPriority w:val="9"/>
    <w:semiHidden/>
    <w:unhideWhenUsed/>
    <w:qFormat/>
    <w:rsid w:val="00DC1EAF"/>
    <w:pPr>
      <w:keepNext/>
      <w:keepLines/>
      <w:numPr>
        <w:ilvl w:val="5"/>
        <w:numId w:val="6"/>
      </w:numPr>
      <w:spacing w:before="40" w:after="0"/>
      <w:jc w:val="both"/>
      <w:outlineLvl w:val="5"/>
    </w:pPr>
    <w:rPr>
      <w:rFonts w:asciiTheme="majorHAnsi" w:eastAsiaTheme="majorEastAsia" w:hAnsiTheme="majorHAnsi"/>
      <w:color w:val="1F4D78" w:themeColor="accent1" w:themeShade="7F"/>
    </w:rPr>
  </w:style>
  <w:style w:type="paragraph" w:styleId="Heading7">
    <w:name w:val="heading 7"/>
    <w:basedOn w:val="Normal"/>
    <w:next w:val="Normal"/>
    <w:link w:val="Nadpis7Char"/>
    <w:uiPriority w:val="9"/>
    <w:semiHidden/>
    <w:unhideWhenUsed/>
    <w:qFormat/>
    <w:rsid w:val="00DC1EAF"/>
    <w:pPr>
      <w:keepNext/>
      <w:keepLines/>
      <w:numPr>
        <w:ilvl w:val="6"/>
        <w:numId w:val="6"/>
      </w:numPr>
      <w:spacing w:before="40" w:after="0"/>
      <w:jc w:val="both"/>
      <w:outlineLvl w:val="6"/>
    </w:pPr>
    <w:rPr>
      <w:rFonts w:asciiTheme="majorHAnsi" w:eastAsiaTheme="majorEastAsia" w:hAnsiTheme="majorHAnsi"/>
      <w:i/>
      <w:iCs/>
      <w:color w:val="1F4D78" w:themeColor="accent1" w:themeShade="7F"/>
    </w:rPr>
  </w:style>
  <w:style w:type="paragraph" w:styleId="Heading8">
    <w:name w:val="heading 8"/>
    <w:basedOn w:val="Normal"/>
    <w:next w:val="Normal"/>
    <w:link w:val="Nadpis8Char"/>
    <w:uiPriority w:val="9"/>
    <w:semiHidden/>
    <w:unhideWhenUsed/>
    <w:qFormat/>
    <w:rsid w:val="00DC1EAF"/>
    <w:pPr>
      <w:keepNext/>
      <w:keepLines/>
      <w:numPr>
        <w:ilvl w:val="7"/>
        <w:numId w:val="6"/>
      </w:numPr>
      <w:spacing w:before="40" w:after="0"/>
      <w:jc w:val="both"/>
      <w:outlineLvl w:val="7"/>
    </w:pPr>
    <w:rPr>
      <w:rFonts w:asciiTheme="majorHAnsi" w:eastAsiaTheme="majorEastAsia" w:hAnsiTheme="majorHAnsi"/>
      <w:color w:val="272727" w:themeTint="D8"/>
      <w:sz w:val="21"/>
      <w:szCs w:val="21"/>
    </w:rPr>
  </w:style>
  <w:style w:type="paragraph" w:styleId="Heading9">
    <w:name w:val="heading 9"/>
    <w:basedOn w:val="Normal"/>
    <w:next w:val="Normal"/>
    <w:link w:val="Nadpis9Char"/>
    <w:uiPriority w:val="9"/>
    <w:semiHidden/>
    <w:unhideWhenUsed/>
    <w:qFormat/>
    <w:rsid w:val="00DC1EAF"/>
    <w:pPr>
      <w:keepNext/>
      <w:keepLines/>
      <w:numPr>
        <w:ilvl w:val="8"/>
        <w:numId w:val="6"/>
      </w:numPr>
      <w:spacing w:before="40" w:after="0"/>
      <w:jc w:val="both"/>
      <w:outlineLvl w:val="8"/>
    </w:pPr>
    <w:rPr>
      <w:rFonts w:asciiTheme="majorHAnsi" w:eastAsiaTheme="majorEastAsia" w:hAnsiTheme="majorHAnsi"/>
      <w:i/>
      <w:iCs/>
      <w:color w:val="272727"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FE4F5B"/>
    <w:rPr>
      <w:rFonts w:ascii="Times New Roman" w:hAnsi="Times New Roman" w:eastAsiaTheme="majorEastAsia" w:cs="Times New Roman"/>
      <w:color w:val="000000" w:themeColor="tx1" w:themeShade="FF"/>
      <w:sz w:val="24"/>
      <w:szCs w:val="24"/>
      <w:rtl w:val="0"/>
      <w:cs w:val="0"/>
    </w:rPr>
  </w:style>
  <w:style w:type="character" w:customStyle="1" w:styleId="Nadpis2Char">
    <w:name w:val="Nadpis 2 Char"/>
    <w:basedOn w:val="DefaultParagraphFont"/>
    <w:link w:val="Heading2"/>
    <w:uiPriority w:val="9"/>
    <w:locked/>
    <w:rsid w:val="00171063"/>
    <w:rPr>
      <w:rFonts w:ascii="Times New Roman" w:hAnsi="Times New Roman" w:cs="Times New Roman"/>
      <w:color w:val="000000" w:themeColor="tx1" w:themeShade="FF"/>
      <w:sz w:val="24"/>
      <w:szCs w:val="24"/>
      <w:rtl w:val="0"/>
      <w:cs w:val="0"/>
    </w:rPr>
  </w:style>
  <w:style w:type="character" w:customStyle="1" w:styleId="Nadpis3Char">
    <w:name w:val="Nadpis 3 Char"/>
    <w:basedOn w:val="DefaultParagraphFont"/>
    <w:link w:val="Heading3"/>
    <w:uiPriority w:val="9"/>
    <w:semiHidden/>
    <w:locked/>
    <w:rsid w:val="00DC1EAF"/>
    <w:rPr>
      <w:rFonts w:asciiTheme="majorHAnsi" w:eastAsiaTheme="majorEastAsia" w:hAnsiTheme="majorHAnsi" w:cs="Times New Roman"/>
      <w:color w:val="1F4D78" w:themeColor="accent1" w:themeShade="7F"/>
      <w:sz w:val="24"/>
      <w:szCs w:val="24"/>
      <w:rtl w:val="0"/>
      <w:cs w:val="0"/>
    </w:rPr>
  </w:style>
  <w:style w:type="character" w:customStyle="1" w:styleId="Nadpis4Char">
    <w:name w:val="Nadpis 4 Char"/>
    <w:basedOn w:val="DefaultParagraphFont"/>
    <w:link w:val="Heading4"/>
    <w:uiPriority w:val="9"/>
    <w:semiHidden/>
    <w:locked/>
    <w:rsid w:val="00DC1EAF"/>
    <w:rPr>
      <w:rFonts w:asciiTheme="majorHAnsi" w:eastAsiaTheme="majorEastAsia" w:hAnsiTheme="majorHAnsi" w:cs="Times New Roman"/>
      <w:i/>
      <w:iCs/>
      <w:color w:val="2E74B5" w:themeColor="accent1" w:themeShade="BF"/>
      <w:rtl w:val="0"/>
      <w:cs w:val="0"/>
    </w:rPr>
  </w:style>
  <w:style w:type="character" w:customStyle="1" w:styleId="Nadpis5Char">
    <w:name w:val="Nadpis 5 Char"/>
    <w:basedOn w:val="DefaultParagraphFont"/>
    <w:link w:val="Heading5"/>
    <w:uiPriority w:val="9"/>
    <w:semiHidden/>
    <w:locked/>
    <w:rsid w:val="00DC1EAF"/>
    <w:rPr>
      <w:rFonts w:asciiTheme="majorHAnsi" w:eastAsiaTheme="majorEastAsia" w:hAnsiTheme="majorHAnsi" w:cs="Times New Roman"/>
      <w:color w:val="2E74B5" w:themeColor="accent1" w:themeShade="BF"/>
      <w:rtl w:val="0"/>
      <w:cs w:val="0"/>
    </w:rPr>
  </w:style>
  <w:style w:type="character" w:customStyle="1" w:styleId="Nadpis6Char">
    <w:name w:val="Nadpis 6 Char"/>
    <w:basedOn w:val="DefaultParagraphFont"/>
    <w:link w:val="Heading6"/>
    <w:uiPriority w:val="9"/>
    <w:semiHidden/>
    <w:locked/>
    <w:rsid w:val="00DC1EAF"/>
    <w:rPr>
      <w:rFonts w:asciiTheme="majorHAnsi" w:eastAsiaTheme="majorEastAsia" w:hAnsiTheme="majorHAnsi" w:cs="Times New Roman"/>
      <w:color w:val="1F4D78" w:themeColor="accent1" w:themeShade="7F"/>
      <w:rtl w:val="0"/>
      <w:cs w:val="0"/>
    </w:rPr>
  </w:style>
  <w:style w:type="character" w:customStyle="1" w:styleId="Nadpis7Char">
    <w:name w:val="Nadpis 7 Char"/>
    <w:basedOn w:val="DefaultParagraphFont"/>
    <w:link w:val="Heading7"/>
    <w:uiPriority w:val="9"/>
    <w:semiHidden/>
    <w:locked/>
    <w:rsid w:val="00DC1EAF"/>
    <w:rPr>
      <w:rFonts w:asciiTheme="majorHAnsi" w:eastAsiaTheme="majorEastAsia" w:hAnsiTheme="majorHAnsi" w:cs="Times New Roman"/>
      <w:i/>
      <w:iCs/>
      <w:color w:val="1F4D78" w:themeColor="accent1" w:themeShade="7F"/>
      <w:rtl w:val="0"/>
      <w:cs w:val="0"/>
    </w:rPr>
  </w:style>
  <w:style w:type="character" w:customStyle="1" w:styleId="Nadpis8Char">
    <w:name w:val="Nadpis 8 Char"/>
    <w:basedOn w:val="DefaultParagraphFont"/>
    <w:link w:val="Heading8"/>
    <w:uiPriority w:val="9"/>
    <w:semiHidden/>
    <w:locked/>
    <w:rsid w:val="00DC1EAF"/>
    <w:rPr>
      <w:rFonts w:asciiTheme="majorHAnsi" w:eastAsiaTheme="majorEastAsia" w:hAnsiTheme="majorHAnsi" w:cs="Times New Roman"/>
      <w:color w:val="272727" w:themeColor="tx1" w:themeShade="FF" w:themeTint="D8"/>
      <w:sz w:val="21"/>
      <w:szCs w:val="21"/>
      <w:rtl w:val="0"/>
      <w:cs w:val="0"/>
    </w:rPr>
  </w:style>
  <w:style w:type="character" w:customStyle="1" w:styleId="Nadpis9Char">
    <w:name w:val="Nadpis 9 Char"/>
    <w:basedOn w:val="DefaultParagraphFont"/>
    <w:link w:val="Heading9"/>
    <w:uiPriority w:val="9"/>
    <w:semiHidden/>
    <w:locked/>
    <w:rsid w:val="00DC1EAF"/>
    <w:rPr>
      <w:rFonts w:asciiTheme="majorHAnsi" w:eastAsiaTheme="majorEastAsia" w:hAnsiTheme="majorHAnsi" w:cs="Times New Roman"/>
      <w:i/>
      <w:iCs/>
      <w:color w:val="272727" w:themeColor="tx1" w:themeShade="FF" w:themeTint="D8"/>
      <w:sz w:val="21"/>
      <w:szCs w:val="21"/>
      <w:rtl w:val="0"/>
      <w:cs w:val="0"/>
    </w:rPr>
  </w:style>
  <w:style w:type="paragraph" w:styleId="ListParagraph">
    <w:name w:val="List Paragraph"/>
    <w:basedOn w:val="Normal"/>
    <w:uiPriority w:val="34"/>
    <w:qFormat/>
    <w:rsid w:val="00DC1EAF"/>
    <w:pPr>
      <w:ind w:left="720"/>
      <w:contextualSpacing/>
      <w:jc w:val="both"/>
    </w:pPr>
  </w:style>
  <w:style w:type="paragraph" w:styleId="BodyText">
    <w:name w:val="Body Text"/>
    <w:basedOn w:val="Normal"/>
    <w:link w:val="ZkladntextChar"/>
    <w:uiPriority w:val="99"/>
    <w:rsid w:val="005558CF"/>
    <w:pPr>
      <w:tabs>
        <w:tab w:val="left" w:pos="851"/>
      </w:tabs>
      <w:spacing w:before="240" w:after="120" w:line="240" w:lineRule="atLeast"/>
      <w:ind w:firstLine="851"/>
      <w:jc w:val="both"/>
    </w:pPr>
    <w:rPr>
      <w:rFonts w:ascii="Times New Roman" w:hAnsi="Times New Roman"/>
      <w:color w:val="auto"/>
      <w:sz w:val="24"/>
      <w:szCs w:val="24"/>
      <w:lang w:eastAsia="sk-SK"/>
    </w:rPr>
  </w:style>
  <w:style w:type="character" w:customStyle="1" w:styleId="ZkladntextChar">
    <w:name w:val="Základný text Char"/>
    <w:basedOn w:val="DefaultParagraphFont"/>
    <w:link w:val="BodyText"/>
    <w:uiPriority w:val="99"/>
    <w:locked/>
    <w:rsid w:val="005558CF"/>
    <w:rPr>
      <w:rFonts w:ascii="Times New Roman" w:hAnsi="Times New Roman" w:cs="Times New Roman"/>
      <w:sz w:val="24"/>
      <w:szCs w:val="24"/>
      <w:rtl w:val="0"/>
      <w:cs w:val="0"/>
      <w:lang w:val="x-none" w:eastAsia="sk-SK"/>
    </w:rPr>
  </w:style>
  <w:style w:type="paragraph" w:customStyle="1" w:styleId="CharChar1">
    <w:name w:val="Char Char1"/>
    <w:basedOn w:val="Normal"/>
    <w:uiPriority w:val="99"/>
    <w:rsid w:val="009E172E"/>
    <w:pPr>
      <w:spacing w:line="240" w:lineRule="exact"/>
      <w:jc w:val="left"/>
    </w:pPr>
    <w:rPr>
      <w:rFonts w:ascii="Tahoma" w:hAnsi="Tahoma" w:cs="Tahoma"/>
      <w:color w:val="auto"/>
      <w:sz w:val="20"/>
      <w:szCs w:val="20"/>
    </w:rPr>
  </w:style>
  <w:style w:type="paragraph" w:styleId="Header">
    <w:name w:val="header"/>
    <w:basedOn w:val="Normal"/>
    <w:link w:val="HlavikaChar"/>
    <w:uiPriority w:val="99"/>
    <w:unhideWhenUsed/>
    <w:rsid w:val="00C20376"/>
    <w:pPr>
      <w:tabs>
        <w:tab w:val="center" w:pos="4536"/>
        <w:tab w:val="right" w:pos="9072"/>
      </w:tabs>
      <w:spacing w:after="0" w:line="240" w:lineRule="auto"/>
      <w:jc w:val="both"/>
    </w:pPr>
  </w:style>
  <w:style w:type="character" w:customStyle="1" w:styleId="HlavikaChar">
    <w:name w:val="Hlavička Char"/>
    <w:basedOn w:val="DefaultParagraphFont"/>
    <w:link w:val="Header"/>
    <w:uiPriority w:val="99"/>
    <w:locked/>
    <w:rsid w:val="00C20376"/>
    <w:rPr>
      <w:rFonts w:ascii="Arial Narrow" w:hAnsi="Arial Narrow" w:cs="Times New Roman"/>
      <w:color w:val="000000" w:themeColor="tx1" w:themeShade="FF"/>
      <w:rtl w:val="0"/>
      <w:cs w:val="0"/>
    </w:rPr>
  </w:style>
  <w:style w:type="paragraph" w:styleId="Footer">
    <w:name w:val="footer"/>
    <w:basedOn w:val="Normal"/>
    <w:link w:val="PtaChar"/>
    <w:uiPriority w:val="99"/>
    <w:unhideWhenUsed/>
    <w:rsid w:val="00C20376"/>
    <w:pPr>
      <w:tabs>
        <w:tab w:val="center" w:pos="4536"/>
        <w:tab w:val="right" w:pos="9072"/>
      </w:tabs>
      <w:spacing w:after="0" w:line="240" w:lineRule="auto"/>
      <w:jc w:val="both"/>
    </w:pPr>
  </w:style>
  <w:style w:type="character" w:customStyle="1" w:styleId="PtaChar">
    <w:name w:val="Päta Char"/>
    <w:basedOn w:val="DefaultParagraphFont"/>
    <w:link w:val="Footer"/>
    <w:uiPriority w:val="99"/>
    <w:locked/>
    <w:rsid w:val="00C20376"/>
    <w:rPr>
      <w:rFonts w:ascii="Arial Narrow" w:hAnsi="Arial Narrow" w:cs="Times New Roman"/>
      <w:color w:val="000000" w:themeColor="tx1" w:themeShade="FF"/>
      <w:rtl w:val="0"/>
      <w:cs w:val="0"/>
    </w:rPr>
  </w:style>
  <w:style w:type="paragraph" w:styleId="NoSpacing">
    <w:name w:val="No Spacing"/>
    <w:uiPriority w:val="1"/>
    <w:qFormat/>
    <w:rsid w:val="00E570DA"/>
    <w:pPr>
      <w:framePr w:wrap="auto"/>
      <w:widowControl/>
      <w:autoSpaceDE/>
      <w:autoSpaceDN/>
      <w:adjustRightInd/>
      <w:ind w:left="0" w:right="0"/>
      <w:jc w:val="both"/>
      <w:textAlignment w:val="auto"/>
    </w:pPr>
    <w:rPr>
      <w:rFonts w:ascii="Arial Narrow" w:hAnsi="Arial Narrow" w:cs="Times New Roman"/>
      <w:color w:val="000000" w:themeColor="tx1" w:themeShade="FF"/>
      <w:sz w:val="22"/>
      <w:szCs w:val="22"/>
      <w:rtl w:val="0"/>
      <w:cs w:val="0"/>
      <w:lang w:val="sk-SK" w:eastAsia="en-US" w:bidi="ar-SA"/>
    </w:rPr>
  </w:style>
  <w:style w:type="paragraph" w:styleId="BalloonText">
    <w:name w:val="Balloon Text"/>
    <w:basedOn w:val="Normal"/>
    <w:link w:val="TextbublinyChar"/>
    <w:uiPriority w:val="99"/>
    <w:semiHidden/>
    <w:unhideWhenUsed/>
    <w:rsid w:val="00771188"/>
    <w:pPr>
      <w:spacing w:after="0" w:line="240" w:lineRule="auto"/>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71188"/>
    <w:rPr>
      <w:rFonts w:ascii="Tahoma" w:hAnsi="Tahoma" w:cs="Tahoma"/>
      <w:color w:val="000000" w:themeColor="tx1" w:themeShade="FF"/>
      <w:sz w:val="16"/>
      <w:szCs w:val="16"/>
      <w:rtl w:val="0"/>
      <w:cs w:val="0"/>
    </w:rPr>
  </w:style>
  <w:style w:type="character" w:styleId="Hyperlink">
    <w:name w:val="Hyperlink"/>
    <w:basedOn w:val="DefaultParagraphFont"/>
    <w:uiPriority w:val="99"/>
    <w:unhideWhenUsed/>
    <w:rsid w:val="00B52980"/>
    <w:rPr>
      <w:rFonts w:cs="Times New Roman"/>
      <w:color w:val="0563C1" w:themeColor="hlink" w:themeShade="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minv.sk"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520D6-2733-44A5-8681-6091110F3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20</Pages>
  <Words>8770</Words>
  <Characters>49989</Characters>
  <Application>Microsoft Office Word</Application>
  <DocSecurity>0</DocSecurity>
  <Lines>0</Lines>
  <Paragraphs>0</Paragraphs>
  <ScaleCrop>false</ScaleCrop>
  <Company/>
  <LinksUpToDate>false</LinksUpToDate>
  <CharactersWithSpaces>58642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2016-09-21T16:02:00Z</dcterms:created>
  <dcterms:modified xsi:type="dcterms:W3CDTF">2016-09-22T10:57:00Z</dcterms:modified>
</cp:coreProperties>
</file>