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723" w:rsidRPr="005D6BCD" w:rsidP="00D5363A">
      <w:pPr>
        <w:bidi w:val="0"/>
        <w:jc w:val="center"/>
        <w:rPr>
          <w:rFonts w:ascii="Times New Roman" w:hAnsi="Times New Roman"/>
          <w:b/>
          <w:bCs/>
        </w:rPr>
      </w:pPr>
      <w:r w:rsidR="00D5363A">
        <w:rPr>
          <w:rFonts w:ascii="Times New Roman" w:hAnsi="Times New Roman"/>
          <w:b/>
          <w:bCs/>
        </w:rPr>
        <w:t>Dôvodová správa</w:t>
      </w:r>
    </w:p>
    <w:p w:rsidR="00317723" w:rsidRPr="005D6BCD" w:rsidP="00317723">
      <w:pPr>
        <w:bidi w:val="0"/>
        <w:jc w:val="center"/>
        <w:rPr>
          <w:rFonts w:ascii="Times New Roman" w:hAnsi="Times New Roman"/>
          <w:b/>
          <w:bCs/>
        </w:rPr>
      </w:pPr>
    </w:p>
    <w:p w:rsidR="00317723" w:rsidRPr="005D6BCD" w:rsidP="00D5363A">
      <w:pPr>
        <w:numPr>
          <w:numId w:val="14"/>
        </w:numPr>
        <w:bidi w:val="0"/>
        <w:rPr>
          <w:rFonts w:ascii="Times New Roman" w:hAnsi="Times New Roman"/>
          <w:b/>
          <w:bCs/>
        </w:rPr>
      </w:pPr>
      <w:r w:rsidRPr="005D6BCD">
        <w:rPr>
          <w:rFonts w:ascii="Times New Roman" w:hAnsi="Times New Roman"/>
          <w:b/>
          <w:bCs/>
        </w:rPr>
        <w:t>Všeobecná časť</w:t>
      </w:r>
    </w:p>
    <w:p w:rsidR="00C2771C" w:rsidRPr="005D6BCD" w:rsidP="00596068">
      <w:pPr>
        <w:bidi w:val="0"/>
        <w:ind w:left="720"/>
        <w:rPr>
          <w:rFonts w:ascii="Times New Roman" w:hAnsi="Times New Roman"/>
          <w:b/>
          <w:bCs/>
        </w:rPr>
      </w:pPr>
    </w:p>
    <w:p w:rsidR="009C7EFD" w:rsidRPr="005D6BCD" w:rsidP="005F4419">
      <w:pPr>
        <w:bidi w:val="0"/>
        <w:ind w:firstLine="708"/>
        <w:jc w:val="both"/>
        <w:rPr>
          <w:rFonts w:ascii="Times New Roman" w:hAnsi="Times New Roman"/>
        </w:rPr>
      </w:pPr>
    </w:p>
    <w:p w:rsidR="00454604" w:rsidRPr="005D6BCD" w:rsidP="00454604">
      <w:pPr>
        <w:bidi w:val="0"/>
        <w:ind w:firstLine="708"/>
        <w:jc w:val="both"/>
        <w:rPr>
          <w:rFonts w:ascii="Times New Roman" w:hAnsi="Times New Roman"/>
        </w:rPr>
      </w:pPr>
      <w:r w:rsidRPr="005D6BCD" w:rsidR="00E3615A">
        <w:rPr>
          <w:rFonts w:ascii="Times New Roman" w:hAnsi="Times New Roman"/>
        </w:rPr>
        <w:t>Hazardné hry, podobne, ako aj iné odvetvia služieb prechádzajú v ostatných roko</w:t>
      </w:r>
      <w:r w:rsidRPr="005D6BCD" w:rsidR="00967A43">
        <w:rPr>
          <w:rFonts w:ascii="Times New Roman" w:hAnsi="Times New Roman"/>
        </w:rPr>
        <w:t>ch</w:t>
      </w:r>
      <w:r w:rsidRPr="005D6BCD" w:rsidR="00E3615A">
        <w:rPr>
          <w:rFonts w:ascii="Times New Roman" w:hAnsi="Times New Roman"/>
        </w:rPr>
        <w:t xml:space="preserve">   dynamickým vývojom, ktorý súvisí najmä s </w:t>
      </w:r>
      <w:r w:rsidRPr="005D6BCD" w:rsidR="006E33C2">
        <w:rPr>
          <w:rFonts w:ascii="Times New Roman" w:hAnsi="Times New Roman"/>
        </w:rPr>
        <w:t>rozširovan</w:t>
      </w:r>
      <w:r w:rsidRPr="005D6BCD" w:rsidR="00E3615A">
        <w:rPr>
          <w:rFonts w:ascii="Times New Roman" w:hAnsi="Times New Roman"/>
        </w:rPr>
        <w:t>ím</w:t>
      </w:r>
      <w:r w:rsidRPr="005D6BCD" w:rsidR="006E33C2">
        <w:rPr>
          <w:rFonts w:ascii="Times New Roman" w:hAnsi="Times New Roman"/>
        </w:rPr>
        <w:t xml:space="preserve"> zapájania informačných technológií </w:t>
      </w:r>
      <w:r w:rsidRPr="005D6BCD" w:rsidR="00610469">
        <w:rPr>
          <w:rFonts w:ascii="Times New Roman" w:hAnsi="Times New Roman"/>
        </w:rPr>
        <w:t xml:space="preserve">s </w:t>
      </w:r>
      <w:r w:rsidRPr="005D6BCD" w:rsidR="006E33C2">
        <w:rPr>
          <w:rFonts w:ascii="Times New Roman" w:hAnsi="Times New Roman"/>
        </w:rPr>
        <w:t>následn</w:t>
      </w:r>
      <w:r w:rsidRPr="005D6BCD" w:rsidR="00E3615A">
        <w:rPr>
          <w:rFonts w:ascii="Times New Roman" w:hAnsi="Times New Roman"/>
        </w:rPr>
        <w:t>ým</w:t>
      </w:r>
      <w:r w:rsidRPr="005D6BCD" w:rsidR="006E33C2">
        <w:rPr>
          <w:rFonts w:ascii="Times New Roman" w:hAnsi="Times New Roman"/>
        </w:rPr>
        <w:t xml:space="preserve"> približovan</w:t>
      </w:r>
      <w:r w:rsidRPr="005D6BCD" w:rsidR="00967A43">
        <w:rPr>
          <w:rFonts w:ascii="Times New Roman" w:hAnsi="Times New Roman"/>
        </w:rPr>
        <w:t>ím</w:t>
      </w:r>
      <w:r w:rsidRPr="005D6BCD" w:rsidR="006E33C2">
        <w:rPr>
          <w:rFonts w:ascii="Times New Roman" w:hAnsi="Times New Roman"/>
        </w:rPr>
        <w:t xml:space="preserve"> ponuky jej potenciálnym užívateľom</w:t>
      </w:r>
      <w:r w:rsidRPr="005D6BCD" w:rsidR="00E3615A">
        <w:rPr>
          <w:rFonts w:ascii="Times New Roman" w:hAnsi="Times New Roman"/>
        </w:rPr>
        <w:t xml:space="preserve">, vrátane cezhraničných poskytovateľov. </w:t>
      </w:r>
      <w:r w:rsidRPr="005D6BCD" w:rsidR="00610469">
        <w:rPr>
          <w:rFonts w:ascii="Times New Roman" w:hAnsi="Times New Roman"/>
        </w:rPr>
        <w:t xml:space="preserve">Vzhľadom na </w:t>
      </w:r>
      <w:r w:rsidRPr="005D6BCD" w:rsidR="00E3615A">
        <w:rPr>
          <w:rFonts w:ascii="Times New Roman" w:hAnsi="Times New Roman"/>
        </w:rPr>
        <w:t>osobitný charakter tohto</w:t>
      </w:r>
      <w:r w:rsidRPr="005D6BCD" w:rsidR="00610469">
        <w:rPr>
          <w:rFonts w:ascii="Times New Roman" w:hAnsi="Times New Roman"/>
        </w:rPr>
        <w:t xml:space="preserve"> odvetvia</w:t>
      </w:r>
      <w:r w:rsidRPr="005D6BCD" w:rsidR="00E3615A">
        <w:rPr>
          <w:rFonts w:ascii="Times New Roman" w:hAnsi="Times New Roman"/>
        </w:rPr>
        <w:t xml:space="preserve"> </w:t>
      </w:r>
      <w:r w:rsidRPr="005D6BCD" w:rsidR="00610469">
        <w:rPr>
          <w:rFonts w:ascii="Times New Roman" w:hAnsi="Times New Roman"/>
        </w:rPr>
        <w:t xml:space="preserve">a skutočnosť, že oblasť hazardných hier nie </w:t>
      </w:r>
      <w:r w:rsidR="00F5040E">
        <w:rPr>
          <w:rFonts w:ascii="Times New Roman" w:hAnsi="Times New Roman"/>
        </w:rPr>
        <w:t xml:space="preserve">je </w:t>
      </w:r>
      <w:r w:rsidRPr="005D6BCD" w:rsidR="00610469">
        <w:rPr>
          <w:rFonts w:ascii="Times New Roman" w:hAnsi="Times New Roman"/>
        </w:rPr>
        <w:t>harmonizovaná na úrovni EÚ, realizujú jednotlivé členské štáty úpravu podmienok na národnej úrovni</w:t>
      </w:r>
      <w:r w:rsidRPr="005D6BCD" w:rsidR="00442811">
        <w:rPr>
          <w:rFonts w:ascii="Times New Roman" w:hAnsi="Times New Roman"/>
        </w:rPr>
        <w:t>, táto</w:t>
      </w:r>
      <w:r w:rsidRPr="005D6BCD" w:rsidR="00610469">
        <w:rPr>
          <w:rFonts w:ascii="Times New Roman" w:hAnsi="Times New Roman"/>
        </w:rPr>
        <w:t xml:space="preserve"> však </w:t>
      </w:r>
      <w:r w:rsidRPr="005D6BCD" w:rsidR="00442811">
        <w:rPr>
          <w:rFonts w:ascii="Times New Roman" w:hAnsi="Times New Roman"/>
        </w:rPr>
        <w:t>musí</w:t>
      </w:r>
      <w:r w:rsidRPr="005D6BCD" w:rsidR="00610469">
        <w:rPr>
          <w:rFonts w:ascii="Times New Roman" w:hAnsi="Times New Roman"/>
        </w:rPr>
        <w:t xml:space="preserve"> byť dostatočne odôvodnen</w:t>
      </w:r>
      <w:r w:rsidRPr="005D6BCD" w:rsidR="00442811">
        <w:rPr>
          <w:rFonts w:ascii="Times New Roman" w:hAnsi="Times New Roman"/>
        </w:rPr>
        <w:t>á</w:t>
      </w:r>
      <w:r w:rsidRPr="005D6BCD" w:rsidR="00610469">
        <w:rPr>
          <w:rFonts w:ascii="Times New Roman" w:hAnsi="Times New Roman"/>
        </w:rPr>
        <w:t xml:space="preserve"> existenciou verejného záujmu pri súčasnom rešpektovaní primárneho práva EÚ</w:t>
      </w:r>
      <w:r w:rsidRPr="005D6BCD" w:rsidR="00442811">
        <w:rPr>
          <w:rFonts w:ascii="Times New Roman" w:hAnsi="Times New Roman"/>
        </w:rPr>
        <w:t>.</w:t>
      </w:r>
    </w:p>
    <w:p w:rsidR="00454604" w:rsidRPr="005D6BCD" w:rsidP="00454604">
      <w:pPr>
        <w:bidi w:val="0"/>
        <w:ind w:firstLine="708"/>
        <w:jc w:val="both"/>
        <w:rPr>
          <w:rFonts w:ascii="Times New Roman" w:hAnsi="Times New Roman"/>
        </w:rPr>
      </w:pPr>
    </w:p>
    <w:p w:rsidR="00454604" w:rsidRPr="005D6BCD" w:rsidP="00454604">
      <w:pPr>
        <w:bidi w:val="0"/>
        <w:ind w:firstLine="708"/>
        <w:jc w:val="both"/>
        <w:rPr>
          <w:rFonts w:ascii="Times New Roman" w:hAnsi="Times New Roman"/>
        </w:rPr>
      </w:pPr>
      <w:r w:rsidRPr="005D6BCD">
        <w:rPr>
          <w:rFonts w:ascii="Times New Roman" w:hAnsi="Times New Roman"/>
        </w:rPr>
        <w:t>Podnikanie v oblasti hazardných hier, stávok a lotérií je v Európskej únii vnímané ako špecifický druh služieb ekonomickej povahy, ktorý je vylúčený z pôsobnosti Smernice Európskeho parlamentu a Rady 2006/123/EÚ o službách na vnútornom trhu. Pri úprave podmienok podnikania vo sfére hazardných hier ako odvetvia služieb ekonomickej povahy sa vychádza zo základných práv a slobôd ustanovených v primárnom práve EÚ, ktorými sú najmä právo usadiť sa, voľný pohyb služieb v rámci EÚ/EHP a voľný pohyb kapitálu. V podmienkach prevádzkovania hier v jednotlivých krajinách Európskej únie existujú pomerne veľké rozdiely. Keďže regulácia podnikania v oblasti hazardných hier nie je doteraz harmonizovaná, vychádzajúc z princípu subsidiarity (čl. 5 Zmluvy o fungovaní EÚ) jednotlivé národné legislatívy upravujú pravidlá na podnikanie v tejto oblasti nezávisle, pri súčasnom rešpektovaní základných princípov práva EÚ (napr. proporcionalita, nediskriminácia), čo prakticky potvrdzuje i doterajšia judikatúra Súdneho dvora Európskej únie. Nastavenie obmedzení v oblasti hazardu je odôvodniteľné existenciou dostatočne silných</w:t>
      </w:r>
      <w:r w:rsidR="00F5040E">
        <w:rPr>
          <w:rFonts w:ascii="Times New Roman" w:hAnsi="Times New Roman"/>
        </w:rPr>
        <w:t xml:space="preserve"> </w:t>
      </w:r>
      <w:r w:rsidRPr="005D6BCD">
        <w:rPr>
          <w:rFonts w:ascii="Times New Roman" w:hAnsi="Times New Roman"/>
        </w:rPr>
        <w:t xml:space="preserve">dôvodov verejného záujmu, ktorými sú napr. ochrana verejného poriadku, ochrana spotrebiteľa, prevencia kriminality, ochrana verejnej morálky, individuálny prístup k stanoveniu požiadaviek na ochranu hráčov a spoločenského poriadku. Primeraná úroveň jednotlivých parametrov vytvára predpoklady na efektívnu reguláciu aktivít v hazardných hrách (s možnosťou zákazu hier, ktoré nezaručujú všetkým účastníkom hry rovnaké podmienky), pričom regulačné opatrenia nesmú byť diskriminujúce. </w:t>
      </w:r>
    </w:p>
    <w:p w:rsidR="00454604" w:rsidRPr="005D6BCD" w:rsidP="00454604">
      <w:pPr>
        <w:bidi w:val="0"/>
        <w:ind w:firstLine="708"/>
        <w:jc w:val="both"/>
        <w:rPr>
          <w:rFonts w:ascii="Times New Roman" w:hAnsi="Times New Roman"/>
        </w:rPr>
      </w:pPr>
    </w:p>
    <w:p w:rsidR="006E33C2" w:rsidRPr="005D6BCD" w:rsidP="00442811">
      <w:pPr>
        <w:bidi w:val="0"/>
        <w:ind w:firstLine="708"/>
        <w:jc w:val="both"/>
        <w:rPr>
          <w:rFonts w:ascii="Times New Roman" w:hAnsi="Times New Roman"/>
        </w:rPr>
      </w:pPr>
      <w:r w:rsidRPr="005D6BCD" w:rsidR="00442811">
        <w:rPr>
          <w:rFonts w:ascii="Times New Roman" w:hAnsi="Times New Roman"/>
        </w:rPr>
        <w:t>Hlavným zámerom pri vypracovaní predkladaného návrhu</w:t>
      </w:r>
      <w:r w:rsidRPr="005D6BCD">
        <w:rPr>
          <w:rFonts w:ascii="Times New Roman" w:hAnsi="Times New Roman"/>
        </w:rPr>
        <w:t xml:space="preserve"> zákona </w:t>
      </w:r>
      <w:r w:rsidRPr="005D6BCD" w:rsidR="00442811">
        <w:rPr>
          <w:rFonts w:ascii="Times New Roman" w:hAnsi="Times New Roman"/>
        </w:rPr>
        <w:t xml:space="preserve">bolo aktualizáciou podmienok </w:t>
      </w:r>
      <w:r w:rsidRPr="005D6BCD">
        <w:rPr>
          <w:rFonts w:ascii="Times New Roman" w:hAnsi="Times New Roman"/>
        </w:rPr>
        <w:t xml:space="preserve">regulácie v oblasti prevádzkovania hazardných hier </w:t>
      </w:r>
      <w:r w:rsidRPr="005D6BCD" w:rsidR="00442811">
        <w:rPr>
          <w:rFonts w:ascii="Times New Roman" w:hAnsi="Times New Roman"/>
        </w:rPr>
        <w:t xml:space="preserve">reagovať na tieto trendy a vytvorením efektívnejších pravidiel sa priblížiť k takým právnym predpisom, ktoré </w:t>
      </w:r>
      <w:r w:rsidRPr="005D6BCD" w:rsidR="006D1979">
        <w:rPr>
          <w:rFonts w:ascii="Times New Roman" w:hAnsi="Times New Roman"/>
        </w:rPr>
        <w:t>nastavením nových podmienok podnikania v danej oblasti pri</w:t>
      </w:r>
      <w:r w:rsidRPr="005D6BCD" w:rsidR="00FD45CC">
        <w:rPr>
          <w:rFonts w:ascii="Times New Roman" w:hAnsi="Times New Roman"/>
        </w:rPr>
        <w:t>s</w:t>
      </w:r>
      <w:r w:rsidRPr="005D6BCD" w:rsidR="006D1979">
        <w:rPr>
          <w:rFonts w:ascii="Times New Roman" w:hAnsi="Times New Roman"/>
        </w:rPr>
        <w:t>pievajú k vyššej ochrane spotrebiteľa</w:t>
      </w:r>
      <w:r w:rsidRPr="005D6BCD">
        <w:rPr>
          <w:rFonts w:ascii="Times New Roman" w:hAnsi="Times New Roman"/>
        </w:rPr>
        <w:t>.</w:t>
      </w:r>
    </w:p>
    <w:p w:rsidR="006E33C2" w:rsidRPr="005D6BCD" w:rsidP="00B86B70">
      <w:pPr>
        <w:bidi w:val="0"/>
        <w:jc w:val="both"/>
        <w:rPr>
          <w:rFonts w:ascii="Times New Roman" w:hAnsi="Times New Roman"/>
        </w:rPr>
      </w:pPr>
    </w:p>
    <w:p w:rsidR="00470BE9" w:rsidP="00470BE9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Rozhodujúcimi oblasťami predkladanej úpravy je </w:t>
      </w:r>
      <w:r w:rsidRPr="00516C69">
        <w:rPr>
          <w:rFonts w:ascii="Times New Roman" w:hAnsi="Times New Roman"/>
          <w:color w:val="000000"/>
        </w:rPr>
        <w:t>navrhn</w:t>
      </w:r>
      <w:r>
        <w:rPr>
          <w:rFonts w:ascii="Times New Roman" w:hAnsi="Times New Roman"/>
          <w:color w:val="000000"/>
        </w:rPr>
        <w:t>utie</w:t>
      </w:r>
      <w:r w:rsidRPr="00516C69">
        <w:rPr>
          <w:rFonts w:ascii="Times New Roman" w:hAnsi="Times New Roman"/>
          <w:color w:val="000000"/>
        </w:rPr>
        <w:t xml:space="preserve"> efektívnejš</w:t>
      </w:r>
      <w:r>
        <w:rPr>
          <w:rFonts w:ascii="Times New Roman" w:hAnsi="Times New Roman"/>
          <w:color w:val="000000"/>
        </w:rPr>
        <w:t>ích</w:t>
      </w:r>
      <w:r w:rsidRPr="00516C69">
        <w:rPr>
          <w:rFonts w:ascii="Times New Roman" w:hAnsi="Times New Roman"/>
          <w:color w:val="000000"/>
        </w:rPr>
        <w:t xml:space="preserve"> pravid</w:t>
      </w:r>
      <w:r>
        <w:rPr>
          <w:rFonts w:ascii="Times New Roman" w:hAnsi="Times New Roman"/>
          <w:color w:val="000000"/>
        </w:rPr>
        <w:t>ie</w:t>
      </w:r>
      <w:r w:rsidRPr="00516C69">
        <w:rPr>
          <w:rFonts w:ascii="Times New Roman" w:hAnsi="Times New Roman"/>
          <w:color w:val="000000"/>
        </w:rPr>
        <w:t>l a podmien</w:t>
      </w:r>
      <w:r>
        <w:rPr>
          <w:rFonts w:ascii="Times New Roman" w:hAnsi="Times New Roman"/>
          <w:color w:val="000000"/>
        </w:rPr>
        <w:t>o</w:t>
      </w:r>
      <w:r w:rsidRPr="00516C69">
        <w:rPr>
          <w:rFonts w:ascii="Times New Roman" w:hAnsi="Times New Roman"/>
          <w:color w:val="000000"/>
        </w:rPr>
        <w:t>k v oblasti dozoru nad prevádzkovaním</w:t>
      </w:r>
      <w:r>
        <w:rPr>
          <w:rFonts w:ascii="Times New Roman" w:hAnsi="Times New Roman"/>
          <w:color w:val="000000"/>
        </w:rPr>
        <w:t xml:space="preserve"> </w:t>
      </w:r>
      <w:r w:rsidR="008D412A">
        <w:rPr>
          <w:rFonts w:ascii="Times New Roman" w:hAnsi="Times New Roman"/>
          <w:color w:val="000000"/>
        </w:rPr>
        <w:t xml:space="preserve">a propagovaním </w:t>
      </w:r>
      <w:r>
        <w:rPr>
          <w:rFonts w:ascii="Times New Roman" w:hAnsi="Times New Roman"/>
          <w:color w:val="000000"/>
        </w:rPr>
        <w:t xml:space="preserve">hazardných hier, </w:t>
      </w:r>
      <w:r w:rsidRPr="00516C69" w:rsidR="00E1652D">
        <w:rPr>
          <w:rFonts w:ascii="Times New Roman" w:hAnsi="Times New Roman"/>
          <w:color w:val="000000"/>
        </w:rPr>
        <w:t xml:space="preserve">prehodnotenie prístupu </w:t>
      </w:r>
      <w:r w:rsidRPr="00386C33" w:rsidR="00E1652D">
        <w:rPr>
          <w:rFonts w:ascii="Times New Roman" w:hAnsi="Times New Roman"/>
          <w:color w:val="000000"/>
        </w:rPr>
        <w:t xml:space="preserve">k regulácii </w:t>
      </w:r>
      <w:r w:rsidR="00E1652D">
        <w:rPr>
          <w:rFonts w:ascii="Times New Roman" w:hAnsi="Times New Roman"/>
          <w:color w:val="000000"/>
        </w:rPr>
        <w:t xml:space="preserve">on-line </w:t>
      </w:r>
      <w:r w:rsidRPr="00386C33" w:rsidR="00E1652D">
        <w:rPr>
          <w:rFonts w:ascii="Times New Roman" w:hAnsi="Times New Roman"/>
          <w:color w:val="000000"/>
        </w:rPr>
        <w:t>hazardných hier zmenou zákona o hazardných hrách v oblasti prevádzkovania a propagovania hazardných hier zahraničnými subjektmi</w:t>
      </w:r>
      <w:r w:rsidR="00E1652D">
        <w:rPr>
          <w:rFonts w:ascii="Times New Roman" w:hAnsi="Times New Roman"/>
          <w:color w:val="000000"/>
        </w:rPr>
        <w:t>,</w:t>
      </w:r>
      <w:r w:rsidRPr="00386C33" w:rsidR="00E1652D">
        <w:rPr>
          <w:rFonts w:ascii="Times New Roman" w:hAnsi="Times New Roman"/>
          <w:color w:val="000000"/>
        </w:rPr>
        <w:t xml:space="preserve"> </w:t>
      </w:r>
      <w:r w:rsidRPr="00386C33">
        <w:rPr>
          <w:rFonts w:ascii="Times New Roman" w:hAnsi="Times New Roman"/>
          <w:color w:val="000000"/>
        </w:rPr>
        <w:t xml:space="preserve">zvýšenie úrovne ochrany spotrebiteľov, hráčov a maloletých v oblasti hazardných hier </w:t>
      </w:r>
      <w:r w:rsidR="001A6BBF">
        <w:rPr>
          <w:rFonts w:ascii="Times New Roman" w:hAnsi="Times New Roman"/>
          <w:color w:val="000000"/>
        </w:rPr>
        <w:t xml:space="preserve">aj </w:t>
      </w:r>
      <w:r w:rsidRPr="00386C33">
        <w:rPr>
          <w:rFonts w:ascii="Times New Roman" w:hAnsi="Times New Roman"/>
          <w:color w:val="000000"/>
        </w:rPr>
        <w:t xml:space="preserve">v nadväznosti na Odporúčanie EK vo sfére poskytovania služieb online hazardných hier </w:t>
      </w:r>
      <w:r>
        <w:rPr>
          <w:rFonts w:ascii="Times New Roman" w:hAnsi="Times New Roman"/>
          <w:color w:val="000000"/>
        </w:rPr>
        <w:t xml:space="preserve">a prehodnotenie a úprava sadzieb odvodov jednotlivých druhov hazardných hier.   </w:t>
      </w:r>
    </w:p>
    <w:p w:rsidR="00B86B70" w:rsidRPr="005D6BCD" w:rsidP="006E33C2">
      <w:pPr>
        <w:bidi w:val="0"/>
        <w:ind w:firstLine="708"/>
        <w:jc w:val="both"/>
        <w:rPr>
          <w:rFonts w:ascii="Times New Roman" w:hAnsi="Times New Roman"/>
        </w:rPr>
      </w:pPr>
    </w:p>
    <w:p w:rsidR="00F23D33" w:rsidRPr="005D6BCD" w:rsidP="00F23D33">
      <w:pPr>
        <w:bidi w:val="0"/>
        <w:ind w:firstLine="708"/>
        <w:jc w:val="both"/>
        <w:rPr>
          <w:rFonts w:ascii="Times New Roman" w:hAnsi="Times New Roman"/>
        </w:rPr>
      </w:pPr>
      <w:r w:rsidRPr="005D6BCD" w:rsidR="00454604">
        <w:rPr>
          <w:rFonts w:ascii="Times New Roman" w:hAnsi="Times New Roman"/>
        </w:rPr>
        <w:t xml:space="preserve">Významná časť </w:t>
      </w:r>
      <w:r w:rsidRPr="005D6BCD" w:rsidR="00FD45CC">
        <w:rPr>
          <w:rFonts w:ascii="Times New Roman" w:hAnsi="Times New Roman"/>
        </w:rPr>
        <w:t>úprav v rámci predloženého</w:t>
      </w:r>
      <w:r w:rsidRPr="005D6BCD" w:rsidR="006D1979">
        <w:rPr>
          <w:rFonts w:ascii="Times New Roman" w:hAnsi="Times New Roman"/>
        </w:rPr>
        <w:t xml:space="preserve"> návrh</w:t>
      </w:r>
      <w:r w:rsidRPr="005D6BCD" w:rsidR="00FD45CC">
        <w:rPr>
          <w:rFonts w:ascii="Times New Roman" w:hAnsi="Times New Roman"/>
        </w:rPr>
        <w:t>u</w:t>
      </w:r>
      <w:r w:rsidRPr="005D6BCD" w:rsidR="006D1979">
        <w:rPr>
          <w:rFonts w:ascii="Times New Roman" w:hAnsi="Times New Roman"/>
        </w:rPr>
        <w:t xml:space="preserve"> zákona </w:t>
      </w:r>
      <w:r w:rsidRPr="005D6BCD" w:rsidR="00FD45CC">
        <w:rPr>
          <w:rFonts w:ascii="Times New Roman" w:hAnsi="Times New Roman"/>
        </w:rPr>
        <w:t>sa týka</w:t>
      </w:r>
      <w:r w:rsidRPr="005D6BCD" w:rsidR="006D1979">
        <w:rPr>
          <w:rFonts w:ascii="Times New Roman" w:hAnsi="Times New Roman"/>
        </w:rPr>
        <w:t xml:space="preserve"> oblasti výkonu dozoru. </w:t>
      </w:r>
      <w:r w:rsidR="00EE6BEF">
        <w:rPr>
          <w:rFonts w:ascii="Times New Roman" w:hAnsi="Times New Roman"/>
        </w:rPr>
        <w:t xml:space="preserve">Inštitucionálne zmeny spočívajú v rozšírení kompetencií </w:t>
      </w:r>
      <w:r w:rsidRPr="00F03C4E" w:rsidR="00967A43">
        <w:rPr>
          <w:rFonts w:ascii="Times New Roman" w:hAnsi="Times New Roman"/>
        </w:rPr>
        <w:t>Finančné</w:t>
      </w:r>
      <w:r w:rsidRPr="00F5040E" w:rsidR="00EE6BEF">
        <w:rPr>
          <w:rFonts w:ascii="Times New Roman" w:hAnsi="Times New Roman"/>
        </w:rPr>
        <w:t>ho</w:t>
      </w:r>
      <w:r w:rsidRPr="00EE6BEF" w:rsidR="00967A43">
        <w:rPr>
          <w:rFonts w:ascii="Times New Roman" w:hAnsi="Times New Roman"/>
        </w:rPr>
        <w:t xml:space="preserve"> riaditeľstv</w:t>
      </w:r>
      <w:r w:rsidRPr="00F5040E" w:rsidR="00EE6BEF">
        <w:rPr>
          <w:rFonts w:ascii="Times New Roman" w:hAnsi="Times New Roman"/>
        </w:rPr>
        <w:t>a</w:t>
      </w:r>
      <w:r w:rsidRPr="00EE6BEF" w:rsidR="00967A43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 xml:space="preserve"> a</w:t>
      </w:r>
      <w:r w:rsidRPr="00F5040E" w:rsidR="00EE6BEF">
        <w:rPr>
          <w:rFonts w:ascii="Times New Roman" w:hAnsi="Times New Roman"/>
        </w:rPr>
        <w:t xml:space="preserve"> zapojen</w:t>
      </w:r>
      <w:r w:rsidR="00EE6BEF">
        <w:rPr>
          <w:rFonts w:ascii="Times New Roman" w:hAnsi="Times New Roman"/>
        </w:rPr>
        <w:t>í</w:t>
      </w:r>
      <w:r w:rsidRPr="00EE6BEF" w:rsidR="00EE6BEF">
        <w:rPr>
          <w:rFonts w:ascii="Times New Roman" w:hAnsi="Times New Roman"/>
        </w:rPr>
        <w:t xml:space="preserve"> </w:t>
      </w:r>
      <w:r w:rsidR="00EE6BEF">
        <w:rPr>
          <w:rFonts w:ascii="Times New Roman" w:hAnsi="Times New Roman"/>
        </w:rPr>
        <w:t>colných úradov ako novej zložky orgánov dozoru</w:t>
      </w:r>
      <w:r>
        <w:rPr>
          <w:rFonts w:ascii="Times New Roman" w:hAnsi="Times New Roman"/>
        </w:rPr>
        <w:t>.</w:t>
      </w:r>
      <w:r w:rsidRPr="00F23D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aňovým úradom sa umožní vykonávanie dozoru aj mimo ich miestnej príslušnosti. Rozšírením </w:t>
      </w:r>
      <w:r w:rsidRPr="005D6BCD">
        <w:rPr>
          <w:rFonts w:ascii="Times New Roman" w:hAnsi="Times New Roman"/>
        </w:rPr>
        <w:t>kompetenci</w:t>
      </w:r>
      <w:r>
        <w:rPr>
          <w:rFonts w:ascii="Times New Roman" w:hAnsi="Times New Roman"/>
        </w:rPr>
        <w:t>í</w:t>
      </w:r>
      <w:r w:rsidRPr="005D6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</w:t>
      </w:r>
      <w:r w:rsidRPr="005D6BCD">
        <w:rPr>
          <w:rFonts w:ascii="Times New Roman" w:hAnsi="Times New Roman"/>
        </w:rPr>
        <w:t>inančné</w:t>
      </w:r>
      <w:r>
        <w:rPr>
          <w:rFonts w:ascii="Times New Roman" w:hAnsi="Times New Roman"/>
        </w:rPr>
        <w:t>ho</w:t>
      </w:r>
      <w:r w:rsidRPr="005D6BCD">
        <w:rPr>
          <w:rFonts w:ascii="Times New Roman" w:hAnsi="Times New Roman"/>
        </w:rPr>
        <w:t xml:space="preserve"> riaditeľstv</w:t>
      </w:r>
      <w:r>
        <w:rPr>
          <w:rFonts w:ascii="Times New Roman" w:hAnsi="Times New Roman"/>
        </w:rPr>
        <w:t>a</w:t>
      </w:r>
      <w:r w:rsidRPr="005D6BCD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 xml:space="preserve">a daňových úradov </w:t>
      </w:r>
      <w:r>
        <w:rPr>
          <w:rFonts w:ascii="Times New Roman" w:hAnsi="Times New Roman"/>
        </w:rPr>
        <w:t xml:space="preserve">sa </w:t>
      </w:r>
      <w:r w:rsidRPr="005D6BCD">
        <w:rPr>
          <w:rFonts w:ascii="Times New Roman" w:hAnsi="Times New Roman"/>
        </w:rPr>
        <w:t xml:space="preserve">reaguje na opatrenie ukotvené v Akčnom pláne boja proti daňovým únikom. </w:t>
      </w:r>
    </w:p>
    <w:p w:rsidR="00F23D33" w:rsidP="00F23D3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6D1979" w:rsidP="006D1979">
      <w:pPr>
        <w:bidi w:val="0"/>
        <w:ind w:firstLine="708"/>
        <w:jc w:val="both"/>
        <w:rPr>
          <w:rFonts w:ascii="Times New Roman" w:hAnsi="Times New Roman"/>
        </w:rPr>
      </w:pPr>
      <w:r w:rsidRPr="00F5040E" w:rsidR="00EE6BEF">
        <w:rPr>
          <w:rFonts w:ascii="Times New Roman" w:hAnsi="Times New Roman"/>
        </w:rPr>
        <w:t xml:space="preserve"> </w:t>
      </w:r>
      <w:r w:rsidR="00F23D33">
        <w:rPr>
          <w:rFonts w:ascii="Times New Roman" w:hAnsi="Times New Roman"/>
        </w:rPr>
        <w:t>D</w:t>
      </w:r>
      <w:r w:rsidRPr="00EE6BEF" w:rsidR="00967A43">
        <w:rPr>
          <w:rFonts w:ascii="Times New Roman" w:hAnsi="Times New Roman"/>
        </w:rPr>
        <w:t>ozor</w:t>
      </w:r>
      <w:r w:rsidRPr="00F03C4E" w:rsidR="00967A43">
        <w:rPr>
          <w:rFonts w:ascii="Times New Roman" w:hAnsi="Times New Roman"/>
        </w:rPr>
        <w:t xml:space="preserve"> nad dozorovanými subjektmi </w:t>
      </w:r>
      <w:r w:rsidRPr="00F5040E" w:rsidR="00EE6BEF">
        <w:rPr>
          <w:rFonts w:ascii="Times New Roman" w:hAnsi="Times New Roman"/>
        </w:rPr>
        <w:t xml:space="preserve">sa </w:t>
      </w:r>
      <w:r w:rsidRPr="00EE6BEF" w:rsidR="00967A43">
        <w:rPr>
          <w:rFonts w:ascii="Times New Roman" w:hAnsi="Times New Roman"/>
        </w:rPr>
        <w:t xml:space="preserve">bude </w:t>
      </w:r>
      <w:r w:rsidRPr="00F5040E" w:rsidR="00EE6BEF">
        <w:rPr>
          <w:rFonts w:ascii="Times New Roman" w:hAnsi="Times New Roman"/>
        </w:rPr>
        <w:t xml:space="preserve">realizovať formou </w:t>
      </w:r>
      <w:r w:rsidRPr="00EE6BEF" w:rsidR="00967A43">
        <w:rPr>
          <w:rFonts w:ascii="Times New Roman" w:hAnsi="Times New Roman"/>
        </w:rPr>
        <w:t>dozor</w:t>
      </w:r>
      <w:r w:rsidRPr="00F5040E" w:rsidR="00EE6BEF">
        <w:rPr>
          <w:rFonts w:ascii="Times New Roman" w:hAnsi="Times New Roman"/>
        </w:rPr>
        <w:t>u</w:t>
      </w:r>
      <w:r w:rsidRPr="00EE6BEF" w:rsidR="00967A43">
        <w:rPr>
          <w:rFonts w:ascii="Times New Roman" w:hAnsi="Times New Roman"/>
        </w:rPr>
        <w:t xml:space="preserve"> na diaľku, dozor</w:t>
      </w:r>
      <w:r w:rsidRPr="00F5040E" w:rsidR="00EE6BEF">
        <w:rPr>
          <w:rFonts w:ascii="Times New Roman" w:hAnsi="Times New Roman"/>
        </w:rPr>
        <w:t>u</w:t>
      </w:r>
      <w:r w:rsidRPr="00EE6BEF" w:rsidR="00967A43">
        <w:rPr>
          <w:rFonts w:ascii="Times New Roman" w:hAnsi="Times New Roman"/>
        </w:rPr>
        <w:t xml:space="preserve"> na mieste a</w:t>
      </w:r>
      <w:r w:rsidR="00CB5AFB">
        <w:rPr>
          <w:rFonts w:ascii="Times New Roman" w:hAnsi="Times New Roman"/>
        </w:rPr>
        <w:t> </w:t>
      </w:r>
      <w:r w:rsidRPr="00EE6BEF" w:rsidR="00967A43">
        <w:rPr>
          <w:rFonts w:ascii="Times New Roman" w:hAnsi="Times New Roman"/>
        </w:rPr>
        <w:t>vyhľadávac</w:t>
      </w:r>
      <w:r w:rsidR="00CB5AFB">
        <w:rPr>
          <w:rFonts w:ascii="Times New Roman" w:hAnsi="Times New Roman"/>
        </w:rPr>
        <w:t>ej činnosti</w:t>
      </w:r>
      <w:r w:rsidRPr="00EE6BEF" w:rsidR="00967A43">
        <w:rPr>
          <w:rFonts w:ascii="Times New Roman" w:hAnsi="Times New Roman"/>
        </w:rPr>
        <w:t xml:space="preserve">, </w:t>
      </w:r>
      <w:r w:rsidRPr="00F03C4E" w:rsidR="001F315D">
        <w:rPr>
          <w:rFonts w:ascii="Times New Roman" w:hAnsi="Times New Roman"/>
        </w:rPr>
        <w:t>súčasťou ktor</w:t>
      </w:r>
      <w:r w:rsidRPr="00F03C4E" w:rsidR="00C470F8">
        <w:rPr>
          <w:rFonts w:ascii="Times New Roman" w:hAnsi="Times New Roman"/>
        </w:rPr>
        <w:t>ej</w:t>
      </w:r>
      <w:r w:rsidRPr="00F03C4E" w:rsidR="001F315D">
        <w:rPr>
          <w:rFonts w:ascii="Times New Roman" w:hAnsi="Times New Roman"/>
        </w:rPr>
        <w:t xml:space="preserve"> </w:t>
      </w:r>
      <w:r w:rsidRPr="00F03C4E" w:rsidR="00D64DFB">
        <w:rPr>
          <w:rFonts w:ascii="Times New Roman" w:hAnsi="Times New Roman"/>
        </w:rPr>
        <w:t>bude</w:t>
      </w:r>
      <w:r w:rsidRPr="00F03C4E" w:rsidR="001F315D">
        <w:rPr>
          <w:rFonts w:ascii="Times New Roman" w:hAnsi="Times New Roman"/>
        </w:rPr>
        <w:t xml:space="preserve"> </w:t>
      </w:r>
      <w:r w:rsidRPr="00F03C4E" w:rsidR="00967A43">
        <w:rPr>
          <w:rFonts w:ascii="Times New Roman" w:hAnsi="Times New Roman"/>
        </w:rPr>
        <w:t>dozor pod utajenou identitou,</w:t>
      </w:r>
      <w:r w:rsidRPr="00F03C4E">
        <w:rPr>
          <w:rFonts w:ascii="Times New Roman" w:hAnsi="Times New Roman"/>
        </w:rPr>
        <w:t xml:space="preserve"> </w:t>
      </w:r>
      <w:r w:rsidRPr="00F03C4E" w:rsidR="00454604">
        <w:rPr>
          <w:rFonts w:ascii="Times New Roman" w:hAnsi="Times New Roman"/>
        </w:rPr>
        <w:t>č</w:t>
      </w:r>
      <w:r w:rsidRPr="00F03C4E" w:rsidR="00D64DFB">
        <w:rPr>
          <w:rFonts w:ascii="Times New Roman" w:hAnsi="Times New Roman"/>
        </w:rPr>
        <w:t xml:space="preserve">ím sa vytvára priestor na </w:t>
      </w:r>
      <w:r w:rsidRPr="00F5040E">
        <w:rPr>
          <w:rFonts w:ascii="Times New Roman" w:hAnsi="Times New Roman"/>
        </w:rPr>
        <w:t>efektívn</w:t>
      </w:r>
      <w:r w:rsidR="00170501">
        <w:rPr>
          <w:rFonts w:ascii="Times New Roman" w:hAnsi="Times New Roman"/>
        </w:rPr>
        <w:t>ejší</w:t>
      </w:r>
      <w:r w:rsidRPr="00F5040E">
        <w:rPr>
          <w:rFonts w:ascii="Times New Roman" w:hAnsi="Times New Roman"/>
        </w:rPr>
        <w:t xml:space="preserve"> výkon </w:t>
      </w:r>
      <w:r w:rsidRPr="00F5040E" w:rsidR="001F315D">
        <w:rPr>
          <w:rFonts w:ascii="Times New Roman" w:hAnsi="Times New Roman"/>
        </w:rPr>
        <w:t>dozoru</w:t>
      </w:r>
      <w:r w:rsidRPr="00F5040E" w:rsidR="00C470F8">
        <w:rPr>
          <w:rFonts w:ascii="Times New Roman" w:hAnsi="Times New Roman"/>
        </w:rPr>
        <w:t>.</w:t>
      </w:r>
      <w:r w:rsidRPr="00F5040E" w:rsidR="00FD45CC">
        <w:rPr>
          <w:rFonts w:ascii="Times New Roman" w:hAnsi="Times New Roman"/>
        </w:rPr>
        <w:t xml:space="preserve"> </w:t>
      </w:r>
      <w:r w:rsidRPr="00F5040E" w:rsidR="008638B2">
        <w:rPr>
          <w:rFonts w:ascii="Times New Roman" w:hAnsi="Times New Roman"/>
        </w:rPr>
        <w:t>Zároveň sa navrhuje, aby sa pri dozore nad prevádzkovaním videohier využívali koncové zariadenia umožňujúce pre orgány dozoru on-line prístup k centrálnemu počítačovému systému prevádzkovateľa.</w:t>
      </w:r>
      <w:r w:rsidRPr="005D6BCD" w:rsidR="008638B2">
        <w:rPr>
          <w:rFonts w:ascii="Times New Roman" w:hAnsi="Times New Roman"/>
        </w:rPr>
        <w:t xml:space="preserve"> </w:t>
      </w:r>
    </w:p>
    <w:p w:rsidR="00F23D33" w:rsidRPr="005D6BCD" w:rsidP="006D1979">
      <w:pPr>
        <w:bidi w:val="0"/>
        <w:ind w:firstLine="708"/>
        <w:jc w:val="both"/>
        <w:rPr>
          <w:rFonts w:ascii="Times New Roman" w:hAnsi="Times New Roman"/>
        </w:rPr>
      </w:pPr>
    </w:p>
    <w:p w:rsidR="00870909" w:rsidRPr="005D6BCD" w:rsidP="00224157">
      <w:pPr>
        <w:autoSpaceDE w:val="0"/>
        <w:bidi w:val="0"/>
        <w:ind w:firstLine="708"/>
        <w:jc w:val="both"/>
        <w:rPr>
          <w:rFonts w:ascii="Times New Roman" w:hAnsi="Times New Roman"/>
          <w:bCs/>
        </w:rPr>
      </w:pPr>
      <w:r w:rsidRPr="005D6BCD" w:rsidR="00FD45CC">
        <w:rPr>
          <w:rFonts w:ascii="Times New Roman" w:hAnsi="Times New Roman"/>
        </w:rPr>
        <w:t xml:space="preserve">S úpravami smerujúcimi k zefektívneniu výkonu dozoru úzko súvisí </w:t>
      </w:r>
      <w:r w:rsidRPr="005D6BCD" w:rsidR="00454604">
        <w:rPr>
          <w:rFonts w:ascii="Times New Roman" w:hAnsi="Times New Roman"/>
        </w:rPr>
        <w:t xml:space="preserve">okruh navrhovaných úprav, týkajúci sa </w:t>
      </w:r>
      <w:r w:rsidRPr="005D6BCD" w:rsidR="00D62E6B">
        <w:rPr>
          <w:rFonts w:ascii="Times New Roman" w:hAnsi="Times New Roman"/>
        </w:rPr>
        <w:t xml:space="preserve">ponuky hazardných hier nelicencovaných poskytovateľov v on-line prostredí. </w:t>
      </w:r>
      <w:r w:rsidRPr="005D6BCD" w:rsidR="008030A0">
        <w:rPr>
          <w:rFonts w:ascii="Times New Roman" w:hAnsi="Times New Roman"/>
        </w:rPr>
        <w:t xml:space="preserve">V rámci aktuálnej ponuky na trhu hazardných hier prostredníctvom elektronických komunikačných sietí, najmä internetu, sú k dispozícii hazardné hry nielen licencovaných spoločností – prevádzkovateľov hazardných hier, ktorí spĺňajú podmienky platného zákona o hazardných hrách, ale aj ponuka spoločností, ktoré nerešpektujú platnú slovenskú právnu úpravu pre oblasť podnikania vo sfére hazardných hier. Tieto subjekty neplnia rovnaké podmienky na prevádzkovanie hazardných hier, čo vedie k ich nerovnakému postaveniu na trhu a predstavuje tak jednoznačnú konkurenčnú výhodu </w:t>
      </w:r>
      <w:r w:rsidRPr="005D6BCD" w:rsidR="00224157">
        <w:rPr>
          <w:rFonts w:ascii="Times New Roman" w:hAnsi="Times New Roman"/>
        </w:rPr>
        <w:t>voči licencovaným subjektom</w:t>
      </w:r>
      <w:r w:rsidRPr="005D6BCD" w:rsidR="008030A0">
        <w:rPr>
          <w:rFonts w:ascii="Times New Roman" w:hAnsi="Times New Roman"/>
        </w:rPr>
        <w:t>, ktoré zákonné podmienky súvisiace napr. s ochranou verejného poriadku, spotrebiteľa, či prevenciou kriminality plnia. T</w:t>
      </w:r>
      <w:r w:rsidRPr="005D6BCD" w:rsidR="00BF49F6">
        <w:rPr>
          <w:rFonts w:ascii="Times New Roman" w:hAnsi="Times New Roman"/>
        </w:rPr>
        <w:t>ieto</w:t>
      </w:r>
      <w:r w:rsidRPr="005D6BCD" w:rsidR="00D62E6B">
        <w:rPr>
          <w:rFonts w:ascii="Times New Roman" w:hAnsi="Times New Roman"/>
        </w:rPr>
        <w:t xml:space="preserve"> spoločnosti</w:t>
      </w:r>
      <w:r w:rsidRPr="005D6BCD" w:rsidR="00454604">
        <w:rPr>
          <w:rFonts w:ascii="Times New Roman" w:hAnsi="Times New Roman"/>
        </w:rPr>
        <w:t xml:space="preserve"> </w:t>
      </w:r>
      <w:r w:rsidRPr="005D6BCD" w:rsidR="001F315D">
        <w:rPr>
          <w:rFonts w:ascii="Times New Roman" w:hAnsi="Times New Roman"/>
        </w:rPr>
        <w:t xml:space="preserve">tým, že </w:t>
      </w:r>
      <w:r w:rsidRPr="005D6BCD" w:rsidR="00454604">
        <w:rPr>
          <w:rFonts w:ascii="Times New Roman" w:hAnsi="Times New Roman"/>
        </w:rPr>
        <w:t>nerešpektujú platnú slovenskú právnu úpravu pre oblasť podnikania vo sfére hazardných hier</w:t>
      </w:r>
      <w:r w:rsidRPr="005D6BCD" w:rsidR="00BF49F6">
        <w:rPr>
          <w:rFonts w:ascii="Times New Roman" w:hAnsi="Times New Roman"/>
        </w:rPr>
        <w:t>,</w:t>
      </w:r>
      <w:r w:rsidRPr="005D6BCD" w:rsidR="00ED7C95">
        <w:rPr>
          <w:rFonts w:ascii="Times New Roman" w:hAnsi="Times New Roman"/>
        </w:rPr>
        <w:t xml:space="preserve">  </w:t>
      </w:r>
      <w:r w:rsidR="00CC1E5E">
        <w:rPr>
          <w:rFonts w:ascii="Times New Roman" w:hAnsi="Times New Roman"/>
        </w:rPr>
        <w:t xml:space="preserve">je </w:t>
      </w:r>
      <w:r w:rsidRPr="005D6BCD" w:rsidR="00656E64">
        <w:rPr>
          <w:rFonts w:ascii="Times New Roman" w:hAnsi="Times New Roman"/>
        </w:rPr>
        <w:t>ich</w:t>
      </w:r>
      <w:r w:rsidRPr="005D6BCD" w:rsidR="00454604">
        <w:rPr>
          <w:rFonts w:ascii="Times New Roman" w:hAnsi="Times New Roman"/>
        </w:rPr>
        <w:t xml:space="preserve"> ponuka </w:t>
      </w:r>
      <w:r w:rsidRPr="005D6BCD" w:rsidR="001F315D">
        <w:rPr>
          <w:rFonts w:ascii="Times New Roman" w:hAnsi="Times New Roman"/>
        </w:rPr>
        <w:t xml:space="preserve"> </w:t>
      </w:r>
      <w:r w:rsidRPr="005D6BCD" w:rsidR="00454604">
        <w:rPr>
          <w:rFonts w:ascii="Times New Roman" w:hAnsi="Times New Roman"/>
        </w:rPr>
        <w:t xml:space="preserve">pre hráčov </w:t>
      </w:r>
      <w:r w:rsidRPr="005D6BCD" w:rsidR="00BF49F6">
        <w:rPr>
          <w:rFonts w:ascii="Times New Roman" w:hAnsi="Times New Roman"/>
        </w:rPr>
        <w:t>častokrát výhodnejšia</w:t>
      </w:r>
      <w:r w:rsidRPr="005D6BCD" w:rsidR="00DB6BC5">
        <w:rPr>
          <w:rFonts w:ascii="Times New Roman" w:hAnsi="Times New Roman"/>
        </w:rPr>
        <w:t>,</w:t>
      </w:r>
      <w:r w:rsidRPr="005D6BCD" w:rsidR="00BF49F6">
        <w:rPr>
          <w:rFonts w:ascii="Times New Roman" w:hAnsi="Times New Roman"/>
        </w:rPr>
        <w:t xml:space="preserve"> ako ponuka licencovaných subjektov</w:t>
      </w:r>
      <w:r w:rsidRPr="005D6BCD" w:rsidR="00BF1C08">
        <w:rPr>
          <w:rFonts w:ascii="Times New Roman" w:hAnsi="Times New Roman"/>
        </w:rPr>
        <w:t>.</w:t>
      </w:r>
      <w:r w:rsidRPr="005D6BCD" w:rsidR="00BF49F6">
        <w:rPr>
          <w:rFonts w:ascii="Times New Roman" w:hAnsi="Times New Roman"/>
        </w:rPr>
        <w:t xml:space="preserve"> </w:t>
      </w:r>
      <w:r w:rsidRPr="005D6BCD" w:rsidR="00454604">
        <w:rPr>
          <w:rFonts w:ascii="Times New Roman" w:hAnsi="Times New Roman"/>
        </w:rPr>
        <w:t xml:space="preserve">V snahe </w:t>
      </w:r>
      <w:r w:rsidRPr="005D6BCD" w:rsidR="00BF1C08">
        <w:rPr>
          <w:rFonts w:ascii="Times New Roman" w:hAnsi="Times New Roman"/>
        </w:rPr>
        <w:t xml:space="preserve">obmedziť prienik ponuky nelicencovaných operátorov a jeho dostupnosť </w:t>
      </w:r>
      <w:r w:rsidRPr="005D6BCD" w:rsidR="00224157">
        <w:rPr>
          <w:rFonts w:ascii="Times New Roman" w:hAnsi="Times New Roman"/>
        </w:rPr>
        <w:t xml:space="preserve">na území Slovenskej republiky </w:t>
      </w:r>
      <w:r w:rsidRPr="005D6BCD" w:rsidR="00BF1C08">
        <w:rPr>
          <w:rFonts w:ascii="Times New Roman" w:hAnsi="Times New Roman"/>
        </w:rPr>
        <w:t>sa navrhuje zadefino</w:t>
      </w:r>
      <w:r w:rsidRPr="005D6BCD" w:rsidR="00F92DB8">
        <w:rPr>
          <w:rFonts w:ascii="Times New Roman" w:hAnsi="Times New Roman"/>
        </w:rPr>
        <w:t xml:space="preserve">vať takúto ponuku ako zakázanú </w:t>
      </w:r>
      <w:r w:rsidRPr="005D6BCD" w:rsidR="00660F7E">
        <w:rPr>
          <w:rFonts w:ascii="Times New Roman" w:hAnsi="Times New Roman"/>
        </w:rPr>
        <w:t>a zároveň zaviesť opatrenia znemožňujúce prístup k</w:t>
      </w:r>
      <w:r w:rsidR="00B36A4D">
        <w:rPr>
          <w:rFonts w:ascii="Times New Roman" w:hAnsi="Times New Roman"/>
        </w:rPr>
        <w:t xml:space="preserve"> poskytovaniu </w:t>
      </w:r>
      <w:r w:rsidRPr="005D6BCD" w:rsidR="00660F7E">
        <w:rPr>
          <w:rFonts w:ascii="Times New Roman" w:hAnsi="Times New Roman"/>
        </w:rPr>
        <w:t>takejto ponuk</w:t>
      </w:r>
      <w:r w:rsidR="00B36A4D">
        <w:rPr>
          <w:rFonts w:ascii="Times New Roman" w:hAnsi="Times New Roman"/>
        </w:rPr>
        <w:t>y</w:t>
      </w:r>
      <w:r w:rsidRPr="005D6BCD" w:rsidR="00660F7E">
        <w:rPr>
          <w:rFonts w:ascii="Times New Roman" w:hAnsi="Times New Roman"/>
        </w:rPr>
        <w:t>. Opatreni</w:t>
      </w:r>
      <w:r w:rsidR="00F5040E">
        <w:rPr>
          <w:rFonts w:ascii="Times New Roman" w:hAnsi="Times New Roman"/>
        </w:rPr>
        <w:t>a</w:t>
      </w:r>
      <w:r w:rsidRPr="005D6BCD" w:rsidR="00660F7E">
        <w:rPr>
          <w:rFonts w:ascii="Times New Roman" w:hAnsi="Times New Roman"/>
        </w:rPr>
        <w:t xml:space="preserve"> by spočívali najmä v možnos</w:t>
      </w:r>
      <w:r w:rsidRPr="005D6BCD" w:rsidR="001A6525">
        <w:rPr>
          <w:rFonts w:ascii="Times New Roman" w:hAnsi="Times New Roman"/>
        </w:rPr>
        <w:t>ti</w:t>
      </w:r>
      <w:r w:rsidRPr="005D6BCD" w:rsidR="00660F7E">
        <w:rPr>
          <w:rFonts w:ascii="Times New Roman" w:hAnsi="Times New Roman"/>
        </w:rPr>
        <w:t xml:space="preserve"> blokovania stránok s nelegálnym obsahom</w:t>
      </w:r>
      <w:r w:rsidRPr="005D6BCD" w:rsidR="00DB6BC5">
        <w:rPr>
          <w:rFonts w:ascii="Times New Roman" w:hAnsi="Times New Roman"/>
        </w:rPr>
        <w:t xml:space="preserve"> ponuky hazardných hier</w:t>
      </w:r>
      <w:r w:rsidRPr="005D6BCD" w:rsidR="001A6525">
        <w:rPr>
          <w:rFonts w:ascii="Times New Roman" w:hAnsi="Times New Roman"/>
        </w:rPr>
        <w:t xml:space="preserve"> </w:t>
      </w:r>
      <w:r w:rsidRPr="005D6BCD" w:rsidR="00F14778">
        <w:rPr>
          <w:rFonts w:ascii="Times New Roman" w:hAnsi="Times New Roman"/>
        </w:rPr>
        <w:t xml:space="preserve">pri </w:t>
      </w:r>
      <w:r w:rsidRPr="005D6BCD" w:rsidR="001A6525">
        <w:rPr>
          <w:rFonts w:ascii="Times New Roman" w:hAnsi="Times New Roman"/>
        </w:rPr>
        <w:t>súčasnom blokovaní platieb súvisiacich s hrou na takýchto stránkach</w:t>
      </w:r>
      <w:r w:rsidR="00F23D33">
        <w:rPr>
          <w:rFonts w:ascii="Times New Roman" w:hAnsi="Times New Roman"/>
        </w:rPr>
        <w:t xml:space="preserve"> a to na základe príkazu súdu</w:t>
      </w:r>
      <w:r w:rsidRPr="005D6BCD" w:rsidR="001A6525">
        <w:rPr>
          <w:rFonts w:ascii="Times New Roman" w:hAnsi="Times New Roman"/>
        </w:rPr>
        <w:t>.</w:t>
      </w:r>
      <w:r w:rsidR="00F5040E">
        <w:rPr>
          <w:rFonts w:ascii="Times New Roman" w:hAnsi="Times New Roman"/>
        </w:rPr>
        <w:t xml:space="preserve"> </w:t>
      </w:r>
      <w:r w:rsidRPr="005D6BCD" w:rsidR="002B47C9">
        <w:rPr>
          <w:rFonts w:ascii="Times New Roman" w:hAnsi="Times New Roman"/>
          <w:bCs/>
        </w:rPr>
        <w:t xml:space="preserve">Navrhovaná úprava je korešpondujúca s reguláciou on-line gamblingu v krajinách Európskej únie. </w:t>
      </w:r>
    </w:p>
    <w:p w:rsidR="00047CFC" w:rsidRPr="005D6BCD" w:rsidP="004A5AA8">
      <w:pPr>
        <w:autoSpaceDE w:val="0"/>
        <w:bidi w:val="0"/>
        <w:jc w:val="both"/>
        <w:rPr>
          <w:rFonts w:ascii="Times New Roman" w:hAnsi="Times New Roman"/>
        </w:rPr>
      </w:pPr>
    </w:p>
    <w:p w:rsidR="00382A3A" w:rsidRPr="005D6BCD" w:rsidP="00A72E64">
      <w:pPr>
        <w:tabs>
          <w:tab w:val="left" w:pos="397"/>
          <w:tab w:val="left" w:pos="425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5D6BCD" w:rsidR="00A72E64">
        <w:rPr>
          <w:rFonts w:ascii="Times New Roman" w:hAnsi="Times New Roman"/>
        </w:rPr>
        <w:tab/>
        <w:tab/>
        <w:tab/>
      </w:r>
      <w:r w:rsidRPr="005D6BCD" w:rsidR="008E4827">
        <w:rPr>
          <w:rFonts w:ascii="Times New Roman" w:hAnsi="Times New Roman"/>
        </w:rPr>
        <w:t>Dôležitou</w:t>
      </w:r>
      <w:r w:rsidRPr="005D6BCD" w:rsidR="001A6525">
        <w:rPr>
          <w:rFonts w:ascii="Times New Roman" w:hAnsi="Times New Roman"/>
        </w:rPr>
        <w:t xml:space="preserve"> súčasťou návrhu úprav je súbor zmien, zameraných na ochranu spotrebiteľa</w:t>
      </w:r>
      <w:r w:rsidRPr="005D6BCD" w:rsidR="009A33BA">
        <w:rPr>
          <w:rFonts w:ascii="Times New Roman" w:hAnsi="Times New Roman"/>
        </w:rPr>
        <w:t xml:space="preserve">, ktoré sú založené </w:t>
      </w:r>
      <w:r w:rsidRPr="005D6BCD" w:rsidR="003A5D5D">
        <w:rPr>
          <w:rFonts w:ascii="Times New Roman" w:hAnsi="Times New Roman"/>
        </w:rPr>
        <w:t xml:space="preserve">najmä </w:t>
      </w:r>
      <w:r w:rsidRPr="005D6BCD" w:rsidR="009A33BA">
        <w:rPr>
          <w:rFonts w:ascii="Times New Roman" w:hAnsi="Times New Roman"/>
        </w:rPr>
        <w:t xml:space="preserve">na prevencii a požiadavkách </w:t>
      </w:r>
      <w:r w:rsidR="00E75804">
        <w:rPr>
          <w:rFonts w:ascii="Times New Roman" w:hAnsi="Times New Roman"/>
        </w:rPr>
        <w:t>na</w:t>
      </w:r>
      <w:r w:rsidRPr="005D6BCD" w:rsidR="009A33BA">
        <w:rPr>
          <w:rFonts w:ascii="Times New Roman" w:hAnsi="Times New Roman"/>
        </w:rPr>
        <w:t xml:space="preserve"> tzv. zodpovedné hranie. Základom navrhovaného systému prevencie by malo byť vytvorenie registra </w:t>
      </w:r>
      <w:r w:rsidRPr="005D6BCD" w:rsidR="00ED7C95">
        <w:rPr>
          <w:rFonts w:ascii="Times New Roman" w:hAnsi="Times New Roman"/>
        </w:rPr>
        <w:t>fyzických osôb</w:t>
      </w:r>
      <w:r w:rsidRPr="005D6BCD" w:rsidR="00C14895">
        <w:rPr>
          <w:rFonts w:ascii="Times New Roman" w:hAnsi="Times New Roman"/>
        </w:rPr>
        <w:t>, ako</w:t>
      </w:r>
      <w:r w:rsidRPr="005D6BCD" w:rsidR="00ED7C95">
        <w:rPr>
          <w:rFonts w:ascii="Times New Roman" w:hAnsi="Times New Roman"/>
        </w:rPr>
        <w:t xml:space="preserve">  informačn</w:t>
      </w:r>
      <w:r w:rsidRPr="005D6BCD" w:rsidR="00C14895">
        <w:rPr>
          <w:rFonts w:ascii="Times New Roman" w:hAnsi="Times New Roman"/>
        </w:rPr>
        <w:t>ého</w:t>
      </w:r>
      <w:r w:rsidRPr="005D6BCD" w:rsidR="00ED7C95">
        <w:rPr>
          <w:rFonts w:ascii="Times New Roman" w:hAnsi="Times New Roman"/>
        </w:rPr>
        <w:t xml:space="preserve"> systém</w:t>
      </w:r>
      <w:r w:rsidRPr="005D6BCD" w:rsidR="00C14895">
        <w:rPr>
          <w:rFonts w:ascii="Times New Roman" w:hAnsi="Times New Roman"/>
        </w:rPr>
        <w:t>u</w:t>
      </w:r>
      <w:r w:rsidRPr="005D6BCD" w:rsidR="00ED7C95">
        <w:rPr>
          <w:rFonts w:ascii="Times New Roman" w:hAnsi="Times New Roman"/>
        </w:rPr>
        <w:t xml:space="preserve"> verejnej správy</w:t>
      </w:r>
      <w:r w:rsidRPr="005D6BCD" w:rsidR="00B22409">
        <w:rPr>
          <w:rFonts w:ascii="Times New Roman" w:hAnsi="Times New Roman"/>
        </w:rPr>
        <w:t xml:space="preserve">, do </w:t>
      </w:r>
      <w:r w:rsidRPr="005D6BCD" w:rsidR="00C14895">
        <w:rPr>
          <w:rFonts w:ascii="Times New Roman" w:hAnsi="Times New Roman"/>
        </w:rPr>
        <w:t>ktorého</w:t>
      </w:r>
      <w:r w:rsidRPr="005D6BCD" w:rsidR="00B22409">
        <w:rPr>
          <w:rFonts w:ascii="Times New Roman" w:hAnsi="Times New Roman"/>
        </w:rPr>
        <w:t xml:space="preserve"> sa evidujú fyzické osoby, ktoré poberajú pomoc v hmotnej núdzi, tzn. osoby, ktoré poberajú dávku v hmotnej núdzi, ochranný príspevok, aktivačný príspevok, príspevok na nezaopatrené dieťa a príspevok na bývanie. </w:t>
      </w:r>
      <w:r w:rsidRPr="005D6BCD" w:rsidR="00ED7C95">
        <w:rPr>
          <w:rFonts w:ascii="Times New Roman" w:hAnsi="Times New Roman"/>
        </w:rPr>
        <w:t xml:space="preserve"> </w:t>
      </w:r>
      <w:r w:rsidRPr="005D6BCD" w:rsidR="00B22409">
        <w:rPr>
          <w:rFonts w:ascii="Times New Roman" w:hAnsi="Times New Roman"/>
        </w:rPr>
        <w:t xml:space="preserve">Do tohto registra sa </w:t>
      </w:r>
      <w:r w:rsidRPr="005D6BCD" w:rsidR="00EC034C">
        <w:rPr>
          <w:rFonts w:ascii="Times New Roman" w:hAnsi="Times New Roman"/>
        </w:rPr>
        <w:t xml:space="preserve">ďalej </w:t>
      </w:r>
      <w:r w:rsidRPr="005D6BCD" w:rsidR="00B22409">
        <w:rPr>
          <w:rFonts w:ascii="Times New Roman" w:hAnsi="Times New Roman"/>
        </w:rPr>
        <w:t xml:space="preserve">evidujú </w:t>
      </w:r>
      <w:r w:rsidRPr="005D6BCD" w:rsidR="00EC034C">
        <w:rPr>
          <w:rFonts w:ascii="Times New Roman" w:hAnsi="Times New Roman"/>
        </w:rPr>
        <w:t>fyzické osoby, ktoré sami požiadali o vylúčenie alebo ktorým bola diagnostikovaná choroba patologického hráčstva</w:t>
      </w:r>
      <w:r w:rsidR="00047F68">
        <w:rPr>
          <w:rFonts w:ascii="Times New Roman" w:hAnsi="Times New Roman"/>
        </w:rPr>
        <w:t>.</w:t>
      </w:r>
      <w:r w:rsidRPr="005D6BCD" w:rsidR="00EC034C">
        <w:rPr>
          <w:rFonts w:ascii="Times New Roman" w:hAnsi="Times New Roman"/>
        </w:rPr>
        <w:t xml:space="preserve"> </w:t>
      </w:r>
      <w:r w:rsidRPr="005D6BCD" w:rsidR="00835B40">
        <w:rPr>
          <w:rFonts w:ascii="Times New Roman" w:hAnsi="Times New Roman"/>
        </w:rPr>
        <w:t xml:space="preserve">Návrhom úpravy </w:t>
      </w:r>
      <w:r w:rsidRPr="005D6BCD" w:rsidR="00ED7C95">
        <w:rPr>
          <w:rFonts w:ascii="Times New Roman" w:hAnsi="Times New Roman"/>
        </w:rPr>
        <w:t xml:space="preserve">sa </w:t>
      </w:r>
      <w:r w:rsidRPr="005D6BCD" w:rsidR="00EC034C">
        <w:rPr>
          <w:rFonts w:ascii="Times New Roman" w:hAnsi="Times New Roman"/>
        </w:rPr>
        <w:t xml:space="preserve">stanovuje, že ak </w:t>
      </w:r>
      <w:r w:rsidRPr="005D6BCD" w:rsidR="00ED7C95">
        <w:rPr>
          <w:rFonts w:ascii="Times New Roman" w:hAnsi="Times New Roman"/>
        </w:rPr>
        <w:t xml:space="preserve">hráč </w:t>
      </w:r>
      <w:r w:rsidRPr="005D6BCD" w:rsidR="00EC034C">
        <w:rPr>
          <w:rFonts w:ascii="Times New Roman" w:hAnsi="Times New Roman"/>
        </w:rPr>
        <w:t xml:space="preserve">požiadal </w:t>
      </w:r>
      <w:r w:rsidRPr="005D6BCD" w:rsidR="00C14895">
        <w:rPr>
          <w:rFonts w:ascii="Times New Roman" w:hAnsi="Times New Roman"/>
        </w:rPr>
        <w:t>o</w:t>
      </w:r>
      <w:r w:rsidRPr="005D6BCD" w:rsidR="00F92DB8">
        <w:rPr>
          <w:rFonts w:ascii="Times New Roman" w:hAnsi="Times New Roman"/>
        </w:rPr>
        <w:t xml:space="preserve"> </w:t>
      </w:r>
      <w:r w:rsidRPr="005D6BCD" w:rsidR="00691195">
        <w:rPr>
          <w:rFonts w:ascii="Times New Roman" w:hAnsi="Times New Roman"/>
        </w:rPr>
        <w:t>vylúčenie z hrania hazardných hier</w:t>
      </w:r>
      <w:r w:rsidRPr="005D6BCD" w:rsidR="00EC034C">
        <w:rPr>
          <w:rFonts w:ascii="Times New Roman" w:hAnsi="Times New Roman"/>
        </w:rPr>
        <w:t xml:space="preserve">, toto vylúčenie musí byť najmenej </w:t>
      </w:r>
      <w:r w:rsidRPr="005D6BCD" w:rsidR="00691195">
        <w:rPr>
          <w:rFonts w:ascii="Times New Roman" w:hAnsi="Times New Roman"/>
        </w:rPr>
        <w:t xml:space="preserve">na obdobie </w:t>
      </w:r>
      <w:r w:rsidR="00D54254">
        <w:rPr>
          <w:rFonts w:ascii="Times New Roman" w:hAnsi="Times New Roman"/>
        </w:rPr>
        <w:t xml:space="preserve">6 mesiacov, pričom ak </w:t>
      </w:r>
      <w:r w:rsidRPr="005D6BCD" w:rsidR="00D54254">
        <w:rPr>
          <w:rFonts w:ascii="Times New Roman" w:hAnsi="Times New Roman"/>
        </w:rPr>
        <w:t>pominú dôvody pre tento zápis</w:t>
      </w:r>
      <w:r w:rsidR="00D54254">
        <w:rPr>
          <w:rFonts w:ascii="Times New Roman" w:hAnsi="Times New Roman"/>
        </w:rPr>
        <w:t xml:space="preserve">, </w:t>
      </w:r>
      <w:r w:rsidRPr="005D6BCD" w:rsidR="00EC034C">
        <w:rPr>
          <w:rFonts w:ascii="Times New Roman" w:hAnsi="Times New Roman"/>
        </w:rPr>
        <w:t>s</w:t>
      </w:r>
      <w:r w:rsidRPr="005D6BCD">
        <w:rPr>
          <w:rFonts w:ascii="Times New Roman" w:hAnsi="Times New Roman"/>
        </w:rPr>
        <w:t>právca registra vykoná výmaz osoby z</w:t>
      </w:r>
      <w:r w:rsidR="00D54254">
        <w:rPr>
          <w:rFonts w:ascii="Times New Roman" w:hAnsi="Times New Roman"/>
        </w:rPr>
        <w:t xml:space="preserve"> tohto </w:t>
      </w:r>
      <w:r w:rsidRPr="005D6BCD">
        <w:rPr>
          <w:rFonts w:ascii="Times New Roman" w:hAnsi="Times New Roman"/>
        </w:rPr>
        <w:t>registra</w:t>
      </w:r>
      <w:r w:rsidRPr="005D6BCD" w:rsidR="00EC034C">
        <w:rPr>
          <w:rFonts w:ascii="Times New Roman" w:hAnsi="Times New Roman"/>
        </w:rPr>
        <w:t>.</w:t>
      </w:r>
    </w:p>
    <w:p w:rsidR="009A33BA" w:rsidRPr="005D6BCD" w:rsidP="00A72E64">
      <w:pPr>
        <w:bidi w:val="0"/>
        <w:jc w:val="both"/>
        <w:rPr>
          <w:rFonts w:ascii="Times New Roman" w:hAnsi="Times New Roman"/>
        </w:rPr>
      </w:pPr>
    </w:p>
    <w:p w:rsidR="00E1652D" w:rsidP="00E1652D">
      <w:pPr>
        <w:bidi w:val="0"/>
        <w:ind w:firstLine="708"/>
        <w:jc w:val="both"/>
        <w:rPr>
          <w:rFonts w:ascii="Times New Roman" w:hAnsi="Times New Roman"/>
        </w:rPr>
      </w:pPr>
      <w:r w:rsidRPr="005D6BCD" w:rsidR="006D1979">
        <w:rPr>
          <w:rFonts w:ascii="Times New Roman" w:hAnsi="Times New Roman"/>
        </w:rPr>
        <w:t xml:space="preserve">Návrh zákona rieši </w:t>
      </w:r>
      <w:r w:rsidRPr="005D6BCD" w:rsidR="00A72E64">
        <w:rPr>
          <w:rFonts w:ascii="Times New Roman" w:hAnsi="Times New Roman"/>
        </w:rPr>
        <w:t xml:space="preserve">aj </w:t>
      </w:r>
      <w:r w:rsidRPr="005D6BCD" w:rsidR="009A33BA">
        <w:rPr>
          <w:rFonts w:ascii="Times New Roman" w:hAnsi="Times New Roman"/>
        </w:rPr>
        <w:t xml:space="preserve">viacero </w:t>
      </w:r>
      <w:r w:rsidRPr="005D6BCD" w:rsidR="008638B2">
        <w:rPr>
          <w:rFonts w:ascii="Times New Roman" w:hAnsi="Times New Roman"/>
        </w:rPr>
        <w:t>ďalších</w:t>
      </w:r>
      <w:r w:rsidRPr="005D6BCD" w:rsidR="009A33BA">
        <w:rPr>
          <w:rFonts w:ascii="Times New Roman" w:hAnsi="Times New Roman"/>
        </w:rPr>
        <w:t xml:space="preserve"> záležitostí</w:t>
      </w:r>
      <w:r w:rsidRPr="005D6BCD" w:rsidR="00324455">
        <w:rPr>
          <w:rFonts w:ascii="Times New Roman" w:hAnsi="Times New Roman"/>
        </w:rPr>
        <w:t>, z ktorých významným návrhom je,</w:t>
      </w:r>
      <w:r w:rsidRPr="005D6BCD" w:rsidR="00551682">
        <w:rPr>
          <w:rFonts w:ascii="Times New Roman" w:hAnsi="Times New Roman"/>
        </w:rPr>
        <w:t xml:space="preserve"> </w:t>
      </w:r>
      <w:r w:rsidRPr="005D6BCD" w:rsidR="00324455">
        <w:rPr>
          <w:rFonts w:ascii="Times New Roman" w:hAnsi="Times New Roman"/>
        </w:rPr>
        <w:t>v</w:t>
      </w:r>
      <w:r w:rsidRPr="005D6BCD" w:rsidR="008638B2">
        <w:rPr>
          <w:rFonts w:ascii="Times New Roman" w:hAnsi="Times New Roman"/>
        </w:rPr>
        <w:t> záujme zníženia dostupnosti hier v súvislosti s ochranou najviac ohrozených skupín osôb</w:t>
      </w:r>
      <w:r w:rsidRPr="005D6BCD" w:rsidR="00324455">
        <w:rPr>
          <w:rFonts w:ascii="Times New Roman" w:hAnsi="Times New Roman"/>
        </w:rPr>
        <w:t>,</w:t>
      </w:r>
      <w:r w:rsidRPr="005D6BCD" w:rsidR="008638B2">
        <w:rPr>
          <w:rFonts w:ascii="Times New Roman" w:hAnsi="Times New Roman"/>
        </w:rPr>
        <w:t xml:space="preserve"> </w:t>
      </w:r>
      <w:r w:rsidR="00D54254">
        <w:rPr>
          <w:rFonts w:ascii="Times New Roman" w:hAnsi="Times New Roman"/>
        </w:rPr>
        <w:t xml:space="preserve"> </w:t>
      </w:r>
      <w:r w:rsidR="00F23D33">
        <w:rPr>
          <w:rFonts w:ascii="Times New Roman" w:hAnsi="Times New Roman"/>
        </w:rPr>
        <w:t>prevádzkovanie</w:t>
      </w:r>
      <w:r w:rsidRPr="005D6BCD" w:rsidR="008638B2">
        <w:rPr>
          <w:rFonts w:ascii="Times New Roman" w:hAnsi="Times New Roman"/>
        </w:rPr>
        <w:t xml:space="preserve"> výhern</w:t>
      </w:r>
      <w:r w:rsidR="00F23D33">
        <w:rPr>
          <w:rFonts w:ascii="Times New Roman" w:hAnsi="Times New Roman"/>
        </w:rPr>
        <w:t>ých</w:t>
      </w:r>
      <w:r w:rsidRPr="005D6BCD" w:rsidR="008638B2">
        <w:rPr>
          <w:rFonts w:ascii="Times New Roman" w:hAnsi="Times New Roman"/>
        </w:rPr>
        <w:t xml:space="preserve"> prístroj</w:t>
      </w:r>
      <w:r w:rsidR="00F23D33">
        <w:rPr>
          <w:rFonts w:ascii="Times New Roman" w:hAnsi="Times New Roman"/>
        </w:rPr>
        <w:t>ov</w:t>
      </w:r>
      <w:r w:rsidRPr="005D6BCD" w:rsidR="008638B2">
        <w:rPr>
          <w:rFonts w:ascii="Times New Roman" w:hAnsi="Times New Roman"/>
        </w:rPr>
        <w:t>, technick</w:t>
      </w:r>
      <w:r w:rsidR="00F23D33">
        <w:rPr>
          <w:rFonts w:ascii="Times New Roman" w:hAnsi="Times New Roman"/>
        </w:rPr>
        <w:t>ých</w:t>
      </w:r>
      <w:r w:rsidRPr="005D6BCD" w:rsidR="008638B2">
        <w:rPr>
          <w:rFonts w:ascii="Times New Roman" w:hAnsi="Times New Roman"/>
        </w:rPr>
        <w:t xml:space="preserve"> zariaden</w:t>
      </w:r>
      <w:r w:rsidR="00F23D33">
        <w:rPr>
          <w:rFonts w:ascii="Times New Roman" w:hAnsi="Times New Roman"/>
        </w:rPr>
        <w:t>í</w:t>
      </w:r>
      <w:r w:rsidRPr="005D6BCD" w:rsidR="008638B2">
        <w:rPr>
          <w:rFonts w:ascii="Times New Roman" w:hAnsi="Times New Roman"/>
        </w:rPr>
        <w:t xml:space="preserve"> obsluhovan</w:t>
      </w:r>
      <w:r w:rsidR="00F23D33">
        <w:rPr>
          <w:rFonts w:ascii="Times New Roman" w:hAnsi="Times New Roman"/>
        </w:rPr>
        <w:t>ých</w:t>
      </w:r>
      <w:r w:rsidRPr="005D6BCD" w:rsidR="008638B2">
        <w:rPr>
          <w:rFonts w:ascii="Times New Roman" w:hAnsi="Times New Roman"/>
        </w:rPr>
        <w:t xml:space="preserve"> priamo hráčmi</w:t>
      </w:r>
      <w:r w:rsidR="00047F68">
        <w:rPr>
          <w:rFonts w:ascii="Times New Roman" w:hAnsi="Times New Roman"/>
        </w:rPr>
        <w:t xml:space="preserve"> a</w:t>
      </w:r>
      <w:r w:rsidR="00F23D33">
        <w:rPr>
          <w:rFonts w:ascii="Times New Roman" w:hAnsi="Times New Roman"/>
        </w:rPr>
        <w:t> </w:t>
      </w:r>
      <w:r w:rsidRPr="005D6BCD" w:rsidR="008638B2">
        <w:rPr>
          <w:rFonts w:ascii="Times New Roman" w:hAnsi="Times New Roman"/>
        </w:rPr>
        <w:t>videoh</w:t>
      </w:r>
      <w:r w:rsidR="00F23D33">
        <w:rPr>
          <w:rFonts w:ascii="Times New Roman" w:hAnsi="Times New Roman"/>
        </w:rPr>
        <w:t>ie</w:t>
      </w:r>
      <w:r w:rsidRPr="005D6BCD" w:rsidR="008638B2">
        <w:rPr>
          <w:rFonts w:ascii="Times New Roman" w:hAnsi="Times New Roman"/>
        </w:rPr>
        <w:t>r</w:t>
      </w:r>
      <w:r w:rsidR="00F23D33">
        <w:rPr>
          <w:rFonts w:ascii="Times New Roman" w:hAnsi="Times New Roman"/>
        </w:rPr>
        <w:t xml:space="preserve"> výlučne v herni za súčasného stanovenia minimálneho počtu týchto zariadení, pričom ako minimum sa navrhuje 12 kusov takýchto zariadení</w:t>
      </w:r>
      <w:r w:rsidRPr="005D6BCD" w:rsidR="008638B2">
        <w:rPr>
          <w:rFonts w:ascii="Times New Roman" w:hAnsi="Times New Roman"/>
        </w:rPr>
        <w:t xml:space="preserve">. </w:t>
      </w:r>
      <w:r w:rsidR="00434467">
        <w:rPr>
          <w:rFonts w:ascii="Times New Roman" w:hAnsi="Times New Roman"/>
        </w:rPr>
        <w:t xml:space="preserve">Zakazuje sa označenie herne formou reklamy </w:t>
      </w:r>
      <w:r>
        <w:rPr>
          <w:rFonts w:ascii="Times New Roman" w:hAnsi="Times New Roman"/>
        </w:rPr>
        <w:t xml:space="preserve">v akejkoľvek podobe </w:t>
      </w:r>
      <w:r w:rsidRPr="00FD01C5">
        <w:rPr>
          <w:rFonts w:ascii="Times New Roman" w:hAnsi="Times New Roman"/>
        </w:rPr>
        <w:t>upozorňujúc</w:t>
      </w:r>
      <w:r>
        <w:rPr>
          <w:rFonts w:ascii="Times New Roman" w:hAnsi="Times New Roman"/>
        </w:rPr>
        <w:t>ej</w:t>
      </w:r>
      <w:r w:rsidRPr="00FD01C5">
        <w:rPr>
          <w:rFonts w:ascii="Times New Roman" w:hAnsi="Times New Roman"/>
        </w:rPr>
        <w:t xml:space="preserve"> na existenciu herne, nabádajúc</w:t>
      </w:r>
      <w:r>
        <w:rPr>
          <w:rFonts w:ascii="Times New Roman" w:hAnsi="Times New Roman"/>
        </w:rPr>
        <w:t>ej</w:t>
      </w:r>
      <w:r w:rsidRPr="00FD01C5">
        <w:rPr>
          <w:rFonts w:ascii="Times New Roman" w:hAnsi="Times New Roman"/>
        </w:rPr>
        <w:t xml:space="preserve"> na účasť na hazardnej hre, </w:t>
      </w:r>
      <w:r>
        <w:rPr>
          <w:rFonts w:ascii="Times New Roman" w:hAnsi="Times New Roman"/>
        </w:rPr>
        <w:t>vrátane reklamy na podávanie alkoholických nápojov v herni.</w:t>
      </w:r>
      <w:r w:rsidRPr="005D6BCD">
        <w:rPr>
          <w:rFonts w:ascii="Times New Roman" w:hAnsi="Times New Roman"/>
        </w:rPr>
        <w:t xml:space="preserve"> </w:t>
      </w:r>
    </w:p>
    <w:p w:rsidR="009F7FCA" w:rsidRPr="009F7FCA" w:rsidP="00E1652D">
      <w:pPr>
        <w:bidi w:val="0"/>
        <w:jc w:val="both"/>
        <w:rPr>
          <w:rFonts w:ascii="Times New Roman" w:hAnsi="Times New Roman"/>
        </w:rPr>
      </w:pPr>
    </w:p>
    <w:p w:rsidR="00DC7D9B" w:rsidRPr="005D6BCD" w:rsidP="00DC7D9B">
      <w:pPr>
        <w:bidi w:val="0"/>
        <w:ind w:firstLine="708"/>
        <w:jc w:val="both"/>
        <w:rPr>
          <w:rFonts w:ascii="Times New Roman" w:hAnsi="Times New Roman"/>
        </w:rPr>
      </w:pPr>
      <w:r w:rsidRPr="009F7FCA">
        <w:rPr>
          <w:rFonts w:ascii="Times New Roman" w:hAnsi="Times New Roman"/>
        </w:rPr>
        <w:t xml:space="preserve">  K ďalším úpravám patrí napr. aj zmena systému výpočtu odvodov do rozpočtu obce</w:t>
      </w:r>
      <w:r w:rsidRPr="005D6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prevádzkovania</w:t>
      </w:r>
      <w:r w:rsidRPr="005D6BCD">
        <w:rPr>
          <w:rFonts w:ascii="Times New Roman" w:hAnsi="Times New Roman"/>
        </w:rPr>
        <w:t xml:space="preserve"> </w:t>
      </w:r>
      <w:r w:rsidR="00CB5AFB">
        <w:rPr>
          <w:rFonts w:ascii="Times New Roman" w:hAnsi="Times New Roman"/>
        </w:rPr>
        <w:t xml:space="preserve">výherných prístrojov v kasíne, </w:t>
      </w:r>
      <w:r w:rsidRPr="005D6BCD">
        <w:rPr>
          <w:rFonts w:ascii="Times New Roman" w:hAnsi="Times New Roman"/>
        </w:rPr>
        <w:t>videohier a technických zariadení, obsluhovaných priamo hráčmi, ktorá by mala napomôcť k spravodlivejšiemu prerozdeleniu odvodov</w:t>
      </w:r>
      <w:r>
        <w:rPr>
          <w:rFonts w:ascii="Times New Roman" w:hAnsi="Times New Roman"/>
        </w:rPr>
        <w:t xml:space="preserve"> tak, aby každá obec, na území ktorej sa budú uvedené zariadenia prevádzkovať, obdržala príslušný podiel z odvodu podľa počtu dní, počas ktorých sa tieto zariadenia</w:t>
      </w:r>
      <w:r w:rsidRPr="005D6BCD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danej obci prevádzkovali.</w:t>
      </w:r>
      <w:r w:rsidRPr="005D6BCD">
        <w:rPr>
          <w:rFonts w:ascii="Times New Roman" w:hAnsi="Times New Roman"/>
        </w:rPr>
        <w:t xml:space="preserve"> </w:t>
      </w:r>
    </w:p>
    <w:p w:rsidR="00324455" w:rsidRPr="005D6BCD" w:rsidP="009F7FCA">
      <w:pPr>
        <w:bidi w:val="0"/>
        <w:jc w:val="both"/>
        <w:rPr>
          <w:rFonts w:ascii="Times New Roman" w:hAnsi="Times New Roman"/>
        </w:rPr>
      </w:pPr>
    </w:p>
    <w:p w:rsidR="009F7FCA" w:rsidP="00551682">
      <w:pPr>
        <w:bidi w:val="0"/>
        <w:ind w:firstLine="708"/>
        <w:jc w:val="both"/>
        <w:rPr>
          <w:rFonts w:ascii="Times New Roman" w:hAnsi="Times New Roman"/>
        </w:rPr>
      </w:pPr>
      <w:r w:rsidRPr="00E1652D" w:rsidR="003A5D5D">
        <w:rPr>
          <w:rFonts w:ascii="Times New Roman" w:hAnsi="Times New Roman"/>
        </w:rPr>
        <w:t xml:space="preserve">Predložený návrh sa zaoberá </w:t>
      </w:r>
      <w:r w:rsidRPr="00E1652D" w:rsidR="00324455">
        <w:rPr>
          <w:rFonts w:ascii="Times New Roman" w:hAnsi="Times New Roman"/>
        </w:rPr>
        <w:t xml:space="preserve">aj </w:t>
      </w:r>
      <w:r w:rsidRPr="00E1652D" w:rsidR="006D1979">
        <w:rPr>
          <w:rFonts w:ascii="Times New Roman" w:hAnsi="Times New Roman"/>
        </w:rPr>
        <w:t xml:space="preserve">úpravou vybraných sadzieb odvodov, </w:t>
      </w:r>
      <w:r w:rsidRPr="00E1652D" w:rsidR="009A33BA">
        <w:rPr>
          <w:rFonts w:ascii="Times New Roman" w:hAnsi="Times New Roman"/>
        </w:rPr>
        <w:t xml:space="preserve">ktorá </w:t>
      </w:r>
      <w:r w:rsidRPr="00E1652D" w:rsidR="006D1979">
        <w:rPr>
          <w:rFonts w:ascii="Times New Roman" w:hAnsi="Times New Roman"/>
        </w:rPr>
        <w:t>reaguje na vývoj vybraných ukazovateľov v oblasti hazardných hier</w:t>
      </w:r>
      <w:r w:rsidRPr="00E1652D" w:rsidR="00991C81">
        <w:rPr>
          <w:rFonts w:ascii="Times New Roman" w:hAnsi="Times New Roman"/>
        </w:rPr>
        <w:t xml:space="preserve">, </w:t>
      </w:r>
      <w:r w:rsidRPr="00E1652D" w:rsidR="00A72E64">
        <w:rPr>
          <w:rFonts w:ascii="Times New Roman" w:hAnsi="Times New Roman"/>
        </w:rPr>
        <w:t xml:space="preserve">úpravou </w:t>
      </w:r>
      <w:r w:rsidRPr="00E1652D" w:rsidR="00991C81">
        <w:rPr>
          <w:rFonts w:ascii="Times New Roman" w:hAnsi="Times New Roman"/>
        </w:rPr>
        <w:t>f</w:t>
      </w:r>
      <w:r w:rsidRPr="00E1652D" w:rsidR="003A5D5D">
        <w:rPr>
          <w:rFonts w:ascii="Times New Roman" w:hAnsi="Times New Roman"/>
        </w:rPr>
        <w:t>inančnej zábezpeky</w:t>
      </w:r>
      <w:r w:rsidRPr="00E1652D" w:rsidR="00991C81">
        <w:rPr>
          <w:rFonts w:ascii="Times New Roman" w:hAnsi="Times New Roman"/>
        </w:rPr>
        <w:t xml:space="preserve"> a </w:t>
      </w:r>
      <w:r w:rsidRPr="00E1652D" w:rsidR="003A5D5D">
        <w:rPr>
          <w:rFonts w:ascii="Times New Roman" w:hAnsi="Times New Roman"/>
        </w:rPr>
        <w:t xml:space="preserve"> prehodnoten</w:t>
      </w:r>
      <w:r w:rsidRPr="00E1652D">
        <w:rPr>
          <w:rFonts w:ascii="Times New Roman" w:hAnsi="Times New Roman"/>
        </w:rPr>
        <w:t>ím</w:t>
      </w:r>
      <w:r w:rsidRPr="00E1652D" w:rsidR="003A5D5D">
        <w:rPr>
          <w:rFonts w:ascii="Times New Roman" w:hAnsi="Times New Roman"/>
        </w:rPr>
        <w:t xml:space="preserve"> sankcií (najmä adekvátnosť výšky pokút v závislosti od porušení príslušných ustanovení zákona</w:t>
      </w:r>
      <w:r w:rsidRPr="00E1652D" w:rsidR="00991C81">
        <w:rPr>
          <w:rFonts w:ascii="Times New Roman" w:hAnsi="Times New Roman"/>
        </w:rPr>
        <w:t>)</w:t>
      </w:r>
      <w:r w:rsidRPr="00E1652D" w:rsidR="003A5D5D">
        <w:rPr>
          <w:rFonts w:ascii="Times New Roman" w:hAnsi="Times New Roman"/>
        </w:rPr>
        <w:t>.</w:t>
      </w:r>
      <w:r w:rsidRPr="005D6BCD" w:rsidR="003A5D5D">
        <w:rPr>
          <w:rFonts w:ascii="Times New Roman" w:hAnsi="Times New Roman"/>
        </w:rPr>
        <w:t xml:space="preserve"> </w:t>
      </w:r>
    </w:p>
    <w:p w:rsidR="009F7FCA" w:rsidP="00551682">
      <w:pPr>
        <w:bidi w:val="0"/>
        <w:ind w:firstLine="708"/>
        <w:jc w:val="both"/>
        <w:rPr>
          <w:rFonts w:ascii="Times New Roman" w:hAnsi="Times New Roman"/>
        </w:rPr>
      </w:pPr>
    </w:p>
    <w:p w:rsidR="006D1979" w:rsidRPr="005D6BCD" w:rsidP="00551682">
      <w:pPr>
        <w:bidi w:val="0"/>
        <w:ind w:firstLine="708"/>
        <w:jc w:val="both"/>
        <w:rPr>
          <w:rFonts w:ascii="Times New Roman" w:hAnsi="Times New Roman"/>
        </w:rPr>
      </w:pPr>
      <w:r w:rsidRPr="005D6BCD" w:rsidR="003A5D5D">
        <w:rPr>
          <w:rFonts w:ascii="Times New Roman" w:hAnsi="Times New Roman"/>
        </w:rPr>
        <w:t>Súčasťou návrhu sú aj viaceré spresnenia v prípade terminológie, či niektorých postupov na základe poznatkov z doterajšej praxe.</w:t>
      </w:r>
    </w:p>
    <w:p w:rsidR="007345D8" w:rsidRPr="005D6BCD" w:rsidP="00A72E64">
      <w:pPr>
        <w:bidi w:val="0"/>
        <w:jc w:val="both"/>
        <w:rPr>
          <w:rFonts w:ascii="Times New Roman" w:hAnsi="Times New Roman"/>
        </w:rPr>
      </w:pPr>
    </w:p>
    <w:p w:rsidR="00D16A33" w:rsidRPr="00EF0553" w:rsidP="00D16A33">
      <w:pPr>
        <w:bidi w:val="0"/>
        <w:ind w:firstLine="708"/>
        <w:jc w:val="both"/>
        <w:rPr>
          <w:rFonts w:ascii="Times New Roman" w:hAnsi="Times New Roman"/>
        </w:rPr>
      </w:pPr>
      <w:r w:rsidRPr="00D54004">
        <w:rPr>
          <w:rFonts w:ascii="Times New Roman" w:hAnsi="Times New Roman"/>
        </w:rPr>
        <w:t>Prijatie navrhovaného zákona</w:t>
      </w:r>
      <w:r w:rsidRPr="007166FD">
        <w:rPr>
          <w:rFonts w:ascii="Times New Roman" w:hAnsi="Times New Roman"/>
        </w:rPr>
        <w:t xml:space="preserve"> predpokladá pozitívn</w:t>
      </w:r>
      <w:r>
        <w:rPr>
          <w:rFonts w:ascii="Times New Roman" w:hAnsi="Times New Roman"/>
        </w:rPr>
        <w:t xml:space="preserve">e a </w:t>
      </w:r>
      <w:r w:rsidRPr="007166FD">
        <w:rPr>
          <w:rFonts w:ascii="Times New Roman" w:hAnsi="Times New Roman"/>
        </w:rPr>
        <w:t>negatívne vplyvy na rozpočet verejnej správy</w:t>
      </w:r>
      <w:r>
        <w:rPr>
          <w:rFonts w:ascii="Times New Roman" w:hAnsi="Times New Roman"/>
        </w:rPr>
        <w:t xml:space="preserve"> (negatívne vplyvy sú rozpočtovo zabezpečené)</w:t>
      </w:r>
      <w:r w:rsidRPr="007166FD">
        <w:rPr>
          <w:rFonts w:ascii="Times New Roman" w:hAnsi="Times New Roman"/>
        </w:rPr>
        <w:t>, negatívne vplyvy na podnikateľské prostredie, vrátane malých a stredných podnikov, pozitívne sociálne vplyvy a pozitívne vplyvy na informatizáciu</w:t>
      </w:r>
      <w:r>
        <w:rPr>
          <w:rFonts w:ascii="Times New Roman" w:hAnsi="Times New Roman"/>
        </w:rPr>
        <w:t>. Prijatie navrhovaného zákona nebude mať vplyv na služby verejnej správy pre občana.</w:t>
      </w:r>
    </w:p>
    <w:p w:rsidR="00F03C4E" w:rsidP="00D5363A">
      <w:pPr>
        <w:bidi w:val="0"/>
        <w:ind w:firstLine="708"/>
        <w:jc w:val="both"/>
        <w:rPr>
          <w:rFonts w:ascii="Times New Roman" w:hAnsi="Times New Roman"/>
        </w:rPr>
      </w:pPr>
    </w:p>
    <w:p w:rsidR="00D16A33" w:rsidRPr="00EF2117" w:rsidP="00D16A33">
      <w:pPr>
        <w:bidi w:val="0"/>
        <w:ind w:firstLine="708"/>
        <w:jc w:val="both"/>
        <w:rPr>
          <w:rFonts w:ascii="Times New Roman" w:hAnsi="Times New Roman"/>
        </w:rPr>
      </w:pPr>
      <w:r w:rsidRPr="00EF2117">
        <w:rPr>
          <w:rFonts w:ascii="Times New Roman" w:hAnsi="Times New Roman"/>
        </w:rPr>
        <w:t xml:space="preserve">Stála pracovná komisia Legislatívnej rady vlády Slovenskej republiky na posudzovanie vybraných vplyvov pri Ministerstve hospodárstva Slovenskej republiky vyjadrila súhlasné stanovisko s pripomienkami, ktoré boli následne zapracované. </w:t>
      </w:r>
    </w:p>
    <w:p w:rsidR="00D16A33" w:rsidP="00D5363A">
      <w:pPr>
        <w:bidi w:val="0"/>
        <w:ind w:firstLine="708"/>
        <w:jc w:val="both"/>
        <w:rPr>
          <w:rFonts w:ascii="Times New Roman" w:hAnsi="Times New Roman"/>
        </w:rPr>
      </w:pPr>
    </w:p>
    <w:p w:rsidR="00D16A33" w:rsidRPr="00EF2117" w:rsidP="00D16A33">
      <w:pPr>
        <w:bidi w:val="0"/>
        <w:ind w:firstLine="708"/>
        <w:jc w:val="both"/>
        <w:rPr>
          <w:rFonts w:ascii="Times New Roman" w:hAnsi="Times New Roman"/>
        </w:rPr>
      </w:pPr>
      <w:r w:rsidR="00CF6C9A">
        <w:rPr>
          <w:rFonts w:ascii="Times New Roman" w:hAnsi="Times New Roman"/>
        </w:rPr>
        <w:t>K pripomienka</w:t>
      </w:r>
      <w:r w:rsidR="005A32BA">
        <w:rPr>
          <w:rFonts w:ascii="Times New Roman" w:hAnsi="Times New Roman"/>
        </w:rPr>
        <w:t>m</w:t>
      </w:r>
      <w:r w:rsidR="00CF6C9A">
        <w:rPr>
          <w:rFonts w:ascii="Times New Roman" w:hAnsi="Times New Roman"/>
        </w:rPr>
        <w:t xml:space="preserve">, predloženým v rámci </w:t>
      </w:r>
      <w:r w:rsidRPr="00EF2117">
        <w:rPr>
          <w:rFonts w:ascii="Times New Roman" w:hAnsi="Times New Roman"/>
        </w:rPr>
        <w:t>medzirezortného pripomienkového konania s</w:t>
      </w:r>
      <w:r w:rsidR="00CF6C9A">
        <w:rPr>
          <w:rFonts w:ascii="Times New Roman" w:hAnsi="Times New Roman"/>
        </w:rPr>
        <w:t>a uskutočnili rozporové konania,</w:t>
      </w:r>
      <w:r w:rsidR="00CB5AFB">
        <w:rPr>
          <w:rFonts w:ascii="Times New Roman" w:hAnsi="Times New Roman"/>
        </w:rPr>
        <w:t> </w:t>
      </w:r>
      <w:r w:rsidR="00CF6C9A">
        <w:rPr>
          <w:rFonts w:ascii="Times New Roman" w:hAnsi="Times New Roman"/>
        </w:rPr>
        <w:t xml:space="preserve">v </w:t>
      </w:r>
      <w:r w:rsidR="00CB5AFB">
        <w:rPr>
          <w:rFonts w:ascii="Times New Roman" w:hAnsi="Times New Roman"/>
        </w:rPr>
        <w:t>rámci ktorých niektoré zásadné pripomienky neboli odstránené.</w:t>
      </w:r>
      <w:r w:rsidRPr="00EF2117">
        <w:rPr>
          <w:rFonts w:ascii="Times New Roman" w:hAnsi="Times New Roman"/>
        </w:rPr>
        <w:t xml:space="preserve"> Do ďalšieho legislatívneho procesu </w:t>
      </w:r>
      <w:r>
        <w:rPr>
          <w:rFonts w:ascii="Times New Roman" w:hAnsi="Times New Roman"/>
        </w:rPr>
        <w:t>je</w:t>
      </w:r>
      <w:r w:rsidRPr="00EF2117">
        <w:rPr>
          <w:rFonts w:ascii="Times New Roman" w:hAnsi="Times New Roman"/>
        </w:rPr>
        <w:t xml:space="preserve"> materiál predložený </w:t>
      </w:r>
      <w:r>
        <w:rPr>
          <w:rFonts w:ascii="Times New Roman" w:hAnsi="Times New Roman"/>
        </w:rPr>
        <w:t xml:space="preserve">s rozpormi, pričom neboli odstránené </w:t>
      </w:r>
      <w:r w:rsidR="00CF6C9A">
        <w:rPr>
          <w:rFonts w:ascii="Times New Roman" w:hAnsi="Times New Roman"/>
        </w:rPr>
        <w:t xml:space="preserve">niektoré </w:t>
      </w:r>
      <w:r>
        <w:rPr>
          <w:rFonts w:ascii="Times New Roman" w:hAnsi="Times New Roman"/>
        </w:rPr>
        <w:t>zásadné pripomienky</w:t>
      </w:r>
      <w:r w:rsidRPr="00EF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predložené zo strany ZMOS, </w:t>
      </w:r>
      <w:r w:rsidR="00CF6C9A">
        <w:rPr>
          <w:rFonts w:ascii="Times New Roman" w:hAnsi="Times New Roman"/>
        </w:rPr>
        <w:t xml:space="preserve">Asociácie zábavy a hier, </w:t>
      </w:r>
      <w:r>
        <w:rPr>
          <w:rFonts w:ascii="Times New Roman" w:hAnsi="Times New Roman"/>
        </w:rPr>
        <w:t>Asociácie prevádzkovateľov videohier, Asociácie kasín Slovenska, Aliancie za čistú hru – Clarify, hlavného mesta SR Bratislava a</w:t>
      </w:r>
      <w:r w:rsidR="00CF6C9A">
        <w:rPr>
          <w:rFonts w:ascii="Times New Roman" w:hAnsi="Times New Roman"/>
        </w:rPr>
        <w:t xml:space="preserve"> niektoré </w:t>
      </w:r>
      <w:r>
        <w:rPr>
          <w:rFonts w:ascii="Times New Roman" w:hAnsi="Times New Roman"/>
        </w:rPr>
        <w:t>hromadné pripomienky verejnosti.</w:t>
      </w:r>
    </w:p>
    <w:p w:rsidR="00D16A33" w:rsidP="00D5363A">
      <w:pPr>
        <w:bidi w:val="0"/>
        <w:ind w:firstLine="708"/>
        <w:jc w:val="both"/>
        <w:rPr>
          <w:rFonts w:ascii="Times New Roman" w:hAnsi="Times New Roman"/>
        </w:rPr>
      </w:pPr>
    </w:p>
    <w:p w:rsidR="00D16A33" w:rsidRPr="00EF0553" w:rsidP="00D16A33">
      <w:pPr>
        <w:bidi w:val="0"/>
        <w:ind w:firstLine="708"/>
        <w:jc w:val="both"/>
        <w:rPr>
          <w:rFonts w:ascii="Times New Roman" w:hAnsi="Times New Roman"/>
        </w:rPr>
      </w:pPr>
      <w:r w:rsidRPr="00EF0553">
        <w:rPr>
          <w:rFonts w:ascii="Times New Roman" w:hAnsi="Times New Roman"/>
        </w:rPr>
        <w:t xml:space="preserve">Návrh zákona je v súlade s Ústavou Slovenskej republiky, inými zákonmi a ostatnými všeobecne záväznými právnymi predpismi, </w:t>
      </w:r>
      <w:r>
        <w:rPr>
          <w:rFonts w:ascii="Times New Roman" w:hAnsi="Times New Roman"/>
        </w:rPr>
        <w:t xml:space="preserve">nálezmi ústavného súdu, </w:t>
      </w:r>
      <w:r w:rsidRPr="00EF0553">
        <w:rPr>
          <w:rFonts w:ascii="Times New Roman" w:hAnsi="Times New Roman"/>
        </w:rPr>
        <w:t>medzinárodnými zmluvami a inými medzinárodnými dokumentmi, ktorými je Slovenská republika viazaná, ako aj s právom Európskej únie.</w:t>
      </w:r>
    </w:p>
    <w:p w:rsidR="00D5363A" w:rsidP="00D5363A">
      <w:pPr>
        <w:bidi w:val="0"/>
        <w:ind w:firstLine="708"/>
        <w:jc w:val="both"/>
        <w:rPr>
          <w:rFonts w:ascii="Times New Roman" w:hAnsi="Times New Roman"/>
        </w:rPr>
      </w:pPr>
    </w:p>
    <w:p w:rsidR="00D5363A" w:rsidP="00D5363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úpravy zákona o hazardných hrách </w:t>
      </w:r>
      <w:r w:rsidR="005C742F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predmetom vnútrokomunitárneho pripomienkového konania.</w:t>
      </w:r>
    </w:p>
    <w:p w:rsidR="00D5363A" w:rsidP="00D5363A">
      <w:pPr>
        <w:bidi w:val="0"/>
        <w:ind w:firstLine="708"/>
        <w:jc w:val="both"/>
        <w:rPr>
          <w:rFonts w:ascii="Times New Roman" w:hAnsi="Times New Roman"/>
        </w:rPr>
      </w:pPr>
    </w:p>
    <w:p w:rsidR="00D5363A" w:rsidP="00D5363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 zákona sa navrhuje od 1. januára 2017.</w:t>
      </w:r>
    </w:p>
    <w:p w:rsidR="00317723" w:rsidRPr="00E00961" w:rsidP="00317723">
      <w:pPr>
        <w:bidi w:val="0"/>
        <w:ind w:firstLine="708"/>
        <w:jc w:val="both"/>
        <w:rPr>
          <w:rFonts w:ascii="Times New Roman" w:hAnsi="Times New Roman"/>
        </w:rPr>
      </w:pPr>
    </w:p>
    <w:p w:rsidR="00317723" w:rsidRPr="00DA73D8" w:rsidP="0031772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E63279" w:rsidRPr="00DA73D8" w:rsidP="0031772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317723" w:rsidRPr="00DA73D8" w:rsidP="0031772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213906" w:rsidRPr="00DA73D8" w:rsidP="00317723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213906" w:rsidRPr="00DA73D8" w:rsidP="00317723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9C7EFD" w:rsidP="0011709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sectPr w:rsidSect="00AD0B35">
      <w:footerReference w:type="default" r:id="rId5"/>
      <w:pgSz w:w="11907" w:h="16840" w:code="9"/>
      <w:pgMar w:top="1384" w:right="1418" w:bottom="1418" w:left="1418" w:header="0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AF" w:rsidP="005755BC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51C69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AF46AF" w:rsidP="005755B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46D"/>
    <w:multiLevelType w:val="hybridMultilevel"/>
    <w:tmpl w:val="A022E1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1">
    <w:nsid w:val="08D91F6A"/>
    <w:multiLevelType w:val="hybridMultilevel"/>
    <w:tmpl w:val="43847E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D07BFA"/>
    <w:multiLevelType w:val="hybridMultilevel"/>
    <w:tmpl w:val="E5C2DB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C3B2E5C"/>
    <w:multiLevelType w:val="hybridMultilevel"/>
    <w:tmpl w:val="B9C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8B01C9"/>
    <w:multiLevelType w:val="hybridMultilevel"/>
    <w:tmpl w:val="251AA2A2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5">
    <w:nsid w:val="383A3FA1"/>
    <w:multiLevelType w:val="hybridMultilevel"/>
    <w:tmpl w:val="61C654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6A72B60"/>
    <w:multiLevelType w:val="hybridMultilevel"/>
    <w:tmpl w:val="3B3E48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B454E9"/>
    <w:multiLevelType w:val="hybridMultilevel"/>
    <w:tmpl w:val="B9C8C41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0">
    <w:nsid w:val="61973628"/>
    <w:multiLevelType w:val="hybridMultilevel"/>
    <w:tmpl w:val="331C08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81242"/>
    <w:multiLevelType w:val="hybridMultilevel"/>
    <w:tmpl w:val="AD20398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2">
    <w:nsid w:val="6F8A4B5D"/>
    <w:multiLevelType w:val="hybridMultilevel"/>
    <w:tmpl w:val="7B387258"/>
    <w:lvl w:ilvl="0">
      <w:start w:val="94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B5BA6"/>
    <w:multiLevelType w:val="hybridMultilevel"/>
    <w:tmpl w:val="ED323F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4">
    <w:nsid w:val="6FF83C46"/>
    <w:multiLevelType w:val="hybridMultilevel"/>
    <w:tmpl w:val="2DF6B6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5">
    <w:nsid w:val="70D031DC"/>
    <w:multiLevelType w:val="hybridMultilevel"/>
    <w:tmpl w:val="072C8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3C81748"/>
    <w:multiLevelType w:val="hybridMultilevel"/>
    <w:tmpl w:val="5E962E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3"/>
  </w:num>
  <w:num w:numId="5">
    <w:abstractNumId w:val="2"/>
  </w:num>
  <w:num w:numId="6">
    <w:abstractNumId w:val="16"/>
  </w:num>
  <w:num w:numId="7">
    <w:abstractNumId w:val="11"/>
  </w:num>
  <w:num w:numId="8">
    <w:abstractNumId w:val="5"/>
  </w:num>
  <w:num w:numId="9">
    <w:abstractNumId w:val="13"/>
  </w:num>
  <w:num w:numId="10">
    <w:abstractNumId w:val="1"/>
  </w:num>
  <w:num w:numId="11">
    <w:abstractNumId w:val="17"/>
  </w:num>
  <w:num w:numId="12">
    <w:abstractNumId w:val="9"/>
  </w:num>
  <w:num w:numId="13">
    <w:abstractNumId w:val="6"/>
  </w:num>
  <w:num w:numId="14">
    <w:abstractNumId w:val="8"/>
  </w:num>
  <w:num w:numId="15">
    <w:abstractNumId w:val="12"/>
  </w:num>
  <w:num w:numId="16">
    <w:abstractNumId w:val="15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31687"/>
    <w:rsid w:val="000008A5"/>
    <w:rsid w:val="00000A3E"/>
    <w:rsid w:val="00001891"/>
    <w:rsid w:val="00005362"/>
    <w:rsid w:val="00012B28"/>
    <w:rsid w:val="00015FE7"/>
    <w:rsid w:val="000170F2"/>
    <w:rsid w:val="00025276"/>
    <w:rsid w:val="00033B3A"/>
    <w:rsid w:val="00042CDD"/>
    <w:rsid w:val="000470C2"/>
    <w:rsid w:val="00047CFC"/>
    <w:rsid w:val="00047F68"/>
    <w:rsid w:val="0005475D"/>
    <w:rsid w:val="0005481B"/>
    <w:rsid w:val="00061FDA"/>
    <w:rsid w:val="000703E5"/>
    <w:rsid w:val="00070E77"/>
    <w:rsid w:val="00077E21"/>
    <w:rsid w:val="000811B6"/>
    <w:rsid w:val="0008309D"/>
    <w:rsid w:val="000871F3"/>
    <w:rsid w:val="00090D63"/>
    <w:rsid w:val="00091796"/>
    <w:rsid w:val="00092D30"/>
    <w:rsid w:val="0009418E"/>
    <w:rsid w:val="000A6C38"/>
    <w:rsid w:val="000B2E91"/>
    <w:rsid w:val="000C1073"/>
    <w:rsid w:val="000C4078"/>
    <w:rsid w:val="000D3EBC"/>
    <w:rsid w:val="000E3FDC"/>
    <w:rsid w:val="00106725"/>
    <w:rsid w:val="001108D4"/>
    <w:rsid w:val="00112068"/>
    <w:rsid w:val="00117095"/>
    <w:rsid w:val="00117ECA"/>
    <w:rsid w:val="00120F6F"/>
    <w:rsid w:val="00122A77"/>
    <w:rsid w:val="00133E1F"/>
    <w:rsid w:val="00140CA3"/>
    <w:rsid w:val="001527E0"/>
    <w:rsid w:val="00152DC8"/>
    <w:rsid w:val="0015592E"/>
    <w:rsid w:val="00155DAE"/>
    <w:rsid w:val="001611F1"/>
    <w:rsid w:val="00163630"/>
    <w:rsid w:val="00164D62"/>
    <w:rsid w:val="00166E3E"/>
    <w:rsid w:val="00167D30"/>
    <w:rsid w:val="00170501"/>
    <w:rsid w:val="00173007"/>
    <w:rsid w:val="00182F15"/>
    <w:rsid w:val="00183572"/>
    <w:rsid w:val="001852D6"/>
    <w:rsid w:val="00187572"/>
    <w:rsid w:val="001904D3"/>
    <w:rsid w:val="00194CB9"/>
    <w:rsid w:val="001977B4"/>
    <w:rsid w:val="001A3757"/>
    <w:rsid w:val="001A6525"/>
    <w:rsid w:val="001A6BBF"/>
    <w:rsid w:val="001C1CD6"/>
    <w:rsid w:val="001C299A"/>
    <w:rsid w:val="001D2460"/>
    <w:rsid w:val="001E0F2E"/>
    <w:rsid w:val="001F101F"/>
    <w:rsid w:val="001F10A7"/>
    <w:rsid w:val="001F315D"/>
    <w:rsid w:val="002013C3"/>
    <w:rsid w:val="0020454A"/>
    <w:rsid w:val="00204DAF"/>
    <w:rsid w:val="0020749E"/>
    <w:rsid w:val="00211522"/>
    <w:rsid w:val="00213906"/>
    <w:rsid w:val="00216DB1"/>
    <w:rsid w:val="00223A08"/>
    <w:rsid w:val="00224157"/>
    <w:rsid w:val="0022434B"/>
    <w:rsid w:val="00227D58"/>
    <w:rsid w:val="00235C50"/>
    <w:rsid w:val="002411CF"/>
    <w:rsid w:val="00241FAB"/>
    <w:rsid w:val="00242A4E"/>
    <w:rsid w:val="00244263"/>
    <w:rsid w:val="00254C75"/>
    <w:rsid w:val="00256CD3"/>
    <w:rsid w:val="00266324"/>
    <w:rsid w:val="00280C65"/>
    <w:rsid w:val="002875D4"/>
    <w:rsid w:val="0029306F"/>
    <w:rsid w:val="00294CDA"/>
    <w:rsid w:val="002A1EDD"/>
    <w:rsid w:val="002A275D"/>
    <w:rsid w:val="002A3CBF"/>
    <w:rsid w:val="002B47C9"/>
    <w:rsid w:val="002B4892"/>
    <w:rsid w:val="002C2B9F"/>
    <w:rsid w:val="002C5843"/>
    <w:rsid w:val="002E0086"/>
    <w:rsid w:val="002E2AAD"/>
    <w:rsid w:val="002E36EB"/>
    <w:rsid w:val="002E58FB"/>
    <w:rsid w:val="002F2045"/>
    <w:rsid w:val="002F7765"/>
    <w:rsid w:val="00304428"/>
    <w:rsid w:val="003047A2"/>
    <w:rsid w:val="0031502D"/>
    <w:rsid w:val="00317723"/>
    <w:rsid w:val="0032087B"/>
    <w:rsid w:val="00321DFB"/>
    <w:rsid w:val="00324455"/>
    <w:rsid w:val="00326AC2"/>
    <w:rsid w:val="003335E7"/>
    <w:rsid w:val="00336B04"/>
    <w:rsid w:val="0034589E"/>
    <w:rsid w:val="00351766"/>
    <w:rsid w:val="00360B7C"/>
    <w:rsid w:val="003649FD"/>
    <w:rsid w:val="00366E94"/>
    <w:rsid w:val="00372B27"/>
    <w:rsid w:val="00377371"/>
    <w:rsid w:val="00382A3A"/>
    <w:rsid w:val="00386C33"/>
    <w:rsid w:val="00391B51"/>
    <w:rsid w:val="0039791B"/>
    <w:rsid w:val="00397AA4"/>
    <w:rsid w:val="003A2E99"/>
    <w:rsid w:val="003A5D5D"/>
    <w:rsid w:val="003A5EA9"/>
    <w:rsid w:val="003B1FEC"/>
    <w:rsid w:val="003B5E57"/>
    <w:rsid w:val="003C2917"/>
    <w:rsid w:val="003D0075"/>
    <w:rsid w:val="003D4098"/>
    <w:rsid w:val="003E6377"/>
    <w:rsid w:val="003E7C0F"/>
    <w:rsid w:val="003F3B6A"/>
    <w:rsid w:val="00400090"/>
    <w:rsid w:val="00405A2C"/>
    <w:rsid w:val="00410F27"/>
    <w:rsid w:val="0041497C"/>
    <w:rsid w:val="00421A93"/>
    <w:rsid w:val="00426A89"/>
    <w:rsid w:val="00434467"/>
    <w:rsid w:val="00442811"/>
    <w:rsid w:val="00454037"/>
    <w:rsid w:val="00454604"/>
    <w:rsid w:val="00470BE9"/>
    <w:rsid w:val="00480B80"/>
    <w:rsid w:val="00482CDA"/>
    <w:rsid w:val="0049212A"/>
    <w:rsid w:val="00492C6C"/>
    <w:rsid w:val="00493A5F"/>
    <w:rsid w:val="0049468C"/>
    <w:rsid w:val="004947FA"/>
    <w:rsid w:val="004A5AA8"/>
    <w:rsid w:val="004C60B8"/>
    <w:rsid w:val="004C78FE"/>
    <w:rsid w:val="004D1348"/>
    <w:rsid w:val="004D6E9E"/>
    <w:rsid w:val="004E3B1F"/>
    <w:rsid w:val="004E6371"/>
    <w:rsid w:val="004F2259"/>
    <w:rsid w:val="004F2CAE"/>
    <w:rsid w:val="004F44F4"/>
    <w:rsid w:val="00506FDC"/>
    <w:rsid w:val="00514494"/>
    <w:rsid w:val="00515EAB"/>
    <w:rsid w:val="00516C69"/>
    <w:rsid w:val="00517DAC"/>
    <w:rsid w:val="00517F70"/>
    <w:rsid w:val="0052149C"/>
    <w:rsid w:val="00525A8E"/>
    <w:rsid w:val="00532CF7"/>
    <w:rsid w:val="005362C4"/>
    <w:rsid w:val="00536E65"/>
    <w:rsid w:val="005414E5"/>
    <w:rsid w:val="00543308"/>
    <w:rsid w:val="00546E85"/>
    <w:rsid w:val="005513E8"/>
    <w:rsid w:val="00551682"/>
    <w:rsid w:val="00556ADE"/>
    <w:rsid w:val="005614FD"/>
    <w:rsid w:val="00563A39"/>
    <w:rsid w:val="005679D6"/>
    <w:rsid w:val="0057107E"/>
    <w:rsid w:val="00571FE5"/>
    <w:rsid w:val="00572204"/>
    <w:rsid w:val="00574A73"/>
    <w:rsid w:val="005755BC"/>
    <w:rsid w:val="0057660F"/>
    <w:rsid w:val="00581340"/>
    <w:rsid w:val="00590D32"/>
    <w:rsid w:val="0059569E"/>
    <w:rsid w:val="00596068"/>
    <w:rsid w:val="00597E49"/>
    <w:rsid w:val="005A32BA"/>
    <w:rsid w:val="005B0B3C"/>
    <w:rsid w:val="005C0F3F"/>
    <w:rsid w:val="005C2FD1"/>
    <w:rsid w:val="005C742F"/>
    <w:rsid w:val="005D4315"/>
    <w:rsid w:val="005D6BCD"/>
    <w:rsid w:val="005F02F2"/>
    <w:rsid w:val="005F4317"/>
    <w:rsid w:val="005F4419"/>
    <w:rsid w:val="00600A9F"/>
    <w:rsid w:val="00601E95"/>
    <w:rsid w:val="0060561C"/>
    <w:rsid w:val="006070C0"/>
    <w:rsid w:val="00610469"/>
    <w:rsid w:val="0061494D"/>
    <w:rsid w:val="006152C2"/>
    <w:rsid w:val="00615B68"/>
    <w:rsid w:val="006162C3"/>
    <w:rsid w:val="00626E53"/>
    <w:rsid w:val="00633C5F"/>
    <w:rsid w:val="00636103"/>
    <w:rsid w:val="006372B8"/>
    <w:rsid w:val="00644569"/>
    <w:rsid w:val="0065217E"/>
    <w:rsid w:val="00656E64"/>
    <w:rsid w:val="00660F7E"/>
    <w:rsid w:val="00670148"/>
    <w:rsid w:val="0067226F"/>
    <w:rsid w:val="00672A67"/>
    <w:rsid w:val="006819FE"/>
    <w:rsid w:val="00683C5F"/>
    <w:rsid w:val="00686088"/>
    <w:rsid w:val="00691195"/>
    <w:rsid w:val="00695084"/>
    <w:rsid w:val="006A1928"/>
    <w:rsid w:val="006A388E"/>
    <w:rsid w:val="006B17E5"/>
    <w:rsid w:val="006C025D"/>
    <w:rsid w:val="006C3D69"/>
    <w:rsid w:val="006C4FA8"/>
    <w:rsid w:val="006D1979"/>
    <w:rsid w:val="006D45CA"/>
    <w:rsid w:val="006D56AB"/>
    <w:rsid w:val="006E33C2"/>
    <w:rsid w:val="006E4859"/>
    <w:rsid w:val="006F13BC"/>
    <w:rsid w:val="007002A4"/>
    <w:rsid w:val="00702F3F"/>
    <w:rsid w:val="0070382D"/>
    <w:rsid w:val="0070454A"/>
    <w:rsid w:val="0070484C"/>
    <w:rsid w:val="00704DAD"/>
    <w:rsid w:val="007151D2"/>
    <w:rsid w:val="007166FD"/>
    <w:rsid w:val="00730AC0"/>
    <w:rsid w:val="00730BD4"/>
    <w:rsid w:val="00731687"/>
    <w:rsid w:val="007345D8"/>
    <w:rsid w:val="00762115"/>
    <w:rsid w:val="0076387E"/>
    <w:rsid w:val="007665EF"/>
    <w:rsid w:val="00767E44"/>
    <w:rsid w:val="0077396D"/>
    <w:rsid w:val="00794D88"/>
    <w:rsid w:val="007B07D2"/>
    <w:rsid w:val="007C040E"/>
    <w:rsid w:val="007C1654"/>
    <w:rsid w:val="007C1765"/>
    <w:rsid w:val="007C3846"/>
    <w:rsid w:val="007D1115"/>
    <w:rsid w:val="007E0AE6"/>
    <w:rsid w:val="007E0D33"/>
    <w:rsid w:val="007E5233"/>
    <w:rsid w:val="008030A0"/>
    <w:rsid w:val="008051D9"/>
    <w:rsid w:val="00823100"/>
    <w:rsid w:val="00823162"/>
    <w:rsid w:val="00835B40"/>
    <w:rsid w:val="0083662B"/>
    <w:rsid w:val="00853624"/>
    <w:rsid w:val="008638B2"/>
    <w:rsid w:val="00863ADC"/>
    <w:rsid w:val="00870909"/>
    <w:rsid w:val="00872381"/>
    <w:rsid w:val="008739EE"/>
    <w:rsid w:val="008948ED"/>
    <w:rsid w:val="008B2E2D"/>
    <w:rsid w:val="008B6CD2"/>
    <w:rsid w:val="008C0266"/>
    <w:rsid w:val="008C3277"/>
    <w:rsid w:val="008C487C"/>
    <w:rsid w:val="008C4D7F"/>
    <w:rsid w:val="008D412A"/>
    <w:rsid w:val="008D6FCA"/>
    <w:rsid w:val="008E4827"/>
    <w:rsid w:val="008E507D"/>
    <w:rsid w:val="008E7969"/>
    <w:rsid w:val="008F2D23"/>
    <w:rsid w:val="008F7D36"/>
    <w:rsid w:val="00906311"/>
    <w:rsid w:val="009120AA"/>
    <w:rsid w:val="00914879"/>
    <w:rsid w:val="00916A95"/>
    <w:rsid w:val="00917756"/>
    <w:rsid w:val="009315C8"/>
    <w:rsid w:val="00937386"/>
    <w:rsid w:val="00947319"/>
    <w:rsid w:val="00950264"/>
    <w:rsid w:val="00951E3A"/>
    <w:rsid w:val="00960E1C"/>
    <w:rsid w:val="00961DE7"/>
    <w:rsid w:val="00967A43"/>
    <w:rsid w:val="009750E9"/>
    <w:rsid w:val="00977B6F"/>
    <w:rsid w:val="009905DB"/>
    <w:rsid w:val="00991C81"/>
    <w:rsid w:val="00996DD0"/>
    <w:rsid w:val="009A1EB5"/>
    <w:rsid w:val="009A33BA"/>
    <w:rsid w:val="009B3DD3"/>
    <w:rsid w:val="009B3ED5"/>
    <w:rsid w:val="009C4D44"/>
    <w:rsid w:val="009C7EFD"/>
    <w:rsid w:val="009D05AF"/>
    <w:rsid w:val="009D30F9"/>
    <w:rsid w:val="009D319A"/>
    <w:rsid w:val="009E27B3"/>
    <w:rsid w:val="009E4B34"/>
    <w:rsid w:val="009F476B"/>
    <w:rsid w:val="009F7FCA"/>
    <w:rsid w:val="00A0185E"/>
    <w:rsid w:val="00A0349C"/>
    <w:rsid w:val="00A0382D"/>
    <w:rsid w:val="00A03D23"/>
    <w:rsid w:val="00A1184E"/>
    <w:rsid w:val="00A179AE"/>
    <w:rsid w:val="00A30609"/>
    <w:rsid w:val="00A32BC6"/>
    <w:rsid w:val="00A37358"/>
    <w:rsid w:val="00A51F10"/>
    <w:rsid w:val="00A5505F"/>
    <w:rsid w:val="00A61C7B"/>
    <w:rsid w:val="00A6553D"/>
    <w:rsid w:val="00A6659B"/>
    <w:rsid w:val="00A714F3"/>
    <w:rsid w:val="00A72E64"/>
    <w:rsid w:val="00A73407"/>
    <w:rsid w:val="00A8467C"/>
    <w:rsid w:val="00A86305"/>
    <w:rsid w:val="00A9252A"/>
    <w:rsid w:val="00A95A2A"/>
    <w:rsid w:val="00AA348E"/>
    <w:rsid w:val="00AA5A1D"/>
    <w:rsid w:val="00AA7CBE"/>
    <w:rsid w:val="00AC1526"/>
    <w:rsid w:val="00AC60F3"/>
    <w:rsid w:val="00AD0B35"/>
    <w:rsid w:val="00AE42AE"/>
    <w:rsid w:val="00AE4BE0"/>
    <w:rsid w:val="00AE5AE2"/>
    <w:rsid w:val="00AF1726"/>
    <w:rsid w:val="00AF46AF"/>
    <w:rsid w:val="00AF67A0"/>
    <w:rsid w:val="00B07705"/>
    <w:rsid w:val="00B12BFC"/>
    <w:rsid w:val="00B14B93"/>
    <w:rsid w:val="00B22409"/>
    <w:rsid w:val="00B24839"/>
    <w:rsid w:val="00B253B7"/>
    <w:rsid w:val="00B30AA0"/>
    <w:rsid w:val="00B36A4D"/>
    <w:rsid w:val="00B44CD6"/>
    <w:rsid w:val="00B50ACC"/>
    <w:rsid w:val="00B61430"/>
    <w:rsid w:val="00B80FF3"/>
    <w:rsid w:val="00B86B70"/>
    <w:rsid w:val="00B91C37"/>
    <w:rsid w:val="00B9253B"/>
    <w:rsid w:val="00B94FCB"/>
    <w:rsid w:val="00BA13E7"/>
    <w:rsid w:val="00BB62F6"/>
    <w:rsid w:val="00BB69FB"/>
    <w:rsid w:val="00BC43D4"/>
    <w:rsid w:val="00BE14B6"/>
    <w:rsid w:val="00BE413F"/>
    <w:rsid w:val="00BF0FC3"/>
    <w:rsid w:val="00BF1C08"/>
    <w:rsid w:val="00BF3078"/>
    <w:rsid w:val="00BF49F6"/>
    <w:rsid w:val="00C0266F"/>
    <w:rsid w:val="00C07C4D"/>
    <w:rsid w:val="00C14895"/>
    <w:rsid w:val="00C21DEB"/>
    <w:rsid w:val="00C273DE"/>
    <w:rsid w:val="00C2771C"/>
    <w:rsid w:val="00C33655"/>
    <w:rsid w:val="00C376D7"/>
    <w:rsid w:val="00C470F8"/>
    <w:rsid w:val="00C56B8A"/>
    <w:rsid w:val="00C57CF7"/>
    <w:rsid w:val="00C64C77"/>
    <w:rsid w:val="00C66DE2"/>
    <w:rsid w:val="00C702D3"/>
    <w:rsid w:val="00C735B0"/>
    <w:rsid w:val="00C7376F"/>
    <w:rsid w:val="00C77C5C"/>
    <w:rsid w:val="00C80E97"/>
    <w:rsid w:val="00C82AE1"/>
    <w:rsid w:val="00C859DE"/>
    <w:rsid w:val="00C867E7"/>
    <w:rsid w:val="00CA1198"/>
    <w:rsid w:val="00CA5EBB"/>
    <w:rsid w:val="00CA62CB"/>
    <w:rsid w:val="00CB1AD2"/>
    <w:rsid w:val="00CB2C65"/>
    <w:rsid w:val="00CB4461"/>
    <w:rsid w:val="00CB5AFB"/>
    <w:rsid w:val="00CB719C"/>
    <w:rsid w:val="00CB7586"/>
    <w:rsid w:val="00CC06C4"/>
    <w:rsid w:val="00CC1E5E"/>
    <w:rsid w:val="00CC244D"/>
    <w:rsid w:val="00CD05A1"/>
    <w:rsid w:val="00CD1969"/>
    <w:rsid w:val="00CE1F4C"/>
    <w:rsid w:val="00CE5E95"/>
    <w:rsid w:val="00CE7D89"/>
    <w:rsid w:val="00CF549C"/>
    <w:rsid w:val="00CF6C9A"/>
    <w:rsid w:val="00CF6E0B"/>
    <w:rsid w:val="00CF706F"/>
    <w:rsid w:val="00D106A7"/>
    <w:rsid w:val="00D114F0"/>
    <w:rsid w:val="00D11BB1"/>
    <w:rsid w:val="00D1685B"/>
    <w:rsid w:val="00D16A33"/>
    <w:rsid w:val="00D23932"/>
    <w:rsid w:val="00D242AC"/>
    <w:rsid w:val="00D31CB4"/>
    <w:rsid w:val="00D40204"/>
    <w:rsid w:val="00D46D75"/>
    <w:rsid w:val="00D50197"/>
    <w:rsid w:val="00D5363A"/>
    <w:rsid w:val="00D54004"/>
    <w:rsid w:val="00D54254"/>
    <w:rsid w:val="00D55472"/>
    <w:rsid w:val="00D55ABA"/>
    <w:rsid w:val="00D62E6B"/>
    <w:rsid w:val="00D64DFB"/>
    <w:rsid w:val="00D71A1B"/>
    <w:rsid w:val="00D80487"/>
    <w:rsid w:val="00DA4AF2"/>
    <w:rsid w:val="00DA73D8"/>
    <w:rsid w:val="00DB3983"/>
    <w:rsid w:val="00DB6BC5"/>
    <w:rsid w:val="00DB7AE2"/>
    <w:rsid w:val="00DC092C"/>
    <w:rsid w:val="00DC7D9B"/>
    <w:rsid w:val="00DD42DD"/>
    <w:rsid w:val="00DE0486"/>
    <w:rsid w:val="00DE413B"/>
    <w:rsid w:val="00DF1475"/>
    <w:rsid w:val="00DF160F"/>
    <w:rsid w:val="00DF5389"/>
    <w:rsid w:val="00DF63DE"/>
    <w:rsid w:val="00E00961"/>
    <w:rsid w:val="00E02380"/>
    <w:rsid w:val="00E03E3A"/>
    <w:rsid w:val="00E04590"/>
    <w:rsid w:val="00E051A6"/>
    <w:rsid w:val="00E076D2"/>
    <w:rsid w:val="00E109F4"/>
    <w:rsid w:val="00E1348A"/>
    <w:rsid w:val="00E14F2C"/>
    <w:rsid w:val="00E1652D"/>
    <w:rsid w:val="00E16B71"/>
    <w:rsid w:val="00E21946"/>
    <w:rsid w:val="00E248C5"/>
    <w:rsid w:val="00E30053"/>
    <w:rsid w:val="00E3615A"/>
    <w:rsid w:val="00E40E27"/>
    <w:rsid w:val="00E63279"/>
    <w:rsid w:val="00E64296"/>
    <w:rsid w:val="00E664FD"/>
    <w:rsid w:val="00E730C3"/>
    <w:rsid w:val="00E75804"/>
    <w:rsid w:val="00E77C8D"/>
    <w:rsid w:val="00E77FAA"/>
    <w:rsid w:val="00E816AB"/>
    <w:rsid w:val="00E91A94"/>
    <w:rsid w:val="00E935CC"/>
    <w:rsid w:val="00EA0307"/>
    <w:rsid w:val="00EA6C77"/>
    <w:rsid w:val="00EB1026"/>
    <w:rsid w:val="00EB2024"/>
    <w:rsid w:val="00EB2228"/>
    <w:rsid w:val="00EB4B68"/>
    <w:rsid w:val="00EB5E54"/>
    <w:rsid w:val="00EC034C"/>
    <w:rsid w:val="00EC0488"/>
    <w:rsid w:val="00EC645C"/>
    <w:rsid w:val="00ED5D0B"/>
    <w:rsid w:val="00ED7C95"/>
    <w:rsid w:val="00EE3449"/>
    <w:rsid w:val="00EE6135"/>
    <w:rsid w:val="00EE6BEF"/>
    <w:rsid w:val="00EF0553"/>
    <w:rsid w:val="00EF0E27"/>
    <w:rsid w:val="00EF1C6C"/>
    <w:rsid w:val="00EF2117"/>
    <w:rsid w:val="00EF3DD9"/>
    <w:rsid w:val="00EF6D9E"/>
    <w:rsid w:val="00F03C4E"/>
    <w:rsid w:val="00F110E4"/>
    <w:rsid w:val="00F14778"/>
    <w:rsid w:val="00F16A51"/>
    <w:rsid w:val="00F213F0"/>
    <w:rsid w:val="00F23D33"/>
    <w:rsid w:val="00F30BAA"/>
    <w:rsid w:val="00F30DDE"/>
    <w:rsid w:val="00F3357D"/>
    <w:rsid w:val="00F378EA"/>
    <w:rsid w:val="00F43EE5"/>
    <w:rsid w:val="00F45455"/>
    <w:rsid w:val="00F5040E"/>
    <w:rsid w:val="00F51C69"/>
    <w:rsid w:val="00F51E51"/>
    <w:rsid w:val="00F52923"/>
    <w:rsid w:val="00F529D8"/>
    <w:rsid w:val="00F60410"/>
    <w:rsid w:val="00F60BD5"/>
    <w:rsid w:val="00F61100"/>
    <w:rsid w:val="00F73051"/>
    <w:rsid w:val="00F73CAD"/>
    <w:rsid w:val="00F81130"/>
    <w:rsid w:val="00F829E0"/>
    <w:rsid w:val="00F92D02"/>
    <w:rsid w:val="00F92DB8"/>
    <w:rsid w:val="00F9434E"/>
    <w:rsid w:val="00F9476B"/>
    <w:rsid w:val="00FA1A39"/>
    <w:rsid w:val="00FA2FB5"/>
    <w:rsid w:val="00FB5349"/>
    <w:rsid w:val="00FB5C7A"/>
    <w:rsid w:val="00FD01C5"/>
    <w:rsid w:val="00FD45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1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755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755B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2A3CB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</w:rPr>
  </w:style>
  <w:style w:type="paragraph" w:customStyle="1" w:styleId="CharChar1">
    <w:name w:val="Char Char1"/>
    <w:basedOn w:val="Normal"/>
    <w:link w:val="DefaultParagraphFont"/>
    <w:uiPriority w:val="99"/>
    <w:rsid w:val="002A3CBF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2A3CB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al"/>
    <w:rsid w:val="00517F70"/>
    <w:pPr>
      <w:jc w:val="right"/>
    </w:pPr>
    <w:rPr>
      <w:b/>
      <w:sz w:val="32"/>
      <w:szCs w:val="20"/>
    </w:rPr>
  </w:style>
  <w:style w:type="paragraph" w:styleId="BodyTextIndent">
    <w:name w:val="Body Text Indent"/>
    <w:basedOn w:val="Normal"/>
    <w:link w:val="ZarkazkladnhotextuChar"/>
    <w:uiPriority w:val="99"/>
    <w:rsid w:val="00517F70"/>
    <w:pPr>
      <w:ind w:firstLine="567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17F70"/>
    <w:rPr>
      <w:rFonts w:cs="Times New Roman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120F6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TextpoznmkypodiarouChar"/>
    <w:uiPriority w:val="99"/>
    <w:unhideWhenUsed/>
    <w:rsid w:val="00120F6F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20F6F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0F6F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BB69F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B69FB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BB69FB"/>
    <w:pPr>
      <w:spacing w:after="120" w:line="480" w:lineRule="auto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BB69FB"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BB69FB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BB69FB"/>
    <w:rPr>
      <w:rFonts w:cs="Times New Roman"/>
      <w:sz w:val="16"/>
      <w:szCs w:val="16"/>
      <w:rtl w:val="0"/>
      <w:cs w:val="0"/>
    </w:rPr>
  </w:style>
  <w:style w:type="paragraph" w:customStyle="1" w:styleId="Text1">
    <w:name w:val="Text 1"/>
    <w:basedOn w:val="Normal"/>
    <w:rsid w:val="00BB69FB"/>
    <w:pPr>
      <w:spacing w:before="120" w:after="120"/>
      <w:ind w:left="850"/>
      <w:jc w:val="both"/>
    </w:pPr>
    <w:rPr>
      <w:lang w:eastAsia="de-D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D5D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5D0B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317723"/>
    <w:pPr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317723"/>
    <w:rPr>
      <w:rFonts w:cs="Times New Roman"/>
      <w:b/>
      <w:sz w:val="20"/>
      <w:szCs w:val="20"/>
      <w:rtl w:val="0"/>
      <w:cs w:val="0"/>
      <w:lang w:val="x-none" w:eastAsia="cs-CZ"/>
    </w:rPr>
  </w:style>
  <w:style w:type="paragraph" w:customStyle="1" w:styleId="Zkladntext">
    <w:name w:val="Základní text"/>
    <w:rsid w:val="002411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99"/>
    <w:qFormat/>
    <w:rsid w:val="002411CF"/>
    <w:rPr>
      <w:rFonts w:cs="Times New Roman"/>
      <w:i/>
      <w:rtl w:val="0"/>
      <w:cs w:val="0"/>
    </w:rPr>
  </w:style>
  <w:style w:type="character" w:customStyle="1" w:styleId="tlZkladntext1">
    <w:name w:val="Štýl Základný text1"/>
    <w:aliases w:val="Základný text Char Char + Tučné Char1"/>
    <w:uiPriority w:val="99"/>
    <w:rsid w:val="002411CF"/>
    <w:rPr>
      <w:b/>
      <w:sz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F0E4-34A3-47D5-82D9-8A015CDE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3</Pages>
  <Words>1442</Words>
  <Characters>8224</Characters>
  <Application>Microsoft Office Word</Application>
  <DocSecurity>0</DocSecurity>
  <Lines>0</Lines>
  <Paragraphs>0</Paragraphs>
  <ScaleCrop>false</ScaleCrop>
  <Company>mfsr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Náležitosti žiadosti, doklady a podklady k žiadosti o zriadenie slobodného pásma</dc:title>
  <dc:creator>Administrator</dc:creator>
  <cp:lastModifiedBy>Halasova Alena</cp:lastModifiedBy>
  <cp:revision>10</cp:revision>
  <cp:lastPrinted>2016-08-12T10:25:00Z</cp:lastPrinted>
  <dcterms:created xsi:type="dcterms:W3CDTF">2016-08-16T07:34:00Z</dcterms:created>
  <dcterms:modified xsi:type="dcterms:W3CDTF">2016-09-19T08:10:00Z</dcterms:modified>
</cp:coreProperties>
</file>