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102C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="000638BA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="000638BA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="000638BA">
        <w:rPr>
          <w:rFonts w:ascii="Book Antiqua" w:hAnsi="Book Antiqua"/>
          <w:spacing w:val="30"/>
          <w:sz w:val="22"/>
          <w:szCs w:val="22"/>
        </w:rPr>
        <w:t>Návrh</w:t>
      </w: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="000638B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0638BA">
        <w:rPr>
          <w:rFonts w:ascii="Book Antiqua" w:hAnsi="Book Antiqua"/>
          <w:sz w:val="22"/>
          <w:szCs w:val="22"/>
        </w:rPr>
        <w:t>z ... 2016,</w:t>
      </w:r>
    </w:p>
    <w:p w:rsidR="0009102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Times New Roman" w:hAnsi="Times New Roman"/>
        </w:rPr>
      </w:pPr>
      <w:r w:rsidR="000638BA">
        <w:rPr>
          <w:rFonts w:ascii="Book Antiqua" w:hAnsi="Book Antiqua"/>
          <w:b/>
          <w:sz w:val="22"/>
          <w:szCs w:val="22"/>
        </w:rPr>
        <w:t xml:space="preserve">ktorým sa mení a dopĺňa zákon č. </w:t>
      </w:r>
      <w:r w:rsidR="000638BA">
        <w:rPr>
          <w:rFonts w:ascii="Book Antiqua" w:hAnsi="Book Antiqua"/>
          <w:b/>
          <w:bCs/>
          <w:sz w:val="22"/>
          <w:szCs w:val="22"/>
        </w:rPr>
        <w:t xml:space="preserve">211/2000 Z. z. o slobodnom prístupe k informáciám a o zmene a doplnení niektorých zákonov (zákon o slobode informácií) </w:t>
      </w:r>
      <w:r w:rsidR="000638BA">
        <w:rPr>
          <w:rFonts w:ascii="Book Antiqua" w:hAnsi="Book Antiqua"/>
          <w:b/>
          <w:sz w:val="22"/>
          <w:szCs w:val="22"/>
        </w:rPr>
        <w:t>v znení neskorších predpisov</w:t>
      </w:r>
    </w:p>
    <w:p w:rsidR="0009102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9102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638B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0638BA">
        <w:rPr>
          <w:rFonts w:ascii="Book Antiqua" w:hAnsi="Book Antiqua"/>
          <w:b/>
          <w:bCs/>
          <w:sz w:val="22"/>
          <w:szCs w:val="22"/>
        </w:rPr>
        <w:t>Čl. I</w:t>
      </w:r>
    </w:p>
    <w:p w:rsidR="0009102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bookmarkStart w:id="0" w:name="__DdeLink__118_1324367029"/>
      <w:bookmarkEnd w:id="0"/>
      <w:r w:rsidR="000638BA">
        <w:rPr>
          <w:rFonts w:ascii="Book Antiqua" w:hAnsi="Book Antiqua"/>
          <w:sz w:val="22"/>
          <w:szCs w:val="22"/>
        </w:rPr>
        <w:t>Zákon č. 211/2000 Z. z. o slobodnom prístupe k informáciám a o zmene a doplnení niektorých zákonov (zákon o slobode informácií) v znení zákona č. 747/2004 Z. z., zákona č. 628/2005 Z. z., zákona č. 207/2008 Z. z., zákona č. 477/2008 Z. z., zákona č. 145/2010 Z. z., zákona č. 546/2010 Z. z., zákona č. 204/2011 Z. z., zákona č. 220/2011 Z. z., zákona                č. 382/2011 Z. z., zákona č. 341/2012 Z. z., zákona č. 340/2015 Z. z. a zákona č. 125/2016 Z. z. sa mení a dopĺňa takto:</w:t>
      </w:r>
    </w:p>
    <w:p w:rsidR="0009102C">
      <w:pPr>
        <w:tabs>
          <w:tab w:val="left" w:pos="855"/>
        </w:tabs>
        <w:bidi w:val="0"/>
        <w:spacing w:before="120" w:line="276" w:lineRule="auto"/>
        <w:ind w:left="850" w:hanging="397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 xml:space="preserve">1. </w:t>
        <w:tab/>
        <w:t>V § 5 sa za odsek 7 vkladajú nové odseky 8 až 10, ktoré znejú:</w:t>
      </w:r>
    </w:p>
    <w:p w:rsidR="0009102C">
      <w:pPr>
        <w:shd w:val="clear" w:color="auto" w:fill="FFFFFF"/>
        <w:bidi w:val="0"/>
        <w:spacing w:before="120" w:line="276" w:lineRule="auto"/>
        <w:ind w:left="1417" w:hanging="567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 xml:space="preserve">„(8) </w:t>
        <w:tab/>
        <w:t>Ak osobitný predpis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6b)</w:t>
      </w:r>
      <w:r w:rsidR="000638BA">
        <w:rPr>
          <w:rFonts w:ascii="Book Antiqua" w:hAnsi="Book Antiqua"/>
          <w:bCs/>
          <w:sz w:val="22"/>
          <w:szCs w:val="22"/>
        </w:rPr>
        <w:t xml:space="preserve"> neustanovuje inak, každá povinná osoba podľa § 2 ods. 1 až 3, ktorá poskytuje sponzorstvo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6c)</w:t>
      </w:r>
      <w:r w:rsidR="000638BA">
        <w:rPr>
          <w:rFonts w:ascii="Book Antiqua" w:hAnsi="Book Antiqua"/>
          <w:bCs/>
          <w:sz w:val="22"/>
          <w:szCs w:val="22"/>
        </w:rPr>
        <w:t>, dotáciu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6d)</w:t>
      </w:r>
      <w:r w:rsidR="000638BA">
        <w:rPr>
          <w:rFonts w:ascii="Book Antiqua" w:hAnsi="Book Antiqua"/>
          <w:bCs/>
          <w:sz w:val="22"/>
          <w:szCs w:val="22"/>
        </w:rPr>
        <w:t>, grant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6e)</w:t>
      </w:r>
      <w:r w:rsidR="000638BA">
        <w:rPr>
          <w:rFonts w:ascii="Book Antiqua" w:hAnsi="Book Antiqua"/>
          <w:bCs/>
          <w:sz w:val="22"/>
          <w:szCs w:val="22"/>
        </w:rPr>
        <w:t>, finančný príspevok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6f)</w:t>
      </w:r>
      <w:r w:rsidR="000638BA">
        <w:rPr>
          <w:rFonts w:ascii="Book Antiqua" w:hAnsi="Book Antiqua"/>
          <w:bCs/>
          <w:sz w:val="22"/>
          <w:szCs w:val="22"/>
        </w:rPr>
        <w:t xml:space="preserve"> alebo inú obdobnú finančnú podporu alebo nefinančnú podporu (ďalej len „podpora“), je každoročne povinná zverejniť na svojom webovom sídle, ak ho má zriadené:</w:t>
      </w:r>
    </w:p>
    <w:p w:rsidR="0009102C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podmienky poskytovania podpory a kritériá, podľa ktorých sa budú vyhodnocovať žiadosti, ak ide o podporu poskytovanú na základe žiadosti,</w:t>
      </w:r>
    </w:p>
    <w:p w:rsidR="0009102C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každú schválenú podporu aj so sumou poskytnutej podpory vrátane dátumu jej schválenia a identifikáciu prijímateľa podpory aspoň v rozsahu podľa odseku 6, ako aj sumu žiadanej podpory, ak ide o podporu poskytovanú na základe žiadosti, a to do 30 dní od schválenia podpory,</w:t>
      </w:r>
    </w:p>
    <w:p w:rsidR="0009102C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každú neschválenú podporu vrátane dátumu a dôvodu jej neschválenia a identifikáciu neúspešného subjektu aspoň v rozsahu podľa odseku 6, ako aj sumu žiadanej podpory, ak ide o podporu poskytovanú na základe žiadosti, a to do 30 dní od neschválenia podpory,</w:t>
      </w:r>
    </w:p>
    <w:p w:rsidR="0009102C">
      <w:pPr>
        <w:pStyle w:val="ListParagraph"/>
        <w:numPr>
          <w:numId w:val="1"/>
        </w:numPr>
        <w:bidi w:val="0"/>
        <w:spacing w:before="120" w:line="276" w:lineRule="auto"/>
        <w:ind w:left="1701" w:hanging="283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vyhodnotenie výsledkov už poskytnutej podpory vrátane prípadného nedodržania podmienok podpory podľa písmena a).</w:t>
      </w:r>
    </w:p>
    <w:p w:rsidR="0009102C">
      <w:pPr>
        <w:bidi w:val="0"/>
        <w:spacing w:before="120" w:line="276" w:lineRule="auto"/>
        <w:ind w:left="1417" w:hanging="567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 xml:space="preserve">(9) </w:t>
        <w:tab/>
        <w:t>Každá povinná osoba podľa § 2 ods. 1 až 3 je každoročne povinná zverejniť na svojom webovom sídle, ak ho má zriadené, vyhlásenie o poukázaní podielu zaplatenej dane za zdaňovacie obdobie, za ktoré sa daň platí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6g)</w:t>
      </w:r>
      <w:r w:rsidR="000638BA">
        <w:rPr>
          <w:rFonts w:ascii="Book Antiqua" w:hAnsi="Book Antiqua"/>
          <w:bCs/>
          <w:sz w:val="22"/>
          <w:szCs w:val="22"/>
        </w:rPr>
        <w:t>, a to v rozsahu podľa osobitného predpisu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>6h)</w:t>
      </w:r>
      <w:r w:rsidR="000638BA">
        <w:rPr>
          <w:rFonts w:ascii="Book Antiqua" w:hAnsi="Book Antiqua"/>
          <w:bCs/>
          <w:sz w:val="22"/>
          <w:szCs w:val="22"/>
        </w:rPr>
        <w:t xml:space="preserve">. </w:t>
      </w:r>
    </w:p>
    <w:p w:rsidR="0009102C">
      <w:pPr>
        <w:bidi w:val="0"/>
        <w:spacing w:before="120" w:line="276" w:lineRule="auto"/>
        <w:ind w:left="1417" w:hanging="567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 xml:space="preserve">(10) </w:t>
        <w:tab/>
        <w:t>Ak povinná osoba podľa § 2 ods. 1 až 3 neposkytuje podporu, oznámi túto skutočnosť na svojom webovom sídle, ak ho má zriadené.“.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Doterajší odsek 8 sa označuje ako odsek 11.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Poznámky pod čiarou k odkazom 6b až 6h znejú: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>„</w:t>
      </w:r>
      <w:r w:rsidR="000638BA">
        <w:rPr>
          <w:rStyle w:val="FootnoteReference"/>
          <w:rFonts w:ascii="Book Antiqua" w:hAnsi="Book Antiqua"/>
          <w:bCs/>
          <w:sz w:val="22"/>
          <w:szCs w:val="22"/>
        </w:rPr>
        <w:t xml:space="preserve">6b) </w:t>
      </w:r>
      <w:r w:rsidR="000638BA">
        <w:rPr>
          <w:rFonts w:ascii="Book Antiqua" w:hAnsi="Book Antiqua"/>
          <w:bCs/>
          <w:sz w:val="22"/>
          <w:szCs w:val="22"/>
        </w:rPr>
        <w:t>Napríklad zákon č. 524/2010 Z. z. o poskytovaní dotácií v pôsobnosti Úradu vlády Slovenskej republiky v znení neskorších predpisov.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Style w:val="FootnoteReference"/>
          <w:rFonts w:ascii="Book Antiqua" w:hAnsi="Book Antiqua"/>
          <w:bCs/>
          <w:sz w:val="22"/>
          <w:szCs w:val="22"/>
        </w:rPr>
        <w:t xml:space="preserve">6c) </w:t>
      </w:r>
      <w:r w:rsidR="000638BA">
        <w:rPr>
          <w:rFonts w:ascii="Book Antiqua" w:hAnsi="Book Antiqua"/>
          <w:bCs/>
          <w:sz w:val="22"/>
          <w:szCs w:val="22"/>
        </w:rPr>
        <w:t>§ 50 ods. 1 zákona č. 440/2015 Z. z. o športe a o zmene a doplnení niektorých zákonov.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Style w:val="FootnoteReference"/>
          <w:rFonts w:ascii="Book Antiqua" w:hAnsi="Book Antiqua"/>
          <w:bCs/>
          <w:sz w:val="22"/>
          <w:szCs w:val="22"/>
        </w:rPr>
        <w:t xml:space="preserve">6d) </w:t>
      </w:r>
      <w:r w:rsidR="000638BA">
        <w:rPr>
          <w:rFonts w:ascii="Book Antiqua" w:hAnsi="Book Antiqua"/>
          <w:bCs/>
          <w:sz w:val="22"/>
          <w:szCs w:val="22"/>
        </w:rPr>
        <w:t xml:space="preserve">Napríklad § 8a zákona č. 523/2004 Z. z. v znení neskorších predpisov alebo § 7 ods. 2 a § 8 ods. 2 zákona č. 583/2004 Z. z. 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Style w:val="FootnoteReference"/>
          <w:rFonts w:ascii="Book Antiqua" w:hAnsi="Book Antiqua"/>
          <w:bCs/>
          <w:sz w:val="22"/>
          <w:szCs w:val="22"/>
        </w:rPr>
        <w:t xml:space="preserve">6e) </w:t>
      </w:r>
      <w:r w:rsidR="000638BA">
        <w:rPr>
          <w:rFonts w:ascii="Book Antiqua" w:hAnsi="Book Antiqua"/>
          <w:bCs/>
          <w:sz w:val="22"/>
          <w:szCs w:val="22"/>
        </w:rPr>
        <w:t>Napríklad § 8 ods. 4 zákona č. 523/2004 Z. z. v znení zákona č. 611/2005 Z. z. alebo opatrenie z 8. decembra 2004 č. MF/010175/2004-42, ktorým sa ustanovuje druhová klasifikácia, organizačná klasifikácia a ekonomická klasifikácia rozpočtovej klasifikácie (oznámenie č. 690/2004 Z. z.) v znení neskorších predpisov.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Style w:val="FootnoteReference"/>
          <w:rFonts w:ascii="Book Antiqua" w:hAnsi="Book Antiqua"/>
          <w:bCs/>
          <w:sz w:val="22"/>
          <w:szCs w:val="22"/>
        </w:rPr>
        <w:t xml:space="preserve">6f) </w:t>
      </w:r>
      <w:r w:rsidR="000638BA">
        <w:rPr>
          <w:rFonts w:ascii="Book Antiqua" w:hAnsi="Book Antiqua"/>
          <w:bCs/>
          <w:sz w:val="22"/>
          <w:szCs w:val="22"/>
        </w:rPr>
        <w:t>Napríklad § 20 ods. 2 zákona č. 523/2004 Z. z. v znení neskorších predpisov.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Style w:val="FootnoteReference"/>
          <w:rFonts w:ascii="Book Antiqua" w:hAnsi="Book Antiqua"/>
          <w:bCs/>
          <w:sz w:val="22"/>
          <w:szCs w:val="22"/>
        </w:rPr>
        <w:t>6g)</w:t>
      </w:r>
      <w:r w:rsidR="000638BA">
        <w:rPr>
          <w:rFonts w:ascii="Book Antiqua" w:hAnsi="Book Antiqua"/>
          <w:bCs/>
          <w:sz w:val="22"/>
          <w:szCs w:val="22"/>
        </w:rPr>
        <w:t xml:space="preserve"> § 50 ods. 3 zákona č. 595/2003 Z. z. o dani z príjmov v znení zákona č. 378/2015 Z. z.</w:t>
      </w:r>
    </w:p>
    <w:p w:rsidR="0009102C">
      <w:pPr>
        <w:bidi w:val="0"/>
        <w:spacing w:before="120" w:line="276" w:lineRule="auto"/>
        <w:ind w:left="850"/>
        <w:jc w:val="both"/>
        <w:rPr>
          <w:rFonts w:ascii="Times New Roman" w:hAnsi="Times New Roman"/>
        </w:rPr>
      </w:pPr>
      <w:r w:rsidR="000638BA">
        <w:rPr>
          <w:rStyle w:val="FootnoteReference"/>
          <w:rFonts w:ascii="Book Antiqua" w:hAnsi="Book Antiqua"/>
          <w:bCs/>
          <w:sz w:val="22"/>
          <w:szCs w:val="22"/>
        </w:rPr>
        <w:t>6h)</w:t>
      </w:r>
      <w:r w:rsidR="000638BA">
        <w:rPr>
          <w:rFonts w:ascii="Book Antiqua" w:hAnsi="Book Antiqua"/>
          <w:bCs/>
          <w:sz w:val="22"/>
          <w:szCs w:val="22"/>
        </w:rPr>
        <w:t xml:space="preserve"> § 50 ods. 3 v znení zákona č. 378/2015 Z. z. a § 52zg ods. 6 zákona č. 595/2003 Z. z.“.</w:t>
      </w:r>
    </w:p>
    <w:p w:rsidR="0009102C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 xml:space="preserve">2. </w:t>
        <w:tab/>
        <w:t>Za § 22f sa vkladá § 22g, ktorý vrátane nadpisu znie:</w:t>
      </w:r>
    </w:p>
    <w:p w:rsidR="0009102C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ab/>
        <w:t>„</w:t>
      </w:r>
      <w:r w:rsidR="000638BA">
        <w:rPr>
          <w:rFonts w:ascii="Book Antiqua" w:hAnsi="Book Antiqua"/>
          <w:b/>
          <w:bCs/>
          <w:sz w:val="22"/>
          <w:szCs w:val="22"/>
        </w:rPr>
        <w:t>§ 22g</w:t>
      </w:r>
    </w:p>
    <w:p w:rsidR="0009102C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Times New Roman" w:hAnsi="Times New Roman"/>
        </w:rPr>
      </w:pPr>
      <w:r w:rsidR="000638BA">
        <w:rPr>
          <w:rFonts w:ascii="Book Antiqua" w:hAnsi="Book Antiqua"/>
          <w:b/>
          <w:bCs/>
          <w:sz w:val="22"/>
          <w:szCs w:val="22"/>
        </w:rPr>
        <w:tab/>
        <w:t>Prechodné ustanovenie k úpravám účinným od 1. decembra 2016</w:t>
      </w:r>
    </w:p>
    <w:p w:rsidR="0009102C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Times New Roman" w:hAnsi="Times New Roman"/>
        </w:rPr>
      </w:pPr>
      <w:r w:rsidR="000638BA">
        <w:rPr>
          <w:rFonts w:ascii="Book Antiqua" w:hAnsi="Book Antiqua"/>
          <w:bCs/>
          <w:sz w:val="22"/>
          <w:szCs w:val="22"/>
        </w:rPr>
        <w:tab/>
        <w:t>Povinné zverejnenie informácií podľa § 5 ods. 8 a 10 sa vzťahujú na podporu poskytnutú po 1. januári 2017 a povinné zverejnenie informácií podľa § 5 ods. 9 sa po prvýkrát vzťahuje na zdaňovacie obdobie, ktorým je kalendárny rok 2016.“.</w:t>
      </w:r>
    </w:p>
    <w:p w:rsidR="0009102C">
      <w:pPr>
        <w:bidi w:val="0"/>
        <w:spacing w:before="120" w:line="276" w:lineRule="auto"/>
        <w:jc w:val="center"/>
        <w:rPr>
          <w:rFonts w:ascii="Times New Roman" w:hAnsi="Times New Roman"/>
        </w:rPr>
      </w:pPr>
    </w:p>
    <w:p w:rsidR="000638B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9102C">
      <w:pPr>
        <w:bidi w:val="0"/>
        <w:spacing w:before="120" w:line="276" w:lineRule="auto"/>
        <w:jc w:val="center"/>
        <w:rPr>
          <w:rFonts w:ascii="Times New Roman" w:hAnsi="Times New Roman"/>
        </w:rPr>
      </w:pPr>
      <w:bookmarkStart w:id="1" w:name="_GoBack"/>
      <w:bookmarkEnd w:id="1"/>
      <w:r w:rsidR="000638BA">
        <w:rPr>
          <w:rFonts w:ascii="Book Antiqua" w:hAnsi="Book Antiqua"/>
          <w:b/>
          <w:bCs/>
          <w:sz w:val="22"/>
          <w:szCs w:val="22"/>
        </w:rPr>
        <w:t>Čl. II</w:t>
      </w:r>
    </w:p>
    <w:p w:rsidR="0009102C">
      <w:pPr>
        <w:pStyle w:val="Telotextu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="000638BA">
        <w:rPr>
          <w:rFonts w:ascii="Book Antiqua" w:hAnsi="Book Antiqua"/>
          <w:sz w:val="22"/>
          <w:szCs w:val="22"/>
        </w:rPr>
        <w:t>Tento zák</w:t>
      </w:r>
      <w:r w:rsidR="00B837D6">
        <w:rPr>
          <w:rFonts w:ascii="Book Antiqua" w:hAnsi="Book Antiqua"/>
          <w:sz w:val="22"/>
          <w:szCs w:val="22"/>
        </w:rPr>
        <w:t>on nadobúda účinnosť 1. februára</w:t>
      </w:r>
      <w:r w:rsidR="000638BA">
        <w:rPr>
          <w:rFonts w:ascii="Book Antiqua" w:hAnsi="Book Antiqua"/>
          <w:sz w:val="22"/>
          <w:szCs w:val="22"/>
        </w:rPr>
        <w:t xml:space="preserve"> 2016.</w:t>
      </w:r>
    </w:p>
    <w:p w:rsidR="0009102C">
      <w:pPr>
        <w:bidi w:val="0"/>
        <w:spacing w:before="120" w:line="276" w:lineRule="auto"/>
        <w:jc w:val="both"/>
        <w:rPr>
          <w:rFonts w:ascii="Book Antiqua" w:hAnsi="Book Antiqua"/>
          <w:bCs/>
          <w:color w:val="0070C0"/>
          <w:sz w:val="22"/>
          <w:szCs w:val="22"/>
        </w:rPr>
      </w:pPr>
    </w:p>
    <w:p w:rsidR="0009102C">
      <w:pPr>
        <w:bidi w:val="0"/>
        <w:rPr>
          <w:rFonts w:ascii="Times New Roman" w:hAnsi="Times New Roman"/>
        </w:rPr>
      </w:pPr>
    </w:p>
    <w:p w:rsidR="0009102C">
      <w:pPr>
        <w:bidi w:val="0"/>
        <w:rPr>
          <w:rFonts w:ascii="Times New Roman" w:hAnsi="Times New Roman"/>
        </w:rPr>
      </w:pPr>
    </w:p>
    <w:sectPr w:rsidSect="00DF55EC">
      <w:pgSz w:w="11906" w:h="16838"/>
      <w:pgMar w:top="1417" w:right="1417" w:bottom="1417" w:left="1417" w:header="0" w:footer="0" w:gutter="0"/>
      <w:lnNumType w:distance="0"/>
      <w:cols w:space="708"/>
      <w:formProt w:val="0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0769"/>
    <w:multiLevelType w:val="multilevel"/>
    <w:tmpl w:val="DE889CC8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650F4C10"/>
    <w:multiLevelType w:val="multilevel"/>
    <w:tmpl w:val="73CCCD08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102C"/>
    <w:rsid w:val="000638BA"/>
    <w:rsid w:val="0009102C"/>
    <w:rsid w:val="00B837D6"/>
    <w:rsid w:val="00DF55EC"/>
    <w:rsid w:val="00F8445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ý text Char"/>
    <w:basedOn w:val="DefaultParagraphFont"/>
    <w:link w:val="Telotextu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Pr>
      <w:rFonts w:cs="Times New Roman"/>
      <w:vertAlign w:val="superscript"/>
      <w:rtl w:val="0"/>
      <w:cs w:val="0"/>
    </w:rPr>
  </w:style>
  <w:style w:type="character" w:customStyle="1" w:styleId="ListLabel1">
    <w:name w:val="ListLabel 1"/>
    <w:rsid w:val="00DF55EC"/>
  </w:style>
  <w:style w:type="character" w:customStyle="1" w:styleId="ListLabel2">
    <w:name w:val="ListLabel 2"/>
    <w:rsid w:val="00DF55EC"/>
  </w:style>
  <w:style w:type="character" w:customStyle="1" w:styleId="ListLabel3">
    <w:name w:val="ListLabel 3"/>
    <w:rsid w:val="00DF55EC"/>
    <w:rPr>
      <w:color w:val="00000A"/>
    </w:rPr>
  </w:style>
  <w:style w:type="paragraph" w:customStyle="1" w:styleId="Nadpis">
    <w:name w:val="Nadpis"/>
    <w:basedOn w:val="Normal"/>
    <w:next w:val="Telotextu"/>
    <w:rsid w:val="00DF55EC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al"/>
    <w:link w:val="ZkladntextChar"/>
    <w:uiPriority w:val="99"/>
    <w:semiHidden/>
    <w:pPr>
      <w:spacing w:after="140"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rsid w:val="00DF55EC"/>
    <w:pPr>
      <w:jc w:val="both"/>
    </w:pPr>
    <w:rPr>
      <w:rFonts w:cs="Mangal"/>
    </w:rPr>
  </w:style>
  <w:style w:type="paragraph" w:styleId="Caption">
    <w:name w:val="caption"/>
    <w:basedOn w:val="Normal"/>
    <w:uiPriority w:val="35"/>
    <w:rsid w:val="00DF55EC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DF55EC"/>
    <w:pPr>
      <w:suppressLineNumbers/>
      <w:jc w:val="left"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pPr>
      <w:jc w:val="left"/>
    </w:pPr>
    <w:rPr>
      <w:sz w:val="20"/>
      <w:szCs w:val="20"/>
    </w:rPr>
  </w:style>
  <w:style w:type="character" w:customStyle="1" w:styleId="TextpoznmkypodiarouChar1">
    <w:name w:val="Text poznámky pod čiarou Char1"/>
    <w:basedOn w:val="DefaultParagraphFont"/>
    <w:link w:val="FootnoteText"/>
    <w:uiPriority w:val="99"/>
    <w:semiHidden/>
    <w:locked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121E-6532-4FBB-8301-482CFDE7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652</Words>
  <Characters>3202</Characters>
  <Application>Microsoft Office Word</Application>
  <DocSecurity>0</DocSecurity>
  <Lines>0</Lines>
  <Paragraphs>0</Paragraphs>
  <ScaleCrop>false</ScaleCrop>
  <Company>Kancelaria NR SR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galinata</cp:lastModifiedBy>
  <cp:revision>3</cp:revision>
  <dcterms:created xsi:type="dcterms:W3CDTF">2016-08-19T08:31:00Z</dcterms:created>
  <dcterms:modified xsi:type="dcterms:W3CDTF">2016-09-08T15:53:00Z</dcterms:modified>
</cp:coreProperties>
</file>