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96119B" w:rsidRPr="00834987" w:rsidP="0096119B">
      <w:pPr>
        <w:keepNext/>
        <w:bidi w:val="0"/>
        <w:spacing w:after="60" w:line="240" w:lineRule="auto"/>
        <w:jc w:val="center"/>
        <w:outlineLvl w:val="3"/>
        <w:rPr>
          <w:rFonts w:ascii="Times New Roman" w:hAnsi="Times New Roman" w:cs="Times New Roman"/>
          <w:b/>
          <w:bCs/>
          <w:sz w:val="24"/>
          <w:szCs w:val="24"/>
          <w:lang w:eastAsia="sk-SK"/>
        </w:rPr>
      </w:pPr>
      <w:r w:rsidRPr="00834987">
        <w:rPr>
          <w:rFonts w:ascii="Times New Roman" w:hAnsi="Times New Roman" w:cs="Times New Roman"/>
          <w:b/>
          <w:sz w:val="24"/>
          <w:szCs w:val="24"/>
          <w:lang w:eastAsia="sk-SK"/>
        </w:rPr>
        <w:t>DOLOŽKA  ZLUČITEĽNOSTI</w:t>
      </w:r>
    </w:p>
    <w:p w:rsidR="0096119B" w:rsidRPr="00834987" w:rsidP="0096119B">
      <w:pPr>
        <w:bidi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sk-SK"/>
        </w:rPr>
      </w:pPr>
      <w:r w:rsidRPr="00834987">
        <w:rPr>
          <w:rFonts w:ascii="Times New Roman" w:hAnsi="Times New Roman" w:cs="Times New Roman"/>
          <w:b/>
          <w:sz w:val="24"/>
          <w:szCs w:val="24"/>
          <w:lang w:eastAsia="sk-SK"/>
        </w:rPr>
        <w:t>právneho predpisu s právom Európskej únie</w:t>
      </w:r>
    </w:p>
    <w:p w:rsidR="0096119B" w:rsidRPr="00834987" w:rsidP="0096119B">
      <w:pPr>
        <w:bidi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sk-SK"/>
        </w:rPr>
      </w:pPr>
    </w:p>
    <w:p w:rsidR="0096119B" w:rsidRPr="00834987" w:rsidP="0096119B">
      <w:pPr>
        <w:numPr>
          <w:numId w:val="1"/>
        </w:numPr>
        <w:bidi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eastAsia="sk-SK"/>
        </w:rPr>
      </w:pPr>
      <w:r w:rsidRPr="00834987">
        <w:rPr>
          <w:rFonts w:ascii="Times New Roman" w:hAnsi="Times New Roman" w:cs="Times New Roman"/>
          <w:b/>
          <w:sz w:val="24"/>
          <w:szCs w:val="24"/>
          <w:lang w:eastAsia="sk-SK"/>
        </w:rPr>
        <w:t>Prekladateľ právneho predpisu:</w:t>
      </w:r>
      <w:r w:rsidRPr="00834987">
        <w:rPr>
          <w:rFonts w:ascii="Times New Roman" w:hAnsi="Times New Roman" w:cs="Times New Roman"/>
          <w:sz w:val="24"/>
          <w:szCs w:val="24"/>
          <w:lang w:eastAsia="sk-SK"/>
        </w:rPr>
        <w:t xml:space="preserve"> vláda Slovenskej republiky</w:t>
      </w:r>
    </w:p>
    <w:p w:rsidR="0096119B" w:rsidRPr="00834987" w:rsidP="00C14C1C">
      <w:pPr>
        <w:widowControl w:val="0"/>
        <w:numPr>
          <w:numId w:val="1"/>
        </w:numPr>
        <w:bidi w:val="0"/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sk-SK"/>
        </w:rPr>
      </w:pPr>
      <w:r w:rsidRPr="00834987">
        <w:rPr>
          <w:rFonts w:ascii="Times New Roman" w:hAnsi="Times New Roman" w:cs="Times New Roman"/>
          <w:b/>
          <w:sz w:val="24"/>
          <w:szCs w:val="24"/>
          <w:lang w:eastAsia="sk-SK"/>
        </w:rPr>
        <w:t>Názov návrhu právneho predpisu:</w:t>
      </w:r>
      <w:r w:rsidRPr="00834987">
        <w:rPr>
          <w:rFonts w:ascii="Times New Roman" w:hAnsi="Times New Roman" w:cs="Times New Roman"/>
          <w:sz w:val="24"/>
          <w:szCs w:val="24"/>
          <w:lang w:eastAsia="sk-SK"/>
        </w:rPr>
        <w:t xml:space="preserve"> Návrh zákona o podpore malého a stredného podnikania a</w:t>
      </w:r>
      <w:r>
        <w:rPr>
          <w:rFonts w:ascii="Times New Roman" w:hAnsi="Times New Roman" w:cs="Times New Roman"/>
          <w:sz w:val="24"/>
          <w:szCs w:val="24"/>
          <w:lang w:eastAsia="sk-SK"/>
        </w:rPr>
        <w:t xml:space="preserve"> o zmene a doplnení </w:t>
      </w:r>
      <w:r w:rsidRPr="00C14C1C" w:rsidR="00C14C1C">
        <w:rPr>
          <w:rFonts w:ascii="Times New Roman" w:hAnsi="Times New Roman" w:cs="Times New Roman"/>
          <w:sz w:val="24"/>
          <w:szCs w:val="24"/>
          <w:lang w:eastAsia="sk-SK"/>
        </w:rPr>
        <w:t xml:space="preserve">zákona č. 71/2013 Z. z. o poskytovaní dotácií </w:t>
      </w:r>
      <w:r w:rsidR="00C14C1C">
        <w:rPr>
          <w:rFonts w:ascii="Times New Roman" w:hAnsi="Times New Roman" w:cs="Times New Roman"/>
          <w:sz w:val="24"/>
          <w:szCs w:val="24"/>
          <w:lang w:eastAsia="sk-SK"/>
        </w:rPr>
        <w:t xml:space="preserve">                                </w:t>
      </w:r>
      <w:r w:rsidRPr="00C14C1C" w:rsidR="00C14C1C">
        <w:rPr>
          <w:rFonts w:ascii="Times New Roman" w:hAnsi="Times New Roman" w:cs="Times New Roman"/>
          <w:sz w:val="24"/>
          <w:szCs w:val="24"/>
          <w:lang w:eastAsia="sk-SK"/>
        </w:rPr>
        <w:t>v pôsobnosti Ministerstva hospodárstva Slovenskej republiky v znení neskorších predpisov</w:t>
      </w:r>
    </w:p>
    <w:p w:rsidR="0096119B" w:rsidRPr="00834987" w:rsidP="0096119B">
      <w:pPr>
        <w:widowControl w:val="0"/>
        <w:numPr>
          <w:numId w:val="1"/>
        </w:numPr>
        <w:bidi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sk-SK"/>
        </w:rPr>
      </w:pPr>
      <w:r w:rsidRPr="00834987">
        <w:rPr>
          <w:rFonts w:ascii="Times New Roman" w:hAnsi="Times New Roman" w:cs="Times New Roman"/>
          <w:b/>
          <w:sz w:val="24"/>
          <w:szCs w:val="24"/>
          <w:lang w:eastAsia="sk-SK"/>
        </w:rPr>
        <w:t>Problematika návrhu právneho predpisu:</w:t>
      </w:r>
    </w:p>
    <w:p w:rsidR="0096119B" w:rsidRPr="00834987" w:rsidP="0096119B">
      <w:pPr>
        <w:numPr>
          <w:ilvl w:val="1"/>
          <w:numId w:val="2"/>
        </w:numPr>
        <w:bidi w:val="0"/>
        <w:spacing w:after="0" w:line="240" w:lineRule="auto"/>
        <w:ind w:left="538"/>
        <w:jc w:val="both"/>
        <w:rPr>
          <w:rFonts w:ascii="Times New Roman" w:hAnsi="Times New Roman" w:cs="Times New Roman"/>
          <w:bCs/>
          <w:sz w:val="24"/>
          <w:szCs w:val="24"/>
          <w:lang w:eastAsia="cs-CZ"/>
        </w:rPr>
      </w:pPr>
      <w:r w:rsidRPr="00834987">
        <w:rPr>
          <w:rFonts w:ascii="Times New Roman" w:hAnsi="Times New Roman" w:cs="Times New Roman"/>
          <w:sz w:val="24"/>
          <w:szCs w:val="24"/>
          <w:lang w:eastAsia="cs-CZ"/>
        </w:rPr>
        <w:t>je upravená v práve Európskej únie</w:t>
      </w:r>
    </w:p>
    <w:p w:rsidR="0096119B" w:rsidRPr="00834987" w:rsidP="0096119B">
      <w:pPr>
        <w:bidi w:val="0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834987">
        <w:rPr>
          <w:rFonts w:ascii="Times New Roman" w:hAnsi="Times New Roman" w:cs="Times New Roman"/>
          <w:sz w:val="24"/>
          <w:szCs w:val="24"/>
          <w:lang w:eastAsia="cs-CZ"/>
        </w:rPr>
        <w:t xml:space="preserve"> - články 107 a 108 Zmluvy o fungovaní Európskej únie</w:t>
      </w:r>
    </w:p>
    <w:p w:rsidR="0096119B" w:rsidRPr="00834987" w:rsidP="0096119B">
      <w:pPr>
        <w:bidi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eastAsia="cs-CZ"/>
        </w:rPr>
      </w:pPr>
    </w:p>
    <w:p w:rsidR="0096119B" w:rsidRPr="00834987" w:rsidP="0096119B">
      <w:pPr>
        <w:tabs>
          <w:tab w:val="left" w:pos="709"/>
        </w:tabs>
        <w:bidi w:val="0"/>
        <w:spacing w:after="120" w:line="240" w:lineRule="auto"/>
        <w:ind w:left="708" w:hanging="282"/>
        <w:jc w:val="both"/>
        <w:rPr>
          <w:rFonts w:ascii="Times New Roman" w:hAnsi="Times New Roman" w:cs="Times New Roman"/>
          <w:i/>
          <w:iCs/>
          <w:sz w:val="24"/>
          <w:szCs w:val="24"/>
          <w:lang w:eastAsia="sk-SK"/>
        </w:rPr>
      </w:pPr>
      <w:r w:rsidRPr="00834987">
        <w:rPr>
          <w:rFonts w:ascii="Times New Roman" w:hAnsi="Times New Roman" w:cs="Times New Roman"/>
          <w:i/>
          <w:iCs/>
          <w:sz w:val="24"/>
          <w:szCs w:val="24"/>
          <w:lang w:eastAsia="sk-SK"/>
        </w:rPr>
        <w:t>-</w:t>
        <w:tab/>
        <w:t>sekundárnom (prijatom po nadobudnutí platnosti Lisabonskej zmluvy, ktorou sa mení a dopĺňa Zmluva o Európskej únii a Zmluva o založení Európskeho spoločenstva – po 30. novembri 2009)</w:t>
      </w:r>
    </w:p>
    <w:p w:rsidR="0096119B" w:rsidRPr="00834987" w:rsidP="0096119B">
      <w:pPr>
        <w:widowControl w:val="0"/>
        <w:numPr>
          <w:numId w:val="6"/>
        </w:numPr>
        <w:tabs>
          <w:tab w:val="left" w:pos="1440"/>
        </w:tabs>
        <w:bidi w:val="0"/>
        <w:adjustRightInd w:val="0"/>
        <w:spacing w:after="0" w:line="240" w:lineRule="auto"/>
        <w:ind w:left="1434" w:hanging="357"/>
        <w:rPr>
          <w:rFonts w:ascii="Times New Roman" w:hAnsi="Times New Roman" w:cs="Times New Roman"/>
          <w:i/>
          <w:sz w:val="24"/>
          <w:szCs w:val="24"/>
          <w:lang w:eastAsia="sk-SK"/>
        </w:rPr>
      </w:pPr>
      <w:r w:rsidRPr="00834987">
        <w:rPr>
          <w:rFonts w:ascii="Times New Roman" w:hAnsi="Times New Roman" w:cs="Times New Roman"/>
          <w:sz w:val="24"/>
          <w:szCs w:val="24"/>
          <w:lang w:eastAsia="sk-SK"/>
        </w:rPr>
        <w:t xml:space="preserve">legislatívne akty </w:t>
      </w:r>
    </w:p>
    <w:p w:rsidR="0096119B" w:rsidRPr="00834987" w:rsidP="0096119B">
      <w:pPr>
        <w:widowControl w:val="0"/>
        <w:numPr>
          <w:numId w:val="7"/>
        </w:numPr>
        <w:tabs>
          <w:tab w:val="left" w:pos="1134"/>
        </w:tabs>
        <w:bidi w:val="0"/>
        <w:adjustRightInd w:val="0"/>
        <w:spacing w:after="240" w:line="240" w:lineRule="auto"/>
        <w:ind w:left="1134" w:hanging="425"/>
        <w:jc w:val="both"/>
        <w:rPr>
          <w:rFonts w:ascii="Times New Roman" w:hAnsi="Times New Roman" w:cs="Times New Roman"/>
          <w:i/>
          <w:sz w:val="24"/>
          <w:szCs w:val="24"/>
          <w:lang w:eastAsia="sk-SK"/>
        </w:rPr>
      </w:pPr>
      <w:r w:rsidR="005A7C7A">
        <w:rPr>
          <w:rFonts w:ascii="Times New Roman" w:hAnsi="Times New Roman" w:cs="Times New Roman"/>
          <w:sz w:val="24"/>
          <w:szCs w:val="24"/>
          <w:lang w:eastAsia="sk-SK"/>
        </w:rPr>
        <w:t>N</w:t>
      </w:r>
      <w:r w:rsidRPr="00834987">
        <w:rPr>
          <w:rFonts w:ascii="Times New Roman" w:hAnsi="Times New Roman" w:cs="Times New Roman"/>
          <w:sz w:val="24"/>
          <w:szCs w:val="24"/>
          <w:lang w:eastAsia="sk-SK"/>
        </w:rPr>
        <w:t>ariadenie Európskeho parlamentu a Rady EÚ č. 1</w:t>
      </w:r>
      <w:r w:rsidR="00433DF0">
        <w:rPr>
          <w:rFonts w:ascii="Times New Roman" w:hAnsi="Times New Roman" w:cs="Times New Roman"/>
          <w:sz w:val="24"/>
          <w:szCs w:val="24"/>
          <w:lang w:eastAsia="sk-SK"/>
        </w:rPr>
        <w:t xml:space="preserve">303/2013 zo 17. decembra 2013, </w:t>
      </w:r>
      <w:r w:rsidRPr="00834987">
        <w:rPr>
          <w:rFonts w:ascii="Times New Roman" w:hAnsi="Times New Roman" w:cs="Times New Roman"/>
          <w:sz w:val="24"/>
          <w:szCs w:val="24"/>
          <w:lang w:eastAsia="sk-SK"/>
        </w:rPr>
        <w:t xml:space="preserve">ktorým sa stanovujú spoločné ustanovenia o Európskom fonde regionálneho rozvoja, Európskom sociálnom fonde, Kohéznom fonde, Európskom poľnohospodárskom fonde pre rozvoj vidieka a Európskom námornom </w:t>
      </w:r>
      <w:r>
        <w:rPr>
          <w:rFonts w:ascii="Times New Roman" w:hAnsi="Times New Roman" w:cs="Times New Roman"/>
          <w:sz w:val="24"/>
          <w:szCs w:val="24"/>
          <w:lang w:eastAsia="sk-SK"/>
        </w:rPr>
        <w:t xml:space="preserve">                              </w:t>
      </w:r>
      <w:r w:rsidRPr="00834987">
        <w:rPr>
          <w:rFonts w:ascii="Times New Roman" w:hAnsi="Times New Roman" w:cs="Times New Roman"/>
          <w:sz w:val="24"/>
          <w:szCs w:val="24"/>
          <w:lang w:eastAsia="sk-SK"/>
        </w:rPr>
        <w:t xml:space="preserve">a rybárskom fonde a ktorým sa stanovujú všeobecné ustanovenia o Európskom fonde regionálneho rozvoja, Európskom sociálnom fonde, Kohéznom fonde </w:t>
      </w:r>
      <w:r>
        <w:rPr>
          <w:rFonts w:ascii="Times New Roman" w:hAnsi="Times New Roman" w:cs="Times New Roman"/>
          <w:sz w:val="24"/>
          <w:szCs w:val="24"/>
          <w:lang w:eastAsia="sk-SK"/>
        </w:rPr>
        <w:t xml:space="preserve">                                    </w:t>
      </w:r>
      <w:r w:rsidRPr="00834987">
        <w:rPr>
          <w:rFonts w:ascii="Times New Roman" w:hAnsi="Times New Roman" w:cs="Times New Roman"/>
          <w:sz w:val="24"/>
          <w:szCs w:val="24"/>
          <w:lang w:eastAsia="sk-SK"/>
        </w:rPr>
        <w:t xml:space="preserve">a Európskom námornom a rybárskom fonde, a ktorým sa zrušuje nariadenie Rady (ES) </w:t>
      </w:r>
      <w:r>
        <w:rPr>
          <w:rFonts w:ascii="Times New Roman" w:hAnsi="Times New Roman" w:cs="Times New Roman"/>
          <w:sz w:val="24"/>
          <w:szCs w:val="24"/>
          <w:lang w:eastAsia="sk-SK"/>
        </w:rPr>
        <w:t>č. 1083/2006 (Ú. v. EÚ L 347</w:t>
      </w:r>
      <w:r w:rsidRPr="00834987">
        <w:rPr>
          <w:rFonts w:ascii="Times New Roman" w:hAnsi="Times New Roman" w:cs="Times New Roman"/>
          <w:sz w:val="24"/>
          <w:szCs w:val="24"/>
          <w:lang w:eastAsia="sk-SK"/>
        </w:rPr>
        <w:t>, 20. 12. 2013)</w:t>
      </w:r>
      <w:r w:rsidR="006B3633">
        <w:rPr>
          <w:rFonts w:ascii="Times New Roman" w:hAnsi="Times New Roman" w:cs="Times New Roman"/>
          <w:sz w:val="24"/>
          <w:szCs w:val="24"/>
          <w:lang w:eastAsia="sk-SK"/>
        </w:rPr>
        <w:t xml:space="preserve"> v platnom znení</w:t>
      </w:r>
      <w:r w:rsidRPr="00834987">
        <w:rPr>
          <w:rFonts w:ascii="Times New Roman" w:hAnsi="Times New Roman" w:cs="Times New Roman"/>
          <w:sz w:val="24"/>
          <w:szCs w:val="24"/>
          <w:lang w:eastAsia="sk-SK"/>
        </w:rPr>
        <w:t>.</w:t>
      </w:r>
    </w:p>
    <w:p w:rsidR="0096119B" w:rsidRPr="00172B99" w:rsidP="0096119B">
      <w:pPr>
        <w:widowControl w:val="0"/>
        <w:numPr>
          <w:numId w:val="6"/>
        </w:numPr>
        <w:tabs>
          <w:tab w:val="left" w:pos="1440"/>
        </w:tabs>
        <w:bidi w:val="0"/>
        <w:adjustRightInd w:val="0"/>
        <w:spacing w:after="0" w:line="240" w:lineRule="auto"/>
        <w:ind w:left="1440"/>
        <w:rPr>
          <w:rFonts w:ascii="Times New Roman" w:hAnsi="Times New Roman" w:cs="Times New Roman"/>
          <w:i/>
          <w:sz w:val="24"/>
          <w:szCs w:val="24"/>
          <w:lang w:eastAsia="sk-SK"/>
        </w:rPr>
      </w:pPr>
      <w:r w:rsidRPr="00834987">
        <w:rPr>
          <w:rFonts w:ascii="Times New Roman" w:hAnsi="Times New Roman" w:cs="Times New Roman"/>
          <w:sz w:val="24"/>
          <w:szCs w:val="24"/>
          <w:lang w:eastAsia="sk-SK"/>
        </w:rPr>
        <w:t>nelegislatívne akty</w:t>
      </w:r>
    </w:p>
    <w:p w:rsidR="00172B99" w:rsidRPr="00834987" w:rsidP="00C14C1C">
      <w:pPr>
        <w:widowControl w:val="0"/>
        <w:numPr>
          <w:numId w:val="7"/>
        </w:numPr>
        <w:tabs>
          <w:tab w:val="left" w:pos="1134"/>
        </w:tabs>
        <w:bidi w:val="0"/>
        <w:adjustRightInd w:val="0"/>
        <w:spacing w:after="0" w:line="240" w:lineRule="auto"/>
        <w:ind w:left="1134" w:hanging="425"/>
        <w:jc w:val="both"/>
        <w:rPr>
          <w:rFonts w:ascii="Times New Roman" w:hAnsi="Times New Roman" w:cs="Times New Roman"/>
          <w:i/>
          <w:sz w:val="24"/>
          <w:szCs w:val="24"/>
          <w:lang w:eastAsia="sk-SK"/>
        </w:rPr>
      </w:pPr>
      <w:r>
        <w:rPr>
          <w:rFonts w:ascii="Times New Roman" w:eastAsia="Calibri" w:hAnsi="Times New Roman" w:cs="Times New Roman"/>
          <w:sz w:val="24"/>
          <w:szCs w:val="24"/>
        </w:rPr>
        <w:t>N</w:t>
      </w:r>
      <w:r w:rsidRPr="00834987">
        <w:rPr>
          <w:rFonts w:ascii="Times New Roman" w:eastAsia="Calibri" w:hAnsi="Times New Roman" w:cs="Times New Roman" w:hint="default"/>
          <w:sz w:val="24"/>
          <w:szCs w:val="24"/>
        </w:rPr>
        <w:t>ariadenie Komisie (EÚ</w:t>
      </w:r>
      <w:r w:rsidRPr="00834987">
        <w:rPr>
          <w:rFonts w:ascii="Times New Roman" w:eastAsia="Calibri" w:hAnsi="Times New Roman" w:cs="Times New Roman" w:hint="default"/>
          <w:sz w:val="24"/>
          <w:szCs w:val="24"/>
        </w:rPr>
        <w:t>) č</w:t>
      </w:r>
      <w:r w:rsidRPr="00834987">
        <w:rPr>
          <w:rFonts w:ascii="Times New Roman" w:eastAsia="Calibri" w:hAnsi="Times New Roman" w:cs="Times New Roman" w:hint="default"/>
          <w:sz w:val="24"/>
          <w:szCs w:val="24"/>
        </w:rPr>
        <w:t>. 651/2014 zo </w:t>
      </w:r>
      <w:r w:rsidRPr="00834987">
        <w:rPr>
          <w:rFonts w:ascii="Times New Roman" w:eastAsia="Calibri" w:hAnsi="Times New Roman" w:cs="Times New Roman" w:hint="default"/>
          <w:sz w:val="24"/>
          <w:szCs w:val="24"/>
        </w:rPr>
        <w:t>17. jú</w:t>
      </w:r>
      <w:r w:rsidRPr="00834987">
        <w:rPr>
          <w:rFonts w:ascii="Times New Roman" w:eastAsia="Calibri" w:hAnsi="Times New Roman" w:cs="Times New Roman" w:hint="default"/>
          <w:sz w:val="24"/>
          <w:szCs w:val="24"/>
        </w:rPr>
        <w:t>na 2014 o </w:t>
      </w:r>
      <w:r w:rsidRPr="00834987">
        <w:rPr>
          <w:rFonts w:ascii="Times New Roman" w:eastAsia="Calibri" w:hAnsi="Times New Roman" w:cs="Times New Roman" w:hint="default"/>
          <w:sz w:val="24"/>
          <w:szCs w:val="24"/>
        </w:rPr>
        <w:t>vyhlá</w:t>
      </w:r>
      <w:r w:rsidRPr="00834987">
        <w:rPr>
          <w:rFonts w:ascii="Times New Roman" w:eastAsia="Calibri" w:hAnsi="Times New Roman" w:cs="Times New Roman" w:hint="default"/>
          <w:sz w:val="24"/>
          <w:szCs w:val="24"/>
        </w:rPr>
        <w:t>sení</w:t>
      </w:r>
      <w:r w:rsidRPr="00834987">
        <w:rPr>
          <w:rFonts w:ascii="Times New Roman" w:eastAsia="Calibri" w:hAnsi="Times New Roman" w:cs="Times New Roman" w:hint="default"/>
          <w:sz w:val="24"/>
          <w:szCs w:val="24"/>
        </w:rPr>
        <w:t xml:space="preserve"> urč</w:t>
      </w:r>
      <w:r w:rsidRPr="00834987">
        <w:rPr>
          <w:rFonts w:ascii="Times New Roman" w:eastAsia="Calibri" w:hAnsi="Times New Roman" w:cs="Times New Roman" w:hint="default"/>
          <w:sz w:val="24"/>
          <w:szCs w:val="24"/>
        </w:rPr>
        <w:t>itý</w:t>
      </w:r>
      <w:r w:rsidRPr="00834987">
        <w:rPr>
          <w:rFonts w:ascii="Times New Roman" w:eastAsia="Calibri" w:hAnsi="Times New Roman" w:cs="Times New Roman" w:hint="default"/>
          <w:sz w:val="24"/>
          <w:szCs w:val="24"/>
        </w:rPr>
        <w:t>ch kategó</w:t>
      </w:r>
      <w:r w:rsidRPr="00834987">
        <w:rPr>
          <w:rFonts w:ascii="Times New Roman" w:eastAsia="Calibri" w:hAnsi="Times New Roman" w:cs="Times New Roman" w:hint="default"/>
          <w:sz w:val="24"/>
          <w:szCs w:val="24"/>
        </w:rPr>
        <w:t>rií</w:t>
      </w:r>
      <w:r w:rsidRPr="00834987">
        <w:rPr>
          <w:rFonts w:ascii="Times New Roman" w:eastAsia="Calibri" w:hAnsi="Times New Roman" w:cs="Times New Roman" w:hint="default"/>
          <w:sz w:val="24"/>
          <w:szCs w:val="24"/>
        </w:rPr>
        <w:t xml:space="preserve"> pomoci za </w:t>
      </w:r>
      <w:r w:rsidRPr="00834987">
        <w:rPr>
          <w:rFonts w:ascii="Times New Roman" w:eastAsia="Calibri" w:hAnsi="Times New Roman" w:cs="Times New Roman" w:hint="default"/>
          <w:sz w:val="24"/>
          <w:szCs w:val="24"/>
        </w:rPr>
        <w:t>zluč</w:t>
      </w:r>
      <w:r w:rsidRPr="00834987">
        <w:rPr>
          <w:rFonts w:ascii="Times New Roman" w:eastAsia="Calibri" w:hAnsi="Times New Roman" w:cs="Times New Roman" w:hint="default"/>
          <w:sz w:val="24"/>
          <w:szCs w:val="24"/>
        </w:rPr>
        <w:t>iteľ</w:t>
      </w:r>
      <w:r w:rsidRPr="00834987">
        <w:rPr>
          <w:rFonts w:ascii="Times New Roman" w:eastAsia="Calibri" w:hAnsi="Times New Roman" w:cs="Times New Roman" w:hint="default"/>
          <w:sz w:val="24"/>
          <w:szCs w:val="24"/>
        </w:rPr>
        <w:t>né</w:t>
      </w:r>
      <w:r w:rsidRPr="00834987">
        <w:rPr>
          <w:rFonts w:ascii="Times New Roman" w:eastAsia="Calibri" w:hAnsi="Times New Roman" w:cs="Times New Roman" w:hint="default"/>
          <w:sz w:val="24"/>
          <w:szCs w:val="24"/>
        </w:rPr>
        <w:t xml:space="preserve"> s </w:t>
      </w:r>
      <w:r w:rsidRPr="00834987">
        <w:rPr>
          <w:rFonts w:ascii="Times New Roman" w:eastAsia="Calibri" w:hAnsi="Times New Roman" w:cs="Times New Roman" w:hint="default"/>
          <w:sz w:val="24"/>
          <w:szCs w:val="24"/>
        </w:rPr>
        <w:t>vnú</w:t>
      </w:r>
      <w:r w:rsidRPr="00834987">
        <w:rPr>
          <w:rFonts w:ascii="Times New Roman" w:eastAsia="Calibri" w:hAnsi="Times New Roman" w:cs="Times New Roman" w:hint="default"/>
          <w:sz w:val="24"/>
          <w:szCs w:val="24"/>
        </w:rPr>
        <w:t>torný</w:t>
      </w:r>
      <w:r w:rsidRPr="00834987">
        <w:rPr>
          <w:rFonts w:ascii="Times New Roman" w:eastAsia="Calibri" w:hAnsi="Times New Roman" w:cs="Times New Roman" w:hint="default"/>
          <w:sz w:val="24"/>
          <w:szCs w:val="24"/>
        </w:rPr>
        <w:t>m trhom podľ</w:t>
      </w:r>
      <w:r w:rsidRPr="00834987">
        <w:rPr>
          <w:rFonts w:ascii="Times New Roman" w:eastAsia="Calibri" w:hAnsi="Times New Roman" w:cs="Times New Roman" w:hint="default"/>
          <w:sz w:val="24"/>
          <w:szCs w:val="24"/>
        </w:rPr>
        <w:t>a č</w:t>
      </w:r>
      <w:r w:rsidRPr="00834987">
        <w:rPr>
          <w:rFonts w:ascii="Times New Roman" w:eastAsia="Calibri" w:hAnsi="Times New Roman" w:cs="Times New Roman" w:hint="default"/>
          <w:sz w:val="24"/>
          <w:szCs w:val="24"/>
        </w:rPr>
        <w:t>lá</w:t>
      </w:r>
      <w:r w:rsidRPr="00834987">
        <w:rPr>
          <w:rFonts w:ascii="Times New Roman" w:eastAsia="Calibri" w:hAnsi="Times New Roman" w:cs="Times New Roman" w:hint="default"/>
          <w:sz w:val="24"/>
          <w:szCs w:val="24"/>
        </w:rPr>
        <w:t>nkov 107 a </w:t>
      </w:r>
      <w:r w:rsidRPr="00834987">
        <w:rPr>
          <w:rFonts w:ascii="Times New Roman" w:eastAsia="Calibri" w:hAnsi="Times New Roman" w:cs="Times New Roman" w:hint="default"/>
          <w:sz w:val="24"/>
          <w:szCs w:val="24"/>
        </w:rPr>
        <w:t>108 zmluvy (Ú</w:t>
      </w:r>
      <w:r w:rsidRPr="00834987">
        <w:rPr>
          <w:rFonts w:ascii="Times New Roman" w:eastAsia="Calibri" w:hAnsi="Times New Roman" w:cs="Times New Roman" w:hint="default"/>
          <w:sz w:val="24"/>
          <w:szCs w:val="24"/>
        </w:rPr>
        <w:t>. v. EÚ</w:t>
      </w:r>
      <w:r w:rsidRPr="00834987">
        <w:rPr>
          <w:rFonts w:ascii="Times New Roman" w:eastAsia="Calibri" w:hAnsi="Times New Roman" w:cs="Times New Roman" w:hint="default"/>
          <w:sz w:val="24"/>
          <w:szCs w:val="24"/>
        </w:rPr>
        <w:t xml:space="preserve"> L 187, 26. 6. 2014)</w:t>
      </w:r>
    </w:p>
    <w:p w:rsidR="00172B99" w:rsidRPr="00172B99" w:rsidP="00172B99">
      <w:pPr>
        <w:widowControl w:val="0"/>
        <w:numPr>
          <w:numId w:val="7"/>
        </w:numPr>
        <w:tabs>
          <w:tab w:val="left" w:pos="1134"/>
        </w:tabs>
        <w:bidi w:val="0"/>
        <w:adjustRightInd w:val="0"/>
        <w:spacing w:after="240" w:line="240" w:lineRule="auto"/>
        <w:ind w:left="1134" w:hanging="425"/>
        <w:jc w:val="both"/>
        <w:rPr>
          <w:rFonts w:ascii="Times New Roman" w:hAnsi="Times New Roman" w:cs="Times New Roman"/>
          <w:i/>
          <w:sz w:val="24"/>
          <w:szCs w:val="24"/>
          <w:lang w:eastAsia="sk-SK"/>
        </w:rPr>
      </w:pPr>
      <w:r>
        <w:rPr>
          <w:rFonts w:ascii="Times New Roman" w:hAnsi="Times New Roman" w:cs="Times New Roman"/>
          <w:sz w:val="24"/>
          <w:szCs w:val="24"/>
          <w:lang w:eastAsia="sk-SK"/>
        </w:rPr>
        <w:t xml:space="preserve">Nariadenie </w:t>
      </w:r>
      <w:r w:rsidRPr="00834987">
        <w:rPr>
          <w:rFonts w:ascii="Times New Roman" w:hAnsi="Times New Roman" w:cs="Times New Roman"/>
          <w:sz w:val="24"/>
          <w:szCs w:val="24"/>
          <w:lang w:eastAsia="sk-SK"/>
        </w:rPr>
        <w:t>Komisie (EÚ) č. 1407/2013 z 18. decembra 2013 o uplatňovaní článkov 107 a 108 Zmluvy o fungovaní EÚ na pomoc de minimis (Ú. v. EÚ L 352, 24.</w:t>
      </w:r>
      <w:r>
        <w:rPr>
          <w:rFonts w:ascii="Times New Roman" w:hAnsi="Times New Roman" w:cs="Times New Roman"/>
          <w:sz w:val="24"/>
          <w:szCs w:val="24"/>
          <w:lang w:eastAsia="sk-SK"/>
        </w:rPr>
        <w:t xml:space="preserve"> 12. 2013)</w:t>
      </w:r>
    </w:p>
    <w:p w:rsidR="0096119B" w:rsidRPr="00C14C1C" w:rsidP="00C14C1C">
      <w:pPr>
        <w:tabs>
          <w:tab w:val="left" w:pos="709"/>
        </w:tabs>
        <w:bidi w:val="0"/>
        <w:spacing w:after="0" w:line="240" w:lineRule="auto"/>
        <w:ind w:left="680" w:hanging="254"/>
        <w:jc w:val="both"/>
        <w:rPr>
          <w:rFonts w:ascii="Times New Roman" w:hAnsi="Times New Roman" w:cs="Times New Roman"/>
          <w:i/>
          <w:sz w:val="24"/>
          <w:szCs w:val="24"/>
          <w:lang w:eastAsia="sk-SK"/>
        </w:rPr>
      </w:pPr>
      <w:r w:rsidRPr="00834987">
        <w:rPr>
          <w:rFonts w:ascii="Times New Roman" w:hAnsi="Times New Roman" w:cs="Times New Roman"/>
          <w:i/>
          <w:iCs/>
          <w:sz w:val="24"/>
          <w:szCs w:val="24"/>
          <w:lang w:eastAsia="sk-SK"/>
        </w:rPr>
        <w:t>-</w:t>
        <w:tab/>
        <w:t>sekundárnom</w:t>
      </w:r>
      <w:r w:rsidRPr="00834987">
        <w:rPr>
          <w:rFonts w:ascii="Times New Roman" w:hAnsi="Times New Roman" w:cs="Times New Roman"/>
          <w:i/>
          <w:sz w:val="24"/>
          <w:szCs w:val="24"/>
          <w:lang w:eastAsia="sk-SK"/>
        </w:rPr>
        <w:t xml:space="preserve"> (prijatom pred nadobudnutím platnosti Lisabonskej zmluvy, ktorou sa mení a dopĺňa Zmluva o Európskej únii a Zmluva o založení Európskeho spoločenstva – do 30. novembra 2009)</w:t>
      </w:r>
    </w:p>
    <w:p w:rsidR="0096119B" w:rsidRPr="00834987" w:rsidP="0096119B">
      <w:pPr>
        <w:numPr>
          <w:numId w:val="3"/>
        </w:numPr>
        <w:bidi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eastAsia="cs-CZ"/>
        </w:rPr>
      </w:pPr>
      <w:r w:rsidRPr="00834987">
        <w:rPr>
          <w:rFonts w:ascii="Times New Roman" w:hAnsi="Times New Roman" w:cs="Times New Roman"/>
          <w:sz w:val="24"/>
          <w:szCs w:val="24"/>
          <w:lang w:eastAsia="cs-CZ"/>
        </w:rPr>
        <w:t>nie je obsiahnutá v judikatúre Súdneho dvora Európskej únie.</w:t>
      </w:r>
    </w:p>
    <w:p w:rsidR="0096119B" w:rsidRPr="00834987" w:rsidP="0096119B">
      <w:pPr>
        <w:bidi w:val="0"/>
        <w:spacing w:after="0" w:line="240" w:lineRule="auto"/>
        <w:ind w:left="680"/>
        <w:jc w:val="both"/>
        <w:rPr>
          <w:rFonts w:ascii="Times New Roman" w:hAnsi="Times New Roman" w:cs="Times New Roman"/>
          <w:bCs/>
          <w:sz w:val="24"/>
          <w:szCs w:val="24"/>
          <w:lang w:eastAsia="cs-CZ"/>
        </w:rPr>
      </w:pPr>
    </w:p>
    <w:p w:rsidR="0096119B" w:rsidRPr="00834987" w:rsidP="0096119B">
      <w:pPr>
        <w:tabs>
          <w:tab w:val="left" w:pos="360"/>
        </w:tabs>
        <w:bidi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eastAsia="sk-SK"/>
        </w:rPr>
      </w:pPr>
      <w:r w:rsidRPr="00834987">
        <w:rPr>
          <w:rFonts w:ascii="Times New Roman" w:hAnsi="Times New Roman" w:cs="Times New Roman"/>
          <w:b/>
          <w:sz w:val="24"/>
          <w:szCs w:val="24"/>
          <w:lang w:eastAsia="sk-SK"/>
        </w:rPr>
        <w:t>4.</w:t>
      </w:r>
      <w:r w:rsidRPr="00834987">
        <w:rPr>
          <w:rFonts w:ascii="Times New Roman" w:hAnsi="Times New Roman" w:cs="Times New Roman"/>
          <w:sz w:val="24"/>
          <w:szCs w:val="24"/>
          <w:lang w:eastAsia="sk-SK"/>
        </w:rPr>
        <w:t xml:space="preserve">    </w:t>
      </w:r>
      <w:r w:rsidRPr="00834987">
        <w:rPr>
          <w:rFonts w:ascii="Times New Roman" w:hAnsi="Times New Roman" w:cs="Times New Roman"/>
          <w:b/>
          <w:sz w:val="24"/>
          <w:szCs w:val="24"/>
          <w:lang w:eastAsia="sk-SK"/>
        </w:rPr>
        <w:t xml:space="preserve">Záväzky Slovenskej republiky vo vzťahu k  Európskej únii: </w:t>
      </w:r>
    </w:p>
    <w:p w:rsidR="0096119B" w:rsidRPr="00834987" w:rsidP="0096119B">
      <w:pPr>
        <w:numPr>
          <w:numId w:val="5"/>
        </w:numPr>
        <w:tabs>
          <w:tab w:val="num" w:pos="709"/>
        </w:tabs>
        <w:bidi w:val="0"/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 w:rsidRPr="00834987">
        <w:rPr>
          <w:rFonts w:ascii="Times New Roman" w:hAnsi="Times New Roman" w:cs="Times New Roman"/>
          <w:sz w:val="24"/>
          <w:szCs w:val="24"/>
          <w:lang w:eastAsia="sk-SK"/>
        </w:rPr>
        <w:t>lehota na prebratie smernice alebo lehota na implementáciu nariadenia alebo rozhodnutia – bezpredmetné,</w:t>
      </w:r>
    </w:p>
    <w:p w:rsidR="0096119B" w:rsidRPr="00834987" w:rsidP="0096119B">
      <w:pPr>
        <w:numPr>
          <w:numId w:val="5"/>
        </w:numPr>
        <w:tabs>
          <w:tab w:val="num" w:pos="709"/>
        </w:tabs>
        <w:bidi w:val="0"/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 w:rsidRPr="00834987">
        <w:rPr>
          <w:rFonts w:ascii="Times New Roman" w:hAnsi="Times New Roman" w:cs="Times New Roman"/>
          <w:sz w:val="24"/>
          <w:szCs w:val="24"/>
          <w:lang w:eastAsia="sk-SK"/>
        </w:rPr>
        <w:t>lehota určená na predloženie návrhu právneho predpisu na rokovanie vlády podľa určenia gestorských ústredných orgánov štátnej správy zodpovedných za transpozíciu smerníc a vypracovanie tabuliek zhody k návrhom všeobecne záväzných právnych predpisov – bezpredmetné,</w:t>
      </w:r>
    </w:p>
    <w:p w:rsidR="0096119B" w:rsidRPr="00834987" w:rsidP="0096119B">
      <w:pPr>
        <w:numPr>
          <w:numId w:val="5"/>
        </w:numPr>
        <w:tabs>
          <w:tab w:val="num" w:pos="709"/>
        </w:tabs>
        <w:bidi w:val="0"/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 w:rsidRPr="00834987">
        <w:rPr>
          <w:rFonts w:ascii="Times New Roman" w:hAnsi="Times New Roman" w:cs="Times New Roman"/>
          <w:sz w:val="24"/>
          <w:szCs w:val="24"/>
          <w:lang w:eastAsia="sk-SK"/>
        </w:rPr>
        <w:t>informácia o konaní začatom proti Slovenskej republike o porušení Zmluvy podľa čl. 258 až 260 Zmluvy o fungovaní Európskej únie – nebolo začaté žiadne konanie,</w:t>
      </w:r>
    </w:p>
    <w:p w:rsidR="0096119B" w:rsidRPr="00C14C1C" w:rsidP="0096119B">
      <w:pPr>
        <w:numPr>
          <w:numId w:val="5"/>
        </w:numPr>
        <w:tabs>
          <w:tab w:val="num" w:pos="709"/>
        </w:tabs>
        <w:bidi w:val="0"/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 w:rsidRPr="00834987">
        <w:rPr>
          <w:rFonts w:ascii="Times New Roman" w:hAnsi="Times New Roman" w:cs="Times New Roman"/>
          <w:sz w:val="24"/>
          <w:szCs w:val="24"/>
          <w:lang w:eastAsia="sk-SK"/>
        </w:rPr>
        <w:t>informácia o právnych predpisoch, v ktorých sú preberané smernice alebo rámcové rozhodnutia už prebraté spolu s uvedením rozsahu tohto prebratia.</w:t>
      </w:r>
    </w:p>
    <w:p w:rsidR="0096119B" w:rsidRPr="00834987" w:rsidP="0096119B">
      <w:pPr>
        <w:numPr>
          <w:numId w:val="4"/>
        </w:numPr>
        <w:bidi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sk-SK"/>
        </w:rPr>
      </w:pPr>
      <w:r w:rsidRPr="00834987">
        <w:rPr>
          <w:rFonts w:ascii="Times New Roman" w:hAnsi="Times New Roman" w:cs="Times New Roman"/>
          <w:b/>
          <w:sz w:val="24"/>
          <w:szCs w:val="24"/>
          <w:lang w:eastAsia="sk-SK"/>
        </w:rPr>
        <w:t>Stupeň zlučiteľnosti návrhu právneho predpisu s právnom Európskej únie:</w:t>
      </w:r>
    </w:p>
    <w:p w:rsidR="0096119B" w:rsidRPr="00834987" w:rsidP="0096119B">
      <w:pPr>
        <w:bidi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834987">
        <w:rPr>
          <w:rFonts w:ascii="Times New Roman" w:hAnsi="Times New Roman" w:cs="Times New Roman"/>
          <w:sz w:val="24"/>
          <w:szCs w:val="24"/>
          <w:lang w:eastAsia="sk-SK"/>
        </w:rPr>
        <w:t>Úplný</w:t>
      </w:r>
    </w:p>
    <w:p w:rsidR="0096119B" w:rsidRPr="00834987" w:rsidP="0096119B">
      <w:pPr>
        <w:bidi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sk-SK"/>
        </w:rPr>
      </w:pPr>
    </w:p>
    <w:p w:rsidR="0096119B" w:rsidRPr="00834987" w:rsidP="0096119B">
      <w:pPr>
        <w:numPr>
          <w:numId w:val="4"/>
        </w:numPr>
        <w:bidi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sk-SK"/>
        </w:rPr>
      </w:pPr>
      <w:r w:rsidRPr="00834987">
        <w:rPr>
          <w:rFonts w:ascii="Times New Roman" w:hAnsi="Times New Roman" w:cs="Times New Roman"/>
          <w:b/>
          <w:sz w:val="24"/>
          <w:szCs w:val="24"/>
          <w:lang w:eastAsia="sk-SK"/>
        </w:rPr>
        <w:t xml:space="preserve">Gestor a spolupracujúce rezorty:  </w:t>
      </w:r>
    </w:p>
    <w:p w:rsidR="009C43D7" w:rsidRPr="0096119B" w:rsidP="003F3ADB">
      <w:p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 w:rsidRPr="00834987" w:rsidR="0096119B">
        <w:rPr>
          <w:rFonts w:ascii="Times New Roman" w:hAnsi="Times New Roman" w:cs="Times New Roman"/>
          <w:sz w:val="24"/>
          <w:szCs w:val="24"/>
          <w:lang w:eastAsia="sk-SK"/>
        </w:rPr>
        <w:t>Ministerstvo hospodárstva SR</w:t>
      </w:r>
    </w:p>
    <w:sectPr w:rsidSect="0096119B">
      <w:pgSz w:w="11906" w:h="16838"/>
      <w:pgMar w:top="567" w:right="1417" w:bottom="709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00000000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0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00000000" w:usb2="00000000" w:usb3="00000000" w:csb0="80000000" w:csb1="00000000"/>
  </w:font>
  <w:font w:name="Cambria Math">
    <w:panose1 w:val="02040503050406030204"/>
    <w:charset w:val="01"/>
    <w:family w:val="roman"/>
    <w:pitch w:val="variable"/>
    <w:sig w:usb0="00000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3C435E"/>
    <w:multiLevelType w:val="hybridMultilevel"/>
    <w:tmpl w:val="DDE2BD4C"/>
    <w:lvl w:ilvl="0">
      <w:start w:val="1"/>
      <w:numFmt w:val="decimal"/>
      <w:lvlText w:val="%1."/>
      <w:lvlJc w:val="left"/>
      <w:pPr>
        <w:ind w:left="1239" w:hanging="360"/>
      </w:pPr>
      <w:rPr>
        <w:rFonts w:ascii="Times New Roman" w:hAnsi="Times New Roman" w:cs="Times New Roman"/>
        <w:i w:val="0"/>
        <w:rtl w:val="0"/>
        <w:cs w:val="0"/>
      </w:rPr>
    </w:lvl>
    <w:lvl w:ilvl="1">
      <w:start w:val="1"/>
      <w:numFmt w:val="lowerLetter"/>
      <w:lvlText w:val="%2."/>
      <w:lvlJc w:val="left"/>
      <w:pPr>
        <w:ind w:left="1959" w:hanging="360"/>
      </w:pPr>
      <w:rPr>
        <w:rFonts w:ascii="Times New Roman" w:hAnsi="Times New Roman"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679" w:hanging="180"/>
      </w:pPr>
      <w:rPr>
        <w:rFonts w:ascii="Times New Roman" w:hAnsi="Times New Roman"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399" w:hanging="360"/>
      </w:pPr>
      <w:rPr>
        <w:rFonts w:ascii="Times New Roman" w:hAnsi="Times New Roman"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4119" w:hanging="360"/>
      </w:pPr>
      <w:rPr>
        <w:rFonts w:ascii="Times New Roman" w:hAnsi="Times New Roman"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839" w:hanging="180"/>
      </w:pPr>
      <w:rPr>
        <w:rFonts w:ascii="Times New Roman" w:hAnsi="Times New Roman"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559" w:hanging="360"/>
      </w:pPr>
      <w:rPr>
        <w:rFonts w:ascii="Times New Roman" w:hAnsi="Times New Roman"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279" w:hanging="360"/>
      </w:pPr>
      <w:rPr>
        <w:rFonts w:ascii="Times New Roman" w:hAnsi="Times New Roman"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999" w:hanging="180"/>
      </w:pPr>
      <w:rPr>
        <w:rFonts w:ascii="Times New Roman" w:hAnsi="Times New Roman" w:cs="Times New Roman"/>
        <w:rtl w:val="0"/>
        <w:cs w:val="0"/>
      </w:rPr>
    </w:lvl>
  </w:abstractNum>
  <w:abstractNum w:abstractNumId="1">
    <w:nsid w:val="1D545C8B"/>
    <w:multiLevelType w:val="hybridMultilevel"/>
    <w:tmpl w:val="FC0CE32E"/>
    <w:lvl w:ilvl="0">
      <w:start w:val="5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cs="Times New Roman" w:hint="default"/>
        <w:b/>
        <w:i w:val="0"/>
        <w:sz w:val="24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2">
    <w:nsid w:val="1E3465F1"/>
    <w:multiLevelType w:val="hybridMultilevel"/>
    <w:tmpl w:val="5D6A0FAE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Times New Roman" w:hAnsi="Times New Roman" w:cs="Arial" w:hint="default"/>
        <w:b w:val="0"/>
        <w:i w:val="0"/>
        <w:sz w:val="24"/>
        <w:rtl w:val="0"/>
        <w:cs w:val="0"/>
      </w:rPr>
    </w:lvl>
    <w:lvl w:ilvl="1">
      <w:start w:val="1"/>
      <w:numFmt w:val="lowerLetter"/>
      <w:lvlText w:val="%2)"/>
      <w:lvlJc w:val="left"/>
      <w:pPr>
        <w:tabs>
          <w:tab w:val="num" w:pos="502"/>
        </w:tabs>
        <w:ind w:left="482" w:hanging="340"/>
      </w:pPr>
      <w:rPr>
        <w:rFonts w:cs="Times New Roman" w:hint="default"/>
        <w:b w:val="0"/>
        <w:rtl w:val="0"/>
        <w:cs w:val="0"/>
      </w:rPr>
    </w:lvl>
    <w:lvl w:ilvl="2">
      <w:start w:val="1"/>
      <w:numFmt w:val="bullet"/>
      <w:lvlText w:val="-"/>
      <w:lvlJc w:val="left"/>
      <w:pPr>
        <w:tabs>
          <w:tab w:val="num" w:pos="700"/>
        </w:tabs>
        <w:ind w:left="680" w:hanging="340"/>
      </w:pPr>
      <w:rPr>
        <w:rFonts w:ascii="Times New Roman" w:eastAsia="Times New Roman" w:hAnsi="Times New Roman" w:hint="default"/>
      </w:rPr>
    </w:lvl>
    <w:lvl w:ilvl="3">
      <w:start w:val="1"/>
      <w:numFmt w:val="lowerLetter"/>
      <w:lvlText w:val="%4)"/>
      <w:lvlJc w:val="left"/>
      <w:pPr>
        <w:tabs>
          <w:tab w:val="num" w:pos="700"/>
        </w:tabs>
        <w:ind w:left="680" w:hanging="340"/>
      </w:pPr>
      <w:rPr>
        <w:rFonts w:cs="Times New Roman" w:hint="default"/>
        <w:rtl w:val="0"/>
        <w:cs w:val="0"/>
      </w:rPr>
    </w:lvl>
    <w:lvl w:ilvl="4">
      <w:start w:val="4"/>
      <w:numFmt w:val="decimal"/>
      <w:lvlText w:val="%5."/>
      <w:lvlJc w:val="left"/>
      <w:pPr>
        <w:tabs>
          <w:tab w:val="num" w:pos="360"/>
        </w:tabs>
        <w:ind w:left="340" w:hanging="340"/>
      </w:pPr>
      <w:rPr>
        <w:rFonts w:cs="Times New Roman" w:hint="default"/>
        <w:b w:val="0"/>
        <w:i w:val="0"/>
        <w:rtl w:val="0"/>
        <w:cs w:val="0"/>
      </w:rPr>
    </w:lvl>
    <w:lvl w:ilvl="5">
      <w:start w:val="1"/>
      <w:numFmt w:val="decimal"/>
      <w:lvlText w:val="(%6)"/>
      <w:lvlJc w:val="left"/>
      <w:pPr>
        <w:ind w:left="4500" w:hanging="360"/>
      </w:pPr>
      <w:rPr>
        <w:rFonts w:cs="Times New Roman" w:hint="default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3">
    <w:nsid w:val="30446FF4"/>
    <w:multiLevelType w:val="hybridMultilevel"/>
    <w:tmpl w:val="5E369FA4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cs="Times New Roman" w:hint="default"/>
        <w:b/>
        <w:i w:val="0"/>
        <w:rtl w:val="0"/>
        <w:cs w:val="0"/>
      </w:rPr>
    </w:lvl>
    <w:lvl w:ilvl="1">
      <w:start w:val="10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4">
    <w:nsid w:val="3F7400F6"/>
    <w:multiLevelType w:val="multilevel"/>
    <w:tmpl w:val="C76E6FE0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  <w:b w:val="0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  <w:rtl w:val="0"/>
        <w:cs w:val="0"/>
      </w:rPr>
    </w:lvl>
  </w:abstractNum>
  <w:abstractNum w:abstractNumId="5">
    <w:nsid w:val="65E26EC2"/>
    <w:multiLevelType w:val="hybridMultilevel"/>
    <w:tmpl w:val="C1FEBEC8"/>
    <w:lvl w:ilvl="0">
      <w:start w:val="1"/>
      <w:numFmt w:val="bullet"/>
      <w:lvlText w:val=""/>
      <w:lvlJc w:val="left"/>
      <w:pPr>
        <w:ind w:left="2154" w:hanging="360"/>
      </w:pPr>
      <w:rPr>
        <w:rFonts w:ascii="Symbol" w:hAnsi="Symbol" w:hint="default"/>
        <w:b w:val="0"/>
      </w:rPr>
    </w:lvl>
    <w:lvl w:ilvl="1">
      <w:start w:val="1"/>
      <w:numFmt w:val="bullet"/>
      <w:lvlText w:val="o"/>
      <w:lvlJc w:val="left"/>
      <w:pPr>
        <w:ind w:left="287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359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431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503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575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47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719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7914" w:hanging="360"/>
      </w:pPr>
      <w:rPr>
        <w:rFonts w:ascii="Wingdings" w:hAnsi="Wingdings" w:hint="default"/>
      </w:rPr>
    </w:lvl>
  </w:abstractNum>
  <w:abstractNum w:abstractNumId="6">
    <w:nsid w:val="777765A8"/>
    <w:multiLevelType w:val="hybridMultilevel"/>
    <w:tmpl w:val="30545A06"/>
    <w:lvl w:ilvl="0">
      <w:start w:val="2"/>
      <w:numFmt w:val="lowerLetter"/>
      <w:lvlText w:val="%1)"/>
      <w:lvlJc w:val="left"/>
      <w:pPr>
        <w:tabs>
          <w:tab w:val="num" w:pos="700"/>
        </w:tabs>
        <w:ind w:left="680" w:hanging="340"/>
      </w:pPr>
      <w:rPr>
        <w:rFonts w:cs="Times New Roman" w:hint="default"/>
        <w:b w:val="0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5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 w:hint="default"/>
        <w:b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num w:numId="1">
    <w:abstractNumId w:val="3"/>
  </w:num>
  <w:num w:numId="2">
    <w:abstractNumId w:val="2"/>
  </w:num>
  <w:num w:numId="3">
    <w:abstractNumId w:val="6"/>
  </w:num>
  <w:num w:numId="4">
    <w:abstractNumId w:val="1"/>
  </w:num>
  <w:num w:numId="5">
    <w:abstractNumId w:val="4"/>
  </w:num>
  <w:num w:numId="6">
    <w:abstractNumId w:val="0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hyphenationZone w:val="425"/>
  <w:characterSpacingControl w:val="doNotCompress"/>
  <w:compat/>
  <w:rsids>
    <w:rsidRoot w:val="0096119B"/>
    <w:rsid w:val="00172B99"/>
    <w:rsid w:val="002222B6"/>
    <w:rsid w:val="003F3ADB"/>
    <w:rsid w:val="00433DF0"/>
    <w:rsid w:val="004E0106"/>
    <w:rsid w:val="005A7C7A"/>
    <w:rsid w:val="006B3633"/>
    <w:rsid w:val="00834987"/>
    <w:rsid w:val="008D2F12"/>
    <w:rsid w:val="0096119B"/>
    <w:rsid w:val="009C43D7"/>
    <w:rsid w:val="00C14C1C"/>
  </w:rsids>
  <m:mathPr>
    <m:mathFont m:val="Cambria Math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eastAsia="Times New Roman" w:asciiTheme="minorHAnsi" w:hAnsiTheme="minorHAnsi" w:cstheme="minorHAnsi"/>
        <w:sz w:val="22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2B99"/>
    <w:pPr>
      <w:framePr w:wrap="auto"/>
      <w:widowControl/>
      <w:autoSpaceDE/>
      <w:autoSpaceDN/>
      <w:adjustRightInd/>
      <w:spacing w:after="200" w:line="276" w:lineRule="auto"/>
      <w:ind w:left="0" w:right="0"/>
      <w:jc w:val="left"/>
      <w:textAlignment w:val="auto"/>
    </w:pPr>
    <w:rPr>
      <w:rFonts w:asciiTheme="minorHAnsi" w:hAnsiTheme="minorHAnsi" w:cstheme="minorBidi"/>
      <w:sz w:val="22"/>
      <w:szCs w:val="22"/>
      <w:rtl w:val="0"/>
      <w:cs w:val="0"/>
      <w:lang w:val="sk-SK" w:eastAsia="en-US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1</Pages>
  <Words>426</Words>
  <Characters>2431</Characters>
  <Application>Microsoft Office Word</Application>
  <DocSecurity>0</DocSecurity>
  <Lines>0</Lines>
  <Paragraphs>0</Paragraphs>
  <ScaleCrop>false</ScaleCrop>
  <Company>Hewlett-Packard Company</Company>
  <LinksUpToDate>false</LinksUpToDate>
  <CharactersWithSpaces>2852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Gašparíková, Jarmila</dc:creator>
  <cp:lastModifiedBy>Gašparíková, Jarmila</cp:lastModifiedBy>
  <cp:revision>2</cp:revision>
  <dcterms:created xsi:type="dcterms:W3CDTF">2016-08-19T15:01:00Z</dcterms:created>
  <dcterms:modified xsi:type="dcterms:W3CDTF">2016-08-19T15:01:00Z</dcterms:modified>
</cp:coreProperties>
</file>