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1BC5" w:rsidRPr="003C5A99" w:rsidP="00C21BC5">
      <w:pPr>
        <w:widowControl w:val="0"/>
        <w:autoSpaceDE w:val="0"/>
        <w:autoSpaceDN w:val="0"/>
        <w:bidi w:val="0"/>
        <w:jc w:val="center"/>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Doložka prednosti</w:t>
      </w:r>
    </w:p>
    <w:p w:rsidR="00C21BC5" w:rsidRPr="003C5A99" w:rsidP="00C21BC5">
      <w:pPr>
        <w:widowControl w:val="0"/>
        <w:autoSpaceDE w:val="0"/>
        <w:autoSpaceDN w:val="0"/>
        <w:bidi w:val="0"/>
        <w:jc w:val="center"/>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medzinárodnej zmluvy pred zákonmi </w:t>
      </w:r>
    </w:p>
    <w:p w:rsidR="00C21BC5" w:rsidRPr="003C5A99" w:rsidP="00C21BC5">
      <w:pPr>
        <w:widowControl w:val="0"/>
        <w:tabs>
          <w:tab w:val="center" w:pos="4512"/>
          <w:tab w:val="right" w:pos="9025"/>
        </w:tabs>
        <w:autoSpaceDE w:val="0"/>
        <w:autoSpaceDN w:val="0"/>
        <w:bidi w:val="0"/>
        <w:rPr>
          <w:rFonts w:ascii="Arial Narrow" w:hAnsi="Arial Narrow"/>
          <w:b/>
          <w:bCs/>
          <w:color w:val="000000"/>
          <w:sz w:val="22"/>
          <w:szCs w:val="22"/>
          <w:lang w:val="sk-SK" w:eastAsia="cs-CZ"/>
        </w:rPr>
      </w:pPr>
      <w:r w:rsidR="00F76B52">
        <w:rPr>
          <w:rFonts w:ascii="Arial Narrow" w:hAnsi="Arial Narrow"/>
          <w:b/>
          <w:bCs/>
          <w:color w:val="000000"/>
          <w:sz w:val="22"/>
          <w:szCs w:val="22"/>
          <w:lang w:val="sk-SK" w:eastAsia="cs-CZ"/>
        </w:rPr>
        <w:tab/>
        <w:t>(čl. 7 ods. 5 ústavy)</w:t>
      </w:r>
      <w:bookmarkStart w:id="0" w:name="_GoBack"/>
      <w:bookmarkEnd w:id="0"/>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1. Gestor zmluvy: </w:t>
      </w: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Ministerstvo financií Slovenskej republiky. </w:t>
      </w: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2. Názov zmluvy: </w:t>
      </w:r>
    </w:p>
    <w:p w:rsidR="00C21BC5" w:rsidP="008D1238">
      <w:pPr>
        <w:widowControl w:val="0"/>
        <w:autoSpaceDE w:val="0"/>
        <w:autoSpaceDN w:val="0"/>
        <w:bidi w:val="0"/>
        <w:jc w:val="both"/>
        <w:rPr>
          <w:rFonts w:ascii="Arial Narrow" w:hAnsi="Arial Narrow"/>
          <w:color w:val="000000"/>
          <w:sz w:val="22"/>
          <w:szCs w:val="22"/>
          <w:lang w:val="sk-SK" w:eastAsia="cs-CZ"/>
        </w:rPr>
      </w:pPr>
      <w:r w:rsidR="008D1238">
        <w:rPr>
          <w:rFonts w:ascii="Arial Narrow" w:hAnsi="Arial Narrow"/>
          <w:color w:val="000000"/>
          <w:sz w:val="22"/>
          <w:szCs w:val="22"/>
          <w:lang w:val="sk-SK" w:eastAsia="cs-CZ"/>
        </w:rPr>
        <w:t>Zmluva medzi Slovenskou republikou a</w:t>
      </w:r>
      <w:r w:rsidR="00602C86">
        <w:rPr>
          <w:rFonts w:ascii="Arial Narrow" w:hAnsi="Arial Narrow"/>
          <w:color w:val="000000"/>
          <w:sz w:val="22"/>
          <w:szCs w:val="22"/>
          <w:lang w:val="sk-SK" w:eastAsia="cs-CZ"/>
        </w:rPr>
        <w:t> Spojenými arabskými emirátmi</w:t>
      </w:r>
      <w:r w:rsidR="008D1238">
        <w:rPr>
          <w:rFonts w:ascii="Arial Narrow" w:hAnsi="Arial Narrow"/>
          <w:color w:val="000000"/>
          <w:sz w:val="22"/>
          <w:szCs w:val="22"/>
          <w:lang w:val="sk-SK" w:eastAsia="cs-CZ"/>
        </w:rPr>
        <w:t xml:space="preserve"> </w:t>
      </w:r>
      <w:r w:rsidRPr="008D1238" w:rsidR="008D1238">
        <w:rPr>
          <w:rFonts w:ascii="Arial Narrow" w:hAnsi="Arial Narrow"/>
          <w:color w:val="000000"/>
          <w:sz w:val="22"/>
          <w:szCs w:val="22"/>
          <w:lang w:val="sk-SK" w:eastAsia="cs-CZ"/>
        </w:rPr>
        <w:t>o</w:t>
      </w:r>
      <w:r w:rsidR="008D1238">
        <w:rPr>
          <w:rFonts w:ascii="Arial Narrow" w:hAnsi="Arial Narrow"/>
          <w:color w:val="000000"/>
          <w:sz w:val="22"/>
          <w:szCs w:val="22"/>
          <w:lang w:val="sk-SK" w:eastAsia="cs-CZ"/>
        </w:rPr>
        <w:t xml:space="preserve"> zamedzení dvojitého zdanenia a </w:t>
      </w:r>
      <w:r w:rsidRPr="008D1238" w:rsidR="008D1238">
        <w:rPr>
          <w:rFonts w:ascii="Arial Narrow" w:hAnsi="Arial Narrow"/>
          <w:color w:val="000000"/>
          <w:sz w:val="22"/>
          <w:szCs w:val="22"/>
          <w:lang w:val="sk-SK" w:eastAsia="cs-CZ"/>
        </w:rPr>
        <w:t>zabránení daňovému úniku</w:t>
      </w:r>
      <w:r w:rsidR="008D1238">
        <w:rPr>
          <w:rFonts w:ascii="Arial Narrow" w:hAnsi="Arial Narrow"/>
          <w:color w:val="000000"/>
          <w:sz w:val="22"/>
          <w:szCs w:val="22"/>
          <w:lang w:val="sk-SK" w:eastAsia="cs-CZ"/>
        </w:rPr>
        <w:t xml:space="preserve"> </w:t>
      </w:r>
      <w:r w:rsidRPr="008D1238" w:rsidR="008D1238">
        <w:rPr>
          <w:rFonts w:ascii="Arial Narrow" w:hAnsi="Arial Narrow"/>
          <w:color w:val="000000"/>
          <w:sz w:val="22"/>
          <w:szCs w:val="22"/>
          <w:lang w:val="sk-SK" w:eastAsia="cs-CZ"/>
        </w:rPr>
        <w:t>v odbore daní z</w:t>
      </w:r>
      <w:r w:rsidR="008D1238">
        <w:rPr>
          <w:rFonts w:ascii="Arial Narrow" w:hAnsi="Arial Narrow"/>
          <w:color w:val="000000"/>
          <w:sz w:val="22"/>
          <w:szCs w:val="22"/>
          <w:lang w:val="sk-SK" w:eastAsia="cs-CZ"/>
        </w:rPr>
        <w:t> </w:t>
      </w:r>
      <w:r w:rsidRPr="008D1238" w:rsidR="008D1238">
        <w:rPr>
          <w:rFonts w:ascii="Arial Narrow" w:hAnsi="Arial Narrow"/>
          <w:color w:val="000000"/>
          <w:sz w:val="22"/>
          <w:szCs w:val="22"/>
          <w:lang w:val="sk-SK" w:eastAsia="cs-CZ"/>
        </w:rPr>
        <w:t>príjmov</w:t>
      </w:r>
      <w:r w:rsidR="008D1238">
        <w:rPr>
          <w:rFonts w:ascii="Arial Narrow" w:hAnsi="Arial Narrow"/>
          <w:color w:val="000000"/>
          <w:sz w:val="22"/>
          <w:szCs w:val="22"/>
          <w:lang w:val="sk-SK" w:eastAsia="cs-CZ"/>
        </w:rPr>
        <w:t xml:space="preserve"> </w:t>
      </w:r>
    </w:p>
    <w:p w:rsidR="008D1238" w:rsidRPr="003C5A99" w:rsidP="008D1238">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3. Účel a predmet zmluvy a jeho úprava v legislatíve Slovenskej republiky: </w:t>
      </w:r>
    </w:p>
    <w:p w:rsidR="00E25E09" w:rsidRPr="009F62DF" w:rsidP="00E25E09">
      <w:pPr>
        <w:widowControl w:val="0"/>
        <w:autoSpaceDE w:val="0"/>
        <w:autoSpaceDN w:val="0"/>
        <w:bidi w:val="0"/>
        <w:jc w:val="both"/>
        <w:rPr>
          <w:rFonts w:ascii="Arial Narrow" w:hAnsi="Arial Narrow"/>
          <w:bCs/>
          <w:color w:val="000000"/>
          <w:sz w:val="22"/>
          <w:szCs w:val="22"/>
          <w:lang w:val="sk-SK" w:eastAsia="cs-CZ"/>
        </w:rPr>
      </w:pPr>
      <w:r w:rsidRPr="003C5A99" w:rsidR="00C21BC5">
        <w:rPr>
          <w:rFonts w:ascii="Arial Narrow" w:hAnsi="Arial Narrow"/>
          <w:color w:val="000000"/>
          <w:sz w:val="22"/>
          <w:szCs w:val="22"/>
          <w:lang w:val="sk-SK" w:eastAsia="cs-CZ"/>
        </w:rPr>
        <w:t>Účelom zmluvy je vytvoriť právny rámec pre rozvoj všestranných a vzájomne výhodných hospodárskych vzťahov. Uplatňovaním zmluvy bude právo na zdaňovanie príjmov rozdelené objektívne medzi oba zmluvné štáty. Zmluva rieši prekrývanie daňových sústav Slovenskej republiky a</w:t>
      </w:r>
      <w:r w:rsidR="00602C86">
        <w:rPr>
          <w:rFonts w:ascii="Arial Narrow" w:hAnsi="Arial Narrow"/>
          <w:color w:val="000000"/>
          <w:sz w:val="22"/>
          <w:szCs w:val="22"/>
          <w:lang w:val="sk-SK" w:eastAsia="cs-CZ"/>
        </w:rPr>
        <w:t> Spojených arabských emirátov</w:t>
      </w:r>
      <w:r w:rsidRPr="003C5A99" w:rsidR="00C21BC5">
        <w:rPr>
          <w:rFonts w:ascii="Arial Narrow" w:hAnsi="Arial Narrow"/>
          <w:color w:val="000000"/>
          <w:sz w:val="22"/>
          <w:szCs w:val="22"/>
          <w:lang w:val="sk-SK" w:eastAsia="cs-CZ"/>
        </w:rPr>
        <w:t xml:space="preserve"> a eliminuje nadmerné daňové zaťaženie, ktoré by v prípade absencie zmluvy bolo zapríčinené zdanením toho istého príjmu dvakrát. Zmluva sa tak stáva jednou z najdôležitejších podmienok rozvoja zahraničnoobchodných vzťahov. Ďalším prínosom zmluvy je spravodlivé daňové zaťaženie zahraničných podnikateľov a taktiež zmluva umožňuje, aby daňový systém vytváral rovnaké konkurenčné podmienky pre tuzemské aj zahraničné spoločnosti a podnikateľov. Význam tejto zmluvy spočíva i v rozvoji spolupráce daňových </w:t>
      </w:r>
      <w:r w:rsidR="005328FD">
        <w:rPr>
          <w:rFonts w:ascii="Arial Narrow" w:hAnsi="Arial Narrow"/>
          <w:color w:val="000000"/>
          <w:sz w:val="22"/>
          <w:szCs w:val="22"/>
          <w:lang w:val="sk-SK" w:eastAsia="cs-CZ"/>
        </w:rPr>
        <w:t xml:space="preserve">správ </w:t>
      </w:r>
      <w:r w:rsidRPr="003C5A99" w:rsidR="00C21BC5">
        <w:rPr>
          <w:rFonts w:ascii="Arial Narrow" w:hAnsi="Arial Narrow"/>
          <w:color w:val="000000"/>
          <w:sz w:val="22"/>
          <w:szCs w:val="22"/>
          <w:lang w:val="sk-SK" w:eastAsia="cs-CZ"/>
        </w:rPr>
        <w:t xml:space="preserve">pri predchádzaní daňových únikov. Zmluva zabezpečuje objektívne rozdelenie práva na zdanenie príjmu medzi štát zdroja príjmu a štát, v ktorom má príjemca tohto príjmu sídlo alebo bydlisko (t. j. </w:t>
      </w:r>
      <w:r w:rsidR="005328FD">
        <w:rPr>
          <w:rFonts w:ascii="Arial Narrow" w:hAnsi="Arial Narrow"/>
          <w:color w:val="000000"/>
          <w:sz w:val="22"/>
          <w:szCs w:val="22"/>
          <w:lang w:val="sk-SK" w:eastAsia="cs-CZ"/>
        </w:rPr>
        <w:t xml:space="preserve">podľa </w:t>
      </w:r>
      <w:r w:rsidRPr="003C5A99" w:rsidR="00C21BC5">
        <w:rPr>
          <w:rFonts w:ascii="Arial Narrow" w:hAnsi="Arial Narrow"/>
          <w:color w:val="000000"/>
          <w:sz w:val="22"/>
          <w:szCs w:val="22"/>
          <w:lang w:val="sk-SK" w:eastAsia="cs-CZ"/>
        </w:rPr>
        <w:t>daňov</w:t>
      </w:r>
      <w:r w:rsidR="005328FD">
        <w:rPr>
          <w:rFonts w:ascii="Arial Narrow" w:hAnsi="Arial Narrow"/>
          <w:color w:val="000000"/>
          <w:sz w:val="22"/>
          <w:szCs w:val="22"/>
          <w:lang w:val="sk-SK" w:eastAsia="cs-CZ"/>
        </w:rPr>
        <w:t>ej</w:t>
      </w:r>
      <w:r w:rsidRPr="003C5A99" w:rsidR="00C21BC5">
        <w:rPr>
          <w:rFonts w:ascii="Arial Narrow" w:hAnsi="Arial Narrow"/>
          <w:color w:val="000000"/>
          <w:sz w:val="22"/>
          <w:szCs w:val="22"/>
          <w:lang w:val="sk-SK" w:eastAsia="cs-CZ"/>
        </w:rPr>
        <w:t xml:space="preserve"> rezidenci</w:t>
      </w:r>
      <w:r w:rsidR="005328FD">
        <w:rPr>
          <w:rFonts w:ascii="Arial Narrow" w:hAnsi="Arial Narrow"/>
          <w:color w:val="000000"/>
          <w:sz w:val="22"/>
          <w:szCs w:val="22"/>
          <w:lang w:val="sk-SK" w:eastAsia="cs-CZ"/>
        </w:rPr>
        <w:t>e</w:t>
      </w:r>
      <w:r w:rsidRPr="003C5A99" w:rsidR="00C21BC5">
        <w:rPr>
          <w:rFonts w:ascii="Arial Narrow" w:hAnsi="Arial Narrow"/>
          <w:color w:val="000000"/>
          <w:sz w:val="22"/>
          <w:szCs w:val="22"/>
          <w:lang w:val="sk-SK" w:eastAsia="cs-CZ"/>
        </w:rPr>
        <w:t xml:space="preserve">). </w:t>
      </w:r>
      <w:r w:rsidRPr="00E25E09" w:rsidR="00C21BC5">
        <w:rPr>
          <w:rFonts w:ascii="Arial Narrow" w:hAnsi="Arial Narrow"/>
          <w:bCs/>
          <w:color w:val="000000"/>
          <w:sz w:val="22"/>
          <w:szCs w:val="22"/>
          <w:lang w:val="sk-SK" w:eastAsia="cs-CZ"/>
        </w:rPr>
        <w:t>Zmluva neukladá žiadne nové daňové povinnosti, ktoré by presahovali rámec vymedzený vnútroštátnymi právnymi predpismi SR, t. j. zákonom č. 595/2003 Z. z. o dani z príjmov v znení neskorších predpisov</w:t>
      </w:r>
      <w:r w:rsidRPr="00E25E09">
        <w:rPr>
          <w:rFonts w:ascii="Arial Narrow" w:hAnsi="Arial Narrow"/>
          <w:bCs/>
          <w:color w:val="000000"/>
          <w:sz w:val="22"/>
          <w:szCs w:val="22"/>
          <w:lang w:val="sk-SK" w:eastAsia="cs-CZ"/>
        </w:rPr>
        <w:t xml:space="preserve">, </w:t>
      </w:r>
      <w:r w:rsidRPr="00E25E09" w:rsidR="00C21BC5">
        <w:rPr>
          <w:rFonts w:ascii="Arial Narrow" w:hAnsi="Arial Narrow"/>
          <w:bCs/>
          <w:color w:val="000000"/>
          <w:sz w:val="22"/>
          <w:szCs w:val="22"/>
          <w:lang w:val="sk-SK" w:eastAsia="cs-CZ"/>
        </w:rPr>
        <w:t>zákonom č. 563/2009 Z. z. o správe daní (daňový poriadok) a o zmene a doplnení niektorých zákonov</w:t>
      </w:r>
      <w:r w:rsidRPr="00E25E09">
        <w:rPr>
          <w:rFonts w:ascii="Arial Narrow" w:hAnsi="Arial Narrow"/>
          <w:bCs/>
          <w:color w:val="000000"/>
          <w:sz w:val="22"/>
          <w:szCs w:val="22"/>
          <w:lang w:val="sk-SK" w:eastAsia="cs-CZ"/>
        </w:rPr>
        <w:t>, zákonom č. 442/2012 Z. z. o medzinárodnej pomoci a spolupráci pri správe daní a zákonom č. 466/2009 Z. z. o medzinárodnej pomoci pri vymáhaní niektorých finančných pohľadávok a o zmene a doplnení niektorých zákonov</w:t>
      </w:r>
      <w:r>
        <w:rPr>
          <w:rFonts w:ascii="Arial Narrow" w:hAnsi="Arial Narrow"/>
          <w:bCs/>
          <w:color w:val="000000"/>
          <w:sz w:val="22"/>
          <w:szCs w:val="22"/>
          <w:lang w:val="sk-SK" w:eastAsia="cs-CZ"/>
        </w:rPr>
        <w:t>.</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Zmluva sa predkladá podľa Pravidiel pre uzatváranie medzinárodných zmlúv a zmluvnú prax, ktoré boli 21. 10. 2009 schválené uznesením vlády č. 743.</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4. Priama úprava práv alebo povinností fyzických osôb alebo právnických osôb: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Zmluva v článkoch 6 až 23 ukladá práva alebo povinnosti fyzickým osobám alebo právnickým osobám, tým že v uvedených ustanoveniach určuje spôsoby a postupy zamerané na zamedzenie dvojitého zdanenia i dvojitého nezdanenia, ako aj predchádzanie daňovým únikom. Podľa článku 2</w:t>
      </w:r>
      <w:r w:rsidR="00C41E9D">
        <w:rPr>
          <w:rFonts w:ascii="Arial Narrow" w:hAnsi="Arial Narrow"/>
          <w:color w:val="000000"/>
          <w:sz w:val="22"/>
          <w:szCs w:val="22"/>
          <w:lang w:val="sk-SK" w:eastAsia="cs-CZ"/>
        </w:rPr>
        <w:t>3</w:t>
      </w:r>
      <w:r w:rsidRPr="003C5A99">
        <w:rPr>
          <w:rFonts w:ascii="Arial Narrow" w:hAnsi="Arial Narrow"/>
          <w:color w:val="000000"/>
          <w:sz w:val="22"/>
          <w:szCs w:val="22"/>
          <w:lang w:val="sk-SK" w:eastAsia="cs-CZ"/>
        </w:rPr>
        <w:t xml:space="preserve"> (Z</w:t>
      </w:r>
      <w:r w:rsidRPr="003C5A99">
        <w:rPr>
          <w:rFonts w:ascii="Arial Narrow" w:hAnsi="Arial Narrow"/>
          <w:bCs/>
          <w:iCs/>
          <w:color w:val="000000"/>
          <w:sz w:val="22"/>
          <w:szCs w:val="22"/>
          <w:lang w:val="sk-SK" w:eastAsia="cs-CZ"/>
        </w:rPr>
        <w:t xml:space="preserve">ásada rovnakého zaobchádzania) fyzické osoby a právnické osoby, ktoré </w:t>
      </w:r>
      <w:r w:rsidRPr="003C5A99">
        <w:rPr>
          <w:rFonts w:ascii="Arial Narrow" w:hAnsi="Arial Narrow"/>
          <w:color w:val="000000"/>
          <w:sz w:val="22"/>
          <w:szCs w:val="22"/>
          <w:lang w:val="sk-SK" w:eastAsia="cs-CZ"/>
        </w:rPr>
        <w:t xml:space="preserve">sú rezidentmi jedného zmluvného štátu, </w:t>
      </w:r>
      <w:r w:rsidRPr="003C5A99">
        <w:rPr>
          <w:rFonts w:ascii="Arial Narrow" w:hAnsi="Arial Narrow"/>
          <w:bCs/>
          <w:iCs/>
          <w:color w:val="000000"/>
          <w:sz w:val="22"/>
          <w:szCs w:val="22"/>
          <w:lang w:val="sk-SK" w:eastAsia="cs-CZ"/>
        </w:rPr>
        <w:t xml:space="preserve">majú právo </w:t>
      </w:r>
      <w:r w:rsidRPr="003C5A99">
        <w:rPr>
          <w:rFonts w:ascii="Arial Narrow" w:hAnsi="Arial Narrow"/>
          <w:color w:val="000000"/>
          <w:sz w:val="22"/>
          <w:szCs w:val="22"/>
          <w:lang w:val="sk-SK" w:eastAsia="cs-CZ"/>
        </w:rPr>
        <w:t>na rovnocenné zaobchádzanie s rezidentmi druhého zmluvného štátu, pričom zmluva v čl. 2</w:t>
      </w:r>
      <w:r w:rsidR="00C41E9D">
        <w:rPr>
          <w:rFonts w:ascii="Arial Narrow" w:hAnsi="Arial Narrow"/>
          <w:color w:val="000000"/>
          <w:sz w:val="22"/>
          <w:szCs w:val="22"/>
          <w:lang w:val="sk-SK" w:eastAsia="cs-CZ"/>
        </w:rPr>
        <w:t>3</w:t>
      </w:r>
      <w:r w:rsidR="00E3370D">
        <w:rPr>
          <w:rFonts w:ascii="Arial Narrow" w:hAnsi="Arial Narrow"/>
          <w:color w:val="000000"/>
          <w:sz w:val="22"/>
          <w:szCs w:val="22"/>
          <w:lang w:val="sk-SK" w:eastAsia="cs-CZ"/>
        </w:rPr>
        <w:t xml:space="preserve"> ods. 1 a 2</w:t>
      </w:r>
      <w:r w:rsidRPr="003C5A99">
        <w:rPr>
          <w:rFonts w:ascii="Arial Narrow" w:hAnsi="Arial Narrow"/>
          <w:color w:val="000000"/>
          <w:sz w:val="22"/>
          <w:szCs w:val="22"/>
          <w:lang w:val="sk-SK" w:eastAsia="cs-CZ"/>
        </w:rPr>
        <w:t xml:space="preserve"> výslovne ustanovuje, že rezidenti jedného zmluvného štátu nesmú </w:t>
      </w:r>
      <w:r w:rsidRPr="003C5A99">
        <w:rPr>
          <w:rFonts w:ascii="Arial Narrow" w:hAnsi="Arial Narrow"/>
          <w:bCs/>
          <w:iCs/>
          <w:color w:val="000000"/>
          <w:sz w:val="22"/>
          <w:szCs w:val="22"/>
          <w:lang w:val="sk-SK" w:eastAsia="cs-CZ"/>
        </w:rPr>
        <w:t xml:space="preserve">v druhom zmluvnom štáte podliehať menej priaznivým povinnostiam alebo zdaneniu v porovnaní s rezidentmi druhého zmluvného štátu.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 </w:t>
      </w: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5. Úprava predmetu medzinárodnej zmluvy v</w:t>
      </w:r>
      <w:r w:rsidR="009F62DF">
        <w:rPr>
          <w:rFonts w:ascii="Arial Narrow" w:hAnsi="Arial Narrow"/>
          <w:b/>
          <w:bCs/>
          <w:color w:val="000000"/>
          <w:sz w:val="22"/>
          <w:szCs w:val="22"/>
          <w:lang w:val="sk-SK" w:eastAsia="cs-CZ"/>
        </w:rPr>
        <w:t> </w:t>
      </w:r>
      <w:r w:rsidRPr="003C5A99">
        <w:rPr>
          <w:rFonts w:ascii="Arial Narrow" w:hAnsi="Arial Narrow"/>
          <w:b/>
          <w:bCs/>
          <w:color w:val="000000"/>
          <w:sz w:val="22"/>
          <w:szCs w:val="22"/>
          <w:lang w:val="sk-SK" w:eastAsia="cs-CZ"/>
        </w:rPr>
        <w:t>práve</w:t>
      </w:r>
      <w:r w:rsidR="009F62DF">
        <w:rPr>
          <w:rFonts w:ascii="Arial Narrow" w:hAnsi="Arial Narrow"/>
          <w:b/>
          <w:bCs/>
          <w:color w:val="000000"/>
          <w:sz w:val="22"/>
          <w:szCs w:val="22"/>
          <w:lang w:val="sk-SK" w:eastAsia="cs-CZ"/>
        </w:rPr>
        <w:t xml:space="preserve"> Európskej únie</w:t>
      </w:r>
      <w:r w:rsidRPr="003C5A99">
        <w:rPr>
          <w:rFonts w:ascii="Arial Narrow" w:hAnsi="Arial Narrow"/>
          <w:b/>
          <w:bCs/>
          <w:color w:val="000000"/>
          <w:sz w:val="22"/>
          <w:szCs w:val="22"/>
          <w:lang w:val="sk-SK" w:eastAsia="cs-CZ"/>
        </w:rPr>
        <w:t xml:space="preserve">: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Súlad zmluvy s právom Európskej únie: úplná zhoda.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Problematika uzatvárania zmlúv o zamedzení dvojitého zdanenia nie je komplexne upravená v primárnom práve Európskej únie.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 xml:space="preserve">6. Kategória zmluvy podľa čl. 7 ods. 4 Ústavy Slovenskej republiky (vyžaduje pred ratifikáciou súhlas Národnej rady Slovenskej republiky):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 hľadiska obsahu je táto zmluva medzinárodnou hospodárskou zmluvou všeobecnej povahy podľa čl. 7 ods. 4 Ústavy Slovenskej republiky a medzinárodnou zmluvou, ktorá priamo zakladá práva alebo povinnosti fyzických osôb alebo právnických osôb podľa čl. 7 ods. 4 a 5 Ústavy Slovenskej republiky. Zmluva je bez ohľadu na formu prezidentskou zmluvou.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7. Kategória zmluvy podľa čl. 7 ods. 5 Ústavy Slovenskej republiky (má prednosť pred zákonmi):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 kategórií vymedzených čl. 7 ods. 5 Ústavy SR je táto zmluva medzinárodnou zmluvou, ktorá priamo zakladá práva alebo povinnosti fyzických osôb alebo právnických osôb a medzinárodnou zmluvou, na ktorej vykonanie nie je potrebný zákon.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Zmluva má prednosť pred zákonmi, pretože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 </w:t>
      </w:r>
    </w:p>
    <w:p w:rsidR="00C21BC5" w:rsidRPr="003C5A99" w:rsidP="00C21BC5">
      <w:pPr>
        <w:widowControl w:val="0"/>
        <w:autoSpaceDE w:val="0"/>
        <w:autoSpaceDN w:val="0"/>
        <w:bidi w:val="0"/>
        <w:jc w:val="both"/>
        <w:rPr>
          <w:rFonts w:ascii="Arial Narrow" w:hAnsi="Arial Narrow"/>
          <w:strike/>
          <w:color w:val="000000"/>
          <w:sz w:val="22"/>
          <w:szCs w:val="22"/>
          <w:lang w:val="sk-SK" w:eastAsia="cs-CZ"/>
        </w:rPr>
      </w:pP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 xml:space="preserve">8. Dopady prijatia medzinárodnej zmluvy, ktorá má prednosť pred zákonmi, na slovenský právny poriadok (uvedú sa právne predpisy alebo ich jednotlivé ustanovenia, ktorých sa medzinárodná zmluva týka; potreba ich zrušenia alebo adaptácie z dôvodu duplicity): </w:t>
      </w:r>
    </w:p>
    <w:p w:rsidR="005328FD" w:rsidRPr="005328FD" w:rsidP="005328FD">
      <w:pPr>
        <w:widowControl w:val="0"/>
        <w:autoSpaceDE w:val="0"/>
        <w:autoSpaceDN w:val="0"/>
        <w:bidi w:val="0"/>
        <w:jc w:val="both"/>
        <w:rPr>
          <w:rFonts w:ascii="Arial Narrow" w:hAnsi="Arial Narrow"/>
          <w:color w:val="FF0000"/>
          <w:sz w:val="22"/>
          <w:szCs w:val="22"/>
          <w:lang w:val="sk-SK" w:eastAsia="cs-CZ"/>
        </w:rPr>
      </w:pPr>
      <w:r w:rsidRPr="003C5A99" w:rsidR="00C21BC5">
        <w:rPr>
          <w:rFonts w:ascii="Arial Narrow" w:hAnsi="Arial Narrow"/>
          <w:color w:val="000000"/>
          <w:sz w:val="22"/>
          <w:szCs w:val="22"/>
          <w:lang w:val="sk-SK" w:eastAsia="cs-CZ"/>
        </w:rPr>
        <w:t>Pre prijatie zmluvy nie je potrebné meniť ani rušiť žiadne právne predpisy. Na právny poriadok Slovenskej republiky bude mať zmluva vplyv v takom rozsahu, že ustanovenia zákona č. 595/2003 Z. z. o dani z príjmov v znení neskorších predpisov a zákona č. 563/2009 Z. z. o správe daní (daňový poriadok) a o zmene a doplnení niektorých zákonov sa nepoužijú, ak táto zmluva ustanovuje inak. Uvedené vyplýva z § 1 zákona č. 595/2003 Z. z. o dani z príjmov v znení neskorších predpisov a z § 162 zákona č. 563/2009 Z. z. o správe daní (daňový poriadok) a o zmene a doplnení niektorých zákonov. To platí najmä pri u</w:t>
      </w:r>
      <w:r w:rsidR="00ED4785">
        <w:rPr>
          <w:rFonts w:ascii="Arial Narrow" w:hAnsi="Arial Narrow"/>
          <w:color w:val="000000"/>
          <w:sz w:val="22"/>
          <w:szCs w:val="22"/>
          <w:lang w:val="sk-SK" w:eastAsia="cs-CZ"/>
        </w:rPr>
        <w:t>platňovaní ustanovení článkov 12 (Úroky) a 13</w:t>
      </w:r>
      <w:r w:rsidRPr="003C5A99" w:rsidR="00C21BC5">
        <w:rPr>
          <w:rFonts w:ascii="Arial Narrow" w:hAnsi="Arial Narrow"/>
          <w:color w:val="000000"/>
          <w:sz w:val="22"/>
          <w:szCs w:val="22"/>
          <w:lang w:val="sk-SK" w:eastAsia="cs-CZ"/>
        </w:rPr>
        <w:t xml:space="preserve"> (Licenčné poplatky) zmluvy, keď sa v krajine zdroja použije nižšia sadzba dane oproti sadzbe vyplývajúcej z vnútroštátneho predpisu. </w:t>
      </w:r>
    </w:p>
    <w:p w:rsidR="003C3D69" w:rsidRPr="003C3D69" w:rsidP="003C3D69">
      <w:pPr>
        <w:pStyle w:val="l31"/>
        <w:bidi w:val="0"/>
        <w:rPr>
          <w:rFonts w:ascii="Arial Narrow" w:hAnsi="Arial Narrow"/>
          <w:color w:val="000000"/>
          <w:sz w:val="22"/>
          <w:szCs w:val="22"/>
          <w:lang w:eastAsia="cs-CZ"/>
        </w:rPr>
      </w:pPr>
      <w:r w:rsidR="00E25E09">
        <w:rPr>
          <w:rFonts w:ascii="Arial Narrow" w:hAnsi="Arial Narrow"/>
          <w:color w:val="000000"/>
          <w:sz w:val="22"/>
          <w:szCs w:val="22"/>
          <w:lang w:eastAsia="cs-CZ"/>
        </w:rPr>
        <w:t xml:space="preserve">Ďalej </w:t>
      </w:r>
      <w:r w:rsidRPr="003C5A99" w:rsidR="00E25E09">
        <w:rPr>
          <w:rFonts w:ascii="Arial Narrow" w:hAnsi="Arial Narrow"/>
          <w:color w:val="000000"/>
          <w:sz w:val="22"/>
          <w:szCs w:val="22"/>
          <w:lang w:eastAsia="cs-CZ"/>
        </w:rPr>
        <w:t>bude mať zmluva vplyv</w:t>
      </w:r>
      <w:r w:rsidR="00E25E09">
        <w:rPr>
          <w:rFonts w:ascii="Arial Narrow" w:hAnsi="Arial Narrow"/>
          <w:color w:val="000000"/>
          <w:sz w:val="22"/>
          <w:szCs w:val="22"/>
          <w:lang w:eastAsia="cs-CZ"/>
        </w:rPr>
        <w:t xml:space="preserve"> aj v</w:t>
      </w:r>
      <w:r>
        <w:rPr>
          <w:rFonts w:ascii="Arial Narrow" w:hAnsi="Arial Narrow"/>
          <w:color w:val="000000"/>
          <w:sz w:val="22"/>
          <w:szCs w:val="22"/>
          <w:lang w:eastAsia="cs-CZ"/>
        </w:rPr>
        <w:t> </w:t>
      </w:r>
      <w:r w:rsidR="00E25E09">
        <w:rPr>
          <w:rFonts w:ascii="Arial Narrow" w:hAnsi="Arial Narrow"/>
          <w:color w:val="000000"/>
          <w:sz w:val="22"/>
          <w:szCs w:val="22"/>
          <w:lang w:eastAsia="cs-CZ"/>
        </w:rPr>
        <w:t>prípade</w:t>
      </w:r>
      <w:r>
        <w:rPr>
          <w:rFonts w:ascii="Arial Narrow" w:hAnsi="Arial Narrow"/>
          <w:color w:val="000000"/>
          <w:sz w:val="22"/>
          <w:szCs w:val="22"/>
          <w:lang w:eastAsia="cs-CZ"/>
        </w:rPr>
        <w:t xml:space="preserve"> zákona č. </w:t>
      </w:r>
      <w:r w:rsidRPr="00E25E09">
        <w:rPr>
          <w:rFonts w:ascii="Arial Narrow" w:hAnsi="Arial Narrow"/>
          <w:bCs/>
          <w:color w:val="000000"/>
          <w:sz w:val="22"/>
          <w:szCs w:val="22"/>
          <w:lang w:eastAsia="cs-CZ"/>
        </w:rPr>
        <w:t>442/2012 Z. z. o medzinárodnej pomoci a spolupráci pri správe daní</w:t>
      </w:r>
      <w:r>
        <w:rPr>
          <w:rFonts w:ascii="Arial Narrow" w:hAnsi="Arial Narrow"/>
          <w:bCs/>
          <w:color w:val="000000"/>
          <w:sz w:val="22"/>
          <w:szCs w:val="22"/>
          <w:lang w:eastAsia="cs-CZ"/>
        </w:rPr>
        <w:t xml:space="preserve">, čo vyplýva z § 22 cit. zákona, kde </w:t>
      </w:r>
      <w:r w:rsidRPr="003C3D69">
        <w:rPr>
          <w:rFonts w:ascii="Arial Narrow" w:hAnsi="Arial Narrow"/>
          <w:color w:val="000000"/>
          <w:sz w:val="22"/>
          <w:szCs w:val="22"/>
          <w:lang w:eastAsia="cs-CZ"/>
        </w:rPr>
        <w:t>pri poskytovaní, požadovaní alebo prijímaní medzinárodnej pomoci a spolupráce pri správe daní na základe medzinárodnej zmluvy sa primerane postupuje podľa tohto zákona a podľa osobitného predpisu, v rozsahu podľa medzinárodnej zmluvy.</w:t>
      </w:r>
    </w:p>
    <w:p w:rsidR="00C21BC5" w:rsidRPr="003C3D6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3D69" w:rsidP="00C21BC5">
      <w:pPr>
        <w:autoSpaceDE w:val="0"/>
        <w:autoSpaceDN w:val="0"/>
        <w:bidi w:val="0"/>
        <w:rPr>
          <w:rFonts w:ascii="Arial Narrow" w:hAnsi="Arial Narrow"/>
          <w:color w:val="000000"/>
          <w:sz w:val="22"/>
          <w:szCs w:val="22"/>
          <w:lang w:val="sk-SK" w:eastAsia="cs-CZ"/>
        </w:rPr>
      </w:pPr>
    </w:p>
    <w:p w:rsidR="00A8025E" w:rsidRPr="005328FD">
      <w:pPr>
        <w:rPr>
          <w:rFonts w:ascii="Arial Narrow" w:hAnsi="Arial Narrow"/>
          <w:sz w:val="22"/>
          <w:szCs w:val="22"/>
          <w:lang w:val="sk-SK"/>
        </w:rPr>
      </w:pPr>
    </w:p>
    <w:sectPr w:rsidSect="00D64F2C">
      <w:footerReference w:type="default" r:id="rId4"/>
      <w:pgSz w:w="11906" w:h="16838"/>
      <w:pgMar w:top="1417" w:right="1417" w:bottom="1135"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09">
    <w:pPr>
      <w:pStyle w:val="Footer"/>
      <w:jc w:val="center"/>
      <w:rPr>
        <w:rFonts w:ascii="Times New Roman" w:hAnsi="Times New Roman"/>
      </w:rPr>
    </w:pPr>
    <w:r w:rsidR="002D5918">
      <w:rPr>
        <w:rFonts w:ascii="Times New Roman" w:hAnsi="Times New Roman"/>
      </w:rPr>
      <w:fldChar w:fldCharType="begin"/>
    </w:r>
    <w:r w:rsidR="002D5918">
      <w:rPr>
        <w:rFonts w:ascii="Times New Roman" w:hAnsi="Times New Roman"/>
      </w:rPr>
      <w:instrText>PAGE   \* MERGEFORMAT</w:instrText>
    </w:r>
    <w:r w:rsidR="002D5918">
      <w:rPr>
        <w:rFonts w:ascii="Times New Roman" w:hAnsi="Times New Roman"/>
      </w:rPr>
      <w:fldChar w:fldCharType="separate"/>
    </w:r>
    <w:r w:rsidRPr="00C41E9D" w:rsidR="00C41E9D">
      <w:rPr>
        <w:rFonts w:ascii="Times New Roman" w:hAnsi="Times New Roman"/>
        <w:noProof/>
        <w:lang w:val="sk-SK"/>
      </w:rPr>
      <w:t>2</w:t>
    </w:r>
    <w:r w:rsidR="002D5918">
      <w:rPr>
        <w:rFonts w:ascii="Times New Roman" w:hAnsi="Times New Roman"/>
      </w:rPr>
      <w:fldChar w:fldCharType="end"/>
    </w:r>
  </w:p>
  <w:p w:rsidR="00E25E09">
    <w:pPr>
      <w:pStyle w:val="Footer"/>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B5487B"/>
    <w:rsid w:val="000C0811"/>
    <w:rsid w:val="000D1D5C"/>
    <w:rsid w:val="001229EF"/>
    <w:rsid w:val="0018456F"/>
    <w:rsid w:val="00261637"/>
    <w:rsid w:val="002D5918"/>
    <w:rsid w:val="003917FA"/>
    <w:rsid w:val="003C3D69"/>
    <w:rsid w:val="003C5A99"/>
    <w:rsid w:val="004F6E2A"/>
    <w:rsid w:val="005328FD"/>
    <w:rsid w:val="005F618F"/>
    <w:rsid w:val="00602C86"/>
    <w:rsid w:val="007412F8"/>
    <w:rsid w:val="007C6CCC"/>
    <w:rsid w:val="008A2448"/>
    <w:rsid w:val="008D1238"/>
    <w:rsid w:val="008D3269"/>
    <w:rsid w:val="009D6324"/>
    <w:rsid w:val="009F62DF"/>
    <w:rsid w:val="00A8025E"/>
    <w:rsid w:val="00AC230D"/>
    <w:rsid w:val="00B5487B"/>
    <w:rsid w:val="00B72C6A"/>
    <w:rsid w:val="00C21BC5"/>
    <w:rsid w:val="00C41E9D"/>
    <w:rsid w:val="00D3362A"/>
    <w:rsid w:val="00D64F2C"/>
    <w:rsid w:val="00E036DE"/>
    <w:rsid w:val="00E25E09"/>
    <w:rsid w:val="00E3370D"/>
    <w:rsid w:val="00ED4785"/>
    <w:rsid w:val="00F76B52"/>
    <w:rsid w:val="00FA044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C5"/>
    <w:pPr>
      <w:framePr w:wrap="auto"/>
      <w:widowControl/>
      <w:autoSpaceDE/>
      <w:autoSpaceDN/>
      <w:bidi/>
      <w:adjustRightInd/>
      <w:ind w:left="0" w:right="0"/>
      <w:jc w:val="left"/>
      <w:textAlignment w:val="auto"/>
    </w:pPr>
    <w:rPr>
      <w:rFonts w:cs="Times New Roman"/>
      <w:sz w:val="24"/>
      <w:szCs w:val="24"/>
      <w:rtl w:val="0"/>
      <w:cs w:val="0"/>
      <w:lang w:val="en-US" w:eastAsia="en-US" w:bidi="ar-SA"/>
    </w:rPr>
  </w:style>
  <w:style w:type="paragraph" w:styleId="Heading1">
    <w:name w:val="heading 1"/>
    <w:basedOn w:val="Normal"/>
    <w:link w:val="Nadpis1Char"/>
    <w:uiPriority w:val="9"/>
    <w:qFormat/>
    <w:rsid w:val="00E25E09"/>
    <w:pPr>
      <w:bidi w:val="0"/>
      <w:spacing w:before="60" w:after="60" w:line="380" w:lineRule="atLeast"/>
      <w:jc w:val="left"/>
      <w:outlineLvl w:val="0"/>
    </w:pPr>
    <w:rPr>
      <w:b/>
      <w:bCs/>
      <w:color w:val="070707"/>
      <w:kern w:val="36"/>
      <w:sz w:val="27"/>
      <w:szCs w:val="27"/>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25E09"/>
    <w:rPr>
      <w:rFonts w:ascii="Times New Roman" w:hAnsi="Times New Roman" w:cs="Times New Roman"/>
      <w:b/>
      <w:bCs/>
      <w:color w:val="070707"/>
      <w:kern w:val="36"/>
      <w:sz w:val="27"/>
      <w:szCs w:val="27"/>
      <w:rtl w:val="0"/>
      <w:cs w:val="0"/>
      <w:lang w:val="x-none" w:eastAsia="sk-SK"/>
    </w:rPr>
  </w:style>
  <w:style w:type="paragraph" w:styleId="Header">
    <w:name w:val="header"/>
    <w:basedOn w:val="Normal"/>
    <w:link w:val="HlavikaChar"/>
    <w:uiPriority w:val="99"/>
    <w:unhideWhenUsed/>
    <w:rsid w:val="00D64F2C"/>
    <w:pPr>
      <w:tabs>
        <w:tab w:val="center" w:pos="4536"/>
        <w:tab w:val="right" w:pos="9072"/>
      </w:tabs>
      <w:jc w:val="left"/>
    </w:pPr>
  </w:style>
  <w:style w:type="character" w:customStyle="1" w:styleId="HlavikaChar">
    <w:name w:val="Hlavička Char"/>
    <w:basedOn w:val="DefaultParagraphFont"/>
    <w:link w:val="Header"/>
    <w:uiPriority w:val="99"/>
    <w:locked/>
    <w:rsid w:val="00D64F2C"/>
    <w:rPr>
      <w:rFonts w:ascii="Times New Roman" w:hAnsi="Times New Roman" w:cs="Times New Roman"/>
      <w:sz w:val="24"/>
      <w:szCs w:val="24"/>
      <w:rtl w:val="0"/>
      <w:cs w:val="0"/>
      <w:lang w:val="en-US" w:eastAsia="x-none"/>
    </w:rPr>
  </w:style>
  <w:style w:type="paragraph" w:styleId="Footer">
    <w:name w:val="footer"/>
    <w:basedOn w:val="Normal"/>
    <w:link w:val="PtaChar"/>
    <w:uiPriority w:val="99"/>
    <w:unhideWhenUsed/>
    <w:rsid w:val="00D64F2C"/>
    <w:pPr>
      <w:tabs>
        <w:tab w:val="center" w:pos="4536"/>
        <w:tab w:val="right" w:pos="9072"/>
      </w:tabs>
      <w:jc w:val="left"/>
    </w:pPr>
  </w:style>
  <w:style w:type="character" w:customStyle="1" w:styleId="PtaChar">
    <w:name w:val="Päta Char"/>
    <w:basedOn w:val="DefaultParagraphFont"/>
    <w:link w:val="Footer"/>
    <w:uiPriority w:val="99"/>
    <w:locked/>
    <w:rsid w:val="00D64F2C"/>
    <w:rPr>
      <w:rFonts w:ascii="Times New Roman" w:hAnsi="Times New Roman" w:cs="Times New Roman"/>
      <w:sz w:val="24"/>
      <w:szCs w:val="24"/>
      <w:rtl w:val="0"/>
      <w:cs w:val="0"/>
      <w:lang w:val="en-US" w:eastAsia="x-none"/>
    </w:rPr>
  </w:style>
  <w:style w:type="character" w:customStyle="1" w:styleId="h1a1">
    <w:name w:val="h1a1"/>
    <w:basedOn w:val="DefaultParagraphFont"/>
    <w:rsid w:val="00E25E09"/>
    <w:rPr>
      <w:rFonts w:cs="Times New Roman"/>
      <w:sz w:val="22"/>
      <w:szCs w:val="22"/>
      <w:rtl w:val="0"/>
      <w:cs w:val="0"/>
    </w:rPr>
  </w:style>
  <w:style w:type="character" w:styleId="Hyperlink">
    <w:name w:val="Hyperlink"/>
    <w:basedOn w:val="DefaultParagraphFont"/>
    <w:uiPriority w:val="99"/>
    <w:unhideWhenUsed/>
    <w:rsid w:val="00E25E09"/>
    <w:rPr>
      <w:rFonts w:cs="Times New Roman"/>
      <w:color w:val="05507A"/>
      <w:u w:val="none"/>
      <w:effect w:val="none"/>
      <w:rtl w:val="0"/>
      <w:cs w:val="0"/>
    </w:rPr>
  </w:style>
  <w:style w:type="paragraph" w:customStyle="1" w:styleId="l31">
    <w:name w:val="l31"/>
    <w:basedOn w:val="Normal"/>
    <w:rsid w:val="00E25E09"/>
    <w:pPr>
      <w:bidi w:val="0"/>
      <w:jc w:val="both"/>
    </w:pPr>
    <w:rPr>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60</TotalTime>
  <Pages>2</Pages>
  <Words>861</Words>
  <Characters>4912</Characters>
  <Application>Microsoft Office Word</Application>
  <DocSecurity>0</DocSecurity>
  <Lines>0</Lines>
  <Paragraphs>0</Paragraphs>
  <ScaleCrop>false</ScaleCrop>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Mihalikova Elena</dc:creator>
  <cp:lastModifiedBy>Vince Maros</cp:lastModifiedBy>
  <cp:revision>7</cp:revision>
  <dcterms:created xsi:type="dcterms:W3CDTF">2014-05-07T11:05:00Z</dcterms:created>
  <dcterms:modified xsi:type="dcterms:W3CDTF">2016-08-08T16:56:00Z</dcterms:modified>
</cp:coreProperties>
</file>