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055F" w:rsidRPr="00C5392B" w:rsidP="00C621AE">
      <w:pPr>
        <w:bidi w:val="0"/>
        <w:spacing w:after="0" w:line="240" w:lineRule="auto"/>
        <w:jc w:val="center"/>
        <w:rPr>
          <w:rFonts w:ascii="Times New Roman" w:hAnsi="Times New Roman"/>
          <w:b/>
          <w:caps/>
          <w:color w:val="000000"/>
          <w:spacing w:val="30"/>
          <w:sz w:val="24"/>
          <w:szCs w:val="24"/>
        </w:rPr>
      </w:pPr>
      <w:r w:rsidRPr="00C5392B">
        <w:rPr>
          <w:rFonts w:ascii="Times New Roman" w:hAnsi="Times New Roman"/>
          <w:b/>
          <w:caps/>
          <w:color w:val="000000"/>
          <w:spacing w:val="30"/>
          <w:sz w:val="24"/>
          <w:szCs w:val="24"/>
        </w:rPr>
        <w:t>Dôvodová správa</w:t>
      </w:r>
    </w:p>
    <w:p w:rsidR="008F055F" w:rsidRPr="00C5392B" w:rsidP="0048428B">
      <w:pPr>
        <w:bidi w:val="0"/>
        <w:spacing w:after="0" w:line="240" w:lineRule="auto"/>
        <w:jc w:val="both"/>
        <w:rPr>
          <w:rFonts w:ascii="Times New Roman" w:hAnsi="Times New Roman"/>
          <w:b/>
          <w:color w:val="000000"/>
          <w:sz w:val="24"/>
          <w:szCs w:val="24"/>
        </w:rPr>
      </w:pPr>
    </w:p>
    <w:p w:rsidR="008F055F" w:rsidRPr="00C5392B" w:rsidP="0048428B">
      <w:pPr>
        <w:bidi w:val="0"/>
        <w:spacing w:after="0" w:line="240" w:lineRule="auto"/>
        <w:jc w:val="both"/>
        <w:rPr>
          <w:rFonts w:ascii="Times New Roman" w:hAnsi="Times New Roman"/>
          <w:b/>
          <w:color w:val="000000"/>
          <w:sz w:val="24"/>
          <w:szCs w:val="24"/>
        </w:rPr>
      </w:pPr>
    </w:p>
    <w:p w:rsidR="008F055F" w:rsidRPr="00C5392B" w:rsidP="0048428B">
      <w:pPr>
        <w:bidi w:val="0"/>
        <w:spacing w:after="0" w:line="240" w:lineRule="auto"/>
        <w:jc w:val="both"/>
        <w:rPr>
          <w:rFonts w:ascii="Times New Roman" w:hAnsi="Times New Roman"/>
          <w:b/>
          <w:color w:val="000000"/>
          <w:sz w:val="24"/>
          <w:szCs w:val="24"/>
        </w:rPr>
      </w:pPr>
      <w:r w:rsidRPr="00C5392B">
        <w:rPr>
          <w:rFonts w:ascii="Times New Roman" w:hAnsi="Times New Roman"/>
          <w:b/>
          <w:color w:val="000000"/>
          <w:sz w:val="24"/>
          <w:szCs w:val="24"/>
        </w:rPr>
        <w:t>A. Všeobecná časť</w:t>
      </w:r>
    </w:p>
    <w:p w:rsidR="008F055F" w:rsidRPr="00C5392B" w:rsidP="0048428B">
      <w:pPr>
        <w:bidi w:val="0"/>
        <w:spacing w:after="0" w:line="240" w:lineRule="auto"/>
        <w:jc w:val="both"/>
        <w:rPr>
          <w:rFonts w:ascii="Times New Roman" w:hAnsi="Times New Roman"/>
          <w:b/>
          <w:sz w:val="24"/>
          <w:szCs w:val="24"/>
        </w:rPr>
      </w:pPr>
    </w:p>
    <w:p w:rsidR="00620E8D" w:rsidRPr="00C5392B" w:rsidP="0048428B">
      <w:pPr>
        <w:pStyle w:val="Zkladntext"/>
        <w:bidi w:val="0"/>
        <w:jc w:val="both"/>
        <w:rPr>
          <w:rFonts w:ascii="Times New Roman" w:hAnsi="Times New Roman"/>
          <w:color w:val="auto"/>
          <w:szCs w:val="24"/>
          <w:lang w:eastAsia="en-US"/>
        </w:rPr>
      </w:pPr>
      <w:r w:rsidRPr="00C5392B" w:rsidR="00CB64EC">
        <w:rPr>
          <w:rFonts w:ascii="Times New Roman" w:hAnsi="Times New Roman"/>
          <w:szCs w:val="24"/>
        </w:rPr>
        <w:t xml:space="preserve">Zámerom novely zákona o dani z pridanej hodnoty je nastaviť účinnosť opatrenia týkajúceho sa priznávania dane pri dovoze tovaru z tretích štátov platiteľom dane v daňovom priznaní (tzv. samozdanenie dovozu tovaru) </w:t>
      </w:r>
      <w:r w:rsidRPr="00C5392B">
        <w:rPr>
          <w:rFonts w:ascii="Times New Roman" w:hAnsi="Times New Roman"/>
          <w:color w:val="auto"/>
          <w:szCs w:val="24"/>
          <w:lang w:eastAsia="en-US"/>
        </w:rPr>
        <w:t>v závislosti na období, kedy rozdiel medzi horným limitom dlhu verejnej správy ustanoveným pre príslušný rozpočtový rok a aktuálnou výškou dlhu verejnej správy Slovenskej republiky</w:t>
      </w:r>
      <w:r w:rsidRPr="00C5392B" w:rsidR="00B06402">
        <w:rPr>
          <w:rFonts w:ascii="Times New Roman" w:hAnsi="Times New Roman"/>
          <w:color w:val="auto"/>
          <w:szCs w:val="24"/>
          <w:lang w:eastAsia="en-US"/>
        </w:rPr>
        <w:t xml:space="preserve">, ktorú zverejní </w:t>
      </w:r>
      <w:r w:rsidRPr="00C5392B" w:rsidR="00B06402">
        <w:rPr>
          <w:rFonts w:ascii="Times New Roman" w:hAnsi="Times New Roman"/>
          <w:szCs w:val="24"/>
        </w:rPr>
        <w:t>Európska komisia (Eurostat) v októbri,</w:t>
      </w:r>
      <w:r w:rsidRPr="00C5392B">
        <w:rPr>
          <w:rFonts w:ascii="Times New Roman" w:hAnsi="Times New Roman"/>
          <w:szCs w:val="24"/>
        </w:rPr>
        <w:t xml:space="preserve"> </w:t>
      </w:r>
      <w:r w:rsidRPr="00C5392B">
        <w:rPr>
          <w:rFonts w:ascii="Times New Roman" w:hAnsi="Times New Roman"/>
          <w:color w:val="auto"/>
          <w:szCs w:val="24"/>
          <w:lang w:eastAsia="en-US"/>
        </w:rPr>
        <w:t>za tento príslušný rozpočtový rok bude väčš</w:t>
      </w:r>
      <w:r w:rsidRPr="00C5392B" w:rsidR="00E9130D">
        <w:rPr>
          <w:rFonts w:ascii="Times New Roman" w:hAnsi="Times New Roman"/>
          <w:color w:val="auto"/>
          <w:szCs w:val="24"/>
          <w:lang w:eastAsia="en-US"/>
        </w:rPr>
        <w:t>í ako 11 percentuálnych bodov.</w:t>
      </w:r>
    </w:p>
    <w:p w:rsidR="00620E8D" w:rsidRPr="00C5392B" w:rsidP="0048428B">
      <w:pPr>
        <w:bidi w:val="0"/>
        <w:spacing w:after="0" w:line="240" w:lineRule="auto"/>
        <w:jc w:val="both"/>
        <w:rPr>
          <w:rFonts w:ascii="Times New Roman" w:hAnsi="Times New Roman"/>
          <w:sz w:val="24"/>
          <w:szCs w:val="24"/>
        </w:rPr>
      </w:pPr>
    </w:p>
    <w:p w:rsidR="00020B91" w:rsidRPr="00C5392B" w:rsidP="0048428B">
      <w:pPr>
        <w:bidi w:val="0"/>
        <w:spacing w:after="0" w:line="240" w:lineRule="auto"/>
        <w:jc w:val="both"/>
        <w:rPr>
          <w:rFonts w:ascii="Times New Roman" w:hAnsi="Times New Roman"/>
          <w:sz w:val="24"/>
          <w:szCs w:val="24"/>
        </w:rPr>
      </w:pPr>
      <w:r w:rsidRPr="00C5392B">
        <w:rPr>
          <w:rFonts w:ascii="Times New Roman" w:hAnsi="Times New Roman"/>
          <w:sz w:val="24"/>
          <w:szCs w:val="24"/>
        </w:rPr>
        <w:t xml:space="preserve">Platné ustanovenia zákona o dani z pridanej hodnoty uvažujú so zavedením samozdanenia dovozu tovaru z tretích štátov od 1. januára 2017. Platitelia dane by namiesto platenia dane pri dovoze tovaru colným orgánom priznávali daň v daňovom priznaní, ktoré podávajú daňovému úradu, a súčasne by uplatňovali právo na odpočítanie dane, čo by malo výrazne pozitívny dopad na ich cash flow. </w:t>
      </w:r>
    </w:p>
    <w:p w:rsidR="00644511" w:rsidRPr="00C5392B" w:rsidP="0048428B">
      <w:pPr>
        <w:bidi w:val="0"/>
        <w:spacing w:after="0" w:line="240" w:lineRule="auto"/>
        <w:jc w:val="both"/>
        <w:rPr>
          <w:rStyle w:val="PlaceholderText"/>
          <w:color w:val="000000"/>
          <w:sz w:val="24"/>
          <w:szCs w:val="24"/>
        </w:rPr>
      </w:pPr>
      <w:r w:rsidRPr="00C5392B" w:rsidR="00020B91">
        <w:rPr>
          <w:rStyle w:val="PlaceholderText"/>
          <w:color w:val="000000"/>
          <w:sz w:val="24"/>
          <w:szCs w:val="24"/>
        </w:rPr>
        <w:t xml:space="preserve">Dôvodom </w:t>
      </w:r>
      <w:r w:rsidRPr="00C5392B" w:rsidR="00CB64EC">
        <w:rPr>
          <w:rStyle w:val="PlaceholderText"/>
          <w:color w:val="000000"/>
          <w:sz w:val="24"/>
          <w:szCs w:val="24"/>
        </w:rPr>
        <w:t>prehodnotenia</w:t>
      </w:r>
      <w:r w:rsidRPr="00C5392B" w:rsidR="00020B91">
        <w:rPr>
          <w:rStyle w:val="PlaceholderText"/>
          <w:color w:val="000000"/>
          <w:sz w:val="24"/>
          <w:szCs w:val="24"/>
        </w:rPr>
        <w:t xml:space="preserve"> zavedenia tohto opatrenia je konsolidácia verejných financií. </w:t>
      </w:r>
      <w:r w:rsidRPr="00C5392B" w:rsidR="0093260A">
        <w:rPr>
          <w:rStyle w:val="PlaceholderText"/>
          <w:color w:val="000000"/>
          <w:sz w:val="24"/>
          <w:szCs w:val="24"/>
        </w:rPr>
        <w:t>Samozdanenie dovozu tovaru plati</w:t>
      </w:r>
      <w:r w:rsidRPr="00C5392B" w:rsidR="00B24D37">
        <w:rPr>
          <w:rStyle w:val="PlaceholderText"/>
          <w:color w:val="000000"/>
          <w:sz w:val="24"/>
          <w:szCs w:val="24"/>
        </w:rPr>
        <w:t>t</w:t>
      </w:r>
      <w:r w:rsidRPr="00C5392B" w:rsidR="0093260A">
        <w:rPr>
          <w:rStyle w:val="PlaceholderText"/>
          <w:color w:val="000000"/>
          <w:sz w:val="24"/>
          <w:szCs w:val="24"/>
        </w:rPr>
        <w:t>eľmi dane pri zavedení od 1. januára 2017 by nemalo mať vplyv na akruálny výnos DPH (ESA 2010), zníži však hotovostný výnos DPH v roku 2017 (v prvom štvrťroku) vo výške 592,6 mil</w:t>
      </w:r>
      <w:r w:rsidRPr="00C5392B" w:rsidR="00B24D37">
        <w:rPr>
          <w:rStyle w:val="PlaceholderText"/>
          <w:color w:val="000000"/>
          <w:sz w:val="24"/>
          <w:szCs w:val="24"/>
        </w:rPr>
        <w:t>. eur (0,7 % HDP). V p</w:t>
      </w:r>
      <w:r w:rsidRPr="00C5392B" w:rsidR="0093260A">
        <w:rPr>
          <w:rStyle w:val="PlaceholderText"/>
          <w:color w:val="000000"/>
          <w:sz w:val="24"/>
          <w:szCs w:val="24"/>
        </w:rPr>
        <w:t>rvých troch mesiacoch roku 2017 by poklesol hotovostný výnos DPH, pričom súčasne by boli ešte vyplácané nadmerné odpočty vzťahujúce sa k DPH zaplatenej colným orgánom do konca roku 2016.</w:t>
      </w:r>
    </w:p>
    <w:p w:rsidR="0093260A" w:rsidRPr="00C5392B" w:rsidP="0048428B">
      <w:pPr>
        <w:bidi w:val="0"/>
        <w:spacing w:after="0" w:line="240" w:lineRule="auto"/>
        <w:jc w:val="both"/>
        <w:rPr>
          <w:rStyle w:val="PlaceholderText"/>
          <w:color w:val="000000"/>
          <w:sz w:val="24"/>
          <w:szCs w:val="24"/>
        </w:rPr>
      </w:pPr>
      <w:r w:rsidRPr="00C5392B">
        <w:rPr>
          <w:rStyle w:val="PlaceholderText"/>
          <w:color w:val="000000"/>
          <w:sz w:val="24"/>
          <w:szCs w:val="24"/>
        </w:rPr>
        <w:t>Napriek neutrálnemu vplyvu na akruálne príjmy by toto opatrenie malo negatívny vp</w:t>
      </w:r>
      <w:r w:rsidRPr="00C5392B" w:rsidR="00B24D37">
        <w:rPr>
          <w:rStyle w:val="PlaceholderText"/>
          <w:color w:val="000000"/>
          <w:sz w:val="24"/>
          <w:szCs w:val="24"/>
        </w:rPr>
        <w:t>lyv na výšku maastrichtského dl</w:t>
      </w:r>
      <w:r w:rsidRPr="00C5392B">
        <w:rPr>
          <w:rStyle w:val="PlaceholderText"/>
          <w:color w:val="000000"/>
          <w:sz w:val="24"/>
          <w:szCs w:val="24"/>
        </w:rPr>
        <w:t>hu a úrokové náklady v ESA 2010. Na krytie hotovostného výpadku by bola potrebná dodatočná em</w:t>
      </w:r>
      <w:r w:rsidRPr="00C5392B" w:rsidR="00B24D37">
        <w:rPr>
          <w:rStyle w:val="PlaceholderText"/>
          <w:color w:val="000000"/>
          <w:sz w:val="24"/>
          <w:szCs w:val="24"/>
        </w:rPr>
        <w:t>isia</w:t>
      </w:r>
      <w:r w:rsidRPr="00C5392B">
        <w:rPr>
          <w:rStyle w:val="PlaceholderText"/>
          <w:color w:val="000000"/>
          <w:sz w:val="24"/>
          <w:szCs w:val="24"/>
        </w:rPr>
        <w:t xml:space="preserve"> vládnych cenných pap</w:t>
      </w:r>
      <w:r w:rsidRPr="00C5392B" w:rsidR="00B24D37">
        <w:rPr>
          <w:rStyle w:val="PlaceholderText"/>
          <w:color w:val="000000"/>
          <w:sz w:val="24"/>
          <w:szCs w:val="24"/>
        </w:rPr>
        <w:t>ie</w:t>
      </w:r>
      <w:r w:rsidRPr="00C5392B">
        <w:rPr>
          <w:rStyle w:val="PlaceholderText"/>
          <w:color w:val="000000"/>
          <w:sz w:val="24"/>
          <w:szCs w:val="24"/>
        </w:rPr>
        <w:t>rov, čím dôjde ku zvýšeniu hrubého dlhu</w:t>
      </w:r>
      <w:r w:rsidRPr="00C5392B" w:rsidR="00B24D37">
        <w:rPr>
          <w:rStyle w:val="PlaceholderText"/>
          <w:color w:val="000000"/>
          <w:sz w:val="24"/>
          <w:szCs w:val="24"/>
        </w:rPr>
        <w:t>,</w:t>
      </w:r>
      <w:r w:rsidRPr="00C5392B">
        <w:rPr>
          <w:rStyle w:val="PlaceholderText"/>
          <w:color w:val="000000"/>
          <w:sz w:val="24"/>
          <w:szCs w:val="24"/>
        </w:rPr>
        <w:t xml:space="preserve"> a tým aj k zvýšeniu úrokových nákladov.</w:t>
      </w:r>
    </w:p>
    <w:p w:rsidR="00620E8D" w:rsidRPr="00C5392B" w:rsidP="0048428B">
      <w:pPr>
        <w:bidi w:val="0"/>
        <w:spacing w:after="0" w:line="240" w:lineRule="auto"/>
        <w:jc w:val="both"/>
        <w:rPr>
          <w:rStyle w:val="PlaceholderText"/>
          <w:color w:val="000000"/>
          <w:sz w:val="24"/>
          <w:szCs w:val="24"/>
        </w:rPr>
      </w:pPr>
      <w:r w:rsidRPr="00C5392B" w:rsidR="00020B91">
        <w:rPr>
          <w:rStyle w:val="PlaceholderText"/>
          <w:color w:val="000000"/>
          <w:sz w:val="24"/>
          <w:szCs w:val="24"/>
        </w:rPr>
        <w:t xml:space="preserve">V kontexte dodržiavania pravidiel Paktu stability a rastu, ktorými je Slovenská republika viazaná, sa navrhuje </w:t>
      </w:r>
      <w:r w:rsidRPr="00C5392B">
        <w:rPr>
          <w:rStyle w:val="PlaceholderText"/>
          <w:color w:val="000000"/>
          <w:sz w:val="24"/>
          <w:szCs w:val="24"/>
        </w:rPr>
        <w:t xml:space="preserve">odložiť zavedenie </w:t>
      </w:r>
      <w:r w:rsidRPr="00C5392B" w:rsidR="00020B91">
        <w:rPr>
          <w:rStyle w:val="PlaceholderText"/>
          <w:color w:val="000000"/>
          <w:sz w:val="24"/>
          <w:szCs w:val="24"/>
        </w:rPr>
        <w:t>samozdaneni</w:t>
      </w:r>
      <w:r w:rsidRPr="00C5392B">
        <w:rPr>
          <w:rStyle w:val="PlaceholderText"/>
          <w:color w:val="000000"/>
          <w:sz w:val="24"/>
          <w:szCs w:val="24"/>
        </w:rPr>
        <w:t>a</w:t>
      </w:r>
      <w:r w:rsidRPr="00C5392B" w:rsidR="00020B91">
        <w:rPr>
          <w:rStyle w:val="PlaceholderText"/>
          <w:color w:val="000000"/>
          <w:sz w:val="24"/>
          <w:szCs w:val="24"/>
        </w:rPr>
        <w:t xml:space="preserve"> dovozu tovaru z tretích štátov až </w:t>
      </w:r>
      <w:r w:rsidRPr="00C5392B">
        <w:rPr>
          <w:rStyle w:val="PlaceholderText"/>
          <w:color w:val="000000"/>
          <w:sz w:val="24"/>
          <w:szCs w:val="24"/>
        </w:rPr>
        <w:t>na obdobie, kedy rozdiel medzi horným limitom dlhu verejnej správy ustanoveným pre príslušný rozpočtový rok a aktuálnou výškou dlhu verejnej správy Slovenskej republiky zverejnenou Európskou komisiou (Eurostat) za tento príslušný rozpočtový rok bude väčší ako 11 percentuálnych bodov.</w:t>
      </w:r>
    </w:p>
    <w:p w:rsidR="00020B91" w:rsidRPr="00C5392B" w:rsidP="0048428B">
      <w:pPr>
        <w:bidi w:val="0"/>
        <w:spacing w:after="0" w:line="240" w:lineRule="auto"/>
        <w:jc w:val="both"/>
        <w:rPr>
          <w:rFonts w:ascii="Times New Roman" w:hAnsi="Times New Roman"/>
          <w:sz w:val="24"/>
          <w:szCs w:val="24"/>
        </w:rPr>
      </w:pPr>
      <w:r w:rsidRPr="00C5392B">
        <w:rPr>
          <w:rStyle w:val="PlaceholderText"/>
          <w:color w:val="000000"/>
          <w:sz w:val="24"/>
          <w:szCs w:val="24"/>
        </w:rPr>
        <w:t>Napriek opatreniam, ktoré od roku 2014 nastavili trend zadlženia</w:t>
      </w:r>
      <w:r w:rsidRPr="00C5392B">
        <w:rPr>
          <w:rFonts w:ascii="Times New Roman" w:hAnsi="Times New Roman"/>
          <w:sz w:val="24"/>
          <w:szCs w:val="24"/>
        </w:rPr>
        <w:t xml:space="preserve"> SR na klesajúcu trajektóriu, sa dlh podľa aktuálneho odhadu pre rok 2015 nachádza len tesne pod úrovňou druhého sankčného pásma vo výške 52,9 % hrubého domáceho produktu. V roku 2017 sa odhaduje dlh verejnej správy na úrovni 52 % hrubého domáceho produktu. V súvislosti s kvantifikáciou potenciálneho vplyvu tohto opatrenia na rast dlhu vo výške 0,7 % hrubého domáceho produktu a iných nezahrnutých rizík, sa navrhuje zavedenie samozdanenia dovozu tovaru až v období po roku 2017. V prípade prekročenia pásma nad 53 % hrubého domáceho produktu by musela vláda čeliť sankciám v podobe povinného prijatia dostatočných konsolidačných opatrení na opätovné zníženie dlhu v zmysle Ústavného zákona o rozpočtovej zodpovednosti. </w:t>
      </w:r>
    </w:p>
    <w:p w:rsidR="009E5F21" w:rsidP="0048428B">
      <w:pPr>
        <w:bidi w:val="0"/>
        <w:spacing w:after="0" w:line="240" w:lineRule="auto"/>
        <w:jc w:val="both"/>
        <w:rPr>
          <w:rStyle w:val="PlaceholderText"/>
          <w:color w:val="000000"/>
          <w:sz w:val="24"/>
          <w:szCs w:val="24"/>
        </w:rPr>
      </w:pPr>
    </w:p>
    <w:p w:rsidR="009E5F21" w:rsidP="0048428B">
      <w:pPr>
        <w:bidi w:val="0"/>
        <w:spacing w:after="0" w:line="240" w:lineRule="auto"/>
        <w:jc w:val="both"/>
        <w:rPr>
          <w:rStyle w:val="PlaceholderText"/>
          <w:color w:val="000000"/>
          <w:sz w:val="24"/>
          <w:szCs w:val="24"/>
        </w:rPr>
      </w:pPr>
      <w:r w:rsidRPr="00D2318B">
        <w:rPr>
          <w:rStyle w:val="PlaceholderText"/>
          <w:color w:val="000000"/>
          <w:sz w:val="24"/>
          <w:szCs w:val="24"/>
        </w:rPr>
        <w:t>Novelou sa navrhuje doplniť do zákona</w:t>
      </w:r>
      <w:r>
        <w:rPr>
          <w:rStyle w:val="PlaceholderText"/>
          <w:color w:val="000000"/>
          <w:sz w:val="24"/>
          <w:szCs w:val="24"/>
        </w:rPr>
        <w:t xml:space="preserve"> nárok na </w:t>
      </w:r>
      <w:r w:rsidRPr="00D2318B">
        <w:rPr>
          <w:rStyle w:val="PlaceholderText"/>
          <w:color w:val="000000"/>
          <w:sz w:val="24"/>
          <w:szCs w:val="24"/>
        </w:rPr>
        <w:t>finančn</w:t>
      </w:r>
      <w:r>
        <w:rPr>
          <w:rStyle w:val="PlaceholderText"/>
          <w:color w:val="000000"/>
          <w:sz w:val="24"/>
          <w:szCs w:val="24"/>
        </w:rPr>
        <w:t>ú</w:t>
      </w:r>
      <w:r w:rsidRPr="00D2318B">
        <w:rPr>
          <w:rStyle w:val="PlaceholderText"/>
          <w:color w:val="000000"/>
          <w:sz w:val="24"/>
          <w:szCs w:val="24"/>
        </w:rPr>
        <w:t xml:space="preserve"> náhrad</w:t>
      </w:r>
      <w:r>
        <w:rPr>
          <w:rStyle w:val="PlaceholderText"/>
          <w:color w:val="000000"/>
          <w:sz w:val="24"/>
          <w:szCs w:val="24"/>
        </w:rPr>
        <w:t>u</w:t>
      </w:r>
      <w:r w:rsidRPr="00D2318B">
        <w:rPr>
          <w:rStyle w:val="PlaceholderText"/>
          <w:color w:val="000000"/>
          <w:sz w:val="24"/>
          <w:szCs w:val="24"/>
        </w:rPr>
        <w:t xml:space="preserve"> zo zadržiavaného nadmerného odpočtu počas daňovej kontroly, tzv. úrok z nadmerného odpočtu. Nárok sa navrhuje priznať platiteľovi dane, ak </w:t>
      </w:r>
      <w:r>
        <w:rPr>
          <w:rStyle w:val="PlaceholderText"/>
          <w:color w:val="000000"/>
          <w:sz w:val="24"/>
          <w:szCs w:val="24"/>
        </w:rPr>
        <w:t>sa nadmerný odpočet vráti platiteľovi dane po uplynutí šiestich mesiacov od konca lehoty na vrátenie nadmerného odpočtu.</w:t>
      </w:r>
    </w:p>
    <w:p w:rsidR="00763CA4" w:rsidP="0048428B">
      <w:pPr>
        <w:autoSpaceDE w:val="0"/>
        <w:autoSpaceDN w:val="0"/>
        <w:bidi w:val="0"/>
        <w:adjustRightInd w:val="0"/>
        <w:spacing w:after="0" w:line="240" w:lineRule="auto"/>
        <w:jc w:val="both"/>
        <w:rPr>
          <w:rStyle w:val="PlaceholderText"/>
          <w:color w:val="000000"/>
          <w:sz w:val="24"/>
          <w:szCs w:val="24"/>
        </w:rPr>
      </w:pPr>
    </w:p>
    <w:p w:rsidR="00556EE6" w:rsidP="0048428B">
      <w:pPr>
        <w:autoSpaceDE w:val="0"/>
        <w:autoSpaceDN w:val="0"/>
        <w:bidi w:val="0"/>
        <w:adjustRightInd w:val="0"/>
        <w:spacing w:after="0" w:line="240" w:lineRule="auto"/>
        <w:jc w:val="both"/>
        <w:rPr>
          <w:rFonts w:ascii="Times New Roman" w:hAnsi="Times New Roman"/>
          <w:sz w:val="24"/>
          <w:szCs w:val="24"/>
        </w:rPr>
      </w:pPr>
      <w:r w:rsidRPr="00C621AE" w:rsidR="00C621AE">
        <w:rPr>
          <w:rFonts w:ascii="Times New Roman" w:hAnsi="Times New Roman"/>
          <w:sz w:val="24"/>
          <w:szCs w:val="24"/>
        </w:rPr>
        <w:t xml:space="preserve">Do zákona sa nadväzne na mechanizmus prenesenia daňovej povinnosti pri poskytnutí plnení v oblasti stavebníctva, zavedený od 1.1.2016, dopĺňa ustanovenie, ktoré by malo zabezpečiť väčšiu právnu istotu pri uplatňovaní prenosu daňovej povinnosti, tak pre dodávateľa ako aj pre odberateľa. V prípade, ak dodávateľ odôvodnene predpokladá, že ním dodaná stavebná služba podlieha prenosu daňovej povinnosti a faktúru vyhotoví s touto informáciou, bude osobou povinnou platiť daň príjemca plnenia. Cieľom je zabrániť nadmernej administratívnej záťaži dodávateľa ako aj príjemcu plnenia v súvislosti s duplicitným overovaním správnosti zatriedenia činnosti ako stavebnej práce podľa príslušnej štatistickej klasifikácie produktov. </w:t>
      </w:r>
      <w:r>
        <w:rPr>
          <w:rFonts w:ascii="Times New Roman" w:hAnsi="Times New Roman"/>
          <w:sz w:val="24"/>
          <w:szCs w:val="24"/>
        </w:rPr>
        <w:t xml:space="preserve">Súčasne sa ukladá platiteľovi dane, ktorý uskutoční takúto dodávku, </w:t>
      </w:r>
      <w:r w:rsidR="00756259">
        <w:rPr>
          <w:rFonts w:ascii="Times New Roman" w:hAnsi="Times New Roman"/>
          <w:sz w:val="24"/>
          <w:szCs w:val="24"/>
        </w:rPr>
        <w:t xml:space="preserve">povinnosť </w:t>
      </w:r>
      <w:r>
        <w:rPr>
          <w:rFonts w:ascii="Times New Roman" w:hAnsi="Times New Roman"/>
          <w:sz w:val="24"/>
          <w:szCs w:val="24"/>
        </w:rPr>
        <w:t xml:space="preserve">uviesť vyhotovenú faktúru v kontrolnom výkaze. </w:t>
      </w:r>
    </w:p>
    <w:p w:rsidR="00C621AE" w:rsidRPr="00C621AE" w:rsidP="0048428B">
      <w:pPr>
        <w:autoSpaceDE w:val="0"/>
        <w:autoSpaceDN w:val="0"/>
        <w:bidi w:val="0"/>
        <w:adjustRightInd w:val="0"/>
        <w:spacing w:after="0" w:line="240" w:lineRule="auto"/>
        <w:jc w:val="both"/>
      </w:pPr>
    </w:p>
    <w:p w:rsidR="00BD3FA9" w:rsidRPr="00C621AE" w:rsidP="0048428B">
      <w:pPr>
        <w:autoSpaceDE w:val="0"/>
        <w:autoSpaceDN w:val="0"/>
        <w:bidi w:val="0"/>
        <w:adjustRightInd w:val="0"/>
        <w:spacing w:after="0" w:line="240" w:lineRule="auto"/>
        <w:jc w:val="both"/>
        <w:rPr>
          <w:rFonts w:ascii="Times New Roman" w:hAnsi="Times New Roman"/>
          <w:sz w:val="24"/>
          <w:szCs w:val="24"/>
        </w:rPr>
      </w:pPr>
      <w:r w:rsidRPr="00C621AE" w:rsidR="00763CA4">
        <w:rPr>
          <w:rFonts w:ascii="Times New Roman" w:hAnsi="Times New Roman"/>
          <w:sz w:val="24"/>
          <w:szCs w:val="24"/>
        </w:rPr>
        <w:t xml:space="preserve">Zároveň sa novelou </w:t>
      </w:r>
      <w:r w:rsidRPr="00C621AE" w:rsidR="00B725DA">
        <w:rPr>
          <w:rFonts w:ascii="Times New Roman" w:hAnsi="Times New Roman"/>
          <w:sz w:val="24"/>
          <w:szCs w:val="24"/>
        </w:rPr>
        <w:t xml:space="preserve">zákona </w:t>
      </w:r>
      <w:r w:rsidRPr="00C621AE" w:rsidR="00763CA4">
        <w:rPr>
          <w:rFonts w:ascii="Times New Roman" w:hAnsi="Times New Roman"/>
          <w:sz w:val="24"/>
          <w:szCs w:val="24"/>
        </w:rPr>
        <w:t>navrhuje odstrániť možnosť dvojakého postupu zahraničnej osoby v </w:t>
      </w:r>
      <w:r w:rsidRPr="00C621AE">
        <w:rPr>
          <w:rFonts w:ascii="Times New Roman" w:hAnsi="Times New Roman"/>
          <w:sz w:val="24"/>
          <w:szCs w:val="24"/>
        </w:rPr>
        <w:t>súvi</w:t>
      </w:r>
      <w:r w:rsidRPr="00C621AE" w:rsidR="00763CA4">
        <w:rPr>
          <w:rFonts w:ascii="Times New Roman" w:hAnsi="Times New Roman"/>
          <w:sz w:val="24"/>
          <w:szCs w:val="24"/>
        </w:rPr>
        <w:t>s</w:t>
      </w:r>
      <w:r w:rsidRPr="00C621AE">
        <w:rPr>
          <w:rFonts w:ascii="Times New Roman" w:hAnsi="Times New Roman"/>
          <w:sz w:val="24"/>
          <w:szCs w:val="24"/>
        </w:rPr>
        <w:t>l</w:t>
      </w:r>
      <w:r w:rsidRPr="00C621AE" w:rsidR="00763CA4">
        <w:rPr>
          <w:rFonts w:ascii="Times New Roman" w:hAnsi="Times New Roman"/>
          <w:sz w:val="24"/>
          <w:szCs w:val="24"/>
        </w:rPr>
        <w:t>o</w:t>
      </w:r>
      <w:r w:rsidRPr="00C621AE">
        <w:rPr>
          <w:rFonts w:ascii="Times New Roman" w:hAnsi="Times New Roman"/>
          <w:sz w:val="24"/>
          <w:szCs w:val="24"/>
        </w:rPr>
        <w:t>s</w:t>
      </w:r>
      <w:r w:rsidRPr="00C621AE" w:rsidR="00763CA4">
        <w:rPr>
          <w:rFonts w:ascii="Times New Roman" w:hAnsi="Times New Roman"/>
          <w:sz w:val="24"/>
          <w:szCs w:val="24"/>
        </w:rPr>
        <w:t xml:space="preserve">ti s DPH, ktorá jej bola účtovaná </w:t>
      </w:r>
      <w:r w:rsidRPr="00C621AE">
        <w:rPr>
          <w:rFonts w:ascii="Times New Roman" w:hAnsi="Times New Roman"/>
          <w:sz w:val="24"/>
          <w:szCs w:val="24"/>
        </w:rPr>
        <w:t xml:space="preserve">na tovary a služby kúpené </w:t>
      </w:r>
      <w:r w:rsidRPr="00C621AE" w:rsidR="00763CA4">
        <w:rPr>
          <w:rFonts w:ascii="Times New Roman" w:hAnsi="Times New Roman"/>
          <w:sz w:val="24"/>
          <w:szCs w:val="24"/>
        </w:rPr>
        <w:t>v tuzemsku, ak táto zahraničná osob</w:t>
      </w:r>
      <w:r w:rsidRPr="00C621AE">
        <w:rPr>
          <w:rFonts w:ascii="Times New Roman" w:hAnsi="Times New Roman"/>
          <w:sz w:val="24"/>
          <w:szCs w:val="24"/>
        </w:rPr>
        <w:t>a</w:t>
      </w:r>
      <w:r w:rsidRPr="00C621AE" w:rsidR="00763CA4">
        <w:rPr>
          <w:rFonts w:ascii="Times New Roman" w:hAnsi="Times New Roman"/>
          <w:sz w:val="24"/>
          <w:szCs w:val="24"/>
        </w:rPr>
        <w:t xml:space="preserve"> </w:t>
      </w:r>
      <w:r w:rsidRPr="00C621AE">
        <w:rPr>
          <w:rFonts w:ascii="Times New Roman" w:hAnsi="Times New Roman"/>
          <w:sz w:val="24"/>
          <w:szCs w:val="24"/>
        </w:rPr>
        <w:t xml:space="preserve">ako </w:t>
      </w:r>
      <w:r w:rsidRPr="00C621AE" w:rsidR="00763CA4">
        <w:rPr>
          <w:rFonts w:ascii="Times New Roman" w:hAnsi="Times New Roman"/>
          <w:sz w:val="24"/>
          <w:szCs w:val="24"/>
        </w:rPr>
        <w:t>registrovaný platiteľ dane uskutočňuje v tuzemsku stavebné práce s prenos</w:t>
      </w:r>
      <w:r w:rsidRPr="00C621AE">
        <w:rPr>
          <w:rFonts w:ascii="Times New Roman" w:hAnsi="Times New Roman"/>
          <w:sz w:val="24"/>
          <w:szCs w:val="24"/>
        </w:rPr>
        <w:t>o</w:t>
      </w:r>
      <w:r w:rsidRPr="00C621AE" w:rsidR="00763CA4">
        <w:rPr>
          <w:rFonts w:ascii="Times New Roman" w:hAnsi="Times New Roman"/>
          <w:sz w:val="24"/>
          <w:szCs w:val="24"/>
        </w:rPr>
        <w:t xml:space="preserve">m </w:t>
      </w:r>
      <w:r w:rsidRPr="00C621AE" w:rsidR="004F14A1">
        <w:rPr>
          <w:rFonts w:ascii="Times New Roman" w:hAnsi="Times New Roman"/>
          <w:sz w:val="24"/>
          <w:szCs w:val="24"/>
        </w:rPr>
        <w:t>daňovej povinnosti príp. iné plnenia s prenosom daňovej povinnosti uvedené v § 69 ods. 12 zákona o DPH.</w:t>
      </w:r>
      <w:r w:rsidRPr="00C621AE" w:rsidR="00763CA4">
        <w:rPr>
          <w:rFonts w:ascii="Times New Roman" w:hAnsi="Times New Roman"/>
          <w:sz w:val="24"/>
          <w:szCs w:val="24"/>
        </w:rPr>
        <w:t xml:space="preserve"> </w:t>
      </w:r>
      <w:r w:rsidRPr="00C621AE">
        <w:rPr>
          <w:rFonts w:ascii="Times New Roman" w:hAnsi="Times New Roman"/>
          <w:sz w:val="24"/>
          <w:szCs w:val="24"/>
        </w:rPr>
        <w:t xml:space="preserve">V </w:t>
      </w:r>
      <w:r w:rsidRPr="00C621AE" w:rsidR="00763CA4">
        <w:rPr>
          <w:rFonts w:ascii="Times New Roman" w:hAnsi="Times New Roman"/>
          <w:sz w:val="24"/>
          <w:szCs w:val="24"/>
        </w:rPr>
        <w:t xml:space="preserve">takýchto prípadoch by mala zahraničná osoba prednostne uplatňovať žiadosť o vrátenie </w:t>
      </w:r>
      <w:r w:rsidRPr="00C621AE">
        <w:rPr>
          <w:rFonts w:ascii="Times New Roman" w:hAnsi="Times New Roman"/>
          <w:sz w:val="24"/>
          <w:szCs w:val="24"/>
        </w:rPr>
        <w:t xml:space="preserve">dane pred </w:t>
      </w:r>
      <w:r w:rsidRPr="00C621AE" w:rsidR="00763CA4">
        <w:rPr>
          <w:rFonts w:ascii="Times New Roman" w:hAnsi="Times New Roman"/>
          <w:sz w:val="24"/>
          <w:szCs w:val="24"/>
        </w:rPr>
        <w:t>odpočítan</w:t>
      </w:r>
      <w:r w:rsidRPr="00C621AE">
        <w:rPr>
          <w:rFonts w:ascii="Times New Roman" w:hAnsi="Times New Roman"/>
          <w:sz w:val="24"/>
          <w:szCs w:val="24"/>
        </w:rPr>
        <w:t>ím</w:t>
      </w:r>
      <w:r w:rsidRPr="00C621AE" w:rsidR="00763CA4">
        <w:rPr>
          <w:rFonts w:ascii="Times New Roman" w:hAnsi="Times New Roman"/>
          <w:sz w:val="24"/>
          <w:szCs w:val="24"/>
        </w:rPr>
        <w:t xml:space="preserve"> dane prostredníctvom daňového priznania</w:t>
      </w:r>
      <w:r w:rsidRPr="00C621AE">
        <w:rPr>
          <w:rFonts w:ascii="Times New Roman" w:hAnsi="Times New Roman"/>
          <w:sz w:val="24"/>
          <w:szCs w:val="24"/>
        </w:rPr>
        <w:t>, čo je plne v súlade s článkom 170 smernice Rady 2006/112/ES o spoločnom systéme dane z pridanej hodnoty a so smernicou Rady 2008/9/ES, ktorou sa ustanovujú podrobné pravidlá pre vrátenie dane z pridanej hodnoty ustanovené v smernici 2006/112/ES zdaniteľným osobám, ktoré nie sú usadené v členskom štáte vrátenia dane, ale ktoré sú usadené v inom členskom štáte.</w:t>
      </w:r>
    </w:p>
    <w:p w:rsidR="00BD3FA9" w:rsidRPr="00C621AE" w:rsidP="0048428B">
      <w:pPr>
        <w:bidi w:val="0"/>
        <w:spacing w:after="0" w:line="240" w:lineRule="auto"/>
        <w:jc w:val="both"/>
      </w:pPr>
    </w:p>
    <w:p w:rsidR="00020B91" w:rsidRPr="00C5392B" w:rsidP="0048428B">
      <w:pPr>
        <w:bidi w:val="0"/>
        <w:spacing w:after="0" w:line="240" w:lineRule="auto"/>
        <w:jc w:val="both"/>
        <w:rPr>
          <w:rStyle w:val="PlaceholderText"/>
          <w:color w:val="000000"/>
          <w:sz w:val="24"/>
          <w:szCs w:val="24"/>
        </w:rPr>
      </w:pPr>
      <w:r w:rsidRPr="00C5392B">
        <w:rPr>
          <w:rStyle w:val="PlaceholderText"/>
          <w:color w:val="000000"/>
          <w:sz w:val="24"/>
          <w:szCs w:val="24"/>
        </w:rPr>
        <w:t xml:space="preserve">Účinnosť novely zákona o dani z pridanej hodnoty sa navrhuje od </w:t>
      </w:r>
      <w:r w:rsidR="0000511E">
        <w:rPr>
          <w:rStyle w:val="PlaceholderText"/>
          <w:color w:val="000000"/>
          <w:sz w:val="24"/>
          <w:szCs w:val="24"/>
        </w:rPr>
        <w:t xml:space="preserve">1. januára 2017 okrem ustanovení, ktoré sa týkajú </w:t>
      </w:r>
      <w:r w:rsidR="003E3202">
        <w:rPr>
          <w:rStyle w:val="PlaceholderText"/>
          <w:color w:val="000000"/>
          <w:sz w:val="24"/>
          <w:szCs w:val="24"/>
        </w:rPr>
        <w:t xml:space="preserve">zmeny účinnosti samozdanenia pri dovoze tovaru a ktorých účinnosť sa navrhuje od </w:t>
      </w:r>
      <w:r w:rsidRPr="00C5392B" w:rsidR="00620E8D">
        <w:rPr>
          <w:rStyle w:val="PlaceholderText"/>
          <w:color w:val="000000"/>
          <w:sz w:val="24"/>
          <w:szCs w:val="24"/>
        </w:rPr>
        <w:t>3</w:t>
      </w:r>
      <w:r w:rsidRPr="00C5392B">
        <w:rPr>
          <w:rStyle w:val="PlaceholderText"/>
          <w:color w:val="000000"/>
          <w:sz w:val="24"/>
          <w:szCs w:val="24"/>
        </w:rPr>
        <w:t xml:space="preserve">1. </w:t>
      </w:r>
      <w:r w:rsidRPr="00C5392B" w:rsidR="00620E8D">
        <w:rPr>
          <w:rStyle w:val="PlaceholderText"/>
          <w:color w:val="000000"/>
          <w:sz w:val="24"/>
          <w:szCs w:val="24"/>
        </w:rPr>
        <w:t>decembra 2016.</w:t>
      </w:r>
    </w:p>
    <w:p w:rsidR="00020B91" w:rsidRPr="00C5392B" w:rsidP="0048428B">
      <w:pPr>
        <w:bidi w:val="0"/>
        <w:spacing w:after="0" w:line="240" w:lineRule="auto"/>
        <w:jc w:val="both"/>
        <w:rPr>
          <w:rStyle w:val="PlaceholderText"/>
          <w:color w:val="000000"/>
          <w:sz w:val="24"/>
          <w:szCs w:val="24"/>
        </w:rPr>
      </w:pPr>
      <w:r w:rsidRPr="00C5392B">
        <w:rPr>
          <w:rStyle w:val="PlaceholderText"/>
          <w:color w:val="000000"/>
          <w:sz w:val="24"/>
          <w:szCs w:val="24"/>
        </w:rPr>
        <w:t> </w:t>
      </w:r>
    </w:p>
    <w:p w:rsidR="00020B91" w:rsidRPr="00C5392B" w:rsidP="0048428B">
      <w:pPr>
        <w:bidi w:val="0"/>
        <w:spacing w:after="0" w:line="240" w:lineRule="auto"/>
        <w:jc w:val="both"/>
        <w:rPr>
          <w:rStyle w:val="PlaceholderText"/>
          <w:color w:val="000000"/>
          <w:sz w:val="24"/>
          <w:szCs w:val="24"/>
        </w:rPr>
      </w:pPr>
      <w:r w:rsidRPr="00C5392B">
        <w:rPr>
          <w:rStyle w:val="PlaceholderText"/>
          <w:color w:val="000000"/>
          <w:sz w:val="24"/>
          <w:szCs w:val="24"/>
        </w:rPr>
        <w:t xml:space="preserve">Dopady návrhu novely zákona o dani z pridanej hodnoty na rozpočet verejnej správy, podnikateľské prostredie, sociálne prostredie, </w:t>
      </w:r>
      <w:r w:rsidR="00644757">
        <w:rPr>
          <w:rStyle w:val="PlaceholderText"/>
          <w:color w:val="000000"/>
          <w:sz w:val="24"/>
          <w:szCs w:val="24"/>
        </w:rPr>
        <w:t xml:space="preserve">životné prostredie, </w:t>
      </w:r>
      <w:r w:rsidRPr="00C5392B">
        <w:rPr>
          <w:rStyle w:val="PlaceholderText"/>
          <w:color w:val="000000"/>
          <w:sz w:val="24"/>
          <w:szCs w:val="24"/>
        </w:rPr>
        <w:t xml:space="preserve">informatizáciu spoločnosti </w:t>
      </w:r>
      <w:r w:rsidR="00644757">
        <w:rPr>
          <w:rStyle w:val="PlaceholderText"/>
          <w:color w:val="000000"/>
          <w:sz w:val="24"/>
          <w:szCs w:val="24"/>
        </w:rPr>
        <w:t xml:space="preserve">a služby verejnej správy pre občana </w:t>
      </w:r>
      <w:r w:rsidRPr="00C5392B">
        <w:rPr>
          <w:rStyle w:val="PlaceholderText"/>
          <w:color w:val="000000"/>
          <w:sz w:val="24"/>
          <w:szCs w:val="24"/>
        </w:rPr>
        <w:t>sú uvedené v doložke vybraných vplyvov.</w:t>
      </w:r>
    </w:p>
    <w:p w:rsidR="00020B91" w:rsidRPr="00C5392B" w:rsidP="0048428B">
      <w:pPr>
        <w:bidi w:val="0"/>
        <w:spacing w:after="0" w:line="240" w:lineRule="auto"/>
        <w:jc w:val="both"/>
        <w:rPr>
          <w:rStyle w:val="PlaceholderText"/>
          <w:color w:val="000000"/>
          <w:sz w:val="24"/>
          <w:szCs w:val="24"/>
        </w:rPr>
      </w:pPr>
    </w:p>
    <w:p w:rsidR="00020B91" w:rsidRPr="00C5392B" w:rsidP="0048428B">
      <w:pPr>
        <w:bidi w:val="0"/>
        <w:spacing w:after="0" w:line="240" w:lineRule="auto"/>
        <w:jc w:val="both"/>
        <w:rPr>
          <w:rStyle w:val="PlaceholderText"/>
          <w:color w:val="000000"/>
          <w:sz w:val="24"/>
          <w:szCs w:val="24"/>
        </w:rPr>
      </w:pPr>
      <w:r w:rsidRPr="00C5392B">
        <w:rPr>
          <w:rStyle w:val="PlaceholderText"/>
          <w:color w:val="000000"/>
          <w:sz w:val="24"/>
          <w:szCs w:val="24"/>
        </w:rPr>
        <w:t>Predkladaný návrh zákona nebude mať vplyv na rozpočty obcí a vyšších územných celkov.</w:t>
      </w:r>
    </w:p>
    <w:p w:rsidR="00020B91" w:rsidRPr="00C5392B" w:rsidP="0048428B">
      <w:pPr>
        <w:bidi w:val="0"/>
        <w:spacing w:after="0" w:line="240" w:lineRule="auto"/>
        <w:jc w:val="both"/>
        <w:rPr>
          <w:rStyle w:val="PlaceholderText"/>
          <w:color w:val="000000"/>
          <w:sz w:val="24"/>
          <w:szCs w:val="24"/>
        </w:rPr>
      </w:pPr>
    </w:p>
    <w:p w:rsidR="00020B91" w:rsidRPr="00C5392B" w:rsidP="0048428B">
      <w:pPr>
        <w:bidi w:val="0"/>
        <w:spacing w:after="0" w:line="240" w:lineRule="auto"/>
        <w:jc w:val="both"/>
        <w:rPr>
          <w:rStyle w:val="PlaceholderText"/>
          <w:color w:val="000000"/>
          <w:sz w:val="24"/>
          <w:szCs w:val="24"/>
        </w:rPr>
      </w:pPr>
      <w:r w:rsidRPr="00C5392B">
        <w:rPr>
          <w:rStyle w:val="PlaceholderText"/>
          <w:color w:val="000000"/>
          <w:sz w:val="24"/>
          <w:szCs w:val="24"/>
        </w:rPr>
        <w:t>Predkladaný návrh zákona je v súlade s Ústavou Slovenskej republiky</w:t>
      </w:r>
      <w:r w:rsidR="00644757">
        <w:rPr>
          <w:rStyle w:val="PlaceholderText"/>
          <w:color w:val="000000"/>
          <w:sz w:val="24"/>
          <w:szCs w:val="24"/>
        </w:rPr>
        <w:t xml:space="preserve">, s ústavnými zákonmi a nálezmi </w:t>
      </w:r>
      <w:r w:rsidR="00760AEE">
        <w:rPr>
          <w:rStyle w:val="PlaceholderText"/>
          <w:color w:val="000000"/>
          <w:sz w:val="24"/>
          <w:szCs w:val="24"/>
        </w:rPr>
        <w:t>Ú</w:t>
      </w:r>
      <w:r w:rsidR="00644757">
        <w:rPr>
          <w:rStyle w:val="PlaceholderText"/>
          <w:color w:val="000000"/>
          <w:sz w:val="24"/>
          <w:szCs w:val="24"/>
        </w:rPr>
        <w:t>stavného súdu</w:t>
      </w:r>
      <w:r w:rsidR="00760AEE">
        <w:rPr>
          <w:rStyle w:val="PlaceholderText"/>
          <w:color w:val="000000"/>
          <w:sz w:val="24"/>
          <w:szCs w:val="24"/>
        </w:rPr>
        <w:t xml:space="preserve"> Slovenskej republiky</w:t>
      </w:r>
      <w:r w:rsidR="00644757">
        <w:rPr>
          <w:rStyle w:val="PlaceholderText"/>
          <w:color w:val="000000"/>
          <w:sz w:val="24"/>
          <w:szCs w:val="24"/>
        </w:rPr>
        <w:t>, s</w:t>
      </w:r>
      <w:r w:rsidRPr="00C5392B">
        <w:rPr>
          <w:rStyle w:val="PlaceholderText"/>
          <w:color w:val="000000"/>
          <w:sz w:val="24"/>
          <w:szCs w:val="24"/>
        </w:rPr>
        <w:t xml:space="preserve"> inými </w:t>
      </w:r>
      <w:r w:rsidR="00644757">
        <w:rPr>
          <w:rStyle w:val="PlaceholderText"/>
          <w:color w:val="000000"/>
          <w:sz w:val="24"/>
          <w:szCs w:val="24"/>
        </w:rPr>
        <w:t xml:space="preserve">zákonmi, </w:t>
      </w:r>
      <w:r w:rsidRPr="00C5392B">
        <w:rPr>
          <w:rStyle w:val="PlaceholderText"/>
          <w:color w:val="000000"/>
          <w:sz w:val="24"/>
          <w:szCs w:val="24"/>
        </w:rPr>
        <w:t>medzinárodnými zmluvami a</w:t>
      </w:r>
      <w:r w:rsidR="00644757">
        <w:rPr>
          <w:rStyle w:val="PlaceholderText"/>
          <w:color w:val="000000"/>
          <w:sz w:val="24"/>
          <w:szCs w:val="24"/>
        </w:rPr>
        <w:t xml:space="preserve"> inými medzinárodnými </w:t>
      </w:r>
      <w:r w:rsidRPr="00C5392B">
        <w:rPr>
          <w:rStyle w:val="PlaceholderText"/>
          <w:color w:val="000000"/>
          <w:sz w:val="24"/>
          <w:szCs w:val="24"/>
        </w:rPr>
        <w:t>dokumentmi, ktorými je Slovenská republika viazaná, ako aj v súlade s právom Európskej únie.</w:t>
      </w:r>
    </w:p>
    <w:p w:rsidR="00F3063F"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010407" w:rsidP="00C621AE">
      <w:pPr>
        <w:bidi w:val="0"/>
        <w:spacing w:after="0" w:line="240" w:lineRule="auto"/>
        <w:jc w:val="both"/>
        <w:rPr>
          <w:rFonts w:ascii="Times New Roman" w:hAnsi="Times New Roman"/>
          <w:sz w:val="24"/>
          <w:szCs w:val="24"/>
        </w:rPr>
      </w:pPr>
    </w:p>
    <w:p w:rsidR="0048428B" w:rsidRPr="00BF3078" w:rsidP="0048428B">
      <w:pPr>
        <w:bidi w:val="0"/>
        <w:spacing w:after="120"/>
        <w:jc w:val="center"/>
        <w:rPr>
          <w:b/>
        </w:rPr>
      </w:pPr>
      <w:r>
        <w:rPr>
          <w:b/>
          <w:bCs/>
          <w:sz w:val="28"/>
          <w:szCs w:val="28"/>
        </w:rPr>
        <w:t>Doložka vybraných vplyvov</w:t>
      </w: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74027">
            <w:pPr>
              <w:pStyle w:val="ListParagraph"/>
              <w:bidi w:val="0"/>
              <w:spacing w:after="0" w:line="240" w:lineRule="auto"/>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48428B" w:rsidRPr="00E126AA" w:rsidP="00474027">
            <w:pPr>
              <w:bidi w:val="0"/>
              <w:spacing w:after="0" w:line="240" w:lineRule="auto"/>
              <w:jc w:val="both"/>
            </w:pPr>
            <w:r>
              <w:t>Z</w:t>
            </w:r>
            <w:r w:rsidRPr="00E126AA">
              <w:t xml:space="preserve">ákona, ktorým sa mení a dopĺňa zákon č. 222/2004 Z. z. o dani z pridanej hodnoty v znení neskorších predpisov </w:t>
            </w:r>
            <w:r w:rsidRPr="00E126AA">
              <w:rPr>
                <w:color w:val="000000"/>
              </w:rPr>
              <w:t xml:space="preserve">a ktorým sa mení zákon č. 331/2011 Z. z., ktorým sa mení </w:t>
            </w:r>
            <w:r>
              <w:rPr>
                <w:color w:val="000000"/>
              </w:rPr>
              <w:t>a dopĺňa</w:t>
            </w:r>
            <w:r w:rsidRPr="00E126AA">
              <w:rPr>
                <w:color w:val="000000"/>
              </w:rPr>
              <w:t xml:space="preserve"> zákon č. 563/2009 Z. z. o správe daní (daňový poriadok) a o zmene a doplnení niektorých zákonov a ktorým sa menia a dopĺňajú niektoré zákony v znení neskorších predpisov</w:t>
            </w:r>
            <w:r w:rsidRPr="00E126AA">
              <w:t xml:space="preserve">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74027">
            <w:pPr>
              <w:pStyle w:val="ListParagraph"/>
              <w:bidi w:val="0"/>
              <w:spacing w:after="0" w:line="240" w:lineRule="auto"/>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8428B" w:rsidRPr="00740DE6" w:rsidP="00474027">
            <w:pPr>
              <w:bidi w:val="0"/>
              <w:spacing w:after="0" w:line="240" w:lineRule="auto"/>
              <w:rPr>
                <w:rFonts w:ascii="Arial Narrow" w:hAnsi="Arial Narrow"/>
              </w:rPr>
            </w:pPr>
            <w:r w:rsidRPr="00740DE6">
              <w:rPr>
                <w:rFonts w:ascii="Arial Narrow" w:hAnsi="Arial Narrow"/>
              </w:rPr>
              <w:t>Ministerstvo financií Slovenskej republiky</w:t>
            </w:r>
          </w:p>
          <w:p w:rsidR="0048428B" w:rsidRPr="00A179AE" w:rsidP="00474027">
            <w:pPr>
              <w:bidi w:val="0"/>
              <w:spacing w:after="0" w:line="240" w:lineRule="auto"/>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48428B" w:rsidRPr="00A179AE" w:rsidP="00474027">
            <w:pPr>
              <w:pStyle w:val="ListParagraph"/>
              <w:bidi w:val="0"/>
              <w:spacing w:after="0" w:line="240" w:lineRule="auto"/>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8428B" w:rsidRPr="00244067" w:rsidP="00474027">
            <w:pPr>
              <w:bidi w:val="0"/>
              <w:spacing w:after="0" w:line="240" w:lineRule="auto"/>
              <w:jc w:val="center"/>
            </w:pPr>
            <w:r w:rsidRPr="00244067">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8428B" w:rsidRPr="00E126AA" w:rsidP="00474027">
            <w:pPr>
              <w:bidi w:val="0"/>
              <w:spacing w:after="0" w:line="240" w:lineRule="auto"/>
            </w:pPr>
            <w:r w:rsidRPr="00E126AA">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48428B" w:rsidRPr="00A179AE" w:rsidP="00474027">
            <w:pPr>
              <w:bidi w:val="0"/>
              <w:spacing w:after="0" w:line="240" w:lineRule="auto"/>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8428B" w:rsidRPr="00244067" w:rsidP="00474027">
            <w:pPr>
              <w:bidi w:val="0"/>
              <w:spacing w:after="0" w:line="240" w:lineRule="auto"/>
              <w:jc w:val="center"/>
            </w:pPr>
            <w:r w:rsidRPr="00244067">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8428B" w:rsidRPr="00E126AA" w:rsidP="00474027">
            <w:pPr>
              <w:bidi w:val="0"/>
              <w:spacing w:after="0" w:line="240" w:lineRule="auto"/>
              <w:ind w:left="175" w:hanging="175"/>
            </w:pPr>
            <w:r w:rsidRPr="00E126AA">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48428B" w:rsidRPr="00A179AE" w:rsidP="00474027">
            <w:pPr>
              <w:bidi w:val="0"/>
              <w:spacing w:after="0" w:line="240" w:lineRule="auto"/>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48428B" w:rsidRPr="00244067" w:rsidP="00474027">
            <w:pPr>
              <w:bidi w:val="0"/>
              <w:spacing w:after="0" w:line="240" w:lineRule="auto"/>
              <w:jc w:val="center"/>
            </w:pPr>
            <w:r w:rsidRPr="00244067">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48428B" w:rsidRPr="00E126AA" w:rsidP="00474027">
            <w:pPr>
              <w:bidi w:val="0"/>
              <w:spacing w:after="0" w:line="240" w:lineRule="auto"/>
            </w:pPr>
            <w:r w:rsidRPr="00E126AA">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48428B" w:rsidRPr="00A179AE" w:rsidP="00474027">
            <w:pPr>
              <w:bidi w:val="0"/>
              <w:spacing w:after="0" w:line="240" w:lineRule="auto"/>
              <w:rPr>
                <w:i/>
              </w:rPr>
            </w:pPr>
            <w:r w:rsidRPr="00A179AE">
              <w:rPr>
                <w:i/>
              </w:rPr>
              <w:t>V prípade transpozície uveďte zoznam transponovaných predpisov:</w:t>
            </w:r>
          </w:p>
          <w:p w:rsidR="0048428B" w:rsidRPr="00A179AE" w:rsidP="00474027">
            <w:pPr>
              <w:bidi w:val="0"/>
              <w:spacing w:after="0" w:line="240" w:lineRule="auto"/>
            </w:pPr>
          </w:p>
          <w:p w:rsidR="0048428B" w:rsidRPr="00A179AE" w:rsidP="00474027">
            <w:pPr>
              <w:bidi w:val="0"/>
              <w:spacing w:after="0" w:line="240" w:lineRule="auto"/>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48428B" w:rsidRPr="00A179AE" w:rsidP="00474027">
            <w:pPr>
              <w:pStyle w:val="ListParagraph"/>
              <w:bidi w:val="0"/>
              <w:spacing w:after="0" w:line="240" w:lineRule="auto"/>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center"/>
          </w:tcPr>
          <w:p w:rsidR="0048428B" w:rsidRPr="008F1524" w:rsidP="00474027">
            <w:pPr>
              <w:bidi w:val="0"/>
              <w:spacing w:after="0" w:line="240" w:lineRule="auto"/>
              <w:rPr>
                <w:rFonts w:ascii="Arial Narrow" w:hAnsi="Arial Narrow"/>
              </w:rPr>
            </w:pPr>
            <w:r>
              <w:rPr>
                <w:rFonts w:ascii="Arial Narrow" w:hAnsi="Arial Narrow"/>
              </w:rPr>
              <w:t>27.6.2016 – 29.6.2016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74027">
            <w:pPr>
              <w:pStyle w:val="ListParagraph"/>
              <w:bidi w:val="0"/>
              <w:spacing w:after="0" w:line="240" w:lineRule="auto"/>
              <w:ind w:left="142"/>
              <w:rPr>
                <w:rFonts w:ascii="Times New Roman" w:hAnsi="Times New Roman"/>
                <w:b/>
              </w:rPr>
            </w:pPr>
            <w:r w:rsidRPr="00A179AE">
              <w:rPr>
                <w:rFonts w:ascii="Times New Roman" w:hAnsi="Times New Roman"/>
                <w:b/>
              </w:rPr>
              <w:t>Predpokladaný termín predloženia na MPK</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48428B" w:rsidRPr="00E126AA" w:rsidP="00474027">
            <w:pPr>
              <w:bidi w:val="0"/>
              <w:spacing w:after="0" w:line="240" w:lineRule="auto"/>
            </w:pPr>
            <w:r>
              <w:t>j</w:t>
            </w:r>
            <w:r w:rsidRPr="00E126AA">
              <w:t>úl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74027">
            <w:pPr>
              <w:pStyle w:val="ListParagraph"/>
              <w:bidi w:val="0"/>
              <w:spacing w:after="0" w:line="240" w:lineRule="auto"/>
              <w:ind w:left="142"/>
              <w:rPr>
                <w:rFonts w:ascii="Times New Roman" w:hAnsi="Times New Roman"/>
                <w:b/>
              </w:rPr>
            </w:pPr>
            <w:r w:rsidRPr="00A179AE">
              <w:rPr>
                <w:rFonts w:ascii="Times New Roman" w:hAnsi="Times New Roman"/>
                <w:b/>
              </w:rPr>
              <w:t>Predpokladaný termín predloženia na Rokovanie vlády SR</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center"/>
          </w:tcPr>
          <w:p w:rsidR="0048428B" w:rsidRPr="00E126AA" w:rsidP="00474027">
            <w:pPr>
              <w:bidi w:val="0"/>
              <w:spacing w:after="0" w:line="240" w:lineRule="auto"/>
            </w:pPr>
            <w:r>
              <w:t>a</w:t>
            </w:r>
            <w:r w:rsidRPr="00E126AA">
              <w:t>ugust 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48428B" w:rsidRPr="00A179AE" w:rsidP="00474027">
            <w:pPr>
              <w:bidi w:val="0"/>
              <w:spacing w:after="0" w:line="240" w:lineRule="auto"/>
            </w:pPr>
          </w:p>
        </w:tc>
      </w:tr>
      <w:tr>
        <w:tblPrEx>
          <w:tblW w:w="9180" w:type="dxa"/>
          <w:tblLayout w:type="fixed"/>
          <w:tblLook w:val="04A0"/>
        </w:tblPrEx>
        <w:trPr>
          <w:trHeight w:val="286"/>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Defin</w:t>
            </w:r>
            <w:r>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850"/>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48428B" w:rsidP="00474027">
            <w:pPr>
              <w:bidi w:val="0"/>
              <w:spacing w:after="0" w:line="240" w:lineRule="auto"/>
              <w:rPr>
                <w:rStyle w:val="PlaceholderText"/>
                <w:color w:val="000000"/>
              </w:rPr>
            </w:pPr>
          </w:p>
          <w:p w:rsidR="0048428B" w:rsidRPr="00E126AA" w:rsidP="00474027">
            <w:pPr>
              <w:bidi w:val="0"/>
              <w:spacing w:after="0" w:line="240" w:lineRule="auto"/>
              <w:rPr>
                <w:rStyle w:val="PlaceholderText"/>
                <w:color w:val="000000"/>
              </w:rPr>
            </w:pPr>
            <w:r w:rsidRPr="00E126AA">
              <w:rPr>
                <w:rStyle w:val="PlaceholderText"/>
                <w:color w:val="000000"/>
              </w:rPr>
              <w:t>Zámerom novely zákona je posunúť účinnosť opatrenia týkajúceho sa priznávania dane pri dovoze tovaru z tretích štátov platiteľom dane v daňovom priznaní (tzv. samozdanenie dovozu tovaru) z 1. januára 2017 na obdobie, v ktorom EK (Eurostat) aktuálne zverejnila údaje o výške dlhu verejnej správy SR, podľa ktorých rozdiel medzi horným limitom dlhu verejnej správy ustanoveným pre príslušný rozpočtový rok a aktuálnou výškou dlhu verejnej správy SR za tento príslušný rozpočtový rok je väčší ako 11 percentuálnych bodov.</w:t>
            </w:r>
          </w:p>
          <w:p w:rsidR="0048428B" w:rsidRPr="00E126AA" w:rsidP="00474027">
            <w:pPr>
              <w:bidi w:val="0"/>
              <w:spacing w:after="0" w:line="240" w:lineRule="auto"/>
              <w:rPr>
                <w:color w:val="000000"/>
              </w:rPr>
            </w:pPr>
            <w:r w:rsidRPr="00E126AA">
              <w:rPr>
                <w:color w:val="000000"/>
              </w:rPr>
              <w:t xml:space="preserve">Začatie uplatňovania samozdanenia pri dovoze tovaru platiteľmi dane od 1. januára 2017 by nemalo vplyv na akruálny výnos DPH (ESA 2010), znížil by sa však hotovostný výnos DPH v roku 2017 (v prvom štvrťroku) vo výške 592,6 mil. eur (0,7 % HDP). V prvých troch mesiacoch roku 2017 by poklesol hotovostný výnos DPH, pričom súčasne by boli ešte vyplácané nadmerné odpočty vzťahujúce sa k DPH zaplatenej colným orgánom do konca roku 2016. Napriek neutrálnemu vplyvu na akruálne príjmy by toto opatrenie malo negatívny vplyv na výšku maastrichtského dlhu a úrokové náklady v ESA 2010. Na krytie hotovostného výpadku by bola potrebná dodatočná emisia vládnych cenných papierov, čím by  došlo k zvýšeniu hrubého dlhu, a tým aj k zvýšeniu úrokových nákladov. </w:t>
            </w:r>
          </w:p>
          <w:p w:rsidR="0048428B" w:rsidRPr="00E126AA" w:rsidP="00474027">
            <w:pPr>
              <w:bidi w:val="0"/>
              <w:spacing w:after="0" w:line="240" w:lineRule="auto"/>
              <w:rPr>
                <w:color w:val="000000"/>
              </w:rPr>
            </w:pPr>
            <w:r w:rsidRPr="00E126AA">
              <w:rPr>
                <w:color w:val="000000"/>
              </w:rPr>
              <w:t>Posunutím účinnosti tohto opatrenia sa uvedené predpokladané vplyvy neprejavia.</w:t>
            </w:r>
          </w:p>
          <w:p w:rsidR="0048428B" w:rsidRPr="004C63A4" w:rsidP="00474027">
            <w:pPr>
              <w:bidi w:val="0"/>
              <w:spacing w:after="0" w:line="240" w:lineRule="auto"/>
              <w:rPr>
                <w:rFonts w:ascii="Arial Narrow" w:hAnsi="Arial Narrow"/>
              </w:rPr>
            </w:pPr>
            <w:r w:rsidRPr="00E126AA">
              <w:t>Do návrhu zákona sa po zverejnení predbežnej informácie a začatí legislatívneho procesu</w:t>
            </w:r>
            <w:r>
              <w:t xml:space="preserve"> pred medzirezortným pripomienkovým konaní </w:t>
            </w:r>
            <w:r w:rsidRPr="00350B73">
              <w:t>navrh</w:t>
            </w:r>
            <w:r>
              <w:t>ol</w:t>
            </w:r>
            <w:r w:rsidRPr="00350B73">
              <w:t xml:space="preserve"> zaviesť inštitút </w:t>
            </w:r>
            <w:r>
              <w:t>finančnej náhrady za zadržanie nadmerného odpočtu počas daňovej kontroly (úrok</w:t>
            </w:r>
            <w:r w:rsidRPr="00350B73">
              <w:t xml:space="preserve"> z nadmerného odpočtu pre platiteľa dane</w:t>
            </w:r>
            <w:r>
              <w:t>)</w:t>
            </w:r>
            <w:r w:rsidRPr="00350B73">
              <w:t xml:space="preserve">. Pôjde o situácie, ak je kontrola oprávnenosti nároku na nadmerný odpočet začatá v lehote na jeho vrátenie. Keďže platiteľ dane počas výkonu kontroly nemôže dočasne disponovať finančnými prostriedkami vo výške nadmerného odpočtu, navrhuje sa, aby za určité obdobie výkonu kontroly bola platiteľovi dane priznaná </w:t>
            </w:r>
            <w:r>
              <w:t>finančn</w:t>
            </w:r>
            <w:r w:rsidRPr="00350B73">
              <w:t xml:space="preserve">á náhrada (úrok z nadmerného odpočtu). Nárok na úrok z nadmerného odpočtu sa navrhuje priznať platiteľovi dane, ak </w:t>
            </w:r>
            <w:r>
              <w:t>nebol vrátený d</w:t>
            </w:r>
            <w:r w:rsidRPr="00350B73">
              <w:t>o</w:t>
            </w:r>
            <w:r>
              <w:t xml:space="preserve"> uplynutia</w:t>
            </w:r>
            <w:r w:rsidRPr="00350B73">
              <w:t xml:space="preserve"> š</w:t>
            </w:r>
            <w:r>
              <w:t>i</w:t>
            </w:r>
            <w:r w:rsidRPr="00350B73">
              <w:t>es</w:t>
            </w:r>
            <w:r>
              <w:t>tich</w:t>
            </w:r>
            <w:r w:rsidRPr="00350B73">
              <w:t xml:space="preserve"> mesiacov od </w:t>
            </w:r>
            <w:r>
              <w:t xml:space="preserve">posledného </w:t>
            </w:r>
            <w:r w:rsidRPr="00350B73">
              <w:t>dňa</w:t>
            </w:r>
            <w:r>
              <w:t xml:space="preserve"> lehoty na</w:t>
            </w:r>
            <w:r w:rsidRPr="00350B73">
              <w:t xml:space="preserve"> vráten</w:t>
            </w:r>
            <w:r>
              <w:t>ie nadmerného odpočtu</w:t>
            </w:r>
            <w:r w:rsidRPr="00350B73">
              <w:t>.</w:t>
            </w:r>
            <w:r>
              <w:t xml:space="preserve"> </w:t>
            </w:r>
            <w:r w:rsidRPr="00350B73">
              <w:t xml:space="preserve">Ide o pozitívny vplyv na </w:t>
            </w:r>
            <w:r>
              <w:t>podnikateľské prostredie a negatívny vplyv na rozpočet verejnej správy. Negatívny vplyv je vyčíslený v analýze vplyvov na rozpočet verejnej správy, pričom tento negatívny vplyv súčasne  predstavuje pozitívny vplyv na podnikateľské prostredie.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68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center"/>
          </w:tcPr>
          <w:p w:rsidR="0048428B" w:rsidRPr="00E126AA" w:rsidP="00474027">
            <w:pPr>
              <w:bidi w:val="0"/>
              <w:spacing w:after="0" w:line="240" w:lineRule="auto"/>
            </w:pPr>
            <w:r w:rsidRPr="00E126AA">
              <w:t>Z dôvodu konsolidácie verejných financií sa navrhuje posunutie tzv. samozdanenia pri dovoze tovaru, ktoré je v súčasnosti pripravené a má nadobudnúť účinnosť od 1.1.2017.</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8428B" w:rsidRPr="00E126AA" w:rsidP="00474027">
            <w:pPr>
              <w:bidi w:val="0"/>
              <w:spacing w:after="0" w:line="240" w:lineRule="auto"/>
            </w:pPr>
            <w:r w:rsidRPr="00E126AA">
              <w:t xml:space="preserve">Posunutím účinnosti tzv. samozdanenia pri dovoze tovaru nebudú dotknuté žiadne subjekty v porovnaní so súčasným stavom. </w:t>
            </w:r>
            <w:r>
              <w:t xml:space="preserve">Zavedenie </w:t>
            </w:r>
            <w:r w:rsidRPr="00350B73">
              <w:t>inštitút</w:t>
            </w:r>
            <w:r>
              <w:t>u</w:t>
            </w:r>
            <w:r w:rsidRPr="00350B73">
              <w:t xml:space="preserve"> úroku z nadmerného odpočtu</w:t>
            </w:r>
            <w:r>
              <w:t xml:space="preserve"> sa bude týkať tých platiteľov dane z pridanej hodnoty, ktorým nebol nadmerný odpočet vrátený d</w:t>
            </w:r>
            <w:r w:rsidRPr="00350B73">
              <w:t>o</w:t>
            </w:r>
            <w:r>
              <w:t xml:space="preserve"> uplynutia</w:t>
            </w:r>
            <w:r w:rsidRPr="00350B73">
              <w:t xml:space="preserve"> š</w:t>
            </w:r>
            <w:r>
              <w:t>i</w:t>
            </w:r>
            <w:r w:rsidRPr="00350B73">
              <w:t>es</w:t>
            </w:r>
            <w:r>
              <w:t>tich</w:t>
            </w:r>
            <w:r w:rsidRPr="00350B73">
              <w:t xml:space="preserve"> mesiacov od </w:t>
            </w:r>
            <w:r>
              <w:t xml:space="preserve">posledného </w:t>
            </w:r>
            <w:r w:rsidRPr="00350B73">
              <w:t>dňa</w:t>
            </w:r>
            <w:r>
              <w:t xml:space="preserve"> lehoty na</w:t>
            </w:r>
            <w:r w:rsidRPr="00350B73">
              <w:t xml:space="preserve"> </w:t>
            </w:r>
            <w:r>
              <w:t xml:space="preserve">jeho </w:t>
            </w:r>
            <w:r w:rsidRPr="00350B73">
              <w:t>vráten</w:t>
            </w:r>
            <w:r>
              <w:t>ie.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Alternatívne riešenia</w:t>
            </w:r>
          </w:p>
        </w:tc>
      </w:tr>
      <w:tr>
        <w:tblPrEx>
          <w:tblW w:w="9180" w:type="dxa"/>
          <w:tblLayout w:type="fixed"/>
          <w:tblLook w:val="04A0"/>
        </w:tblPrEx>
        <w:trPr>
          <w:trHeight w:val="454"/>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center"/>
          </w:tcPr>
          <w:p w:rsidR="0048428B" w:rsidRPr="00E126AA" w:rsidP="00474027">
            <w:pPr>
              <w:bidi w:val="0"/>
              <w:spacing w:after="0" w:line="240" w:lineRule="auto"/>
            </w:pPr>
            <w:r w:rsidRPr="00E126AA">
              <w:t>Neboli posudzované alternatívne riešenia.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rPr>
          <w:trHeight w:val="340"/>
        </w:trPr>
        <w:tc>
          <w:tcPr>
            <w:tcW w:w="6203" w:type="dxa"/>
            <w:gridSpan w:val="6"/>
            <w:tcBorders>
              <w:top w:val="single" w:sz="4" w:space="0" w:color="FFFFFF"/>
              <w:left w:val="single" w:sz="4" w:space="0" w:color="auto"/>
              <w:bottom w:val="nil"/>
              <w:right w:val="nil"/>
            </w:tcBorders>
            <w:shd w:val="clear" w:color="auto" w:fill="FFFFFF"/>
            <w:textDirection w:val="lrTb"/>
            <w:vAlign w:val="top"/>
          </w:tcPr>
          <w:p w:rsidR="0048428B" w:rsidRPr="00F968E1" w:rsidP="00474027">
            <w:pPr>
              <w:bidi w:val="0"/>
              <w:spacing w:after="0" w:line="240" w:lineRule="auto"/>
              <w:rPr>
                <w:i/>
              </w:rPr>
            </w:pPr>
            <w:r w:rsidRPr="00F968E1">
              <w:rPr>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48428B" w:rsidRPr="00F968E1" w:rsidP="00474027">
            <w:pPr>
              <w:bidi w:val="0"/>
              <w:spacing w:after="0" w:line="240" w:lineRule="auto"/>
              <w:jc w:val="center"/>
            </w:pPr>
            <w:r w:rsidRPr="00F968E1">
              <w:rPr>
                <w:rFonts w:ascii="MS Gothic" w:eastAsia="MS Gothic" w:hAnsi="MS Gothic" w:hint="eastAsia"/>
              </w:rPr>
              <w:t>☐</w:t>
            </w:r>
            <w:r w:rsidRPr="00F968E1">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48428B" w:rsidRPr="00F968E1" w:rsidP="00474027">
            <w:pPr>
              <w:bidi w:val="0"/>
              <w:spacing w:after="0" w:line="240" w:lineRule="auto"/>
              <w:jc w:val="center"/>
            </w:pPr>
            <w:r w:rsidRPr="00F968E1">
              <w:rPr>
                <w:rFonts w:ascii="MS Gothic" w:eastAsia="MS Gothic" w:hAnsi="MS Gothic" w:hint="eastAsia"/>
              </w:rPr>
              <w:t>☒</w:t>
            </w:r>
            <w:r w:rsidRPr="00F968E1">
              <w:t xml:space="preserve">  Nie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340"/>
        </w:trPr>
        <w:tc>
          <w:tcPr>
            <w:tcW w:w="9180" w:type="dxa"/>
            <w:gridSpan w:val="10"/>
            <w:tcBorders>
              <w:top w:val="nil"/>
              <w:left w:val="single" w:sz="4" w:space="0" w:color="000000"/>
              <w:bottom w:val="nil"/>
              <w:right w:val="single" w:sz="4" w:space="0" w:color="auto"/>
            </w:tcBorders>
            <w:shd w:val="clear" w:color="auto" w:fill="FFFFFF"/>
            <w:textDirection w:val="lrTb"/>
            <w:vAlign w:val="center"/>
          </w:tcPr>
          <w:p w:rsidR="0048428B" w:rsidRPr="00E126AA" w:rsidP="00474027">
            <w:pPr>
              <w:bidi w:val="0"/>
              <w:spacing w:after="0" w:line="240" w:lineRule="auto"/>
            </w:pPr>
            <w:r w:rsidRPr="00E126AA">
              <w:t>Bezpredmetné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Preskúmanie účelnosti</w:t>
            </w:r>
            <w:r>
              <w:rPr>
                <w:rFonts w:ascii="Times New Roman" w:hAnsi="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8428B" w:rsidRPr="00A179AE" w:rsidP="00474027">
            <w:pPr>
              <w:bidi w:val="0"/>
              <w:spacing w:after="0" w:line="240" w:lineRule="auto"/>
              <w:rPr>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8428B" w:rsidP="00474027">
            <w:pPr>
              <w:bidi w:val="0"/>
              <w:spacing w:after="0" w:line="240" w:lineRule="auto"/>
              <w:ind w:left="142" w:hanging="142"/>
            </w:pPr>
          </w:p>
          <w:p w:rsidR="0048428B" w:rsidP="00474027">
            <w:pPr>
              <w:bidi w:val="0"/>
              <w:spacing w:after="0" w:line="240" w:lineRule="auto"/>
              <w:ind w:left="142" w:hanging="142"/>
            </w:pPr>
            <w:r>
              <w:t xml:space="preserve">* vyplniť iba v prípade, </w:t>
            </w:r>
            <w:r w:rsidRPr="004C60B8">
              <w:t>ak materiál nie je zahrnutý do Plánu práce vlády Slovenskej republiky alebo Plán</w:t>
            </w:r>
            <w:r>
              <w:t>u</w:t>
            </w:r>
            <w:r w:rsidRPr="004C60B8">
              <w:t xml:space="preserve"> </w:t>
            </w:r>
            <w:r>
              <w:t xml:space="preserve">       </w:t>
            </w:r>
            <w:r w:rsidRPr="004C60B8">
              <w:t>legislatívnych úloh vlády Slovenskej republiky.</w:t>
            </w:r>
            <w:r>
              <w:t xml:space="preserve"> </w:t>
            </w:r>
          </w:p>
          <w:p w:rsidR="0048428B" w:rsidRPr="00A179AE" w:rsidP="00474027">
            <w:pPr>
              <w:bidi w:val="0"/>
              <w:spacing w:after="0" w:line="240" w:lineRule="auto"/>
            </w:pPr>
            <w: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48428B" w:rsidRPr="00A179AE" w:rsidP="00474027">
            <w:pPr>
              <w:bidi w:val="0"/>
              <w:spacing w:after="0" w:line="240" w:lineRule="auto"/>
              <w:rPr>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8428B" w:rsidRPr="00A179AE" w:rsidP="00474027">
            <w:pPr>
              <w:bidi w:val="0"/>
              <w:spacing w:after="0" w:line="240" w:lineRule="auto"/>
              <w:rPr>
                <w:b/>
              </w:rPr>
            </w:pPr>
            <w:r w:rsidRPr="00A179AE">
              <w:rPr>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rPr>
                <w:b/>
              </w:rPr>
            </w:pPr>
            <w:r w:rsidRPr="00A179AE">
              <w:rPr>
                <w:b/>
              </w:rPr>
              <w:t>Pozitívne</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rPr>
                <w:b/>
              </w:rPr>
            </w:pPr>
            <w:r w:rsidRPr="00A179AE">
              <w:rPr>
                <w:b/>
              </w:rPr>
              <w:t>Žiadne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left="-107" w:right="-108"/>
              <w:jc w:val="center"/>
              <w:rPr>
                <w:b/>
              </w:rPr>
            </w:pPr>
            <w:r w:rsidRPr="00244067">
              <w:rPr>
                <w:rFonts w:ascii="MS Gothic" w:eastAsia="MS Gothic" w:hAnsi="MS Gothic"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34"/>
              <w:rPr>
                <w:b/>
              </w:rPr>
            </w:pPr>
            <w:r w:rsidRPr="00A179AE">
              <w:rPr>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48428B" w:rsidRPr="00A179AE" w:rsidP="00474027">
            <w:pPr>
              <w:bidi w:val="0"/>
              <w:spacing w:after="0" w:line="240" w:lineRule="auto"/>
            </w:pPr>
            <w:r w:rsidRPr="00A179AE">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8428B" w:rsidRPr="00A179AE" w:rsidP="00474027">
            <w:pPr>
              <w:bidi w:val="0"/>
              <w:spacing w:after="0" w:line="240" w:lineRule="auto"/>
              <w:jc w:val="center"/>
            </w:pPr>
            <w:r w:rsidRPr="00244067">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pPr>
            <w:r w:rsidRPr="00A179AE">
              <w:t>Áno</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pPr>
            <w:r w:rsidRPr="00A179AE">
              <w:t>Nie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left="-107" w:right="-108"/>
              <w:jc w:val="cente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34"/>
            </w:pPr>
            <w:r w:rsidRPr="00A179AE">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48428B" w:rsidRPr="00A179AE" w:rsidP="00474027">
            <w:pPr>
              <w:bidi w:val="0"/>
              <w:spacing w:after="0" w:line="240" w:lineRule="auto"/>
              <w:rPr>
                <w:b/>
              </w:rPr>
            </w:pPr>
            <w:r w:rsidRPr="00A179AE">
              <w:rPr>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48428B" w:rsidRPr="00A179AE" w:rsidP="00474027">
            <w:pPr>
              <w:bidi w:val="0"/>
              <w:spacing w:after="0" w:line="240" w:lineRule="auto"/>
              <w:jc w:val="center"/>
              <w:rPr>
                <w:b/>
              </w:rPr>
            </w:pPr>
            <w:r w:rsidRPr="00244067">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right="-108"/>
              <w:rPr>
                <w:b/>
              </w:rPr>
            </w:pPr>
            <w:r w:rsidRPr="00A179AE">
              <w:rPr>
                <w:b/>
              </w:rPr>
              <w:t>Pozitívne</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rPr>
                <w:b/>
              </w:rPr>
            </w:pPr>
            <w:r w:rsidRPr="00A179AE">
              <w:rPr>
                <w:b/>
              </w:rPr>
              <w:t>Žiadne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54"/>
              <w:rPr>
                <w:b/>
              </w:rPr>
            </w:pPr>
            <w:r w:rsidRPr="00A179AE">
              <w:rPr>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48428B" w:rsidRPr="00A179AE" w:rsidP="00474027">
            <w:pPr>
              <w:bidi w:val="0"/>
              <w:spacing w:after="0" w:line="240" w:lineRule="auto"/>
            </w:pPr>
            <w:r w:rsidRPr="00A179AE">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48428B" w:rsidRPr="00A179AE" w:rsidP="00474027">
            <w:pPr>
              <w:bidi w:val="0"/>
              <w:spacing w:after="0" w:line="240" w:lineRule="auto"/>
              <w:jc w:val="center"/>
            </w:pPr>
            <w:r w:rsidRPr="00244067">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right="-108"/>
            </w:pPr>
            <w:r w:rsidRPr="00A179AE">
              <w:t>Pozitívne</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pPr>
            <w:r w:rsidRPr="00A179A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pPr>
            <w:r w:rsidRPr="00A179AE">
              <w:t>Žiadne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54"/>
            </w:pPr>
            <w:r w:rsidRPr="00A179AE">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48428B" w:rsidRPr="00A179AE" w:rsidP="00474027">
            <w:pPr>
              <w:bidi w:val="0"/>
              <w:spacing w:after="0" w:line="240" w:lineRule="auto"/>
              <w:rPr>
                <w:b/>
              </w:rPr>
            </w:pPr>
            <w:r w:rsidRPr="00A179AE">
              <w:rPr>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right="-108"/>
              <w:rPr>
                <w:b/>
              </w:rPr>
            </w:pPr>
            <w:r w:rsidRPr="00A179AE">
              <w:rPr>
                <w:b/>
              </w:rPr>
              <w:t>Pozitívne</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244067">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rPr>
                <w:b/>
              </w:rPr>
            </w:pPr>
            <w:r w:rsidRPr="00A179AE">
              <w:rPr>
                <w:b/>
              </w:rPr>
              <w:t>Žiadne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54"/>
              <w:rPr>
                <w:b/>
              </w:rPr>
            </w:pPr>
            <w:r w:rsidRPr="00A179AE">
              <w:rPr>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48428B" w:rsidRPr="00A179AE" w:rsidP="00474027">
            <w:pPr>
              <w:bidi w:val="0"/>
              <w:spacing w:after="0" w:line="240" w:lineRule="auto"/>
              <w:rPr>
                <w:b/>
              </w:rPr>
            </w:pPr>
            <w:r w:rsidRPr="00A179AE">
              <w:rPr>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right="-108"/>
              <w:rPr>
                <w:b/>
              </w:rPr>
            </w:pPr>
            <w:r w:rsidRPr="00A179AE">
              <w:rPr>
                <w:b/>
              </w:rPr>
              <w:t>Pozitívne</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244067">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rPr>
                <w:b/>
              </w:rPr>
            </w:pPr>
            <w:r w:rsidRPr="00A179AE">
              <w:rPr>
                <w:b/>
              </w:rPr>
              <w:t>Žiadne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54"/>
              <w:rPr>
                <w:b/>
              </w:rPr>
            </w:pPr>
            <w:r w:rsidRPr="00A179AE">
              <w:rPr>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48428B" w:rsidRPr="00A179AE" w:rsidP="00474027">
            <w:pPr>
              <w:bidi w:val="0"/>
              <w:spacing w:after="0" w:line="240" w:lineRule="auto"/>
              <w:rPr>
                <w:b/>
              </w:rPr>
            </w:pPr>
            <w:r w:rsidRPr="00A179AE">
              <w:rPr>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ind w:right="-108"/>
              <w:rPr>
                <w:b/>
              </w:rPr>
            </w:pPr>
            <w:r w:rsidRPr="00A179AE">
              <w:rPr>
                <w:b/>
              </w:rPr>
              <w:t>Pozitívne</w:t>
            </w:r>
          </w:p>
        </w:tc>
        <w:tc>
          <w:tcPr>
            <w:tcW w:w="569"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244067">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rPr>
                <w:b/>
              </w:rPr>
            </w:pPr>
            <w:r w:rsidRPr="00A179AE">
              <w:rPr>
                <w:b/>
              </w:rPr>
              <w:t>Žiadne</w:t>
            </w:r>
          </w:p>
        </w:tc>
        <w:tc>
          <w:tcPr>
            <w:tcW w:w="547" w:type="dxa"/>
            <w:gridSpan w:val="2"/>
            <w:tcBorders>
              <w:top w:val="single" w:sz="4" w:space="0" w:color="auto"/>
              <w:left w:val="nil"/>
              <w:bottom w:val="single" w:sz="4" w:space="0" w:color="auto"/>
              <w:right w:val="nil"/>
            </w:tcBorders>
            <w:textDirection w:val="lrTb"/>
            <w:vAlign w:val="top"/>
          </w:tcPr>
          <w:p w:rsidR="0048428B" w:rsidRPr="00A179AE" w:rsidP="00474027">
            <w:pPr>
              <w:bidi w:val="0"/>
              <w:spacing w:after="0" w:line="240" w:lineRule="auto"/>
              <w:jc w:val="center"/>
              <w:rPr>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48428B" w:rsidRPr="00A179AE" w:rsidP="00474027">
            <w:pPr>
              <w:bidi w:val="0"/>
              <w:spacing w:after="0" w:line="240" w:lineRule="auto"/>
              <w:ind w:left="54"/>
              <w:rPr>
                <w:b/>
              </w:rPr>
            </w:pPr>
            <w:r w:rsidRPr="00A179AE">
              <w:rPr>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8428B" w:rsidRPr="00653ADA" w:rsidP="00474027">
            <w:pPr>
              <w:bidi w:val="0"/>
              <w:rPr>
                <w:b/>
              </w:rPr>
            </w:pPr>
            <w:r>
              <w:rPr>
                <w:b/>
              </w:rPr>
              <w:t>V</w:t>
            </w:r>
            <w:r w:rsidRPr="00127DAC">
              <w:rPr>
                <w:b/>
              </w:rPr>
              <w:t>plyv</w:t>
            </w:r>
            <w:r>
              <w:rPr>
                <w:b/>
              </w:rPr>
              <w:t>y</w:t>
            </w:r>
            <w:r w:rsidRPr="00127DAC">
              <w:rPr>
                <w:b/>
              </w:rPr>
              <w:t xml:space="preserve"> na služby verejnej správy pre občana</w:t>
            </w:r>
            <w:r>
              <w:rPr>
                <w:b/>
              </w:rPr>
              <w:t>, z toho</w:t>
            </w:r>
          </w:p>
        </w:tc>
        <w:tc>
          <w:tcPr>
            <w:tcW w:w="541" w:type="dxa"/>
            <w:tcBorders>
              <w:top w:val="single" w:sz="4" w:space="0" w:color="auto"/>
              <w:left w:val="single" w:sz="4" w:space="0" w:color="auto"/>
              <w:bottom w:val="nil"/>
              <w:right w:val="nil"/>
            </w:tcBorders>
            <w:textDirection w:val="lrTb"/>
            <w:vAlign w:val="top"/>
          </w:tcPr>
          <w:p w:rsidR="0048428B" w:rsidRPr="00653ADA" w:rsidP="00474027">
            <w:pPr>
              <w:bidi w:val="0"/>
              <w:jc w:val="center"/>
              <w:rPr>
                <w:rFonts w:eastAsia="MS Mincho"/>
                <w:b/>
              </w:rPr>
            </w:pPr>
          </w:p>
        </w:tc>
        <w:tc>
          <w:tcPr>
            <w:tcW w:w="1281" w:type="dxa"/>
            <w:tcBorders>
              <w:top w:val="single" w:sz="4" w:space="0" w:color="auto"/>
              <w:left w:val="nil"/>
              <w:bottom w:val="nil"/>
              <w:right w:val="nil"/>
            </w:tcBorders>
            <w:textDirection w:val="lrTb"/>
            <w:vAlign w:val="top"/>
          </w:tcPr>
          <w:p w:rsidR="0048428B" w:rsidRPr="00653ADA" w:rsidP="00474027">
            <w:pPr>
              <w:bidi w:val="0"/>
              <w:ind w:right="-108"/>
              <w:rPr>
                <w:b/>
              </w:rPr>
            </w:pPr>
          </w:p>
        </w:tc>
        <w:tc>
          <w:tcPr>
            <w:tcW w:w="569" w:type="dxa"/>
            <w:tcBorders>
              <w:top w:val="single" w:sz="4" w:space="0" w:color="auto"/>
              <w:left w:val="nil"/>
              <w:bottom w:val="nil"/>
              <w:right w:val="nil"/>
            </w:tcBorders>
            <w:textDirection w:val="lrTb"/>
            <w:vAlign w:val="top"/>
          </w:tcPr>
          <w:p w:rsidR="0048428B" w:rsidRPr="00653ADA" w:rsidP="00474027">
            <w:pPr>
              <w:bidi w:val="0"/>
              <w:jc w:val="center"/>
              <w:rPr>
                <w:rFonts w:eastAsia="MS Mincho"/>
                <w:b/>
              </w:rPr>
            </w:pPr>
          </w:p>
        </w:tc>
        <w:tc>
          <w:tcPr>
            <w:tcW w:w="1133" w:type="dxa"/>
            <w:tcBorders>
              <w:top w:val="single" w:sz="4" w:space="0" w:color="auto"/>
              <w:left w:val="nil"/>
              <w:bottom w:val="nil"/>
              <w:right w:val="nil"/>
            </w:tcBorders>
            <w:textDirection w:val="lrTb"/>
            <w:vAlign w:val="top"/>
          </w:tcPr>
          <w:p w:rsidR="0048428B" w:rsidRPr="00653ADA" w:rsidP="00474027">
            <w:pPr>
              <w:bidi w:val="0"/>
              <w:rPr>
                <w:b/>
              </w:rPr>
            </w:pPr>
          </w:p>
        </w:tc>
        <w:tc>
          <w:tcPr>
            <w:tcW w:w="547" w:type="dxa"/>
            <w:tcBorders>
              <w:top w:val="single" w:sz="4" w:space="0" w:color="auto"/>
              <w:left w:val="nil"/>
              <w:bottom w:val="nil"/>
              <w:right w:val="nil"/>
            </w:tcBorders>
            <w:textDirection w:val="lrTb"/>
            <w:vAlign w:val="top"/>
          </w:tcPr>
          <w:p w:rsidR="0048428B" w:rsidRPr="00653ADA" w:rsidP="00474027">
            <w:pPr>
              <w:bidi w:val="0"/>
              <w:jc w:val="center"/>
              <w:rPr>
                <w:rFonts w:eastAsia="MS Mincho"/>
                <w:b/>
              </w:rPr>
            </w:pPr>
          </w:p>
        </w:tc>
        <w:tc>
          <w:tcPr>
            <w:tcW w:w="1297" w:type="dxa"/>
            <w:tcBorders>
              <w:top w:val="single" w:sz="4" w:space="0" w:color="auto"/>
              <w:left w:val="nil"/>
              <w:bottom w:val="nil"/>
              <w:right w:val="single" w:sz="4" w:space="0" w:color="auto"/>
            </w:tcBorders>
            <w:textDirection w:val="lrTb"/>
            <w:vAlign w:val="top"/>
          </w:tcPr>
          <w:p w:rsidR="0048428B" w:rsidRPr="00653ADA" w:rsidP="00474027">
            <w:pPr>
              <w:bidi w:val="0"/>
              <w:ind w:left="54"/>
              <w:rPr>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48428B" w:rsidRPr="009634B3" w:rsidP="00474027">
            <w:pPr>
              <w:bidi w:val="0"/>
              <w:ind w:left="196" w:hanging="196"/>
              <w:rPr>
                <w:b/>
              </w:rPr>
            </w:pPr>
            <w:r w:rsidRPr="009634B3">
              <w:rPr>
                <w:b/>
              </w:rPr>
              <w:t xml:space="preserve">    vplyvy služieb verejnej správy na občana</w:t>
            </w:r>
          </w:p>
        </w:tc>
        <w:tc>
          <w:tcPr>
            <w:tcW w:w="541" w:type="dxa"/>
            <w:tcBorders>
              <w:top w:val="nil"/>
              <w:left w:val="single" w:sz="4" w:space="0" w:color="auto"/>
              <w:bottom w:val="nil"/>
              <w:right w:val="nil"/>
            </w:tcBorders>
            <w:textDirection w:val="lrTb"/>
            <w:vAlign w:val="top"/>
          </w:tcPr>
          <w:p w:rsidR="0048428B" w:rsidRPr="009634B3" w:rsidP="00474027">
            <w:pPr>
              <w:bidi w:val="0"/>
              <w:jc w:val="center"/>
              <w:rPr>
                <w:rFonts w:ascii="MS Mincho" w:eastAsia="MS Mincho" w:hAnsi="MS Mincho" w:cs="MS Mincho"/>
                <w:b/>
              </w:rPr>
            </w:pPr>
            <w:r w:rsidRPr="009634B3">
              <w:rPr>
                <w:rFonts w:ascii="MS Mincho" w:eastAsia="MS Mincho" w:hAnsi="MS Mincho" w:cs="MS Mincho" w:hint="eastAsia"/>
                <w:b/>
              </w:rPr>
              <w:t>☐</w:t>
            </w:r>
          </w:p>
        </w:tc>
        <w:tc>
          <w:tcPr>
            <w:tcW w:w="1281" w:type="dxa"/>
            <w:tcBorders>
              <w:top w:val="nil"/>
              <w:left w:val="nil"/>
              <w:bottom w:val="nil"/>
              <w:right w:val="nil"/>
            </w:tcBorders>
            <w:textDirection w:val="lrTb"/>
            <w:vAlign w:val="top"/>
          </w:tcPr>
          <w:p w:rsidR="0048428B" w:rsidRPr="009634B3" w:rsidP="00474027">
            <w:pPr>
              <w:bidi w:val="0"/>
              <w:ind w:right="-108"/>
              <w:rPr>
                <w:b/>
              </w:rPr>
            </w:pPr>
            <w:r w:rsidRPr="009634B3">
              <w:rPr>
                <w:b/>
              </w:rPr>
              <w:t>Pozitívne</w:t>
            </w:r>
          </w:p>
        </w:tc>
        <w:tc>
          <w:tcPr>
            <w:tcW w:w="569" w:type="dxa"/>
            <w:tcBorders>
              <w:top w:val="nil"/>
              <w:left w:val="nil"/>
              <w:bottom w:val="nil"/>
              <w:right w:val="nil"/>
            </w:tcBorders>
            <w:textDirection w:val="lrTb"/>
            <w:vAlign w:val="top"/>
          </w:tcPr>
          <w:p w:rsidR="0048428B" w:rsidRPr="009634B3" w:rsidP="00474027">
            <w:pPr>
              <w:bidi w:val="0"/>
              <w:jc w:val="center"/>
              <w:rPr>
                <w:rFonts w:ascii="MS Mincho" w:eastAsia="MS Mincho" w:hAnsi="MS Mincho" w:cs="MS Mincho"/>
                <w:b/>
              </w:rPr>
            </w:pPr>
            <w:r w:rsidRPr="00244067">
              <w:rPr>
                <w:rFonts w:ascii="MS Gothic" w:eastAsia="MS Gothic" w:hAnsi="MS Gothic" w:hint="eastAsia"/>
              </w:rPr>
              <w:t>☒</w:t>
            </w:r>
          </w:p>
        </w:tc>
        <w:tc>
          <w:tcPr>
            <w:tcW w:w="1133" w:type="dxa"/>
            <w:tcBorders>
              <w:top w:val="nil"/>
              <w:left w:val="nil"/>
              <w:bottom w:val="nil"/>
              <w:right w:val="nil"/>
            </w:tcBorders>
            <w:textDirection w:val="lrTb"/>
            <w:vAlign w:val="top"/>
          </w:tcPr>
          <w:p w:rsidR="0048428B" w:rsidRPr="009634B3" w:rsidP="00474027">
            <w:pPr>
              <w:bidi w:val="0"/>
              <w:rPr>
                <w:b/>
              </w:rPr>
            </w:pPr>
            <w:r w:rsidRPr="009634B3">
              <w:rPr>
                <w:b/>
              </w:rPr>
              <w:t>Žiadne</w:t>
            </w:r>
          </w:p>
        </w:tc>
        <w:tc>
          <w:tcPr>
            <w:tcW w:w="547" w:type="dxa"/>
            <w:tcBorders>
              <w:top w:val="nil"/>
              <w:left w:val="nil"/>
              <w:bottom w:val="nil"/>
              <w:right w:val="nil"/>
            </w:tcBorders>
            <w:textDirection w:val="lrTb"/>
            <w:vAlign w:val="top"/>
          </w:tcPr>
          <w:p w:rsidR="0048428B" w:rsidRPr="009634B3" w:rsidP="00474027">
            <w:pPr>
              <w:bidi w:val="0"/>
              <w:jc w:val="center"/>
              <w:rPr>
                <w:rFonts w:ascii="MS Mincho" w:eastAsia="MS Mincho" w:hAnsi="MS Mincho" w:cs="MS Mincho"/>
                <w:b/>
              </w:rPr>
            </w:pPr>
            <w:r w:rsidRPr="009634B3">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48428B" w:rsidRPr="009634B3" w:rsidP="00474027">
            <w:pPr>
              <w:bidi w:val="0"/>
              <w:ind w:left="54"/>
              <w:rPr>
                <w:b/>
              </w:rPr>
            </w:pPr>
            <w:r w:rsidRPr="009634B3">
              <w:rPr>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48428B" w:rsidRPr="009634B3" w:rsidP="00474027">
            <w:pPr>
              <w:bidi w:val="0"/>
              <w:ind w:left="168" w:hanging="168"/>
              <w:rPr>
                <w:b/>
              </w:rPr>
            </w:pPr>
            <w:r>
              <w:rPr>
                <w:b/>
              </w:rPr>
              <w:t xml:space="preserve">    </w:t>
            </w:r>
            <w:r w:rsidRPr="009634B3">
              <w:rPr>
                <w:b/>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48428B" w:rsidRPr="009634B3" w:rsidP="00474027">
            <w:pPr>
              <w:bidi w:val="0"/>
              <w:jc w:val="center"/>
              <w:rPr>
                <w:rFonts w:eastAsia="MS Mincho"/>
                <w:b/>
              </w:rPr>
            </w:pPr>
            <w:r w:rsidRPr="009634B3">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48428B" w:rsidRPr="009634B3" w:rsidP="00474027">
            <w:pPr>
              <w:bidi w:val="0"/>
              <w:ind w:right="-108"/>
              <w:rPr>
                <w:b/>
              </w:rPr>
            </w:pPr>
            <w:r w:rsidRPr="009634B3">
              <w:rPr>
                <w:b/>
              </w:rPr>
              <w:t>Pozitívne</w:t>
            </w:r>
          </w:p>
        </w:tc>
        <w:tc>
          <w:tcPr>
            <w:tcW w:w="569" w:type="dxa"/>
            <w:tcBorders>
              <w:top w:val="nil"/>
              <w:left w:val="nil"/>
              <w:bottom w:val="single" w:sz="4" w:space="0" w:color="auto"/>
              <w:right w:val="nil"/>
            </w:tcBorders>
            <w:textDirection w:val="lrTb"/>
            <w:vAlign w:val="top"/>
          </w:tcPr>
          <w:p w:rsidR="0048428B" w:rsidRPr="009634B3" w:rsidP="00474027">
            <w:pPr>
              <w:bidi w:val="0"/>
              <w:jc w:val="center"/>
              <w:rPr>
                <w:rFonts w:eastAsia="MS Mincho"/>
                <w:b/>
              </w:rPr>
            </w:pPr>
            <w:r w:rsidRPr="00244067">
              <w:rPr>
                <w:rFonts w:ascii="MS Gothic" w:eastAsia="MS Gothic" w:hAnsi="MS Gothic" w:hint="eastAsia"/>
              </w:rPr>
              <w:t>☒</w:t>
            </w:r>
          </w:p>
        </w:tc>
        <w:tc>
          <w:tcPr>
            <w:tcW w:w="1133" w:type="dxa"/>
            <w:tcBorders>
              <w:top w:val="nil"/>
              <w:left w:val="nil"/>
              <w:bottom w:val="single" w:sz="4" w:space="0" w:color="auto"/>
              <w:right w:val="nil"/>
            </w:tcBorders>
            <w:textDirection w:val="lrTb"/>
            <w:vAlign w:val="top"/>
          </w:tcPr>
          <w:p w:rsidR="0048428B" w:rsidRPr="009634B3" w:rsidP="00474027">
            <w:pPr>
              <w:bidi w:val="0"/>
              <w:rPr>
                <w:b/>
              </w:rPr>
            </w:pPr>
            <w:r w:rsidRPr="009634B3">
              <w:rPr>
                <w:b/>
              </w:rPr>
              <w:t>Žiadne</w:t>
            </w:r>
          </w:p>
        </w:tc>
        <w:tc>
          <w:tcPr>
            <w:tcW w:w="547" w:type="dxa"/>
            <w:tcBorders>
              <w:top w:val="nil"/>
              <w:left w:val="nil"/>
              <w:bottom w:val="single" w:sz="4" w:space="0" w:color="auto"/>
              <w:right w:val="nil"/>
            </w:tcBorders>
            <w:textDirection w:val="lrTb"/>
            <w:vAlign w:val="top"/>
          </w:tcPr>
          <w:p w:rsidR="0048428B" w:rsidRPr="009634B3" w:rsidP="00474027">
            <w:pPr>
              <w:bidi w:val="0"/>
              <w:jc w:val="center"/>
              <w:rPr>
                <w:rFonts w:eastAsia="MS Mincho"/>
                <w:b/>
              </w:rPr>
            </w:pPr>
            <w:r w:rsidRPr="009634B3">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48428B" w:rsidRPr="009634B3" w:rsidP="00474027">
            <w:pPr>
              <w:bidi w:val="0"/>
              <w:ind w:left="54"/>
              <w:rPr>
                <w:b/>
              </w:rPr>
            </w:pPr>
            <w:r w:rsidRPr="009634B3">
              <w:rPr>
                <w:b/>
              </w:rPr>
              <w:t>Negatívne“</w:t>
            </w:r>
          </w:p>
        </w:tc>
      </w:tr>
    </w:tbl>
    <w:p w:rsidR="0048428B" w:rsidRPr="00A179AE" w:rsidP="0048428B">
      <w:pPr>
        <w:bidi w:val="0"/>
        <w:ind w:right="141"/>
        <w:rPr>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8428B" w:rsidRPr="00A179AE" w:rsidP="00474027">
            <w:pPr>
              <w:bidi w:val="0"/>
              <w:spacing w:after="0" w:line="240" w:lineRule="auto"/>
              <w:rPr>
                <w:i/>
              </w:rPr>
            </w:pPr>
            <w:r w:rsidRPr="00A179AE">
              <w:rPr>
                <w:i/>
              </w:rPr>
              <w:t>V prípade potreby uveďte doplňujúce informácie k návrhu.</w:t>
            </w:r>
          </w:p>
          <w:p w:rsidR="0048428B" w:rsidRPr="00A179AE" w:rsidP="00474027">
            <w:pPr>
              <w:pStyle w:val="ListParagraph"/>
              <w:bidi w:val="0"/>
              <w:spacing w:after="0" w:line="240" w:lineRule="auto"/>
              <w:ind w:left="426"/>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48428B" w:rsidRPr="00E126AA" w:rsidP="00474027">
            <w:pPr>
              <w:widowControl w:val="0"/>
              <w:bidi w:val="0"/>
              <w:adjustRightInd w:val="0"/>
              <w:spacing w:after="0" w:line="240" w:lineRule="auto"/>
            </w:pPr>
            <w:r w:rsidRPr="00E126AA">
              <w:t>Ing. Ľudovít Rybánsky, Odbor nepriamych daní, sekcia daňová a colná MF SR; ludovit.rybansky@mfsr.sk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8428B" w:rsidRPr="00A179AE" w:rsidP="00474027">
            <w:pPr>
              <w:bidi w:val="0"/>
              <w:spacing w:after="0" w:line="240" w:lineRule="auto"/>
              <w:rPr>
                <w:i/>
              </w:rPr>
            </w:pPr>
            <w:r w:rsidRPr="00A179AE">
              <w:rPr>
                <w:i/>
              </w:rPr>
              <w:t>Uveďte zdroje</w:t>
            </w:r>
            <w:r>
              <w:rPr>
                <w:i/>
              </w:rPr>
              <w:t xml:space="preserve"> (štatistiky, prieskumy, spoluprácu s odborníkmi a iné)</w:t>
            </w:r>
            <w:r w:rsidRPr="00A179AE">
              <w:rPr>
                <w:i/>
              </w:rPr>
              <w:t>, z ktorých ste pri vypracovávaní doložky, príp. analýz vplyvov vychádzali.</w:t>
            </w:r>
          </w:p>
          <w:p w:rsidR="0048428B" w:rsidRPr="00A179AE" w:rsidP="00474027">
            <w:pPr>
              <w:bidi w:val="0"/>
              <w:spacing w:after="0" w:line="240" w:lineRule="auto"/>
              <w:rPr>
                <w:i/>
              </w:rPr>
            </w:pPr>
          </w:p>
          <w:p w:rsidR="0048428B" w:rsidRPr="00A179AE" w:rsidP="00474027">
            <w:pPr>
              <w:bidi w:val="0"/>
              <w:spacing w:after="0" w:line="240" w:lineRule="auto"/>
              <w:rPr>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48428B" w:rsidRPr="00A179AE" w:rsidP="0048428B">
            <w:pPr>
              <w:pStyle w:val="ListParagraph"/>
              <w:numPr>
                <w:numId w:val="5"/>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8428B" w:rsidRPr="00E126AA" w:rsidP="00474027">
            <w:pPr>
              <w:tabs>
                <w:tab w:val="center" w:pos="6379"/>
              </w:tabs>
              <w:suppressAutoHyphens/>
              <w:bidi w:val="0"/>
              <w:spacing w:after="0" w:line="100" w:lineRule="atLeast"/>
              <w:ind w:right="-2"/>
              <w:jc w:val="both"/>
              <w:rPr>
                <w:bCs/>
                <w:lang w:eastAsia="ar-SA"/>
              </w:rPr>
            </w:pPr>
            <w:r w:rsidRPr="00E126AA">
              <w:rPr>
                <w:bCs/>
                <w:lang w:eastAsia="ar-SA"/>
              </w:rPr>
              <w:t>II. Pripomienky a návrhy zmien: Komisia uplatnila k materiálu nasledovné pripomienky a odporúčania:</w:t>
            </w:r>
          </w:p>
          <w:p w:rsidR="0048428B" w:rsidRPr="00E126AA" w:rsidP="00474027">
            <w:pPr>
              <w:tabs>
                <w:tab w:val="center" w:pos="6379"/>
              </w:tabs>
              <w:suppressAutoHyphens/>
              <w:bidi w:val="0"/>
              <w:spacing w:after="0" w:line="100" w:lineRule="atLeast"/>
              <w:ind w:right="-2"/>
              <w:jc w:val="both"/>
              <w:rPr>
                <w:bCs/>
                <w:lang w:eastAsia="ar-SA"/>
              </w:rPr>
            </w:pPr>
            <w:r w:rsidRPr="00E126AA">
              <w:rPr>
                <w:bCs/>
                <w:lang w:eastAsia="ar-SA"/>
              </w:rPr>
              <w:t>K doložke vybraných vplyvov</w:t>
            </w:r>
          </w:p>
          <w:p w:rsidR="0048428B" w:rsidRPr="00E126AA" w:rsidP="00474027">
            <w:pPr>
              <w:autoSpaceDE w:val="0"/>
              <w:autoSpaceDN w:val="0"/>
              <w:bidi w:val="0"/>
              <w:adjustRightInd w:val="0"/>
              <w:spacing w:after="0" w:line="240" w:lineRule="auto"/>
              <w:jc w:val="both"/>
              <w:rPr>
                <w:bCs/>
                <w:color w:val="000000"/>
              </w:rPr>
            </w:pPr>
            <w:r w:rsidRPr="00E126AA">
              <w:rPr>
                <w:bCs/>
                <w:color w:val="000000"/>
              </w:rPr>
              <w:t xml:space="preserve">Komisia má za to, že ak predkladateľ vo všeobecnej časti dôvodovej správy uvádza, že „cieľom je zabrániť nadmernej administratívnej záťaži dodávateľa ako aj príjemcu plnenia v súvislosti s duplicitným overovaním správnosti zatriedenia činnosti ako stavebnej práce podľa príslušnej štatistickej klasifikácie produktov“, tak materiál predpokladá pozitívny vplyv na podnikateľské prostredie tým, že sa znižuje administratíva záťaž. Z tohto dôvodu uplatňuje nasledujúce zásadné pripomienky a žiada: </w:t>
            </w:r>
          </w:p>
          <w:p w:rsidR="0048428B" w:rsidRPr="00E126AA" w:rsidP="00474027">
            <w:pPr>
              <w:suppressAutoHyphens/>
              <w:autoSpaceDE w:val="0"/>
              <w:autoSpaceDN w:val="0"/>
              <w:bidi w:val="0"/>
              <w:adjustRightInd w:val="0"/>
              <w:spacing w:after="0" w:line="100" w:lineRule="atLeast"/>
              <w:rPr>
                <w:bCs/>
                <w:color w:val="000000"/>
              </w:rPr>
            </w:pPr>
            <w:r w:rsidRPr="00E126AA">
              <w:rPr>
                <w:bCs/>
                <w:color w:val="000000"/>
              </w:rPr>
              <w:t>a) označenie pozitívnych vplyvov na podnikateľské prostredie v Doložke vybraných vplyvov (časť 9.),</w:t>
            </w:r>
          </w:p>
          <w:p w:rsidR="0048428B" w:rsidP="00474027">
            <w:pPr>
              <w:suppressAutoHyphens/>
              <w:autoSpaceDE w:val="0"/>
              <w:autoSpaceDN w:val="0"/>
              <w:bidi w:val="0"/>
              <w:adjustRightInd w:val="0"/>
              <w:spacing w:after="0" w:line="100" w:lineRule="atLeast"/>
              <w:rPr>
                <w:bCs/>
                <w:color w:val="000000"/>
              </w:rPr>
            </w:pPr>
            <w:r w:rsidRPr="00E126AA">
              <w:rPr>
                <w:bCs/>
                <w:color w:val="000000"/>
              </w:rPr>
              <w:t>b) vypracovanie Analýzy vplyvo</w:t>
            </w:r>
            <w:r>
              <w:rPr>
                <w:bCs/>
                <w:color w:val="000000"/>
              </w:rPr>
              <w:t xml:space="preserve">v na podnikateľské prostredie. </w:t>
            </w:r>
          </w:p>
          <w:p w:rsidR="0048428B" w:rsidP="00474027">
            <w:pPr>
              <w:suppressAutoHyphens/>
              <w:autoSpaceDE w:val="0"/>
              <w:autoSpaceDN w:val="0"/>
              <w:bidi w:val="0"/>
              <w:adjustRightInd w:val="0"/>
              <w:spacing w:after="0" w:line="100" w:lineRule="atLeast"/>
              <w:rPr>
                <w:bCs/>
                <w:i/>
                <w:color w:val="000000"/>
              </w:rPr>
            </w:pPr>
            <w:r>
              <w:rPr>
                <w:bCs/>
                <w:i/>
                <w:color w:val="000000"/>
              </w:rPr>
              <w:t>- stanovisko predkladateľa: posudzovaná situáciu sa pred začatím medzirezortného pripomienkového konania zmenila; opatrenie týkajúce sa zníženia administratívnej záťaže bolo z návrhu zákona vypustené, a týmto sa pripomienka stala bezpredmetnou.</w:t>
            </w:r>
          </w:p>
          <w:p w:rsidR="0048428B" w:rsidRPr="00E126AA" w:rsidP="00474027">
            <w:pPr>
              <w:tabs>
                <w:tab w:val="center" w:pos="6379"/>
              </w:tabs>
              <w:suppressAutoHyphens/>
              <w:bidi w:val="0"/>
              <w:spacing w:after="0" w:line="100" w:lineRule="atLeast"/>
              <w:ind w:right="-2"/>
              <w:jc w:val="both"/>
              <w:rPr>
                <w:bCs/>
                <w:lang w:eastAsia="ar-SA"/>
              </w:rPr>
            </w:pPr>
            <w:r w:rsidRPr="00E126AA">
              <w:rPr>
                <w:bCs/>
                <w:lang w:eastAsia="ar-SA"/>
              </w:rPr>
              <w:t>K procesu</w:t>
            </w:r>
          </w:p>
          <w:p w:rsidR="0048428B" w:rsidRPr="00E126AA" w:rsidP="00474027">
            <w:pPr>
              <w:tabs>
                <w:tab w:val="center" w:pos="6379"/>
              </w:tabs>
              <w:suppressAutoHyphens/>
              <w:bidi w:val="0"/>
              <w:spacing w:after="0" w:line="100" w:lineRule="atLeast"/>
              <w:ind w:right="-2"/>
              <w:jc w:val="both"/>
              <w:rPr>
                <w:bCs/>
                <w:lang w:eastAsia="ar-SA"/>
              </w:rPr>
            </w:pPr>
            <w:r w:rsidRPr="00E126AA">
              <w:rPr>
                <w:bCs/>
                <w:lang w:eastAsia="ar-SA"/>
              </w:rPr>
              <w:t>Predkladateľ predložil materiál dňa 24.06.2016 do skráteného Predbežného pripomienkového konania, čím nepostupoval v súlade s procesom podľa Jednotnej metodiky (účinná od 01.04.2016), nakoľko tejto fáze legislatívneho procesu predchádza, v prípade identifikovania pozitívnych alebo negatívnych vplyvov na podnikateľské prostredie, vykonanie konzultácií s podnikateľskými subjektmi, ktorých minimálna doba trvania sú štyri týždne alebo kratšia v prípade dohody s podnikateľských subjektov zúčastnených na konzultáciách s predkladateľom.</w:t>
            </w:r>
          </w:p>
          <w:p w:rsidR="0048428B" w:rsidRPr="00E126AA" w:rsidP="00474027">
            <w:pPr>
              <w:tabs>
                <w:tab w:val="center" w:pos="6379"/>
              </w:tabs>
              <w:suppressAutoHyphens/>
              <w:bidi w:val="0"/>
              <w:spacing w:after="0" w:line="100" w:lineRule="atLeast"/>
              <w:ind w:right="-2"/>
              <w:jc w:val="both"/>
              <w:rPr>
                <w:bCs/>
                <w:i/>
                <w:lang w:eastAsia="ar-SA"/>
              </w:rPr>
            </w:pPr>
            <w:r w:rsidRPr="00E126AA">
              <w:rPr>
                <w:bCs/>
                <w:i/>
                <w:lang w:eastAsia="ar-SA"/>
              </w:rPr>
              <w:t xml:space="preserve">- stanovisko predkladateľa: v čase začatia prípravy návrhu novely zákona (nadväzne na Programové vyhlásenie vlády SR a plán legislatívnych úloh vlády SR) predkladateľ podľa zákona č. 400/2015 Z. z. zverejnil </w:t>
            </w:r>
            <w:r w:rsidRPr="00E126AA">
              <w:rPr>
                <w:i/>
              </w:rPr>
              <w:t xml:space="preserve">v informačnom systéme verejnej správy Slov-Lex predbežnú informáciu (PI/2016/25), ktorou bola v čase od 13.5. do 20.5.2016 verejnosť informovaná o príprave návrhu zákona a jeho cieľoch a zámeroch. </w:t>
            </w:r>
            <w:r>
              <w:rPr>
                <w:i/>
              </w:rPr>
              <w:t>V</w:t>
            </w:r>
            <w:r w:rsidRPr="00E126AA">
              <w:rPr>
                <w:i/>
              </w:rPr>
              <w:t xml:space="preserve"> čase zverejnenia predbežnej informácie nadväzne na ciel a zámer novely zákona neboli identifikované žiadne vplyvy na podnikateľské prostredie, preto v zmysle Jednotnej metodiky na posudzovanie vybraných vplyvov nebolo potrebné vykonať povinné konzultácie.</w:t>
            </w:r>
          </w:p>
          <w:p w:rsidR="0048428B" w:rsidRPr="00E126AA" w:rsidP="00474027">
            <w:pPr>
              <w:tabs>
                <w:tab w:val="center" w:pos="6379"/>
              </w:tabs>
              <w:suppressAutoHyphens/>
              <w:bidi w:val="0"/>
              <w:spacing w:after="0" w:line="100" w:lineRule="atLeast"/>
              <w:ind w:right="-2"/>
              <w:jc w:val="both"/>
              <w:rPr>
                <w:b/>
                <w:bCs/>
                <w:lang w:eastAsia="ar-SA"/>
              </w:rPr>
            </w:pPr>
            <w:r w:rsidRPr="00E126AA">
              <w:rPr>
                <w:bCs/>
                <w:lang w:eastAsia="ar-SA"/>
              </w:rPr>
              <w:t>III. Záver:</w:t>
            </w:r>
            <w:r w:rsidRPr="00E126AA">
              <w:rPr>
                <w:b/>
                <w:bCs/>
                <w:lang w:eastAsia="ar-SA"/>
              </w:rPr>
              <w:t xml:space="preserve"> </w:t>
            </w:r>
            <w:r w:rsidRPr="00E126AA">
              <w:rPr>
                <w:bCs/>
                <w:lang w:eastAsia="ar-SA"/>
              </w:rPr>
              <w:t>Stála pracovná komisia na posudzovanie vybraných vplyvov vyjadruje nesúhlasné stanovisko</w:t>
            </w:r>
          </w:p>
          <w:p w:rsidR="0048428B" w:rsidRPr="00E126AA" w:rsidP="00474027">
            <w:pPr>
              <w:tabs>
                <w:tab w:val="center" w:pos="6379"/>
              </w:tabs>
              <w:suppressAutoHyphens/>
              <w:bidi w:val="0"/>
              <w:spacing w:after="0" w:line="100" w:lineRule="atLeast"/>
              <w:ind w:right="-2"/>
              <w:jc w:val="both"/>
              <w:rPr>
                <w:bCs/>
                <w:lang w:eastAsia="ar-SA"/>
              </w:rPr>
            </w:pPr>
            <w:r w:rsidRPr="00E126AA">
              <w:rPr>
                <w:bCs/>
                <w:lang w:eastAsia="ar-SA"/>
              </w:rPr>
              <w:t xml:space="preserve">k materiálu, ktorý bol predložený na predbežné pripomienkové konanie s odporúčaním na jeho dopracovanie podľa pripomienok v bode II. </w:t>
            </w:r>
          </w:p>
          <w:p w:rsidR="0048428B" w:rsidRPr="00E126AA" w:rsidP="00474027">
            <w:pPr>
              <w:tabs>
                <w:tab w:val="center" w:pos="6379"/>
              </w:tabs>
              <w:suppressAutoHyphens/>
              <w:bidi w:val="0"/>
              <w:spacing w:after="0" w:line="100" w:lineRule="atLeast"/>
              <w:ind w:right="-2"/>
              <w:jc w:val="both"/>
              <w:rPr>
                <w:bCs/>
                <w:lang w:eastAsia="ar-SA"/>
              </w:rPr>
            </w:pPr>
            <w:r w:rsidRPr="00E126AA">
              <w:rPr>
                <w:bCs/>
              </w:rPr>
              <w:t>IV. Poznámka:</w:t>
            </w:r>
            <w:r w:rsidRPr="00E126AA">
              <w:rPr>
                <w:b/>
                <w:bCs/>
              </w:rPr>
              <w:t xml:space="preserve"> </w:t>
            </w:r>
            <w:r w:rsidRPr="00E126AA">
              <w:rPr>
                <w:bCs/>
              </w:rPr>
              <w:t>Predkladateľ zapracuje pripomienky a odporúčania na úpravu uvedené v bode II a uvedie stanovisko Komisie do Doložky vybraných vplyvov spolu s vyhodnotením pripomienok.</w:t>
            </w:r>
            <w:r w:rsidRPr="00E126AA">
              <w:rPr>
                <w:bCs/>
                <w:lang w:eastAsia="ar-SA"/>
              </w:rPr>
              <w:t xml:space="preserve"> </w:t>
            </w:r>
          </w:p>
          <w:p w:rsidR="0048428B" w:rsidP="00474027">
            <w:pPr>
              <w:bidi w:val="0"/>
              <w:spacing w:after="0" w:line="240" w:lineRule="auto"/>
              <w:rPr>
                <w:bCs/>
                <w:lang w:eastAsia="ar-SA"/>
              </w:rPr>
            </w:pPr>
            <w:r w:rsidRPr="00E126AA">
              <w:rPr>
                <w:bCs/>
                <w:lang w:eastAsia="ar-SA"/>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48428B" w:rsidRPr="00A179AE" w:rsidP="00474027">
            <w:pPr>
              <w:bidi w:val="0"/>
              <w:spacing w:after="0" w:line="240" w:lineRule="auto"/>
              <w:rPr>
                <w:b/>
              </w:rPr>
            </w:pPr>
          </w:p>
        </w:tc>
      </w:tr>
    </w:tbl>
    <w:p w:rsidR="0048428B" w:rsidP="00C621AE">
      <w:pPr>
        <w:bidi w:val="0"/>
        <w:spacing w:after="0" w:line="240" w:lineRule="auto"/>
        <w:jc w:val="both"/>
        <w:rPr>
          <w:rFonts w:ascii="Times New Roman" w:hAnsi="Times New Roman"/>
          <w:sz w:val="24"/>
          <w:szCs w:val="24"/>
        </w:rPr>
      </w:pPr>
    </w:p>
    <w:p w:rsidR="00010407" w:rsidP="0048428B">
      <w:pPr>
        <w:bidi w:val="0"/>
        <w:spacing w:after="0" w:line="240" w:lineRule="auto"/>
        <w:jc w:val="center"/>
        <w:rPr>
          <w:rFonts w:ascii="Times New Roman" w:hAnsi="Times New Roman"/>
          <w:b/>
          <w:bCs/>
          <w:sz w:val="28"/>
          <w:szCs w:val="28"/>
          <w:lang w:eastAsia="sk-SK"/>
        </w:rPr>
      </w:pPr>
    </w:p>
    <w:p w:rsidR="00010407" w:rsidP="0048428B">
      <w:pPr>
        <w:bidi w:val="0"/>
        <w:spacing w:after="0" w:line="240" w:lineRule="auto"/>
        <w:jc w:val="center"/>
        <w:rPr>
          <w:rFonts w:ascii="Times New Roman" w:hAnsi="Times New Roman"/>
          <w:b/>
          <w:bCs/>
          <w:sz w:val="28"/>
          <w:szCs w:val="28"/>
          <w:lang w:eastAsia="sk-SK"/>
        </w:rPr>
      </w:pPr>
    </w:p>
    <w:p w:rsidR="00010407" w:rsidP="0048428B">
      <w:pPr>
        <w:bidi w:val="0"/>
        <w:spacing w:after="0" w:line="240" w:lineRule="auto"/>
        <w:jc w:val="center"/>
        <w:rPr>
          <w:rFonts w:ascii="Times New Roman" w:hAnsi="Times New Roman"/>
          <w:b/>
          <w:bCs/>
          <w:sz w:val="28"/>
          <w:szCs w:val="28"/>
          <w:lang w:eastAsia="sk-SK"/>
        </w:rPr>
      </w:pPr>
    </w:p>
    <w:p w:rsidR="00010407" w:rsidP="0048428B">
      <w:pPr>
        <w:bidi w:val="0"/>
        <w:spacing w:after="0" w:line="240" w:lineRule="auto"/>
        <w:jc w:val="center"/>
        <w:rPr>
          <w:rFonts w:ascii="Times New Roman" w:hAnsi="Times New Roman"/>
          <w:b/>
          <w:bCs/>
          <w:sz w:val="28"/>
          <w:szCs w:val="28"/>
          <w:lang w:eastAsia="sk-SK"/>
        </w:rPr>
      </w:pPr>
    </w:p>
    <w:p w:rsidR="00010407" w:rsidP="0048428B">
      <w:pPr>
        <w:bidi w:val="0"/>
        <w:spacing w:after="0" w:line="240" w:lineRule="auto"/>
        <w:jc w:val="center"/>
        <w:rPr>
          <w:rFonts w:ascii="Times New Roman" w:hAnsi="Times New Roman"/>
          <w:b/>
          <w:bCs/>
          <w:sz w:val="28"/>
          <w:szCs w:val="28"/>
          <w:lang w:eastAsia="sk-SK"/>
        </w:rPr>
      </w:pPr>
    </w:p>
    <w:p w:rsidR="00010407" w:rsidP="0048428B">
      <w:pPr>
        <w:bidi w:val="0"/>
        <w:spacing w:after="0" w:line="240" w:lineRule="auto"/>
        <w:jc w:val="center"/>
        <w:rPr>
          <w:rFonts w:ascii="Times New Roman" w:hAnsi="Times New Roman"/>
          <w:b/>
          <w:bCs/>
          <w:sz w:val="28"/>
          <w:szCs w:val="28"/>
          <w:lang w:eastAsia="sk-SK"/>
        </w:rPr>
      </w:pPr>
    </w:p>
    <w:p w:rsidR="00010407" w:rsidP="0048428B">
      <w:pPr>
        <w:bidi w:val="0"/>
        <w:spacing w:after="0" w:line="240" w:lineRule="auto"/>
        <w:jc w:val="center"/>
        <w:rPr>
          <w:rFonts w:ascii="Times New Roman" w:hAnsi="Times New Roman"/>
          <w:b/>
          <w:bCs/>
          <w:sz w:val="28"/>
          <w:szCs w:val="28"/>
          <w:lang w:eastAsia="sk-SK"/>
        </w:rPr>
      </w:pPr>
    </w:p>
    <w:p w:rsidR="0048428B" w:rsidRPr="007D5748" w:rsidP="0048428B">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48428B" w:rsidRPr="007D5748" w:rsidP="0048428B">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48428B" w:rsidP="0048428B">
      <w:pPr>
        <w:bidi w:val="0"/>
        <w:spacing w:after="0" w:line="240" w:lineRule="auto"/>
        <w:rPr>
          <w:rFonts w:ascii="Times New Roman" w:hAnsi="Times New Roman"/>
          <w:b/>
          <w:bCs/>
          <w:sz w:val="24"/>
          <w:szCs w:val="24"/>
          <w:lang w:eastAsia="sk-SK"/>
        </w:rPr>
      </w:pPr>
    </w:p>
    <w:p w:rsidR="0048428B" w:rsidRPr="00164337" w:rsidP="0048428B">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w:t>
      </w:r>
      <w:r>
        <w:rPr>
          <w:rFonts w:ascii="Times New Roman" w:hAnsi="Times New Roman"/>
          <w:b/>
          <w:bCs/>
          <w:sz w:val="24"/>
          <w:szCs w:val="24"/>
          <w:lang w:eastAsia="sk-SK"/>
        </w:rPr>
        <w:t>zpočet verejnej správy v návrhu</w:t>
      </w:r>
    </w:p>
    <w:p w:rsidR="0048428B" w:rsidRPr="007D5748" w:rsidP="0048428B">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rozpočet verejnej správy (v </w:t>
            </w:r>
            <w:r>
              <w:rPr>
                <w:rFonts w:ascii="Times New Roman" w:hAnsi="Times New Roman"/>
                <w:b/>
                <w:bCs/>
                <w:sz w:val="24"/>
                <w:szCs w:val="24"/>
                <w:lang w:eastAsia="sk-SK"/>
              </w:rPr>
              <w:t xml:space="preserve">mil. </w:t>
            </w:r>
            <w:r w:rsidRPr="007D5748">
              <w:rPr>
                <w:rFonts w:ascii="Times New Roman" w:hAnsi="Times New Roman"/>
                <w:b/>
                <w:bCs/>
                <w:sz w:val="24"/>
                <w:szCs w:val="24"/>
                <w:lang w:eastAsia="sk-SK"/>
              </w:rPr>
              <w:t>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w:t>
            </w:r>
            <w:r w:rsidRPr="007D5748">
              <w:rPr>
                <w:rFonts w:ascii="Times New Roman" w:hAnsi="Times New Roman"/>
                <w:b/>
                <w:bCs/>
                <w:sz w:val="24"/>
                <w:szCs w:val="24"/>
                <w:lang w:eastAsia="sk-SK"/>
              </w:rPr>
              <w:t>1</w:t>
            </w:r>
            <w:r>
              <w:rPr>
                <w:rFonts w:ascii="Times New Roman" w:hAnsi="Times New Roman"/>
                <w:b/>
                <w:bCs/>
                <w:sz w:val="24"/>
                <w:szCs w:val="24"/>
                <w:lang w:eastAsia="sk-SK"/>
              </w:rPr>
              <w:t>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2</w:t>
            </w:r>
            <w:r>
              <w:rPr>
                <w:rFonts w:ascii="Times New Roman" w:hAnsi="Times New Roman"/>
                <w:b/>
                <w:bCs/>
                <w:sz w:val="24"/>
                <w:szCs w:val="24"/>
                <w:lang w:eastAsia="sk-SK"/>
              </w:rPr>
              <w:t>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-4,275</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-4,275</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-4,275</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-4,275</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-4,275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-4,275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-4,275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-4,275</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 (kapitola VPS)</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213C2E" w:rsidP="00474027">
            <w:pPr>
              <w:bidi w:val="0"/>
              <w:spacing w:after="0" w:line="240" w:lineRule="auto"/>
              <w:jc w:val="right"/>
              <w:rPr>
                <w:rFonts w:ascii="Times New Roman" w:hAnsi="Times New Roman"/>
                <w:bCs/>
                <w:iCs/>
                <w:sz w:val="24"/>
                <w:szCs w:val="24"/>
                <w:lang w:eastAsia="sk-SK"/>
              </w:rPr>
            </w:pPr>
            <w:r w:rsidRPr="00213C2E">
              <w:rPr>
                <w:rFonts w:ascii="Times New Roman" w:hAnsi="Times New Roman"/>
                <w:bCs/>
                <w:sz w:val="24"/>
                <w:szCs w:val="24"/>
                <w:lang w:eastAsia="sk-SK"/>
              </w:rPr>
              <w:t>-4,27</w:t>
            </w:r>
            <w:r>
              <w:rPr>
                <w:rFonts w:ascii="Times New Roman" w:hAnsi="Times New Roman"/>
                <w:b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213C2E" w:rsidP="00474027">
            <w:pPr>
              <w:bidi w:val="0"/>
              <w:spacing w:after="0" w:line="240" w:lineRule="auto"/>
              <w:jc w:val="right"/>
              <w:rPr>
                <w:rFonts w:ascii="Times New Roman" w:hAnsi="Times New Roman"/>
                <w:bCs/>
                <w:iCs/>
                <w:sz w:val="24"/>
                <w:szCs w:val="24"/>
                <w:lang w:eastAsia="sk-SK"/>
              </w:rPr>
            </w:pPr>
            <w:r w:rsidRPr="00213C2E">
              <w:rPr>
                <w:rFonts w:ascii="Times New Roman" w:hAnsi="Times New Roman"/>
                <w:bCs/>
                <w:sz w:val="24"/>
                <w:szCs w:val="24"/>
                <w:lang w:eastAsia="sk-SK"/>
              </w:rPr>
              <w:t>-4,27</w:t>
            </w:r>
            <w:r>
              <w:rPr>
                <w:rFonts w:ascii="Times New Roman" w:hAnsi="Times New Roman"/>
                <w:b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213C2E" w:rsidP="00474027">
            <w:pPr>
              <w:bidi w:val="0"/>
              <w:spacing w:after="0" w:line="240" w:lineRule="auto"/>
              <w:jc w:val="right"/>
              <w:rPr>
                <w:rFonts w:ascii="Times New Roman" w:hAnsi="Times New Roman"/>
                <w:bCs/>
                <w:iCs/>
                <w:sz w:val="24"/>
                <w:szCs w:val="24"/>
                <w:lang w:eastAsia="sk-SK"/>
              </w:rPr>
            </w:pPr>
            <w:r w:rsidRPr="00213C2E">
              <w:rPr>
                <w:rFonts w:ascii="Times New Roman" w:hAnsi="Times New Roman"/>
                <w:bCs/>
                <w:sz w:val="24"/>
                <w:szCs w:val="24"/>
                <w:lang w:eastAsia="sk-SK"/>
              </w:rPr>
              <w:t>-4,27</w:t>
            </w:r>
            <w:r>
              <w:rPr>
                <w:rFonts w:ascii="Times New Roman" w:hAnsi="Times New Roman"/>
                <w:b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213C2E" w:rsidP="00474027">
            <w:pPr>
              <w:bidi w:val="0"/>
              <w:spacing w:after="0" w:line="240" w:lineRule="auto"/>
              <w:jc w:val="right"/>
              <w:rPr>
                <w:rFonts w:ascii="Times New Roman" w:hAnsi="Times New Roman"/>
                <w:bCs/>
                <w:iCs/>
                <w:sz w:val="24"/>
                <w:szCs w:val="24"/>
                <w:lang w:eastAsia="sk-SK"/>
              </w:rPr>
            </w:pPr>
            <w:r w:rsidRPr="00213C2E">
              <w:rPr>
                <w:rFonts w:ascii="Times New Roman" w:hAnsi="Times New Roman"/>
                <w:bCs/>
                <w:sz w:val="24"/>
                <w:szCs w:val="24"/>
                <w:lang w:eastAsia="sk-SK"/>
              </w:rPr>
              <w:t>-4,27</w:t>
            </w:r>
            <w:r>
              <w:rPr>
                <w:rFonts w:ascii="Times New Roman" w:hAnsi="Times New Roman"/>
                <w:bCs/>
                <w:sz w:val="24"/>
                <w:szCs w:val="24"/>
                <w:lang w:eastAsia="sk-SK"/>
              </w:rPr>
              <w:t>5</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8428B" w:rsidRPr="007D5748" w:rsidP="00474027">
            <w:pPr>
              <w:bidi w:val="0"/>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8428B" w:rsidRPr="007D5748" w:rsidP="00474027">
            <w:pPr>
              <w:bidi w:val="0"/>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bl>
    <w:p w:rsidR="0048428B" w:rsidRPr="007D5748" w:rsidP="0048428B">
      <w:pPr>
        <w:bidi w:val="0"/>
        <w:spacing w:after="0" w:line="240" w:lineRule="auto"/>
        <w:rPr>
          <w:rFonts w:ascii="Times New Roman" w:hAnsi="Times New Roman"/>
          <w:b/>
          <w:bCs/>
          <w:sz w:val="24"/>
          <w:szCs w:val="24"/>
          <w:lang w:eastAsia="sk-SK"/>
        </w:rPr>
      </w:pPr>
      <w:bookmarkEnd w:id="0"/>
    </w:p>
    <w:p w:rsidR="0048428B" w:rsidP="0048428B">
      <w:pPr>
        <w:bidi w:val="0"/>
        <w:rPr>
          <w:rFonts w:ascii="Times New Roman" w:hAnsi="Times New Roman"/>
          <w:b/>
          <w:bCs/>
          <w:sz w:val="24"/>
          <w:szCs w:val="24"/>
          <w:lang w:eastAsia="sk-SK"/>
        </w:rPr>
      </w:pPr>
      <w:r>
        <w:rPr>
          <w:rFonts w:ascii="Times New Roman" w:hAnsi="Times New Roman"/>
          <w:b/>
          <w:bCs/>
          <w:sz w:val="24"/>
          <w:szCs w:val="24"/>
          <w:lang w:eastAsia="sk-SK"/>
        </w:rPr>
        <w:br w:type="page"/>
      </w:r>
    </w:p>
    <w:p w:rsidR="0048428B" w:rsidRPr="007D5748" w:rsidP="0048428B">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48428B" w:rsidRPr="007D5748" w:rsidP="0048428B">
      <w:pPr>
        <w:bidi w:val="0"/>
        <w:spacing w:after="0" w:line="240" w:lineRule="auto"/>
        <w:jc w:val="both"/>
        <w:rPr>
          <w:rFonts w:ascii="Times New Roman" w:hAnsi="Times New Roman"/>
          <w:b/>
          <w:bCs/>
          <w:sz w:val="12"/>
          <w:szCs w:val="24"/>
          <w:lang w:eastAsia="sk-SK"/>
        </w:rPr>
      </w:pPr>
    </w:p>
    <w:p w:rsidR="0048428B" w:rsidRPr="00AE3DF5" w:rsidP="0048428B">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Úrok za zadržanie nadmerného odpočtu počas daňovej kontroly</w:t>
      </w:r>
      <w:r w:rsidRPr="00C4422F">
        <w:rPr>
          <w:rFonts w:ascii="Times New Roman" w:hAnsi="Times New Roman"/>
          <w:bCs/>
          <w:sz w:val="24"/>
          <w:szCs w:val="24"/>
          <w:lang w:eastAsia="sk-SK"/>
        </w:rPr>
        <w:t xml:space="preserve"> b</w:t>
      </w:r>
      <w:r>
        <w:rPr>
          <w:rFonts w:ascii="Times New Roman" w:hAnsi="Times New Roman"/>
          <w:bCs/>
          <w:sz w:val="24"/>
          <w:szCs w:val="24"/>
          <w:lang w:eastAsia="sk-SK"/>
        </w:rPr>
        <w:t>ude</w:t>
      </w:r>
      <w:r w:rsidRPr="00C4422F">
        <w:rPr>
          <w:rFonts w:ascii="Times New Roman" w:hAnsi="Times New Roman"/>
          <w:bCs/>
          <w:sz w:val="24"/>
          <w:szCs w:val="24"/>
          <w:lang w:eastAsia="sk-SK"/>
        </w:rPr>
        <w:t xml:space="preserve"> viazan</w:t>
      </w:r>
      <w:r>
        <w:rPr>
          <w:rFonts w:ascii="Times New Roman" w:hAnsi="Times New Roman"/>
          <w:bCs/>
          <w:sz w:val="24"/>
          <w:szCs w:val="24"/>
          <w:lang w:eastAsia="sk-SK"/>
        </w:rPr>
        <w:t>ý</w:t>
      </w:r>
      <w:r w:rsidRPr="00C4422F">
        <w:rPr>
          <w:rFonts w:ascii="Times New Roman" w:hAnsi="Times New Roman"/>
          <w:bCs/>
          <w:sz w:val="24"/>
          <w:szCs w:val="24"/>
          <w:lang w:eastAsia="sk-SK"/>
        </w:rPr>
        <w:t xml:space="preserve"> na základnú úrokovú sadzbu ECB. </w:t>
      </w:r>
      <w:r>
        <w:rPr>
          <w:rFonts w:ascii="Times New Roman" w:hAnsi="Times New Roman"/>
          <w:bCs/>
          <w:sz w:val="24"/>
          <w:szCs w:val="24"/>
          <w:lang w:eastAsia="sk-SK"/>
        </w:rPr>
        <w:t>Navrhuje sa jeho v</w:t>
      </w:r>
      <w:r w:rsidRPr="00C4422F">
        <w:rPr>
          <w:rFonts w:ascii="Times New Roman" w:hAnsi="Times New Roman"/>
          <w:bCs/>
          <w:sz w:val="24"/>
          <w:szCs w:val="24"/>
          <w:lang w:eastAsia="sk-SK"/>
        </w:rPr>
        <w:t xml:space="preserve">ýška </w:t>
      </w:r>
      <w:r>
        <w:rPr>
          <w:rFonts w:ascii="Times New Roman" w:hAnsi="Times New Roman"/>
          <w:bCs/>
          <w:sz w:val="24"/>
          <w:szCs w:val="24"/>
          <w:lang w:eastAsia="sk-SK"/>
        </w:rPr>
        <w:t xml:space="preserve">ako </w:t>
      </w:r>
      <w:r w:rsidRPr="00C4422F">
        <w:rPr>
          <w:rFonts w:ascii="Times New Roman" w:hAnsi="Times New Roman"/>
          <w:bCs/>
          <w:sz w:val="24"/>
          <w:szCs w:val="24"/>
          <w:lang w:eastAsia="sk-SK"/>
        </w:rPr>
        <w:t xml:space="preserve">dvojnásobok úrokovej sadzby ECB platnej prvý deň kalendárneho roka, za ktorý sa úrok z NO vypláca, najmenej </w:t>
      </w:r>
      <w:r>
        <w:rPr>
          <w:rFonts w:ascii="Times New Roman" w:hAnsi="Times New Roman"/>
          <w:bCs/>
          <w:sz w:val="24"/>
          <w:szCs w:val="24"/>
          <w:lang w:eastAsia="sk-SK"/>
        </w:rPr>
        <w:t xml:space="preserve">však </w:t>
      </w:r>
      <w:r w:rsidRPr="00C4422F">
        <w:rPr>
          <w:rFonts w:ascii="Times New Roman" w:hAnsi="Times New Roman"/>
          <w:bCs/>
          <w:sz w:val="24"/>
          <w:szCs w:val="24"/>
          <w:lang w:eastAsia="sk-SK"/>
        </w:rPr>
        <w:t>1,5 %</w:t>
      </w:r>
      <w:r>
        <w:rPr>
          <w:rFonts w:ascii="Times New Roman" w:hAnsi="Times New Roman"/>
          <w:bCs/>
          <w:sz w:val="24"/>
          <w:szCs w:val="24"/>
          <w:lang w:eastAsia="sk-SK"/>
        </w:rPr>
        <w:t>, ak by dvojnásobok úroku ECB bol nižší</w:t>
      </w:r>
      <w:r w:rsidRPr="00C4422F">
        <w:rPr>
          <w:rFonts w:ascii="Times New Roman" w:hAnsi="Times New Roman"/>
          <w:bCs/>
          <w:sz w:val="24"/>
          <w:szCs w:val="24"/>
          <w:lang w:eastAsia="sk-SK"/>
        </w:rPr>
        <w:t>.</w:t>
      </w:r>
      <w:r>
        <w:rPr>
          <w:rFonts w:ascii="Times New Roman" w:hAnsi="Times New Roman"/>
          <w:bCs/>
          <w:sz w:val="24"/>
          <w:szCs w:val="24"/>
          <w:lang w:eastAsia="sk-SK"/>
        </w:rPr>
        <w:t xml:space="preserve"> V súčasnosti sa predpokladá negatívny dopad vo výške 4,275 mil. eur za predpokladu, že úrok bude vo výške 1,5 % ročne zo sumy vráteného nadmerného odpočtu, a to za každý deň až do jeho vrátenia, ak</w:t>
      </w:r>
      <w:r w:rsidRPr="006D69E7">
        <w:t xml:space="preserve"> </w:t>
      </w:r>
      <w:r w:rsidRPr="006D69E7">
        <w:rPr>
          <w:rFonts w:ascii="Times New Roman" w:hAnsi="Times New Roman"/>
          <w:sz w:val="24"/>
          <w:szCs w:val="24"/>
        </w:rPr>
        <w:t>nebol vrátený do uplynutia šiestich mesiacov od posledného dňa lehoty na jeho vrátenie.</w:t>
      </w:r>
      <w:r>
        <w:rPr>
          <w:rFonts w:ascii="Times New Roman" w:hAnsi="Times New Roman"/>
          <w:bCs/>
          <w:sz w:val="24"/>
          <w:szCs w:val="24"/>
          <w:lang w:eastAsia="sk-SK"/>
        </w:rPr>
        <w:t xml:space="preserve"> Kvantifikácia vychádza z údajov finančnej správy o dekompozícii nadmerných odpočtov za rok 2015 (údaj, s akým oneskorením boli vyplatené NO).</w:t>
      </w:r>
    </w:p>
    <w:p w:rsidR="0048428B" w:rsidP="0048428B">
      <w:pPr>
        <w:bidi w:val="0"/>
        <w:spacing w:after="0" w:line="240" w:lineRule="auto"/>
        <w:rPr>
          <w:rFonts w:ascii="Times New Roman" w:hAnsi="Times New Roman"/>
          <w:b/>
          <w:bCs/>
          <w:sz w:val="24"/>
          <w:szCs w:val="24"/>
          <w:lang w:eastAsia="sk-SK"/>
        </w:rPr>
      </w:pPr>
    </w:p>
    <w:p w:rsidR="0048428B" w:rsidRPr="007D5748" w:rsidP="0048428B">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48428B" w:rsidRPr="007D5748" w:rsidP="0048428B">
      <w:pPr>
        <w:bidi w:val="0"/>
        <w:spacing w:after="0" w:line="240" w:lineRule="auto"/>
        <w:jc w:val="both"/>
        <w:rPr>
          <w:rFonts w:ascii="Times New Roman" w:hAnsi="Times New Roman"/>
          <w:b/>
          <w:bCs/>
          <w:sz w:val="24"/>
          <w:szCs w:val="24"/>
          <w:lang w:eastAsia="sk-SK"/>
        </w:rPr>
      </w:pPr>
    </w:p>
    <w:p w:rsidR="0048428B" w:rsidP="0048428B">
      <w:pPr>
        <w:bidi w:val="0"/>
        <w:spacing w:after="0" w:line="240" w:lineRule="auto"/>
        <w:jc w:val="both"/>
        <w:rPr>
          <w:rStyle w:val="PlaceholderText"/>
          <w:color w:val="000000"/>
          <w:sz w:val="24"/>
          <w:szCs w:val="24"/>
        </w:rPr>
      </w:pPr>
      <w:r w:rsidRPr="00DF28AF">
        <w:rPr>
          <w:rStyle w:val="PlaceholderText"/>
          <w:color w:val="000000"/>
          <w:sz w:val="24"/>
          <w:szCs w:val="24"/>
        </w:rPr>
        <w:t>Zámerom novely zákona je posunúť účinnosť opatrenia týkajúceho sa priznávania dane pri dovoze tovaru z tretích štátov platiteľom dane v daňovom priznaní (tzv. samozdanenie dovozu tovaru) z 1. januára 2017 na obdobie, v ktorom EK (Eurostat) aktuálne zverejnila údaje o výške dlhu verejnej správy SR, podľa ktorých rozdiel medzi horným limitom dlhu verejnej správy ustanoveným pre príslušný rozpočtový rok a aktuálnou výškou dlhu verejnej správy SR za tento príslušný rozpočtový rok je väčší ako 11 percentuálnych bodov.</w:t>
      </w:r>
    </w:p>
    <w:p w:rsidR="0048428B" w:rsidRPr="00DF28AF" w:rsidP="0048428B">
      <w:pPr>
        <w:bidi w:val="0"/>
        <w:spacing w:after="0" w:line="240" w:lineRule="auto"/>
        <w:jc w:val="both"/>
        <w:rPr>
          <w:rFonts w:ascii="Times New Roman" w:hAnsi="Times New Roman"/>
          <w:color w:val="000000"/>
          <w:sz w:val="24"/>
          <w:szCs w:val="24"/>
        </w:rPr>
      </w:pPr>
      <w:r w:rsidRPr="00DF28AF">
        <w:rPr>
          <w:rFonts w:ascii="Times New Roman" w:hAnsi="Times New Roman"/>
          <w:color w:val="000000"/>
          <w:sz w:val="24"/>
          <w:szCs w:val="24"/>
        </w:rPr>
        <w:t xml:space="preserve">Začatie uplatňovania samozdanenia pri dovoze tovaru platiteľmi dane od 1. januára 2017 by nemalo vplyv na akruálny výnos DPH (ESA 2010), znížil by sa však hotovostný výnos DPH v roku 2017 (v prvom štvrťroku) vo výške 592,6 mil. eur (0,7 % HDP). V prvých troch mesiacoch roku 2017 by poklesol hotovostný výnos DPH, pričom súčasne by boli ešte vyplácané nadmerné odpočty vzťahujúce sa k DPH zaplatenej colným orgánom do konca roku 2016. Napriek neutrálnemu vplyvu na akruálne príjmy by toto opatrenie malo negatívny vplyv na výšku maastrichtského dlhu a úrokové náklady v ESA 2010. Na krytie hotovostného výpadku by bola potrebná dodatočná emisia vládnych cenných papierov, čím by  došlo k zvýšeniu hrubého dlhu, a tým aj k zvýšeniu úrokových nákladov. </w:t>
      </w:r>
    </w:p>
    <w:p w:rsidR="0048428B" w:rsidRPr="00DF28AF" w:rsidP="0048428B">
      <w:pPr>
        <w:bidi w:val="0"/>
        <w:spacing w:after="0" w:line="240" w:lineRule="auto"/>
        <w:rPr>
          <w:rFonts w:ascii="Times New Roman" w:hAnsi="Times New Roman"/>
          <w:color w:val="000000"/>
          <w:sz w:val="24"/>
          <w:szCs w:val="24"/>
        </w:rPr>
      </w:pPr>
      <w:r w:rsidRPr="00DF28AF">
        <w:rPr>
          <w:rFonts w:ascii="Times New Roman" w:hAnsi="Times New Roman"/>
          <w:color w:val="000000"/>
          <w:sz w:val="24"/>
          <w:szCs w:val="24"/>
        </w:rPr>
        <w:t>Posunutím účinnosti tohto opatrenia sa uvedené predpokladané vplyvy neprejavia.</w:t>
      </w:r>
    </w:p>
    <w:p w:rsidR="0048428B" w:rsidRPr="006D69E7" w:rsidP="0048428B">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Novelou zákona o DPH sa navrhuje zaviesť inštitút úroku z nadmerného odpočtu pre platiteľa dane. Pôjde o situácie, ak je kontrola oprávnenosti nároku na nadmerný odpočet začatá v lehote na jeho vrátenie. Keďže platiteľ dane počas výkonu kontroly nemôže dočasne disponovať finančnými prostriedkami vo výške nadmerného odpočtu, navrhuje sa, aby za určité obdobie výkonu kontroly bola platiteľovi dane priznaná finančná náhrada (úrok z nadmerného odpočtu</w:t>
      </w:r>
      <w:r w:rsidRPr="006D69E7">
        <w:rPr>
          <w:rFonts w:ascii="Times New Roman" w:hAnsi="Times New Roman"/>
          <w:sz w:val="24"/>
          <w:szCs w:val="24"/>
          <w:lang w:eastAsia="sk-SK"/>
        </w:rPr>
        <w:t xml:space="preserve">). </w:t>
      </w:r>
      <w:r w:rsidRPr="006D69E7">
        <w:rPr>
          <w:rFonts w:ascii="Times New Roman" w:hAnsi="Times New Roman"/>
          <w:sz w:val="24"/>
          <w:szCs w:val="24"/>
        </w:rPr>
        <w:t>Nárok na úrok z nadmerného odpočtu sa navrhuje priznať platiteľovi dane, ak nebol vrátený do uplynutia šiestich mesiacov od posledného dňa lehoty na vrátenie nadmerného odpočtu.</w:t>
      </w:r>
    </w:p>
    <w:p w:rsidR="0048428B" w:rsidRPr="007D5748" w:rsidP="0048428B">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w:t>
      </w: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48428B" w:rsidRPr="007D5748" w:rsidP="0048428B">
      <w:pPr>
        <w:bidi w:val="0"/>
        <w:spacing w:after="0" w:line="240" w:lineRule="auto"/>
        <w:rPr>
          <w:rFonts w:ascii="Times New Roman" w:hAnsi="Times New Roman"/>
          <w:sz w:val="24"/>
          <w:szCs w:val="24"/>
          <w:lang w:eastAsia="sk-SK"/>
        </w:rPr>
      </w:pPr>
      <w:r>
        <w:rPr>
          <w:rFonts w:ascii="Times New Roman" w:hAnsi="Times New Roman"/>
          <w:sz w:val="24"/>
          <w:szCs w:val="24"/>
          <w:bdr w:val="single" w:sz="4" w:space="0" w:color="auto"/>
          <w:lang w:eastAsia="sk-SK"/>
        </w:rPr>
        <w:t xml:space="preserve"> 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48428B" w:rsidRPr="007D5748" w:rsidP="0048428B">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48428B" w:rsidRPr="007D5748" w:rsidP="0048428B">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48428B" w:rsidRPr="007D5748" w:rsidP="0048428B">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48428B" w:rsidRPr="007D5748" w:rsidP="0048428B">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8428B" w:rsidRPr="007D5748" w:rsidP="00474027">
            <w:pPr>
              <w:autoSpaceDE w:val="0"/>
              <w:autoSpaceDN w:val="0"/>
              <w:bidi w:val="0"/>
              <w:adjustRightInd w:val="0"/>
              <w:spacing w:after="0" w:line="240" w:lineRule="auto"/>
              <w:jc w:val="right"/>
              <w:rPr>
                <w:rFonts w:ascii="Times New Roman" w:hAnsi="Times New Roman"/>
                <w:color w:val="000000"/>
                <w:sz w:val="24"/>
                <w:szCs w:val="24"/>
                <w:lang w:eastAsia="sk-SK"/>
              </w:rPr>
            </w:pPr>
          </w:p>
        </w:tc>
      </w:tr>
    </w:tbl>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48428B" w:rsidRPr="007D5748" w:rsidP="0048428B">
      <w:pPr>
        <w:bidi w:val="0"/>
        <w:spacing w:after="0" w:line="240" w:lineRule="auto"/>
        <w:rPr>
          <w:rFonts w:ascii="Times New Roman" w:hAnsi="Times New Roman"/>
          <w:sz w:val="24"/>
          <w:szCs w:val="24"/>
          <w:lang w:eastAsia="sk-SK"/>
        </w:rPr>
      </w:pPr>
    </w:p>
    <w:p w:rsidR="0048428B" w:rsidRPr="007D5748" w:rsidP="0048428B">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 xml:space="preserve">Uveďte najdôležitejšie výpočty, ktoré boli použité na stanovenie vplyvov na príjmy a výdavky, ako aj predpoklady, z ktorých ste vychádzali. Predkladateľ by mal jasne odlíšiť podklady od kapitol a organizácií, aby bolo jasne vidieť základ použitý na výpočty. </w:t>
      </w:r>
    </w:p>
    <w:p w:rsidR="0048428B" w:rsidRPr="007D5748" w:rsidP="0048428B">
      <w:pPr>
        <w:tabs>
          <w:tab w:val="num" w:pos="1080"/>
        </w:tabs>
        <w:bidi w:val="0"/>
        <w:spacing w:after="0" w:line="240" w:lineRule="auto"/>
        <w:jc w:val="both"/>
        <w:rPr>
          <w:rFonts w:ascii="Times New Roman" w:hAnsi="Times New Roman"/>
          <w:bCs/>
          <w:sz w:val="24"/>
          <w:szCs w:val="20"/>
          <w:lang w:eastAsia="sk-SK"/>
        </w:rPr>
        <w:sectPr w:rsidSect="00EB59C8">
          <w:headerReference w:type="even" r:id="rId4"/>
          <w:footerReference w:type="even" r:id="rId5"/>
          <w:footerReference w:type="default" r:id="rId6"/>
          <w:headerReference w:type="first" r:id="rId7"/>
          <w:footerReference w:type="first" r:id="rId8"/>
          <w:pgSz w:w="11906" w:h="16838"/>
          <w:pgMar w:top="1417" w:right="1417" w:bottom="1276" w:left="1417" w:header="708" w:footer="708" w:gutter="0"/>
          <w:lnNumType w:distance="0"/>
          <w:pgNumType w:start="1"/>
          <w:cols w:space="708"/>
          <w:noEndnote w:val="0"/>
          <w:bidi w:val="0"/>
          <w:docGrid w:linePitch="360"/>
        </w:sectPr>
      </w:pPr>
    </w:p>
    <w:p w:rsidR="0048428B" w:rsidRPr="007D5748" w:rsidP="0048428B">
      <w:pPr>
        <w:tabs>
          <w:tab w:val="num" w:pos="1080"/>
        </w:tabs>
        <w:bidi w:val="0"/>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3 </w:t>
      </w:r>
    </w:p>
    <w:p w:rsidR="0048428B" w:rsidRPr="007D5748" w:rsidP="0048428B">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xml:space="preserve">Príjmy (v </w:t>
            </w:r>
            <w:r>
              <w:rPr>
                <w:rFonts w:ascii="Times New Roman" w:hAnsi="Times New Roman"/>
                <w:b/>
                <w:bCs/>
                <w:sz w:val="24"/>
                <w:szCs w:val="24"/>
                <w:lang w:eastAsia="sk-SK"/>
              </w:rPr>
              <w:t xml:space="preserve">mil. </w:t>
            </w:r>
            <w:r w:rsidRPr="007D5748">
              <w:rPr>
                <w:rFonts w:ascii="Times New Roman" w:hAnsi="Times New Roman"/>
                <w:b/>
                <w:bCs/>
                <w:sz w:val="24"/>
                <w:szCs w:val="24"/>
                <w:lang w:eastAsia="sk-SK"/>
              </w:rPr>
              <w:t>eur)</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48428B" w:rsidRPr="007D5748" w:rsidP="00474027">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w:t>
            </w:r>
            <w:r w:rsidRPr="007D5748">
              <w:rPr>
                <w:rFonts w:ascii="Times New Roman" w:hAnsi="Times New Roman"/>
                <w:b/>
                <w:bCs/>
                <w:sz w:val="24"/>
                <w:szCs w:val="24"/>
                <w:lang w:eastAsia="sk-SK"/>
              </w:rPr>
              <w:t>1</w:t>
            </w:r>
            <w:r>
              <w:rPr>
                <w:rFonts w:ascii="Times New Roman" w:hAnsi="Times New Roman"/>
                <w:b/>
                <w:bCs/>
                <w:sz w:val="24"/>
                <w:szCs w:val="24"/>
                <w:lang w:eastAsia="sk-SK"/>
              </w:rPr>
              <w:t>8</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2</w:t>
            </w:r>
            <w:r>
              <w:rPr>
                <w:rFonts w:ascii="Times New Roman" w:hAnsi="Times New Roman"/>
                <w:b/>
                <w:bCs/>
                <w:sz w:val="24"/>
                <w:szCs w:val="24"/>
                <w:lang w:eastAsia="sk-SK"/>
              </w:rPr>
              <w:t>019</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48428B" w:rsidRPr="007D5748" w:rsidP="00474027">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8428B" w:rsidRPr="00F350ED"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r>
              <w:rPr>
                <w:rFonts w:ascii="Times New Roman" w:hAnsi="Times New Roman"/>
                <w:b/>
                <w:bCs/>
                <w:sz w:val="24"/>
                <w:szCs w:val="24"/>
                <w:lang w:eastAsia="sk-SK"/>
              </w:rPr>
              <w:t xml:space="preserve"> (131)</w:t>
            </w: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3000" w:type="dxa"/>
            <w:tcBorders>
              <w:top w:val="nil"/>
              <w:left w:val="nil"/>
              <w:bottom w:val="single" w:sz="4" w:space="0" w:color="auto"/>
              <w:right w:val="single" w:sz="4" w:space="0" w:color="auto"/>
            </w:tcBorders>
            <w:noWrap/>
            <w:textDirection w:val="lrTb"/>
            <w:vAlign w:val="bottom"/>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1500" w:type="dxa"/>
            <w:tcBorders>
              <w:top w:val="nil"/>
              <w:left w:val="nil"/>
              <w:bottom w:val="single" w:sz="4" w:space="0" w:color="auto"/>
              <w:right w:val="single" w:sz="4" w:space="0" w:color="auto"/>
            </w:tcBorders>
            <w:shd w:val="clear" w:color="auto" w:fill="BFBFBF"/>
            <w:textDirection w:val="lrTb"/>
            <w:vAlign w:val="top"/>
          </w:tcPr>
          <w:p w:rsidR="0048428B" w:rsidRPr="007D5748" w:rsidP="0047402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-4,275</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48428B" w:rsidRPr="007D5748" w:rsidP="00474027">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48428B" w:rsidRPr="007D5748" w:rsidP="0048428B">
      <w:pPr>
        <w:tabs>
          <w:tab w:val="num" w:pos="1080"/>
        </w:tabs>
        <w:bidi w:val="0"/>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48428B" w:rsidRPr="007D5748" w:rsidP="0048428B">
      <w:pPr>
        <w:tabs>
          <w:tab w:val="num" w:pos="1080"/>
        </w:tabs>
        <w:bidi w:val="0"/>
        <w:spacing w:after="0" w:line="240" w:lineRule="auto"/>
        <w:jc w:val="both"/>
        <w:rPr>
          <w:rFonts w:ascii="Times New Roman" w:hAnsi="Times New Roman"/>
          <w:bCs/>
          <w:sz w:val="24"/>
          <w:szCs w:val="20"/>
          <w:lang w:eastAsia="sk-SK"/>
        </w:rPr>
      </w:pPr>
    </w:p>
    <w:p w:rsidR="0048428B" w:rsidRPr="007D5748" w:rsidP="0048428B">
      <w:pPr>
        <w:tabs>
          <w:tab w:val="num" w:pos="1080"/>
        </w:tabs>
        <w:bidi w:val="0"/>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48428B" w:rsidRPr="007D5748" w:rsidP="0048428B">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RPr="007D5748" w:rsidP="0048428B">
      <w:pPr>
        <w:tabs>
          <w:tab w:val="num" w:pos="1080"/>
        </w:tabs>
        <w:bidi w:val="0"/>
        <w:spacing w:after="0" w:line="240" w:lineRule="auto"/>
        <w:ind w:right="-578"/>
        <w:jc w:val="right"/>
        <w:rPr>
          <w:rFonts w:ascii="Times New Roman" w:hAnsi="Times New Roman"/>
          <w:bCs/>
          <w:sz w:val="24"/>
          <w:szCs w:val="24"/>
          <w:lang w:eastAsia="sk-SK"/>
        </w:rPr>
      </w:pPr>
    </w:p>
    <w:p w:rsidR="0048428B" w:rsidP="00C621AE">
      <w:pPr>
        <w:bidi w:val="0"/>
        <w:spacing w:after="0" w:line="240" w:lineRule="auto"/>
        <w:jc w:val="both"/>
        <w:rPr>
          <w:rFonts w:ascii="Times New Roman" w:hAnsi="Times New Roman"/>
          <w:sz w:val="24"/>
          <w:szCs w:val="24"/>
        </w:rPr>
      </w:pPr>
    </w:p>
    <w:p w:rsidR="0048428B" w:rsidP="00C621AE">
      <w:pPr>
        <w:bidi w:val="0"/>
        <w:spacing w:after="0" w:line="240" w:lineRule="auto"/>
        <w:jc w:val="both"/>
        <w:rPr>
          <w:rFonts w:ascii="Times New Roman" w:hAnsi="Times New Roman"/>
          <w:sz w:val="24"/>
          <w:szCs w:val="24"/>
        </w:rPr>
      </w:pPr>
    </w:p>
    <w:p w:rsidR="0048428B" w:rsidP="00C621AE">
      <w:pPr>
        <w:bidi w:val="0"/>
        <w:spacing w:after="0" w:line="240" w:lineRule="auto"/>
        <w:jc w:val="both"/>
        <w:rPr>
          <w:rFonts w:ascii="Times New Roman" w:hAnsi="Times New Roman"/>
          <w:sz w:val="24"/>
          <w:szCs w:val="24"/>
        </w:rPr>
      </w:pPr>
    </w:p>
    <w:p w:rsidR="0048428B" w:rsidP="00C621AE">
      <w:pPr>
        <w:bidi w:val="0"/>
        <w:spacing w:after="0" w:line="240" w:lineRule="auto"/>
        <w:jc w:val="both"/>
        <w:rPr>
          <w:rFonts w:ascii="Times New Roman" w:hAnsi="Times New Roman"/>
          <w:sz w:val="24"/>
          <w:szCs w:val="24"/>
        </w:rPr>
      </w:pPr>
    </w:p>
    <w:p w:rsidR="0048428B" w:rsidP="00C621AE">
      <w:pPr>
        <w:bidi w:val="0"/>
        <w:spacing w:after="0" w:line="240" w:lineRule="auto"/>
        <w:jc w:val="both"/>
        <w:rPr>
          <w:rFonts w:ascii="Times New Roman" w:hAnsi="Times New Roman"/>
          <w:sz w:val="24"/>
          <w:szCs w:val="24"/>
        </w:rPr>
      </w:pPr>
    </w:p>
    <w:p w:rsidR="0048428B" w:rsidP="00C621AE">
      <w:pPr>
        <w:bidi w:val="0"/>
        <w:spacing w:after="0" w:line="240" w:lineRule="auto"/>
        <w:jc w:val="both"/>
        <w:rPr>
          <w:rFonts w:ascii="Times New Roman" w:hAnsi="Times New Roman"/>
          <w:sz w:val="24"/>
          <w:szCs w:val="24"/>
        </w:rPr>
      </w:pPr>
    </w:p>
    <w:p w:rsidR="0048428B" w:rsidP="00C621AE">
      <w:pPr>
        <w:bidi w:val="0"/>
        <w:spacing w:after="0" w:line="240" w:lineRule="auto"/>
        <w:jc w:val="both"/>
        <w:rPr>
          <w:rFonts w:ascii="Times New Roman" w:hAnsi="Times New Roman"/>
          <w:sz w:val="24"/>
          <w:szCs w:val="24"/>
        </w:rPr>
        <w:sectPr w:rsidSect="0048428B">
          <w:pgSz w:w="16838" w:h="11906" w:orient="landscape" w:code="9"/>
          <w:pgMar w:top="1418" w:right="1418" w:bottom="1418" w:left="1418" w:header="709" w:footer="709" w:gutter="0"/>
          <w:lnNumType w:distance="0"/>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jc w:val="center"/>
              <w:rPr>
                <w:rFonts w:ascii="Times New Roman" w:hAnsi="Times New Roman"/>
                <w:b/>
                <w:sz w:val="24"/>
                <w:szCs w:val="20"/>
                <w:lang w:eastAsia="sk-SK"/>
              </w:rPr>
            </w:pPr>
            <w:r w:rsidRPr="0048428B">
              <w:rPr>
                <w:rFonts w:ascii="Times New Roman" w:hAnsi="Times New Roman"/>
                <w:b/>
                <w:sz w:val="28"/>
                <w:szCs w:val="20"/>
                <w:lang w:eastAsia="sk-SK"/>
              </w:rPr>
              <w:t xml:space="preserve">Analýza vplyvov na podnikateľské prostredie </w:t>
            </w:r>
          </w:p>
          <w:p w:rsidR="0048428B" w:rsidRPr="0048428B" w:rsidP="0048428B">
            <w:pPr>
              <w:bidi w:val="0"/>
              <w:spacing w:after="0" w:line="240" w:lineRule="auto"/>
              <w:jc w:val="center"/>
              <w:rPr>
                <w:rFonts w:ascii="Times New Roman" w:hAnsi="Times New Roman"/>
                <w:b/>
                <w:sz w:val="20"/>
                <w:szCs w:val="20"/>
                <w:lang w:eastAsia="sk-SK"/>
              </w:rPr>
            </w:pPr>
            <w:r w:rsidRPr="0048428B">
              <w:rPr>
                <w:rFonts w:ascii="Times New Roman" w:hAnsi="Times New Roman"/>
                <w:b/>
                <w:sz w:val="24"/>
                <w:szCs w:val="20"/>
                <w:lang w:eastAsia="sk-SK"/>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rPr>
                <w:rFonts w:ascii="Times New Roman" w:hAnsi="Times New Roman"/>
                <w:b/>
                <w:sz w:val="24"/>
                <w:szCs w:val="20"/>
                <w:lang w:eastAsia="sk-SK"/>
              </w:rPr>
            </w:pPr>
            <w:r w:rsidRPr="0048428B">
              <w:rPr>
                <w:rFonts w:ascii="Times New Roman" w:hAnsi="Times New Roman"/>
                <w:b/>
                <w:sz w:val="24"/>
                <w:szCs w:val="20"/>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8428B" w:rsidRPr="0048428B" w:rsidP="0048428B">
                  <w:pPr>
                    <w:bidi w:val="0"/>
                    <w:spacing w:after="0" w:line="240" w:lineRule="auto"/>
                    <w:jc w:val="center"/>
                    <w:rPr>
                      <w:rFonts w:ascii="Times New Roman" w:hAnsi="Times New Roman"/>
                      <w:sz w:val="20"/>
                      <w:szCs w:val="20"/>
                      <w:lang w:eastAsia="sk-SK"/>
                    </w:rPr>
                  </w:pPr>
                  <w:r w:rsidRPr="0048428B">
                    <w:rPr>
                      <w:rFonts w:ascii="MS Mincho" w:eastAsia="MS Mincho" w:hAnsi="MS Mincho" w:cs="MS Mincho" w:hint="eastAsia"/>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8428B" w:rsidRPr="0048428B" w:rsidP="0048428B">
                  <w:pPr>
                    <w:bidi w:val="0"/>
                    <w:spacing w:after="0" w:line="240" w:lineRule="auto"/>
                    <w:rPr>
                      <w:rFonts w:ascii="Times New Roman" w:hAnsi="Times New Roman"/>
                      <w:b/>
                      <w:sz w:val="20"/>
                      <w:szCs w:val="20"/>
                      <w:lang w:eastAsia="sk-SK"/>
                    </w:rPr>
                  </w:pPr>
                  <w:r w:rsidRPr="0048428B">
                    <w:rPr>
                      <w:rFonts w:ascii="Times New Roman" w:hAnsi="Times New Roman"/>
                      <w:b/>
                      <w:sz w:val="20"/>
                      <w:szCs w:val="20"/>
                      <w:lang w:eastAsia="sk-SK"/>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8428B" w:rsidRPr="0048428B" w:rsidP="0048428B">
                  <w:pPr>
                    <w:bidi w:val="0"/>
                    <w:spacing w:after="0" w:line="240" w:lineRule="auto"/>
                    <w:jc w:val="center"/>
                    <w:rPr>
                      <w:rFonts w:ascii="Times New Roman" w:hAnsi="Times New Roman"/>
                      <w:sz w:val="20"/>
                      <w:szCs w:val="20"/>
                      <w:lang w:eastAsia="sk-SK"/>
                    </w:rPr>
                  </w:pPr>
                  <w:r w:rsidRPr="0048428B">
                    <w:rPr>
                      <w:rFonts w:ascii="MS Mincho" w:eastAsia="MS Mincho" w:hAnsi="MS Mincho" w:cs="MS Mincho" w:hint="eastAsia"/>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8428B" w:rsidRPr="0048428B" w:rsidP="0048428B">
                  <w:pPr>
                    <w:bidi w:val="0"/>
                    <w:spacing w:after="0" w:line="240" w:lineRule="auto"/>
                    <w:rPr>
                      <w:rFonts w:ascii="Times New Roman" w:hAnsi="Times New Roman"/>
                      <w:b/>
                      <w:sz w:val="20"/>
                      <w:szCs w:val="20"/>
                      <w:lang w:eastAsia="sk-SK"/>
                    </w:rPr>
                  </w:pPr>
                  <w:r w:rsidRPr="0048428B">
                    <w:rPr>
                      <w:rFonts w:ascii="Times New Roman" w:hAnsi="Times New Roman"/>
                      <w:b/>
                      <w:sz w:val="20"/>
                      <w:szCs w:val="20"/>
                      <w:lang w:eastAsia="sk-SK"/>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8428B" w:rsidRPr="0048428B" w:rsidP="0048428B">
                  <w:pPr>
                    <w:bidi w:val="0"/>
                    <w:spacing w:after="0" w:line="240" w:lineRule="auto"/>
                    <w:jc w:val="center"/>
                    <w:rPr>
                      <w:rFonts w:ascii="Times New Roman" w:hAnsi="Times New Roman"/>
                      <w:sz w:val="20"/>
                      <w:szCs w:val="20"/>
                      <w:lang w:eastAsia="sk-SK"/>
                    </w:rPr>
                  </w:pPr>
                  <w:r w:rsidRPr="0048428B">
                    <w:rPr>
                      <w:rFonts w:ascii="MS Gothic" w:eastAsia="MS Gothic" w:hAnsi="MS Gothic" w:hint="eastAsia"/>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8428B" w:rsidRPr="0048428B" w:rsidP="0048428B">
                  <w:pPr>
                    <w:bidi w:val="0"/>
                    <w:spacing w:after="0" w:line="240" w:lineRule="auto"/>
                    <w:rPr>
                      <w:rFonts w:ascii="Times New Roman" w:hAnsi="Times New Roman"/>
                      <w:sz w:val="20"/>
                      <w:szCs w:val="20"/>
                      <w:lang w:eastAsia="sk-SK"/>
                    </w:rPr>
                  </w:pPr>
                  <w:r w:rsidRPr="0048428B">
                    <w:rPr>
                      <w:rFonts w:ascii="Times New Roman" w:hAnsi="Times New Roman"/>
                      <w:b/>
                      <w:sz w:val="20"/>
                      <w:szCs w:val="20"/>
                      <w:lang w:eastAsia="sk-SK"/>
                    </w:rPr>
                    <w:t>na všetky kategórie podnikov</w:t>
                  </w:r>
                </w:p>
              </w:tc>
            </w:tr>
          </w:tbl>
          <w:p w:rsidR="0048428B" w:rsidRPr="0048428B" w:rsidP="0048428B">
            <w:pPr>
              <w:bidi w:val="0"/>
              <w:spacing w:after="0" w:line="240" w:lineRule="auto"/>
              <w:rPr>
                <w:rFonts w:ascii="Times New Roman" w:hAnsi="Times New Roman"/>
                <w:b/>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rPr>
                <w:rFonts w:ascii="Times New Roman" w:hAnsi="Times New Roman"/>
                <w:b/>
                <w:sz w:val="24"/>
                <w:szCs w:val="20"/>
                <w:lang w:eastAsia="sk-SK"/>
              </w:rPr>
            </w:pPr>
            <w:r w:rsidRPr="0048428B">
              <w:rPr>
                <w:rFonts w:ascii="Times New Roman" w:hAnsi="Times New Roman"/>
                <w:b/>
                <w:sz w:val="24"/>
                <w:szCs w:val="20"/>
                <w:lang w:eastAsia="sk-SK"/>
              </w:rPr>
              <w:t>3.1 Dotknuté podnikateľské subjekty</w:t>
            </w:r>
          </w:p>
          <w:p w:rsidR="0048428B" w:rsidRPr="0048428B" w:rsidP="0048428B">
            <w:pPr>
              <w:bidi w:val="0"/>
              <w:spacing w:after="0" w:line="240" w:lineRule="auto"/>
              <w:ind w:left="284"/>
              <w:rPr>
                <w:rFonts w:ascii="Times New Roman" w:hAnsi="Times New Roman"/>
                <w:b/>
                <w:sz w:val="20"/>
                <w:szCs w:val="20"/>
                <w:lang w:eastAsia="sk-SK"/>
              </w:rPr>
            </w:pPr>
            <w:r w:rsidRPr="0048428B">
              <w:rPr>
                <w:rFonts w:ascii="Times New Roman" w:hAnsi="Times New Roman"/>
                <w:sz w:val="24"/>
                <w:szCs w:val="20"/>
                <w:lang w:eastAsia="sk-SK"/>
              </w:rPr>
              <w:t xml:space="preserve"> - </w:t>
            </w:r>
            <w:r w:rsidRPr="0048428B">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Uveďte, aké podnikateľské subjekty budú predkladaným návrhom ovplyvnené. Aký je ich počet?</w:t>
            </w:r>
          </w:p>
        </w:tc>
      </w:tr>
      <w:tr>
        <w:tblPrEx>
          <w:tblW w:w="0" w:type="auto"/>
          <w:tblLook w:val="04A0"/>
        </w:tblPrEx>
        <w:trPr>
          <w:trHeight w:val="794"/>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Zavedenie inštitútu úroku z nadmerného odpočtu sa bude týkať tých platiteľov dane z pridanej hodnoty, u ktorých daňová kontrola oprávnenosti uplatneného nadmerného odpočtu bude trvať viac ako šesť mesiacov.</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rPr>
                <w:rFonts w:ascii="Times New Roman" w:hAnsi="Times New Roman"/>
                <w:b/>
                <w:sz w:val="24"/>
                <w:szCs w:val="20"/>
                <w:lang w:eastAsia="sk-SK"/>
              </w:rPr>
            </w:pPr>
            <w:r w:rsidRPr="0048428B">
              <w:rPr>
                <w:rFonts w:ascii="Times New Roman" w:hAnsi="Times New Roman"/>
                <w:b/>
                <w:sz w:val="24"/>
                <w:szCs w:val="20"/>
                <w:lang w:eastAsia="sk-SK"/>
              </w:rPr>
              <w:t>3.2 Vyhodnotenie konzultácií</w:t>
            </w:r>
          </w:p>
          <w:p w:rsidR="0048428B" w:rsidRPr="0048428B" w:rsidP="0048428B">
            <w:pPr>
              <w:bidi w:val="0"/>
              <w:spacing w:after="0" w:line="240" w:lineRule="auto"/>
              <w:rPr>
                <w:rFonts w:ascii="Times New Roman" w:hAnsi="Times New Roman"/>
                <w:b/>
                <w:sz w:val="20"/>
                <w:szCs w:val="20"/>
                <w:lang w:eastAsia="sk-SK"/>
              </w:rPr>
            </w:pPr>
            <w:r w:rsidRPr="0048428B">
              <w:rPr>
                <w:rFonts w:ascii="Times New Roman" w:hAnsi="Times New Roman"/>
                <w:sz w:val="24"/>
                <w:szCs w:val="20"/>
                <w:lang w:eastAsia="sk-SK"/>
              </w:rPr>
              <w:t xml:space="preserve">       - </w:t>
            </w:r>
            <w:r w:rsidRPr="0048428B">
              <w:rPr>
                <w:rFonts w:ascii="Times New Roman" w:hAnsi="Times New Roman"/>
                <w:b/>
                <w:sz w:val="24"/>
                <w:szCs w:val="20"/>
                <w:lang w:eastAsia="sk-SK"/>
              </w:rPr>
              <w:t>z toho MSP</w:t>
            </w:r>
          </w:p>
        </w:tc>
      </w:tr>
      <w:tr>
        <w:tblPrEx>
          <w:tblW w:w="0" w:type="auto"/>
          <w:tblLook w:val="04A0"/>
        </w:tblPrEx>
        <w:trPr>
          <w:trHeight w:val="45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Uveďte, akou formou (verejné alebo cielené konzultácie a prečo) a s kým bol návrh konzultovaný.</w:t>
            </w:r>
          </w:p>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 xml:space="preserve">Ako dlho trvali konzultácie? Uveďte hlavné body konzultácií a výsledky konzultácií. </w:t>
            </w:r>
          </w:p>
        </w:tc>
      </w:tr>
      <w:tr>
        <w:tblPrEx>
          <w:tblW w:w="0" w:type="auto"/>
          <w:tblLook w:val="04A0"/>
        </w:tblPrEx>
        <w:trPr>
          <w:trHeight w:val="1134"/>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48428B" w:rsidRPr="0048428B" w:rsidP="0048428B">
            <w:pPr>
              <w:bidi w:val="0"/>
              <w:spacing w:after="0" w:line="240" w:lineRule="auto"/>
              <w:rPr>
                <w:rFonts w:ascii="Times New Roman" w:hAnsi="Times New Roman"/>
              </w:rPr>
            </w:pPr>
            <w:r w:rsidRPr="0048428B">
              <w:rPr>
                <w:rFonts w:ascii="Times New Roman" w:hAnsi="Times New Roman"/>
              </w:rPr>
              <w:t>Nakoľko v čase zverejnenia predbežnej informácie neboli identifikované žiadne vplyvy na podnikateľské prostredie, v zmysle Jednotnej metodiky na posudzovanie vybraných vplyvov nebolo potrebné vykonať povinné konzultácie.</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rPr>
              <w:t xml:space="preserve">Na základe skutočnosti, že pred začatím medzirezortného pripomienkového konania bol návrh zákona doplnený o problematiku </w:t>
            </w:r>
            <w:r w:rsidRPr="0048428B">
              <w:rPr>
                <w:rFonts w:ascii="Times New Roman" w:hAnsi="Times New Roman"/>
                <w:lang w:eastAsia="sk-SK"/>
              </w:rPr>
              <w:t xml:space="preserve">inštitútu finančnej náhrady za zadržanie nadmerného odpočtu počas daňovej kontroly, predkladateľ sa rozhodol uskutočniť dodatočne počas prebiehajúceho MPK konzultácie. V tejto súvislosti uvádzame, že z Jednotnej metodiky na posudzovanie vybraných vplyvov a z hľadiska časovej postupnosti zaradenia povinných konzultácií nevyplýva, že po každom prípadnom doplnení pôvodného zámeru návrhu zákona v ďalších štádiách legislatívneho procesu, je opätovne potrebné vykonávať konzultácie. </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 xml:space="preserve">Dodatočné konzultácie sa uskutočnili formou pracovných rokovaní so Združením podnikateľov Slovenska, Slovenským živnostenským zväzom, Podnikateľskou alianciou Slovenska (19.7.2016), s Asociáciou zamestnávateľských zväzov a združení SR,  Republikovou úniou zamestnávateľov, Klubom 500 (20.7.2016) a Slovenskou komorou daňových poradcov (21.7.2016). </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Na rokovaniach boli zo strany predkladateľa objasnené zámery novely zákona o DPH predloženej do MPK a vysvetlené jednotlivé navrhované zmeny a doplnenia zákona o DPH. Bolo vysvetlené, že posun samozdanenia pri dovoze tovaru vychádza z Programového vyhlásenia vlády SR v kontexte dodržiavania pravidiel Paktu stability a rastu, ktorými je SR viazaná a súvisí s konsolidáciou verejných financií. Vysvetlené bolo tiež doplnenie do návrhu zákona nároku na finančnú náhradu zo zadržiavaného nadmerného odpočtu počas daňovej kontroly, tzv. úrok z nadmerného odpočtu.</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Výsledky konzultácií:</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 zástupkyňa ZPS neuplatnila k návrhu novely zákona pripomienky týkajúce sa negatívneho vplyvu na podnikateľské prostredie,</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-zástupkyňa Klubu 500: k odloženiu účinnosti samozdanenia pri dovoze tovaru nevzniesla námietky, vyjadrila nesúhlas so stanovením počiatočného dňa, od ktorého sa priznáva nárok na úrok z NO (má sa postupovať podľa judikatúry SD EÚ), vzniesla požiadavku (nad rámec návrhu novely) na doplnenie v súvislosti s prenosom daňovej povinnosti v stavebníctve (nejasnosti v súvislosti so zatrieďovaním činností podľa štatistickej klasifikácie produktov),</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 zástupcovia SKDP: požiadavka na doplnenie návrhu zákona v súvislosti s prenosom daňovej povinnosti v stavebníctve, vyjadrený súhlas s odstránením dvojakého možného postupu zahraničnej osoby registrovanej ako platiteľ dane v súvislosti s uplatnením DPH z nákupov tovarov a služieb,</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K úprave náhrady za zadržiavanie nadmerného odpočtu vzniesli viaceré výhrady (nesúhlas so stanovením počiatočného dňa priznávania nároku na úrok z NO, nesúhlas s fixne stanovenou percentuálnou sadzbou úroku, doplnenie návrhu o priznanie nároku na úrok v situácii, keď kontrola NO trvá dlhšie ako 6 mesiacov, doplnenie návrhu o spätné pôsobenie právnej úpravy úroku z NO do obdobia pred navrhovanou účinnosťou, nesúhlas so znením, podľa ktorého platiteľ dane nemá nárok na úrok z oneskoreného zaplatenia úroku n NO,</w:t>
            </w:r>
          </w:p>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 zástupca RÚZ: požiadavka na doplnenie návrhu zákona v súvislosti s prenosom daňovej povinnosti v stavebníctve, nesúhlas s odložením účinnosti samozdanenia pri dovoze tovaru, predniesol ďalšie pripomienky a podnety nad rámec novely zákona, uplatní RÚZ v rámci MPK.</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rPr>
                <w:rFonts w:ascii="Times New Roman" w:hAnsi="Times New Roman"/>
                <w:b/>
                <w:sz w:val="24"/>
                <w:szCs w:val="20"/>
                <w:lang w:eastAsia="sk-SK"/>
              </w:rPr>
            </w:pPr>
            <w:r w:rsidRPr="0048428B">
              <w:rPr>
                <w:rFonts w:ascii="Times New Roman" w:hAnsi="Times New Roman"/>
                <w:b/>
                <w:sz w:val="24"/>
                <w:szCs w:val="20"/>
                <w:lang w:eastAsia="sk-SK"/>
              </w:rPr>
              <w:t>3.3 Náklady regulácie</w:t>
            </w:r>
          </w:p>
          <w:p w:rsidR="0048428B" w:rsidRPr="0048428B" w:rsidP="0048428B">
            <w:pPr>
              <w:bidi w:val="0"/>
              <w:spacing w:after="0" w:line="240" w:lineRule="auto"/>
              <w:rPr>
                <w:rFonts w:ascii="Times New Roman" w:hAnsi="Times New Roman"/>
                <w:b/>
                <w:sz w:val="20"/>
                <w:szCs w:val="20"/>
                <w:lang w:eastAsia="sk-SK"/>
              </w:rPr>
            </w:pPr>
            <w:r w:rsidRPr="0048428B">
              <w:rPr>
                <w:rFonts w:ascii="Times New Roman" w:hAnsi="Times New Roman"/>
                <w:sz w:val="24"/>
                <w:szCs w:val="20"/>
                <w:lang w:eastAsia="sk-SK"/>
              </w:rPr>
              <w:t xml:space="preserve">      - </w:t>
            </w:r>
            <w:r w:rsidRPr="0048428B">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b/>
                <w:i/>
                <w:sz w:val="20"/>
                <w:szCs w:val="20"/>
                <w:lang w:eastAsia="sk-SK"/>
              </w:rPr>
            </w:pPr>
            <w:r w:rsidRPr="0048428B">
              <w:rPr>
                <w:rFonts w:ascii="Times New Roman" w:hAnsi="Times New Roman"/>
                <w:b/>
                <w:i/>
                <w:sz w:val="20"/>
                <w:szCs w:val="20"/>
                <w:lang w:eastAsia="sk-SK"/>
              </w:rPr>
              <w:t>3.3.1 Priame finančné náklady</w:t>
            </w:r>
          </w:p>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tblPrEx>
          <w:tblW w:w="0" w:type="auto"/>
          <w:tblLook w:val="04A0"/>
        </w:tblPrEx>
        <w:trPr>
          <w:trHeight w:val="397"/>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Nedochádza ani k zvýšeniu, ani k zníženiu priamych finančných nákladov.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b/>
                <w:i/>
                <w:sz w:val="20"/>
                <w:szCs w:val="20"/>
                <w:lang w:eastAsia="sk-SK"/>
              </w:rPr>
            </w:pPr>
            <w:r w:rsidRPr="0048428B">
              <w:rPr>
                <w:rFonts w:ascii="Times New Roman" w:hAnsi="Times New Roman"/>
                <w:b/>
                <w:i/>
                <w:sz w:val="20"/>
                <w:szCs w:val="20"/>
                <w:lang w:eastAsia="sk-SK"/>
              </w:rPr>
              <w:t>3.3.2 Nepriame finančné náklady</w:t>
            </w:r>
          </w:p>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b/>
                <w:i/>
                <w:sz w:val="20"/>
                <w:szCs w:val="20"/>
                <w:lang w:eastAsia="sk-SK"/>
              </w:rPr>
            </w:pPr>
            <w:r w:rsidRPr="0048428B">
              <w:rPr>
                <w:rFonts w:ascii="Times New Roman" w:hAnsi="Times New Roman"/>
                <w:lang w:eastAsia="sk-SK"/>
              </w:rPr>
              <w:t>Návrh novely zákona si nevyžaduje dodatočné náklady na nákup tovarov alebo služieb. Predkladateľ zastáva názor, že návrh nezvyšuje náklady súvisiace so zamestnanosťou.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b/>
                <w:i/>
                <w:sz w:val="20"/>
                <w:szCs w:val="20"/>
                <w:lang w:eastAsia="sk-SK"/>
              </w:rPr>
            </w:pPr>
            <w:r w:rsidRPr="0048428B">
              <w:rPr>
                <w:rFonts w:ascii="Times New Roman" w:hAnsi="Times New Roman"/>
                <w:b/>
                <w:i/>
                <w:sz w:val="20"/>
                <w:szCs w:val="20"/>
                <w:lang w:eastAsia="sk-SK"/>
              </w:rPr>
              <w:t>3.3.3 Administratívne náklady</w:t>
            </w:r>
          </w:p>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rPr>
          <w:trHeight w:val="624"/>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Navrhovaná úprava súvisiaca so zavedením inštitútu úroku z nadmerného odpočtu nebude znamenať zavedenie nových informačných povinností.</w:t>
            </w:r>
          </w:p>
        </w:tc>
      </w:tr>
      <w:tr>
        <w:tblPrEx>
          <w:tblW w:w="0" w:type="auto"/>
          <w:tblLook w:val="04A0"/>
        </w:tblPrEx>
        <w:trPr>
          <w:trHeight w:val="181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b/>
                <w:i/>
                <w:sz w:val="20"/>
                <w:szCs w:val="20"/>
                <w:lang w:eastAsia="sk-SK"/>
              </w:rPr>
              <w:t>3.3.4 Súhrnná tabuľka nákladov regulácie</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i/>
                      <w:sz w:val="20"/>
                      <w:szCs w:val="20"/>
                      <w:lang w:eastAsia="sk-SK"/>
                    </w:rPr>
                  </w:pPr>
                  <w:r w:rsidRPr="0048428B">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b/>
                      <w:i/>
                      <w:sz w:val="20"/>
                      <w:szCs w:val="20"/>
                      <w:lang w:eastAsia="sk-SK"/>
                    </w:rPr>
                  </w:pPr>
                  <w:r w:rsidRPr="0048428B">
                    <w:rPr>
                      <w:rFonts w:ascii="Times New Roman" w:hAnsi="Times New Roman"/>
                      <w:b/>
                      <w:i/>
                      <w:sz w:val="20"/>
                      <w:szCs w:val="20"/>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b/>
                      <w:i/>
                      <w:sz w:val="20"/>
                      <w:szCs w:val="20"/>
                      <w:lang w:eastAsia="sk-SK"/>
                    </w:rPr>
                  </w:pPr>
                  <w:r w:rsidRPr="0048428B">
                    <w:rPr>
                      <w:rFonts w:ascii="Times New Roman" w:hAnsi="Times New Roman"/>
                      <w:b/>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jc w:val="center"/>
                    <w:rPr>
                      <w:rFonts w:ascii="Times New Roman" w:hAnsi="Times New Roman"/>
                      <w:b/>
                      <w:i/>
                      <w:sz w:val="20"/>
                      <w:szCs w:val="20"/>
                      <w:lang w:eastAsia="sk-SK"/>
                    </w:rPr>
                  </w:pPr>
                  <w:r w:rsidRPr="0048428B">
                    <w:rPr>
                      <w:rFonts w:ascii="Times New Roman" w:hAnsi="Times New Roman"/>
                      <w:b/>
                      <w:i/>
                      <w:sz w:val="20"/>
                      <w:szCs w:val="20"/>
                      <w:lang w:eastAsia="sk-SK"/>
                    </w:rPr>
                    <w:t>0</w:t>
                  </w:r>
                </w:p>
              </w:tc>
            </w:tr>
          </w:tbl>
          <w:p w:rsidR="0048428B" w:rsidRPr="0048428B" w:rsidP="0048428B">
            <w:pPr>
              <w:bidi w:val="0"/>
              <w:spacing w:after="0" w:line="240" w:lineRule="auto"/>
              <w:ind w:firstLine="708"/>
              <w:rPr>
                <w:rFonts w:ascii="Times New Roman" w:hAnsi="Times New Roman"/>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rPr>
                <w:rFonts w:ascii="Times New Roman" w:hAnsi="Times New Roman"/>
                <w:b/>
                <w:sz w:val="24"/>
                <w:szCs w:val="20"/>
                <w:lang w:eastAsia="sk-SK"/>
              </w:rPr>
            </w:pPr>
            <w:r w:rsidRPr="0048428B">
              <w:rPr>
                <w:rFonts w:ascii="Times New Roman" w:hAnsi="Times New Roman"/>
                <w:b/>
                <w:sz w:val="24"/>
                <w:szCs w:val="20"/>
                <w:lang w:eastAsia="sk-SK"/>
              </w:rPr>
              <w:t>3.4 Konkurencieschopnosť a správanie sa podnikov na trhu</w:t>
            </w:r>
          </w:p>
          <w:p w:rsidR="0048428B" w:rsidRPr="0048428B" w:rsidP="0048428B">
            <w:pPr>
              <w:bidi w:val="0"/>
              <w:spacing w:after="0" w:line="240" w:lineRule="auto"/>
              <w:rPr>
                <w:rFonts w:ascii="Times New Roman" w:hAnsi="Times New Roman"/>
                <w:sz w:val="20"/>
                <w:szCs w:val="20"/>
                <w:lang w:eastAsia="sk-SK"/>
              </w:rPr>
            </w:pPr>
            <w:r w:rsidRPr="0048428B">
              <w:rPr>
                <w:rFonts w:ascii="Times New Roman" w:hAnsi="Times New Roman"/>
                <w:b/>
                <w:sz w:val="24"/>
                <w:szCs w:val="20"/>
                <w:lang w:eastAsia="sk-SK"/>
              </w:rPr>
              <w:t xml:space="preserve">       </w:t>
            </w:r>
            <w:r w:rsidRPr="0048428B">
              <w:rPr>
                <w:rFonts w:ascii="Times New Roman" w:hAnsi="Times New Roman"/>
                <w:sz w:val="24"/>
                <w:szCs w:val="20"/>
                <w:lang w:eastAsia="sk-SK"/>
              </w:rPr>
              <w:t xml:space="preserve">- </w:t>
            </w:r>
            <w:r w:rsidRPr="0048428B">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 Ako ovplyvní cenu alebo dostupnosť základných zdrojov (suroviny, mechanizmy, pracovná sila, energie atď.)? Ovplyvňuje prístup k financiám? Ak áno, ako?</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Návrh novely zákona nebude mať vplyv na konkurencieschopnosť a správanie sa podnikov na trhu z pohľadu vytvárania bariér.</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8428B" w:rsidRPr="0048428B" w:rsidP="0048428B">
            <w:pPr>
              <w:bidi w:val="0"/>
              <w:spacing w:after="0" w:line="240" w:lineRule="auto"/>
              <w:rPr>
                <w:rFonts w:ascii="Times New Roman" w:hAnsi="Times New Roman"/>
                <w:b/>
                <w:sz w:val="24"/>
                <w:szCs w:val="20"/>
                <w:lang w:eastAsia="sk-SK"/>
              </w:rPr>
            </w:pPr>
            <w:r w:rsidRPr="0048428B">
              <w:rPr>
                <w:rFonts w:ascii="Times New Roman" w:hAnsi="Times New Roman"/>
                <w:b/>
                <w:sz w:val="24"/>
                <w:szCs w:val="20"/>
                <w:lang w:eastAsia="sk-SK"/>
              </w:rPr>
              <w:t xml:space="preserve">3.5 Inovácie </w:t>
            </w:r>
          </w:p>
          <w:p w:rsidR="0048428B" w:rsidRPr="0048428B" w:rsidP="0048428B">
            <w:pPr>
              <w:bidi w:val="0"/>
              <w:spacing w:after="0" w:line="240" w:lineRule="auto"/>
              <w:rPr>
                <w:rFonts w:ascii="Times New Roman" w:hAnsi="Times New Roman"/>
                <w:b/>
                <w:sz w:val="20"/>
                <w:szCs w:val="20"/>
                <w:lang w:eastAsia="sk-SK"/>
              </w:rPr>
            </w:pPr>
            <w:r w:rsidRPr="0048428B">
              <w:rPr>
                <w:rFonts w:ascii="Times New Roman" w:hAnsi="Times New Roman"/>
                <w:sz w:val="24"/>
                <w:szCs w:val="20"/>
                <w:lang w:eastAsia="sk-SK"/>
              </w:rPr>
              <w:t xml:space="preserve">       - </w:t>
            </w:r>
            <w:r w:rsidRPr="0048428B">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Uveďte, ako podporuje navrhovaná zmena inovácie.</w:t>
            </w:r>
          </w:p>
          <w:p w:rsidR="0048428B" w:rsidRPr="0048428B" w:rsidP="0048428B">
            <w:pPr>
              <w:bidi w:val="0"/>
              <w:spacing w:after="0" w:line="240" w:lineRule="auto"/>
              <w:rPr>
                <w:rFonts w:ascii="Times New Roman" w:hAnsi="Times New Roman"/>
                <w:i/>
                <w:sz w:val="20"/>
                <w:szCs w:val="20"/>
                <w:lang w:eastAsia="sk-SK"/>
              </w:rPr>
            </w:pPr>
            <w:r w:rsidRPr="0048428B">
              <w:rPr>
                <w:rFonts w:ascii="Times New Roman" w:hAnsi="Times New Roman"/>
                <w:i/>
                <w:sz w:val="20"/>
                <w:szCs w:val="20"/>
                <w:lang w:eastAsia="sk-SK"/>
              </w:rPr>
              <w:t>Zjednodušuje uvedenie alebo rozšírenie nových výrobných metód, technológií a výrobkov na trh?</w:t>
            </w:r>
          </w:p>
          <w:p w:rsidR="0048428B" w:rsidRPr="0048428B" w:rsidP="0048428B">
            <w:pPr>
              <w:bidi w:val="0"/>
              <w:spacing w:after="0" w:line="240" w:lineRule="auto"/>
              <w:rPr>
                <w:rFonts w:ascii="Times New Roman" w:hAnsi="Times New Roman"/>
                <w:sz w:val="20"/>
                <w:szCs w:val="20"/>
                <w:lang w:eastAsia="sk-SK"/>
              </w:rPr>
            </w:pPr>
            <w:r w:rsidRPr="0048428B">
              <w:rPr>
                <w:rFonts w:ascii="Times New Roman" w:hAnsi="Times New Roman"/>
                <w:i/>
                <w:sz w:val="20"/>
                <w:szCs w:val="20"/>
                <w:lang w:eastAsia="sk-SK"/>
              </w:rPr>
              <w:t>Uveďte, ako vplýva navrhovaná zmena na jednotlivé práva duševného vlastníctva (napr. patenty, ochranné známky, autorské práva, vlastníctvo know-how).Podporuje vyššiu efektivitu výroby/využívania zdrojov? Ak áno, ako? Vytvorí zmena nové pracovné miesta pre zamestnancov výskumu a vývoja v SR?</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center"/>
          </w:tcPr>
          <w:p w:rsidR="0048428B" w:rsidRPr="0048428B" w:rsidP="0048428B">
            <w:pPr>
              <w:bidi w:val="0"/>
              <w:spacing w:after="0" w:line="240" w:lineRule="auto"/>
              <w:rPr>
                <w:rFonts w:ascii="Times New Roman" w:hAnsi="Times New Roman"/>
                <w:lang w:eastAsia="sk-SK"/>
              </w:rPr>
            </w:pPr>
            <w:r w:rsidRPr="0048428B">
              <w:rPr>
                <w:rFonts w:ascii="Times New Roman" w:hAnsi="Times New Roman"/>
                <w:lang w:eastAsia="sk-SK"/>
              </w:rPr>
              <w:t>Navrhovaná novela zákona nemá vplyv na inovácie podnikateľov.</w:t>
            </w:r>
          </w:p>
        </w:tc>
      </w:tr>
    </w:tbl>
    <w:p w:rsidR="0048428B" w:rsidP="00C621AE">
      <w:pPr>
        <w:bidi w:val="0"/>
        <w:spacing w:after="0" w:line="240" w:lineRule="auto"/>
        <w:jc w:val="both"/>
        <w:rPr>
          <w:rFonts w:ascii="Times New Roman" w:hAnsi="Times New Roman"/>
          <w:sz w:val="24"/>
          <w:szCs w:val="24"/>
        </w:rPr>
      </w:pPr>
    </w:p>
    <w:p w:rsidR="0048428B" w:rsidP="0048428B">
      <w:pPr>
        <w:bidi w:val="0"/>
        <w:spacing w:line="240" w:lineRule="auto"/>
        <w:rPr>
          <w:rFonts w:ascii="Times New Roman" w:hAnsi="Times New Roman"/>
          <w:b/>
          <w:color w:val="000000"/>
          <w:sz w:val="24"/>
          <w:szCs w:val="24"/>
        </w:rPr>
      </w:pPr>
    </w:p>
    <w:p w:rsidR="0048428B" w:rsidP="0048428B">
      <w:pPr>
        <w:bidi w:val="0"/>
        <w:spacing w:line="240" w:lineRule="auto"/>
        <w:rPr>
          <w:rFonts w:ascii="Times New Roman" w:hAnsi="Times New Roman"/>
          <w:b/>
          <w:color w:val="000000"/>
          <w:sz w:val="24"/>
          <w:szCs w:val="24"/>
        </w:rPr>
      </w:pPr>
    </w:p>
    <w:p w:rsidR="00744E27" w:rsidRPr="00744E27" w:rsidP="00744E27">
      <w:pPr>
        <w:widowControl w:val="0"/>
        <w:autoSpaceDE w:val="0"/>
        <w:autoSpaceDN w:val="0"/>
        <w:bidi w:val="0"/>
        <w:adjustRightInd w:val="0"/>
        <w:spacing w:after="0" w:line="240" w:lineRule="auto"/>
        <w:jc w:val="center"/>
        <w:rPr>
          <w:rFonts w:ascii="Times New Roman" w:hAnsi="Times New Roman"/>
          <w:b/>
          <w:caps/>
          <w:spacing w:val="30"/>
          <w:sz w:val="25"/>
          <w:szCs w:val="25"/>
          <w:lang w:eastAsia="sk-SK"/>
        </w:rPr>
      </w:pPr>
      <w:r w:rsidRPr="00744E27">
        <w:rPr>
          <w:rFonts w:ascii="Times New Roman" w:hAnsi="Times New Roman"/>
          <w:b/>
          <w:caps/>
          <w:spacing w:val="30"/>
          <w:sz w:val="25"/>
          <w:szCs w:val="25"/>
          <w:lang w:eastAsia="sk-SK"/>
        </w:rPr>
        <w:t>Doložka zlučiteľnosti</w:t>
      </w:r>
    </w:p>
    <w:p w:rsidR="00744E27" w:rsidRPr="00744E27" w:rsidP="00744E27">
      <w:pPr>
        <w:widowControl w:val="0"/>
        <w:autoSpaceDE w:val="0"/>
        <w:autoSpaceDN w:val="0"/>
        <w:bidi w:val="0"/>
        <w:adjustRightInd w:val="0"/>
        <w:spacing w:after="0" w:line="240" w:lineRule="auto"/>
        <w:jc w:val="center"/>
        <w:rPr>
          <w:rFonts w:ascii="Times New Roman" w:hAnsi="Times New Roman"/>
          <w:b/>
          <w:sz w:val="25"/>
          <w:szCs w:val="25"/>
          <w:lang w:eastAsia="sk-SK"/>
        </w:rPr>
      </w:pPr>
      <w:r w:rsidRPr="00744E27">
        <w:rPr>
          <w:rFonts w:ascii="Times New Roman" w:hAnsi="Times New Roman"/>
          <w:b/>
          <w:sz w:val="25"/>
          <w:szCs w:val="25"/>
          <w:lang w:eastAsia="sk-SK"/>
        </w:rPr>
        <w:t>návrhu právneho predpisu s právom Európskej únie</w:t>
      </w:r>
    </w:p>
    <w:p w:rsidR="00744E27" w:rsidRPr="00744E27" w:rsidP="00744E27">
      <w:pPr>
        <w:widowControl w:val="0"/>
        <w:autoSpaceDE w:val="0"/>
        <w:autoSpaceDN w:val="0"/>
        <w:bidi w:val="0"/>
        <w:adjustRightInd w:val="0"/>
        <w:spacing w:after="0" w:line="240" w:lineRule="auto"/>
        <w:jc w:val="center"/>
        <w:rPr>
          <w:rFonts w:ascii="Times New Roman" w:hAnsi="Times New Roman"/>
          <w:b/>
          <w:sz w:val="25"/>
          <w:szCs w:val="25"/>
          <w:lang w:eastAsia="sk-SK"/>
        </w:rPr>
      </w:pPr>
    </w:p>
    <w:p w:rsidR="00744E27" w:rsidRPr="00744E27" w:rsidP="00744E27">
      <w:pPr>
        <w:widowControl w:val="0"/>
        <w:autoSpaceDE w:val="0"/>
        <w:autoSpaceDN w:val="0"/>
        <w:bidi w:val="0"/>
        <w:adjustRightInd w:val="0"/>
        <w:spacing w:after="0" w:line="240" w:lineRule="auto"/>
        <w:jc w:val="center"/>
        <w:rPr>
          <w:rFonts w:ascii="Times New Roman" w:hAnsi="Times New Roman"/>
          <w:b/>
          <w:sz w:val="25"/>
          <w:szCs w:val="25"/>
          <w:lang w:eastAsia="sk-SK"/>
        </w:rPr>
      </w:pPr>
    </w:p>
    <w:tbl>
      <w:tblPr>
        <w:tblStyle w:val="Mriekatabuky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b/>
                <w:sz w:val="25"/>
                <w:szCs w:val="25"/>
                <w:lang w:eastAsia="sk-SK"/>
              </w:rPr>
            </w:pPr>
            <w:r w:rsidRPr="00744E27">
              <w:rPr>
                <w:rFonts w:ascii="Times New Roman" w:hAnsi="Times New Roman"/>
                <w:b/>
                <w:sz w:val="25"/>
                <w:szCs w:val="25"/>
                <w:lang w:eastAsia="sk-SK"/>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r w:rsidRPr="00744E27">
              <w:rPr>
                <w:rFonts w:ascii="Times New Roman" w:hAnsi="Times New Roman"/>
                <w:b/>
                <w:sz w:val="25"/>
                <w:szCs w:val="25"/>
                <w:lang w:eastAsia="sk-SK"/>
              </w:rPr>
              <w:t>Predkladateľ návrhu právneho predpisu:</w:t>
            </w:r>
            <w:r w:rsidRPr="00744E27">
              <w:rPr>
                <w:rFonts w:ascii="Times New Roman" w:hAnsi="Times New Roman"/>
                <w:sz w:val="25"/>
                <w:szCs w:val="25"/>
                <w:lang w:eastAsia="sk-SK"/>
              </w:rPr>
              <w:t xml:space="preserve"> </w:t>
            </w:r>
            <w:r w:rsidRPr="00744E27">
              <w:rPr>
                <w:rFonts w:ascii="Times New Roman" w:hAnsi="Times New Roman"/>
                <w:sz w:val="25"/>
                <w:szCs w:val="25"/>
                <w:lang w:eastAsia="sk-SK"/>
              </w:rPr>
              <w:fldChar w:fldCharType="begin"/>
            </w:r>
            <w:r w:rsidRPr="00744E27">
              <w:rPr>
                <w:rFonts w:ascii="Times New Roman" w:hAnsi="Times New Roman"/>
                <w:sz w:val="25"/>
                <w:szCs w:val="25"/>
                <w:lang w:eastAsia="sk-SK"/>
              </w:rPr>
              <w:instrText xml:space="preserve"> DOCPROPERTY  FSC#SKEDITIONSLOVLEX@103.510:zodpinstitucia  \* MERGEFORMAT </w:instrText>
            </w:r>
            <w:r w:rsidRPr="00744E27">
              <w:rPr>
                <w:rFonts w:ascii="Times New Roman" w:hAnsi="Times New Roman"/>
                <w:sz w:val="25"/>
                <w:szCs w:val="25"/>
                <w:lang w:eastAsia="sk-SK"/>
              </w:rPr>
              <w:fldChar w:fldCharType="separate"/>
            </w:r>
            <w:r w:rsidRPr="00744E27">
              <w:rPr>
                <w:rFonts w:ascii="Times New Roman" w:hAnsi="Times New Roman"/>
                <w:sz w:val="25"/>
                <w:szCs w:val="25"/>
                <w:lang w:eastAsia="sk-SK"/>
              </w:rPr>
              <w:t>Ministerstvo financií Slovenskej republiky</w:t>
            </w:r>
            <w:r w:rsidRPr="00744E27">
              <w:rPr>
                <w:rFonts w:ascii="Times New Roman" w:hAnsi="Times New Roman"/>
                <w:sz w:val="25"/>
                <w:szCs w:val="25"/>
                <w:lang w:eastAsia="sk-SK"/>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b/>
                <w:sz w:val="25"/>
                <w:szCs w:val="25"/>
                <w:lang w:eastAsia="sk-SK"/>
              </w:rPr>
            </w:pPr>
            <w:r w:rsidRPr="00744E27">
              <w:rPr>
                <w:rFonts w:ascii="Times New Roman" w:hAnsi="Times New Roman"/>
                <w:b/>
                <w:sz w:val="25"/>
                <w:szCs w:val="25"/>
                <w:lang w:eastAsia="sk-SK"/>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r w:rsidRPr="00744E27">
              <w:rPr>
                <w:rFonts w:ascii="Times New Roman" w:hAnsi="Times New Roman"/>
                <w:b/>
                <w:sz w:val="25"/>
                <w:szCs w:val="25"/>
                <w:lang w:eastAsia="sk-SK"/>
              </w:rPr>
              <w:t>Názov návrhu právneho predpisu:</w:t>
            </w:r>
            <w:r w:rsidRPr="00744E27">
              <w:rPr>
                <w:rFonts w:ascii="Times New Roman" w:hAnsi="Times New Roman"/>
                <w:sz w:val="25"/>
                <w:szCs w:val="25"/>
                <w:lang w:eastAsia="sk-SK"/>
              </w:rPr>
              <w:t xml:space="preserve"> </w:t>
            </w:r>
            <w:r w:rsidRPr="00744E27">
              <w:rPr>
                <w:rFonts w:ascii="Times New Roman" w:hAnsi="Times New Roman"/>
                <w:sz w:val="25"/>
                <w:szCs w:val="25"/>
                <w:lang w:eastAsia="sk-SK"/>
              </w:rPr>
              <w:fldChar w:fldCharType="begin"/>
            </w:r>
            <w:r w:rsidRPr="00744E27">
              <w:rPr>
                <w:rFonts w:ascii="Times New Roman" w:hAnsi="Times New Roman"/>
                <w:sz w:val="25"/>
                <w:szCs w:val="25"/>
                <w:lang w:eastAsia="sk-SK"/>
              </w:rPr>
              <w:instrText xml:space="preserve"> DOCPROPERTY  FSC#SKEDITIONSLOVLEX@103.510:plnynazovpredpis  \* MERGEFORMAT </w:instrText>
            </w:r>
            <w:r w:rsidRPr="00744E27">
              <w:rPr>
                <w:rFonts w:ascii="Times New Roman" w:hAnsi="Times New Roman"/>
                <w:sz w:val="25"/>
                <w:szCs w:val="25"/>
                <w:lang w:eastAsia="sk-SK"/>
              </w:rPr>
              <w:fldChar w:fldCharType="separate"/>
            </w:r>
            <w:r w:rsidRPr="00744E27">
              <w:rPr>
                <w:rFonts w:ascii="Times New Roman" w:hAnsi="Times New Roman"/>
                <w:sz w:val="25"/>
                <w:szCs w:val="25"/>
                <w:lang w:eastAsia="sk-SK"/>
              </w:rPr>
              <w:t xml:space="preserve"> Zákon, ktorým sa mení a dopĺňa zákon č. 222/2004 Z. z. o dani z pridanej hodnoty v znení neskorších predpisov a ktorým sa mení zákon č. 331/2011 Z. z., ktorým sa mení a dopĺňa zákon č. 563/2009 Z. z. o správe daní (daňový poriadok) a o zmene a doplnení niektorých</w:t>
            </w:r>
            <w:r w:rsidRPr="00744E27">
              <w:rPr>
                <w:rFonts w:ascii="Times New Roman" w:hAnsi="Times New Roman"/>
                <w:sz w:val="25"/>
                <w:szCs w:val="25"/>
                <w:lang w:eastAsia="sk-SK"/>
              </w:rPr>
              <w:fldChar w:fldCharType="end"/>
            </w:r>
            <w:r w:rsidRPr="00744E27">
              <w:rPr>
                <w:rFonts w:ascii="Times New Roman" w:hAnsi="Times New Roman"/>
                <w:sz w:val="25"/>
                <w:szCs w:val="25"/>
                <w:lang w:eastAsia="sk-SK"/>
              </w:rPr>
              <w:fldChar w:fldCharType="begin"/>
            </w:r>
            <w:r w:rsidRPr="00744E27">
              <w:rPr>
                <w:rFonts w:ascii="Times New Roman" w:hAnsi="Times New Roman"/>
                <w:sz w:val="25"/>
                <w:szCs w:val="25"/>
                <w:lang w:eastAsia="sk-SK"/>
              </w:rPr>
              <w:instrText xml:space="preserve"> DOCPROPERTY  FSC#SKEDITIONSLOVLEX@103.510:plnynazovpredpis1  \* MERGEFORMAT </w:instrText>
            </w:r>
            <w:r w:rsidRPr="00744E27">
              <w:rPr>
                <w:rFonts w:ascii="Times New Roman" w:hAnsi="Times New Roman"/>
                <w:sz w:val="25"/>
                <w:szCs w:val="25"/>
                <w:lang w:eastAsia="sk-SK"/>
              </w:rPr>
              <w:fldChar w:fldCharType="separate"/>
            </w:r>
            <w:r w:rsidRPr="00744E27">
              <w:rPr>
                <w:rFonts w:ascii="Times New Roman" w:hAnsi="Times New Roman"/>
                <w:sz w:val="25"/>
                <w:szCs w:val="25"/>
                <w:lang w:eastAsia="sk-SK"/>
              </w:rPr>
              <w:t xml:space="preserve"> zákonov a ktorým sa menia a dopĺňajú niektoré zákony v znení neskorších predpisov </w:t>
            </w:r>
            <w:r w:rsidRPr="00744E27">
              <w:rPr>
                <w:rFonts w:ascii="Times New Roman" w:hAnsi="Times New Roman"/>
                <w:sz w:val="25"/>
                <w:szCs w:val="25"/>
                <w:lang w:eastAsia="sk-SK"/>
              </w:rPr>
              <w:fldChar w:fldCharType="end"/>
            </w:r>
            <w:r w:rsidRPr="00744E27">
              <w:rPr>
                <w:rFonts w:ascii="Times New Roman" w:hAnsi="Times New Roman"/>
                <w:sz w:val="25"/>
                <w:szCs w:val="25"/>
                <w:lang w:eastAsia="sk-SK"/>
              </w:rPr>
              <w:fldChar w:fldCharType="begin"/>
            </w:r>
            <w:r w:rsidRPr="00744E27">
              <w:rPr>
                <w:rFonts w:ascii="Times New Roman" w:hAnsi="Times New Roman"/>
                <w:sz w:val="25"/>
                <w:szCs w:val="25"/>
                <w:lang w:eastAsia="sk-SK"/>
              </w:rPr>
              <w:instrText xml:space="preserve"> DOCPROPERTY  FSC#SKEDITIONSLOVLEX@103.510:plnynazovpredpis2  \* MERGEFORMAT </w:instrText>
            </w:r>
            <w:r w:rsidRPr="00744E27">
              <w:rPr>
                <w:rFonts w:ascii="Times New Roman" w:hAnsi="Times New Roman"/>
                <w:sz w:val="25"/>
                <w:szCs w:val="25"/>
                <w:lang w:eastAsia="sk-SK"/>
              </w:rPr>
              <w:fldChar w:fldCharType="separate"/>
            </w:r>
            <w:r w:rsidRPr="00744E27">
              <w:rPr>
                <w:rFonts w:ascii="Times New Roman" w:hAnsi="Times New Roman"/>
                <w:sz w:val="25"/>
                <w:szCs w:val="25"/>
                <w:lang w:eastAsia="sk-SK"/>
              </w:rPr>
              <w:fldChar w:fldCharType="end"/>
            </w:r>
            <w:r w:rsidRPr="00744E27">
              <w:rPr>
                <w:rFonts w:ascii="Times New Roman" w:hAnsi="Times New Roman"/>
                <w:sz w:val="25"/>
                <w:szCs w:val="25"/>
                <w:lang w:eastAsia="sk-SK"/>
              </w:rPr>
              <w:fldChar w:fldCharType="begin"/>
            </w:r>
            <w:r w:rsidRPr="00744E27">
              <w:rPr>
                <w:rFonts w:ascii="Times New Roman" w:hAnsi="Times New Roman"/>
                <w:sz w:val="25"/>
                <w:szCs w:val="25"/>
                <w:lang w:eastAsia="sk-SK"/>
              </w:rPr>
              <w:instrText xml:space="preserve"> DOCPROPERTY  FSC#SKEDITIONSLOVLEX@103.510:plnynazovpredpis3  \* MERGEFORMAT </w:instrText>
            </w:r>
            <w:r w:rsidRPr="00744E27">
              <w:rPr>
                <w:rFonts w:ascii="Times New Roman" w:hAnsi="Times New Roman"/>
                <w:sz w:val="25"/>
                <w:szCs w:val="25"/>
                <w:lang w:eastAsia="sk-SK"/>
              </w:rPr>
              <w:fldChar w:fldCharType="separate"/>
            </w:r>
            <w:r w:rsidRPr="00744E27">
              <w:rPr>
                <w:rFonts w:ascii="Times New Roman" w:hAnsi="Times New Roman"/>
                <w:sz w:val="25"/>
                <w:szCs w:val="25"/>
                <w:lang w:eastAsia="sk-SK"/>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b/>
                <w:sz w:val="25"/>
                <w:szCs w:val="25"/>
                <w:lang w:eastAsia="sk-SK"/>
              </w:rPr>
            </w:pPr>
            <w:r w:rsidRPr="00744E27">
              <w:rPr>
                <w:rFonts w:ascii="Times New Roman" w:hAnsi="Times New Roman"/>
                <w:b/>
                <w:sz w:val="25"/>
                <w:szCs w:val="25"/>
                <w:lang w:eastAsia="sk-SK"/>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b/>
                <w:sz w:val="25"/>
                <w:szCs w:val="25"/>
                <w:lang w:eastAsia="sk-SK"/>
              </w:rPr>
            </w:pPr>
            <w:r w:rsidRPr="00744E27">
              <w:rPr>
                <w:rFonts w:ascii="Times New Roman" w:hAnsi="Times New Roman"/>
                <w:b/>
                <w:sz w:val="25"/>
                <w:szCs w:val="25"/>
                <w:lang w:eastAsia="sk-SK"/>
              </w:rPr>
              <w:t>Problematika návrhu právneho predpisu:</w:t>
            </w:r>
          </w:p>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5"/>
                <w:szCs w:val="25"/>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numPr>
                <w:numId w:val="6"/>
              </w:numPr>
              <w:tabs>
                <w:tab w:val="left" w:pos="360"/>
              </w:tabs>
              <w:autoSpaceDE w:val="0"/>
              <w:autoSpaceDN w:val="0"/>
              <w:bidi w:val="0"/>
              <w:adjustRightInd w:val="0"/>
              <w:spacing w:after="0" w:line="240" w:lineRule="auto"/>
              <w:contextualSpacing/>
              <w:rPr>
                <w:rFonts w:ascii="Times New Roman" w:hAnsi="Times New Roman"/>
                <w:lang w:eastAsia="sk-SK"/>
              </w:rPr>
            </w:pPr>
            <w:r w:rsidRPr="00744E27">
              <w:rPr>
                <w:rFonts w:ascii="Times" w:hAnsi="Times" w:cs="Times"/>
                <w:sz w:val="25"/>
                <w:szCs w:val="25"/>
                <w:lang w:eastAsia="sk-SK"/>
              </w:rPr>
              <w:t>je upravená v práve Európskej únie</w:t>
            </w:r>
          </w:p>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sz w:val="25"/>
                <w:szCs w:val="25"/>
                <w:lang w:eastAsia="sk-SK"/>
              </w:rPr>
              <w:br/>
            </w:r>
            <w:r w:rsidRPr="00744E27">
              <w:rPr>
                <w:rFonts w:ascii="Times" w:hAnsi="Times" w:cs="Times"/>
                <w:i/>
                <w:iCs/>
                <w:sz w:val="25"/>
                <w:szCs w:val="25"/>
                <w:lang w:eastAsia="sk-SK"/>
              </w:rPr>
              <w:t xml:space="preserve">- primárnom </w:t>
            </w:r>
            <w:r w:rsidRPr="00744E27">
              <w:rPr>
                <w:rFonts w:ascii="Times" w:hAnsi="Times" w:cs="Times"/>
                <w:sz w:val="25"/>
                <w:szCs w:val="25"/>
                <w:lang w:eastAsia="sk-SK"/>
              </w:rPr>
              <w:br/>
              <w:br/>
              <w:t>- čl. 110 až 113, čl. 349 a 355 ods. 1 Zmluvy o fungovaní Európskej únie,- čl. 52 Zmluvy o Európskej únii.</w:t>
            </w:r>
          </w:p>
          <w:p w:rsidR="00744E27" w:rsidRPr="00744E27" w:rsidP="00744E27">
            <w:pPr>
              <w:widowControl w:val="0"/>
              <w:tabs>
                <w:tab w:val="left" w:pos="360"/>
              </w:tabs>
              <w:autoSpaceDE w:val="0"/>
              <w:autoSpaceDN w:val="0"/>
              <w:bidi w:val="0"/>
              <w:adjustRightInd w:val="0"/>
              <w:spacing w:after="0" w:line="240" w:lineRule="auto"/>
              <w:ind w:left="360"/>
              <w:contextualSpacing/>
              <w:rPr>
                <w:rFonts w:ascii="Times New Roman" w:hAnsi="Times New Roman"/>
                <w:lang w:eastAsia="sk-SK"/>
              </w:rPr>
            </w:pPr>
          </w:p>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i/>
                <w:iCs/>
                <w:sz w:val="25"/>
                <w:szCs w:val="25"/>
                <w:lang w:eastAsia="sk-SK"/>
              </w:rPr>
              <w:t>- sekundárnom (prijatom po nadobudnutím platnosti Lisabonskej zmluvy, ktorou sa mení a dopĺňa Zmluva o Európskom spoločenstve a Zmluva o Európskej únii – po 30. novembri 2009)</w:t>
            </w:r>
            <w:r w:rsidRPr="00744E27">
              <w:rPr>
                <w:rFonts w:ascii="Times" w:hAnsi="Times" w:cs="Times"/>
                <w:sz w:val="25"/>
                <w:szCs w:val="25"/>
                <w:lang w:eastAsia="sk-SK"/>
              </w:rPr>
              <w:br/>
              <w:br/>
              <w:t xml:space="preserve">1. legislatívne akty: </w:t>
              <w:br/>
              <w:t>-</w:t>
              <w:br/>
            </w:r>
          </w:p>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sz w:val="25"/>
                <w:szCs w:val="25"/>
                <w:lang w:eastAsia="sk-SK"/>
              </w:rPr>
              <w:t xml:space="preserve">2. nelegislatívne akty: </w:t>
              <w:br/>
              <w:br/>
              <w:t>- nariadenie Komisie (EÚ) č. 1209/2014 z 29. októbra 2014, ktorým sa mení nariadenie Európskeho parlamentu a Rady (ES) č. 451/2008, ktorým sa zavádza nová štatistická klasifikácia produktov podľa činnosti (CPA) a ktorým sa zrušuje nariadenie Rady (EHS) č. 3696/93 (Ú. v. EÚ L 336, 22.11.2014).</w:t>
            </w:r>
          </w:p>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p>
          <w:p w:rsidR="00744E27" w:rsidRPr="00744E27" w:rsidP="00744E27">
            <w:pPr>
              <w:widowControl w:val="0"/>
              <w:tabs>
                <w:tab w:val="left" w:pos="360"/>
              </w:tabs>
              <w:autoSpaceDE w:val="0"/>
              <w:autoSpaceDN w:val="0"/>
              <w:bidi w:val="0"/>
              <w:adjustRightInd w:val="0"/>
              <w:spacing w:after="0" w:line="240" w:lineRule="auto"/>
              <w:ind w:left="360"/>
              <w:contextualSpacing/>
              <w:rPr>
                <w:rFonts w:ascii="Times New Roman" w:hAnsi="Times New Roman"/>
                <w:lang w:eastAsia="sk-SK"/>
              </w:rPr>
            </w:pPr>
          </w:p>
          <w:p w:rsidR="00744E27" w:rsidRPr="00744E27" w:rsidP="00744E27">
            <w:pPr>
              <w:widowControl w:val="0"/>
              <w:autoSpaceDE w:val="0"/>
              <w:autoSpaceDN w:val="0"/>
              <w:bidi w:val="0"/>
              <w:adjustRightInd w:val="0"/>
              <w:spacing w:after="0" w:line="240" w:lineRule="auto"/>
              <w:rPr>
                <w:rFonts w:ascii="Times" w:hAnsi="Times" w:cs="Times"/>
                <w:i/>
                <w:iCs/>
                <w:sz w:val="25"/>
                <w:szCs w:val="25"/>
                <w:lang w:eastAsia="sk-SK"/>
              </w:rPr>
            </w:pPr>
            <w:r w:rsidRPr="00744E27">
              <w:rPr>
                <w:rFonts w:ascii="Times" w:hAnsi="Times" w:cs="Times"/>
                <w:i/>
                <w:iCs/>
                <w:sz w:val="25"/>
                <w:szCs w:val="25"/>
                <w:lang w:eastAsia="sk-SK"/>
              </w:rPr>
              <w:t>- sekundárnom (prijatom pred nadobudnutím platnosti Lisabonskej zmluvy)</w:t>
              <w:br/>
              <w:br/>
              <w:t>-smernica Rady 2006/112/ES z 28. novembra 2006 o spoločnom systéme dane z pridanej hodnoty (Ú. v. EÚ L 347, 11.12.2006) v platnom znení,</w:t>
            </w:r>
          </w:p>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i/>
                <w:iCs/>
                <w:sz w:val="25"/>
                <w:szCs w:val="25"/>
                <w:lang w:eastAsia="sk-SK"/>
              </w:rPr>
              <w:t>- smernica Rady 2008/9/ES z 12. 2. 2008, ktorou sa ustanovujú podrobné pravidlá pre vrátenie dane z pridanej hodnoty ustanovené v smernici 2006/112/ES zdaniteľným osobám, ktoré nie sú usadené v členskom štáte vrátenia dane, ale ktoré sú usadené v inom členskom štáte (Ú. v. EÚ L 44, 20. 2. 2008) v platnom znení.</w:t>
            </w:r>
          </w:p>
          <w:p w:rsidR="00744E27" w:rsidRPr="00744E27" w:rsidP="00744E27">
            <w:pPr>
              <w:widowControl w:val="0"/>
              <w:tabs>
                <w:tab w:val="left" w:pos="360"/>
              </w:tabs>
              <w:autoSpaceDE w:val="0"/>
              <w:autoSpaceDN w:val="0"/>
              <w:bidi w:val="0"/>
              <w:adjustRightInd w:val="0"/>
              <w:spacing w:after="0" w:line="240" w:lineRule="auto"/>
              <w:ind w:left="360"/>
              <w:contextualSpacing/>
              <w:rPr>
                <w:rFonts w:ascii="Times New Roman" w:hAnsi="Times New Roman"/>
                <w:lang w:eastAsia="sk-SK"/>
              </w:rPr>
            </w:pPr>
          </w:p>
          <w:p w:rsidR="00744E27" w:rsidRPr="00744E27" w:rsidP="00744E27">
            <w:pPr>
              <w:widowControl w:val="0"/>
              <w:tabs>
                <w:tab w:val="left" w:pos="360"/>
              </w:tabs>
              <w:autoSpaceDE w:val="0"/>
              <w:autoSpaceDN w:val="0"/>
              <w:bidi w:val="0"/>
              <w:adjustRightInd w:val="0"/>
              <w:spacing w:after="0" w:line="240" w:lineRule="auto"/>
              <w:ind w:left="360"/>
              <w:contextualSpacing/>
              <w:rPr>
                <w:rFonts w:ascii="Times New Roman" w:hAnsi="Times New Roman"/>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numPr>
                <w:numId w:val="6"/>
              </w:numPr>
              <w:tabs>
                <w:tab w:val="left" w:pos="360"/>
              </w:tabs>
              <w:autoSpaceDE w:val="0"/>
              <w:autoSpaceDN w:val="0"/>
              <w:bidi w:val="0"/>
              <w:adjustRightInd w:val="0"/>
              <w:spacing w:after="0" w:line="240" w:lineRule="auto"/>
              <w:contextualSpacing/>
              <w:rPr>
                <w:rFonts w:ascii="Times New Roman" w:hAnsi="Times New Roman"/>
                <w:lang w:eastAsia="sk-SK"/>
              </w:rPr>
            </w:pPr>
            <w:r w:rsidRPr="00744E27">
              <w:rPr>
                <w:rFonts w:ascii="Times" w:hAnsi="Times" w:cs="Times"/>
                <w:sz w:val="25"/>
                <w:szCs w:val="25"/>
                <w:lang w:eastAsia="sk-SK"/>
              </w:rPr>
              <w:t>nie je obsiahnutá v judikatúre Súdneho dvora Európskej únie</w:t>
            </w:r>
          </w:p>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p w:rsidR="00744E27" w:rsidRPr="00744E27" w:rsidP="00744E27">
            <w:pPr>
              <w:widowControl w:val="0"/>
              <w:tabs>
                <w:tab w:val="left" w:pos="360"/>
              </w:tabs>
              <w:autoSpaceDE w:val="0"/>
              <w:autoSpaceDN w:val="0"/>
              <w:bidi w:val="0"/>
              <w:adjustRightInd w:val="0"/>
              <w:spacing w:after="0" w:line="240" w:lineRule="auto"/>
              <w:ind w:left="360"/>
              <w:contextualSpacing/>
              <w:rPr>
                <w:rFonts w:ascii="Times New Roman" w:hAnsi="Times New Roman"/>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b/>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lang w:eastAsia="sk-SK"/>
              </w:rPr>
            </w:pPr>
          </w:p>
        </w:tc>
      </w:tr>
    </w:tbl>
    <w:p w:rsidR="00744E27" w:rsidRPr="00744E27" w:rsidP="00744E27">
      <w:pPr>
        <w:widowControl w:val="0"/>
        <w:tabs>
          <w:tab w:val="left" w:pos="360"/>
        </w:tabs>
        <w:autoSpaceDE w:val="0"/>
        <w:autoSpaceDN w:val="0"/>
        <w:bidi w:val="0"/>
        <w:adjustRightInd w:val="0"/>
        <w:spacing w:after="0" w:line="240" w:lineRule="auto"/>
        <w:rPr>
          <w:rFonts w:ascii="Times New Roman" w:hAnsi="Times New Roman"/>
          <w:sz w:val="24"/>
          <w:szCs w:val="24"/>
          <w:lang w:eastAsia="sk-SK"/>
        </w:rPr>
      </w:pPr>
    </w:p>
    <w:p w:rsidR="00744E27" w:rsidRPr="00744E27" w:rsidP="00744E27">
      <w:pPr>
        <w:widowControl w:val="0"/>
        <w:tabs>
          <w:tab w:val="left" w:pos="360"/>
        </w:tabs>
        <w:autoSpaceDE w:val="0"/>
        <w:autoSpaceDN w:val="0"/>
        <w:bidi w:val="0"/>
        <w:adjustRightInd w:val="0"/>
        <w:spacing w:after="0" w:line="240" w:lineRule="auto"/>
        <w:jc w:val="both"/>
        <w:rPr>
          <w:rFonts w:ascii="Times New Roman" w:hAnsi="Times New Roman"/>
          <w:sz w:val="24"/>
          <w:szCs w:val="24"/>
          <w:lang w:eastAsia="sk-SK"/>
        </w:rPr>
      </w:pPr>
    </w:p>
    <w:tbl>
      <w:tblPr>
        <w:tblStyle w:val="TableNormal"/>
        <w:tblW w:w="5000" w:type="pct"/>
        <w:jc w:val="center"/>
        <w:tblCellMar>
          <w:left w:w="0" w:type="dxa"/>
          <w:right w:w="0" w:type="dxa"/>
        </w:tblCellMar>
        <w:tblLook w:val="04A0"/>
      </w:tblPr>
      <w:tblGrid>
        <w:gridCol w:w="454"/>
        <w:gridCol w:w="272"/>
        <w:gridCol w:w="8344"/>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b/>
                <w:bCs/>
                <w:sz w:val="25"/>
                <w:szCs w:val="25"/>
                <w:lang w:eastAsia="sk-SK"/>
              </w:rPr>
            </w:pPr>
            <w:r w:rsidRPr="00744E27">
              <w:rPr>
                <w:rFonts w:ascii="Times" w:hAnsi="Times" w:cs="Times"/>
                <w:b/>
                <w:bCs/>
                <w:sz w:val="25"/>
                <w:szCs w:val="25"/>
                <w:lang w:eastAsia="sk-SK"/>
              </w:rPr>
              <w:t>4.</w:t>
            </w:r>
          </w:p>
        </w:tc>
        <w:tc>
          <w:tcPr>
            <w:tcW w:w="4750" w:type="pct"/>
            <w:gridSpan w:val="2"/>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b/>
                <w:bCs/>
                <w:sz w:val="25"/>
                <w:szCs w:val="25"/>
                <w:lang w:eastAsia="sk-SK"/>
              </w:rPr>
            </w:pPr>
            <w:r w:rsidRPr="00744E27">
              <w:rPr>
                <w:rFonts w:ascii="Times" w:hAnsi="Times" w:cs="Times"/>
                <w:b/>
                <w:bCs/>
                <w:sz w:val="25"/>
                <w:szCs w:val="25"/>
                <w:lang w:eastAsia="sk-SK"/>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b/>
                <w:bCs/>
                <w:sz w:val="25"/>
                <w:szCs w:val="25"/>
                <w:lang w:eastAsia="sk-SK"/>
              </w:rPr>
            </w:pPr>
          </w:p>
        </w:tc>
        <w:tc>
          <w:tcPr>
            <w:tcW w:w="150" w:type="pct"/>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sz w:val="25"/>
                <w:szCs w:val="25"/>
                <w:lang w:eastAsia="sk-SK"/>
              </w:rPr>
              <w:t>a)</w:t>
            </w: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sz w:val="25"/>
                <w:szCs w:val="25"/>
                <w:lang w:eastAsia="sk-SK"/>
              </w:rPr>
              <w:t>b)</w:t>
            </w: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sz w:val="25"/>
                <w:szCs w:val="25"/>
                <w:lang w:eastAsia="sk-SK"/>
              </w:rPr>
              <w:t>c)</w:t>
            </w: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sz w:val="25"/>
                <w:szCs w:val="25"/>
                <w:lang w:eastAsia="sk-SK"/>
              </w:rPr>
            </w:pPr>
            <w:r w:rsidRPr="00744E27">
              <w:rPr>
                <w:rFonts w:ascii="Times" w:hAnsi="Times" w:cs="Times"/>
                <w:sz w:val="25"/>
                <w:szCs w:val="25"/>
                <w:lang w:eastAsia="sk-SK"/>
              </w:rPr>
              <w:t>d)</w:t>
            </w: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b/>
                <w:bCs/>
                <w:sz w:val="25"/>
                <w:szCs w:val="25"/>
                <w:lang w:eastAsia="sk-SK"/>
              </w:rPr>
            </w:pPr>
            <w:r w:rsidRPr="00744E27">
              <w:rPr>
                <w:rFonts w:ascii="Times" w:hAnsi="Times" w:cs="Times"/>
                <w:b/>
                <w:bCs/>
                <w:sz w:val="25"/>
                <w:szCs w:val="25"/>
                <w:lang w:eastAsia="sk-SK"/>
              </w:rPr>
              <w:t>5.</w:t>
            </w:r>
          </w:p>
        </w:tc>
        <w:tc>
          <w:tcPr>
            <w:tcW w:w="0" w:type="auto"/>
            <w:gridSpan w:val="2"/>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b/>
                <w:bCs/>
                <w:sz w:val="25"/>
                <w:szCs w:val="25"/>
                <w:lang w:eastAsia="sk-SK"/>
              </w:rPr>
            </w:pPr>
            <w:r w:rsidRPr="00744E27">
              <w:rPr>
                <w:rFonts w:ascii="Times" w:hAnsi="Times" w:cs="Times"/>
                <w:b/>
                <w:bCs/>
                <w:sz w:val="25"/>
                <w:szCs w:val="25"/>
                <w:lang w:eastAsia="sk-SK"/>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b/>
                <w:bC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úplný</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w:hAnsi="Times" w:cs="Times"/>
                <w:b/>
                <w:bCs/>
                <w:sz w:val="25"/>
                <w:szCs w:val="25"/>
                <w:lang w:eastAsia="sk-SK"/>
              </w:rPr>
            </w:pPr>
            <w:r w:rsidRPr="00744E27">
              <w:rPr>
                <w:rFonts w:ascii="Times" w:hAnsi="Times" w:cs="Times"/>
                <w:b/>
                <w:bCs/>
                <w:sz w:val="25"/>
                <w:szCs w:val="25"/>
                <w:lang w:eastAsia="sk-SK"/>
              </w:rPr>
              <w:t>6.</w:t>
            </w:r>
          </w:p>
        </w:tc>
        <w:tc>
          <w:tcPr>
            <w:tcW w:w="0" w:type="auto"/>
            <w:gridSpan w:val="2"/>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b/>
                <w:bCs/>
                <w:sz w:val="25"/>
                <w:szCs w:val="25"/>
                <w:lang w:eastAsia="sk-SK"/>
              </w:rPr>
            </w:pPr>
            <w:r w:rsidRPr="00744E27">
              <w:rPr>
                <w:rFonts w:ascii="Times" w:hAnsi="Times" w:cs="Times"/>
                <w:b/>
                <w:bCs/>
                <w:sz w:val="25"/>
                <w:szCs w:val="25"/>
                <w:lang w:eastAsia="sk-SK"/>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250" w:line="240" w:lineRule="auto"/>
              <w:rPr>
                <w:rFonts w:ascii="Times" w:hAnsi="Times" w:cs="Times"/>
                <w:b/>
                <w:bCs/>
                <w:sz w:val="25"/>
                <w:szCs w:val="25"/>
                <w:lang w:eastAsia="sk-SK"/>
              </w:rPr>
            </w:pPr>
          </w:p>
        </w:tc>
        <w:tc>
          <w:tcPr>
            <w:tcW w:w="0" w:type="auto"/>
            <w:tcBorders>
              <w:top w:val="nil"/>
              <w:left w:val="nil"/>
              <w:bottom w:val="nil"/>
              <w:right w:val="nil"/>
            </w:tcBorders>
            <w:textDirection w:val="lrTb"/>
            <w:vAlign w:val="top"/>
            <w:hideMark/>
          </w:tcPr>
          <w:p w:rsidR="00744E27" w:rsidRPr="00744E27" w:rsidP="00744E27">
            <w:pPr>
              <w:widowControl w:val="0"/>
              <w:autoSpaceDE w:val="0"/>
              <w:autoSpaceDN w:val="0"/>
              <w:bidi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textDirection w:val="lrTb"/>
            <w:vAlign w:val="center"/>
            <w:hideMark/>
          </w:tcPr>
          <w:p w:rsidR="00744E27" w:rsidRPr="00744E27" w:rsidP="00744E27">
            <w:pPr>
              <w:widowControl w:val="0"/>
              <w:autoSpaceDE w:val="0"/>
              <w:autoSpaceDN w:val="0"/>
              <w:bidi w:val="0"/>
              <w:adjustRightInd w:val="0"/>
              <w:spacing w:after="250" w:line="240" w:lineRule="auto"/>
              <w:rPr>
                <w:rFonts w:ascii="Times" w:hAnsi="Times" w:cs="Times"/>
                <w:sz w:val="25"/>
                <w:szCs w:val="25"/>
                <w:lang w:eastAsia="sk-SK"/>
              </w:rPr>
            </w:pPr>
            <w:r w:rsidRPr="00744E27">
              <w:rPr>
                <w:rFonts w:ascii="Times" w:hAnsi="Times" w:cs="Times"/>
                <w:sz w:val="25"/>
                <w:szCs w:val="25"/>
                <w:lang w:eastAsia="sk-SK"/>
              </w:rPr>
              <w:t>Ministerstvo financií Slovenskej republiky</w:t>
              <w:br/>
            </w:r>
          </w:p>
        </w:tc>
      </w:tr>
    </w:tbl>
    <w:p w:rsidR="00744E27" w:rsidRPr="00744E27" w:rsidP="00744E27">
      <w:pPr>
        <w:widowControl w:val="0"/>
        <w:tabs>
          <w:tab w:val="left" w:pos="360"/>
        </w:tabs>
        <w:autoSpaceDE w:val="0"/>
        <w:autoSpaceDN w:val="0"/>
        <w:bidi w:val="0"/>
        <w:adjustRightInd w:val="0"/>
        <w:spacing w:after="0" w:line="240" w:lineRule="auto"/>
        <w:jc w:val="both"/>
        <w:rPr>
          <w:rFonts w:ascii="Times New Roman" w:hAnsi="Times New Roman"/>
          <w:sz w:val="24"/>
          <w:szCs w:val="24"/>
          <w:lang w:eastAsia="sk-SK"/>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744E27" w:rsidP="0048428B">
      <w:pPr>
        <w:bidi w:val="0"/>
        <w:spacing w:after="0" w:line="240" w:lineRule="auto"/>
        <w:jc w:val="both"/>
        <w:rPr>
          <w:rFonts w:ascii="Times New Roman" w:hAnsi="Times New Roman"/>
          <w:b/>
          <w:color w:val="000000"/>
          <w:sz w:val="24"/>
          <w:szCs w:val="24"/>
        </w:rPr>
      </w:pPr>
    </w:p>
    <w:p w:rsidR="0048428B" w:rsidRPr="00CC0117" w:rsidP="0048428B">
      <w:pPr>
        <w:bidi w:val="0"/>
        <w:spacing w:after="0" w:line="240" w:lineRule="auto"/>
        <w:jc w:val="both"/>
        <w:rPr>
          <w:rFonts w:ascii="Times New Roman" w:hAnsi="Times New Roman"/>
          <w:b/>
          <w:color w:val="000000"/>
          <w:sz w:val="24"/>
          <w:szCs w:val="24"/>
        </w:rPr>
      </w:pPr>
      <w:r w:rsidRPr="00CC0117">
        <w:rPr>
          <w:rFonts w:ascii="Times New Roman" w:hAnsi="Times New Roman"/>
          <w:b/>
          <w:color w:val="000000"/>
          <w:sz w:val="24"/>
          <w:szCs w:val="24"/>
        </w:rPr>
        <w:t>B. Osobitná časť</w:t>
      </w:r>
    </w:p>
    <w:p w:rsidR="0048428B" w:rsidRPr="00CC0117" w:rsidP="0048428B">
      <w:pPr>
        <w:bidi w:val="0"/>
        <w:spacing w:after="0" w:line="240" w:lineRule="auto"/>
        <w:jc w:val="both"/>
        <w:rPr>
          <w:rFonts w:ascii="Times New Roman" w:hAnsi="Times New Roman"/>
          <w:b/>
          <w:color w:val="000000"/>
          <w:sz w:val="24"/>
          <w:szCs w:val="24"/>
        </w:rPr>
      </w:pPr>
      <w:r w:rsidRPr="00CC0117">
        <w:rPr>
          <w:rFonts w:ascii="Times New Roman" w:hAnsi="Times New Roman"/>
          <w:b/>
          <w:color w:val="000000"/>
          <w:sz w:val="24"/>
          <w:szCs w:val="24"/>
        </w:rPr>
        <w:t>K čl. I</w:t>
      </w:r>
    </w:p>
    <w:p w:rsidR="0048428B" w:rsidRPr="00CC0117" w:rsidP="0048428B">
      <w:pPr>
        <w:bidi w:val="0"/>
        <w:spacing w:after="0" w:line="240" w:lineRule="auto"/>
        <w:jc w:val="both"/>
        <w:rPr>
          <w:rFonts w:ascii="Times New Roman" w:hAnsi="Times New Roman"/>
          <w:b/>
          <w:bCs/>
          <w:sz w:val="24"/>
          <w:szCs w:val="24"/>
        </w:rPr>
      </w:pPr>
    </w:p>
    <w:p w:rsidR="0048428B" w:rsidRPr="00CC0117" w:rsidP="0048428B">
      <w:pPr>
        <w:bidi w:val="0"/>
        <w:spacing w:after="0" w:line="240" w:lineRule="auto"/>
        <w:jc w:val="both"/>
        <w:rPr>
          <w:rFonts w:ascii="Times New Roman" w:hAnsi="Times New Roman"/>
          <w:b/>
          <w:bCs/>
          <w:sz w:val="24"/>
          <w:szCs w:val="24"/>
        </w:rPr>
      </w:pPr>
      <w:r w:rsidRPr="00CC0117">
        <w:rPr>
          <w:rFonts w:ascii="Times New Roman" w:hAnsi="Times New Roman"/>
          <w:b/>
          <w:bCs/>
          <w:sz w:val="24"/>
          <w:szCs w:val="24"/>
        </w:rPr>
        <w:t xml:space="preserve">K bodu 1 (§ </w:t>
      </w:r>
      <w:r>
        <w:rPr>
          <w:rFonts w:ascii="Times New Roman" w:hAnsi="Times New Roman"/>
          <w:b/>
          <w:bCs/>
          <w:sz w:val="24"/>
          <w:szCs w:val="24"/>
        </w:rPr>
        <w:t xml:space="preserve">49 </w:t>
      </w:r>
      <w:r w:rsidRPr="00CC0117">
        <w:rPr>
          <w:rFonts w:ascii="Times New Roman" w:hAnsi="Times New Roman"/>
          <w:b/>
          <w:bCs/>
          <w:sz w:val="24"/>
          <w:szCs w:val="24"/>
        </w:rPr>
        <w:t xml:space="preserve">ods. </w:t>
      </w:r>
      <w:r>
        <w:rPr>
          <w:rFonts w:ascii="Times New Roman" w:hAnsi="Times New Roman"/>
          <w:b/>
          <w:bCs/>
          <w:sz w:val="24"/>
          <w:szCs w:val="24"/>
        </w:rPr>
        <w:t>9</w:t>
      </w:r>
      <w:r w:rsidRPr="00CC0117">
        <w:rPr>
          <w:rFonts w:ascii="Times New Roman" w:hAnsi="Times New Roman"/>
          <w:b/>
          <w:bCs/>
          <w:sz w:val="24"/>
          <w:szCs w:val="24"/>
        </w:rPr>
        <w:t>)</w:t>
      </w:r>
    </w:p>
    <w:p w:rsidR="0048428B" w:rsidP="0048428B">
      <w:pPr>
        <w:autoSpaceDE w:val="0"/>
        <w:autoSpaceDN w:val="0"/>
        <w:bidi w:val="0"/>
        <w:adjustRightInd w:val="0"/>
        <w:spacing w:after="0" w:line="240" w:lineRule="auto"/>
        <w:jc w:val="both"/>
        <w:rPr>
          <w:rFonts w:ascii="Times New Roman" w:hAnsi="Times New Roman"/>
          <w:sz w:val="24"/>
          <w:szCs w:val="24"/>
        </w:rPr>
      </w:pPr>
      <w:r w:rsidRPr="00C90835">
        <w:rPr>
          <w:rFonts w:ascii="Times New Roman" w:hAnsi="Times New Roman"/>
          <w:sz w:val="24"/>
          <w:szCs w:val="24"/>
        </w:rPr>
        <w:t>Zdaniteľná osoba, ktorá nie je usadená v tuzemsku, ale je usadená v inom členskom štáte alebo</w:t>
      </w:r>
      <w:r>
        <w:rPr>
          <w:rFonts w:ascii="Times New Roman" w:hAnsi="Times New Roman"/>
          <w:sz w:val="24"/>
          <w:szCs w:val="24"/>
        </w:rPr>
        <w:t xml:space="preserve"> v</w:t>
      </w:r>
      <w:r w:rsidRPr="00C90835">
        <w:rPr>
          <w:rFonts w:ascii="Times New Roman" w:hAnsi="Times New Roman"/>
          <w:sz w:val="24"/>
          <w:szCs w:val="24"/>
        </w:rPr>
        <w:t xml:space="preserve"> treťom štáte, má právo žiadať o vrátenie dane z nákupov tovarov a služieb v tuzemsku, ktoré použije na svoje podnikanie. </w:t>
      </w:r>
      <w:r>
        <w:rPr>
          <w:rFonts w:ascii="Times New Roman" w:hAnsi="Times New Roman"/>
          <w:sz w:val="24"/>
          <w:szCs w:val="24"/>
        </w:rPr>
        <w:t>V</w:t>
      </w:r>
      <w:r w:rsidRPr="00C90835">
        <w:rPr>
          <w:rFonts w:ascii="Times New Roman" w:hAnsi="Times New Roman"/>
          <w:sz w:val="24"/>
          <w:szCs w:val="24"/>
        </w:rPr>
        <w:t> určitých prípadoch</w:t>
      </w:r>
      <w:r>
        <w:rPr>
          <w:rFonts w:ascii="Times New Roman" w:hAnsi="Times New Roman"/>
          <w:sz w:val="24"/>
          <w:szCs w:val="24"/>
        </w:rPr>
        <w:t xml:space="preserve"> </w:t>
      </w:r>
      <w:r w:rsidRPr="00C90835">
        <w:rPr>
          <w:rFonts w:ascii="Times New Roman" w:hAnsi="Times New Roman"/>
          <w:sz w:val="24"/>
          <w:szCs w:val="24"/>
        </w:rPr>
        <w:t>zahraničná zdaniteľná os</w:t>
      </w:r>
      <w:r>
        <w:rPr>
          <w:rFonts w:ascii="Times New Roman" w:hAnsi="Times New Roman"/>
          <w:sz w:val="24"/>
          <w:szCs w:val="24"/>
        </w:rPr>
        <w:t>o</w:t>
      </w:r>
      <w:r w:rsidRPr="00C90835">
        <w:rPr>
          <w:rFonts w:ascii="Times New Roman" w:hAnsi="Times New Roman"/>
          <w:sz w:val="24"/>
          <w:szCs w:val="24"/>
        </w:rPr>
        <w:t xml:space="preserve">ba registrovaná ako platiteľ dane v tuzemsku </w:t>
      </w:r>
      <w:r>
        <w:rPr>
          <w:rFonts w:ascii="Times New Roman" w:hAnsi="Times New Roman"/>
          <w:sz w:val="24"/>
          <w:szCs w:val="24"/>
        </w:rPr>
        <w:t xml:space="preserve">má právo z kúpy tovarov a služieb uplatniť odpočítanie dane prostredníctvom daňového priznania namiesto osobitnej procedúry vrátenia dane. </w:t>
      </w:r>
    </w:p>
    <w:p w:rsidR="0048428B" w:rsidP="0048428B">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súlade s článkom 171a </w:t>
      </w:r>
      <w:r w:rsidRPr="00C90835">
        <w:rPr>
          <w:rFonts w:ascii="Times New Roman" w:hAnsi="Times New Roman"/>
          <w:sz w:val="24"/>
          <w:szCs w:val="24"/>
        </w:rPr>
        <w:t xml:space="preserve">smernice Rady 2006/112/ES o spoločnom systéme dane z pridanej hodnoty </w:t>
      </w:r>
      <w:r>
        <w:rPr>
          <w:rFonts w:ascii="Times New Roman" w:hAnsi="Times New Roman"/>
          <w:sz w:val="24"/>
          <w:szCs w:val="24"/>
        </w:rPr>
        <w:t>sa spresňuje, že zahraničná osoba registrovaná ako platiteľ dane podľa § 5 zákona o DPH, má právo uplatniť odpočítanie dane prostredníctvom daňového priznania aj v prípade, ak nadobudne tovar alebo službu v tuzemsku a z tohto tovaru alebo služby je povinná platiť DPH, ide o prípady nadobudnutia tovaru v tuzemsku z iného členského štátu, kúpu tovaru alebo služby od iného platiteľa dane v tuzemsku s prenosom daňovej povinnosti (napr. prenos daňovej povinnosti podľa § 69 ods. 12 zákona o DPH).</w:t>
      </w:r>
    </w:p>
    <w:p w:rsidR="0048428B" w:rsidP="0048428B">
      <w:pPr>
        <w:bidi w:val="0"/>
        <w:spacing w:after="0" w:line="240" w:lineRule="auto"/>
        <w:jc w:val="both"/>
        <w:rPr>
          <w:rFonts w:ascii="Times New Roman" w:hAnsi="Times New Roman"/>
          <w:b/>
          <w:bCs/>
          <w:sz w:val="24"/>
          <w:szCs w:val="24"/>
        </w:rPr>
      </w:pPr>
    </w:p>
    <w:p w:rsidR="0048428B" w:rsidRPr="00CC0117" w:rsidP="0048428B">
      <w:pPr>
        <w:bidi w:val="0"/>
        <w:spacing w:after="0" w:line="240" w:lineRule="auto"/>
        <w:jc w:val="both"/>
        <w:rPr>
          <w:rFonts w:ascii="Times New Roman" w:hAnsi="Times New Roman"/>
          <w:b/>
          <w:bCs/>
          <w:sz w:val="24"/>
          <w:szCs w:val="24"/>
        </w:rPr>
      </w:pPr>
      <w:r w:rsidRPr="00CC0117">
        <w:rPr>
          <w:rFonts w:ascii="Times New Roman" w:hAnsi="Times New Roman"/>
          <w:b/>
          <w:bCs/>
          <w:sz w:val="24"/>
          <w:szCs w:val="24"/>
        </w:rPr>
        <w:t xml:space="preserve">K bodu </w:t>
      </w:r>
      <w:r>
        <w:rPr>
          <w:rFonts w:ascii="Times New Roman" w:hAnsi="Times New Roman"/>
          <w:b/>
          <w:bCs/>
          <w:sz w:val="24"/>
          <w:szCs w:val="24"/>
        </w:rPr>
        <w:t>2 (§ 55a ods. 2 písm. c/</w:t>
      </w:r>
      <w:r w:rsidRPr="00CC0117">
        <w:rPr>
          <w:rFonts w:ascii="Times New Roman" w:hAnsi="Times New Roman"/>
          <w:b/>
          <w:bCs/>
          <w:sz w:val="24"/>
          <w:szCs w:val="24"/>
        </w:rPr>
        <w:t xml:space="preserve"> bod 2</w:t>
      </w:r>
      <w:r>
        <w:rPr>
          <w:rFonts w:ascii="Times New Roman" w:hAnsi="Times New Roman"/>
          <w:b/>
          <w:bCs/>
          <w:sz w:val="24"/>
          <w:szCs w:val="24"/>
        </w:rPr>
        <w:t xml:space="preserve"> a § 56 ods. 2 písm. c/ bod 2</w:t>
      </w:r>
      <w:r w:rsidRPr="00CC0117">
        <w:rPr>
          <w:rFonts w:ascii="Times New Roman" w:hAnsi="Times New Roman"/>
          <w:b/>
          <w:bCs/>
          <w:sz w:val="24"/>
          <w:szCs w:val="24"/>
        </w:rPr>
        <w:t>)</w:t>
      </w:r>
    </w:p>
    <w:p w:rsidR="0048428B" w:rsidRPr="00CC0117" w:rsidP="0048428B">
      <w:pPr>
        <w:bidi w:val="0"/>
        <w:spacing w:after="0" w:line="240" w:lineRule="auto"/>
        <w:jc w:val="both"/>
        <w:rPr>
          <w:rFonts w:ascii="Times New Roman" w:hAnsi="Times New Roman"/>
          <w:sz w:val="24"/>
          <w:szCs w:val="24"/>
        </w:rPr>
      </w:pPr>
      <w:r w:rsidRPr="00CC0117">
        <w:rPr>
          <w:rFonts w:ascii="Times New Roman" w:hAnsi="Times New Roman"/>
          <w:sz w:val="24"/>
          <w:szCs w:val="24"/>
        </w:rPr>
        <w:t>Navrhuje sa odstrániť možnosť dvojakého postupu zahraničnej osoby v súvislosti s DPH, ktorá jej bola účtovaná na tovary a služby kúpené v tuzemsku, ak táto zahraničná osoba ako registrovaný platiteľ dane uskutočňuje v tuzemsku stavebné práce s prenosom daňovej povinnosti príp. iné plnenia s prenosom daňovej povinnosti konkrétne uvedené v § 69 ods. 12 zákona o DPH. V takýchto prípadoch by mala zahraničná osoba prednostne uplatňovať žiadosť o vrátenie dane zaplatenej za tovary a služby pred odpočítaním dane prostredníctvom daňového priznania, čo je plne v súlade s článkom 170 smernice Rady 2006/112/ES o spoločnom systéme dane z pridanej hodnoty a so smernicou Rady 2008/9/ES, ktorou sa ustanovujú podrobné pravidlá pre vrátenie dane z pridanej hodnoty ustanovené v smernici 2006/112/ES zdaniteľným osobám, ktoré nie sú usadené v členskom štáte vrátenia dane, ale ktoré sú usadené v inom členskom štáte. Doplnením ustanovenia § 55a ods. 2 písm. c) bod 2 sa zjednocuje postup zahraničnej osoby ohľadne vrátenia dane, ak zahraničná osoba uskutočňuje v tuzemsku len plnenia s prenosom daňovej povinnosti.</w:t>
      </w:r>
      <w:r>
        <w:rPr>
          <w:rFonts w:ascii="Times New Roman" w:hAnsi="Times New Roman"/>
          <w:sz w:val="24"/>
          <w:szCs w:val="24"/>
        </w:rPr>
        <w:t xml:space="preserve"> Rovnako sa navrhuje prednostne uplatňovať vrátenie dane podľa § 56 zákona o DPH </w:t>
      </w:r>
      <w:r w:rsidRPr="00CC0117">
        <w:rPr>
          <w:rFonts w:ascii="Times New Roman" w:hAnsi="Times New Roman"/>
          <w:sz w:val="24"/>
          <w:szCs w:val="24"/>
        </w:rPr>
        <w:t>pred odpočítaním dane pro</w:t>
      </w:r>
      <w:r>
        <w:rPr>
          <w:rFonts w:ascii="Times New Roman" w:hAnsi="Times New Roman"/>
          <w:sz w:val="24"/>
          <w:szCs w:val="24"/>
        </w:rPr>
        <w:t xml:space="preserve">stredníctvom daňového priznania aj pre zahraničné zdaniteľné osoby usadené v treťom štáte.  </w:t>
      </w:r>
    </w:p>
    <w:p w:rsidR="0048428B" w:rsidP="0048428B">
      <w:pPr>
        <w:bidi w:val="0"/>
        <w:spacing w:after="0" w:line="240" w:lineRule="auto"/>
        <w:jc w:val="both"/>
        <w:rPr>
          <w:rFonts w:ascii="Times New Roman" w:hAnsi="Times New Roman"/>
          <w:sz w:val="24"/>
          <w:szCs w:val="24"/>
        </w:rPr>
      </w:pPr>
    </w:p>
    <w:p w:rsidR="0048428B" w:rsidRPr="00C866D1" w:rsidP="0048428B">
      <w:pPr>
        <w:bidi w:val="0"/>
        <w:spacing w:after="0" w:line="240" w:lineRule="auto"/>
        <w:jc w:val="both"/>
        <w:rPr>
          <w:rFonts w:ascii="Times New Roman" w:hAnsi="Times New Roman"/>
          <w:b/>
          <w:sz w:val="24"/>
          <w:szCs w:val="24"/>
        </w:rPr>
      </w:pPr>
      <w:r w:rsidRPr="00C866D1">
        <w:rPr>
          <w:rFonts w:ascii="Times New Roman" w:hAnsi="Times New Roman"/>
          <w:b/>
          <w:sz w:val="24"/>
          <w:szCs w:val="24"/>
        </w:rPr>
        <w:t>K bodu 3 (§ 61 ods. 13)</w:t>
      </w:r>
    </w:p>
    <w:p w:rsidR="0048428B" w:rsidP="0048428B">
      <w:pPr>
        <w:bidi w:val="0"/>
        <w:spacing w:after="0" w:line="240" w:lineRule="auto"/>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 xml:space="preserve">Navrhuje sa skrátiť obdobie (z dvoch rokov na 6 mesiacov) od registrácie osobného automobilu na diplomatické evidenčné číslo do skončenia pôsobenia diplomata v Slovenskej republike, ktoré musí uplynúť, aby zahraničný zástupca nemal povinnosť vrátiť daň, ktorú mu daňový úrad vrátil pri kúpe osobného automobilu. </w:t>
      </w:r>
    </w:p>
    <w:p w:rsidR="0048428B" w:rsidRPr="00CC0117" w:rsidP="0048428B">
      <w:pPr>
        <w:bidi w:val="0"/>
        <w:spacing w:after="0" w:line="240" w:lineRule="auto"/>
        <w:jc w:val="both"/>
        <w:rPr>
          <w:rFonts w:ascii="Times New Roman" w:hAnsi="Times New Roman"/>
          <w:sz w:val="24"/>
          <w:szCs w:val="24"/>
        </w:rPr>
      </w:pPr>
    </w:p>
    <w:p w:rsidR="0048428B" w:rsidRPr="00B93002" w:rsidP="0048428B">
      <w:pPr>
        <w:bidi w:val="0"/>
        <w:spacing w:after="0" w:line="240" w:lineRule="auto"/>
        <w:jc w:val="both"/>
        <w:rPr>
          <w:rFonts w:ascii="Times New Roman" w:hAnsi="Times New Roman"/>
          <w:b/>
          <w:bCs/>
          <w:sz w:val="24"/>
          <w:szCs w:val="24"/>
        </w:rPr>
      </w:pPr>
      <w:r>
        <w:rPr>
          <w:rFonts w:ascii="Times New Roman" w:hAnsi="Times New Roman"/>
          <w:b/>
          <w:bCs/>
          <w:sz w:val="24"/>
          <w:szCs w:val="24"/>
        </w:rPr>
        <w:t>K bodom 4 a 5</w:t>
      </w:r>
      <w:r w:rsidRPr="00B93002">
        <w:rPr>
          <w:rFonts w:ascii="Times New Roman" w:hAnsi="Times New Roman"/>
          <w:b/>
          <w:bCs/>
          <w:sz w:val="24"/>
          <w:szCs w:val="24"/>
        </w:rPr>
        <w:t xml:space="preserve"> (§ 69 ods. 17)</w:t>
      </w:r>
    </w:p>
    <w:p w:rsidR="0048428B" w:rsidRPr="00587B95" w:rsidP="0048428B">
      <w:pPr>
        <w:bidi w:val="0"/>
        <w:spacing w:after="0" w:line="240" w:lineRule="auto"/>
        <w:jc w:val="both"/>
        <w:rPr>
          <w:rFonts w:ascii="Times New Roman" w:hAnsi="Times New Roman"/>
          <w:sz w:val="24"/>
          <w:szCs w:val="24"/>
        </w:rPr>
      </w:pPr>
      <w:r w:rsidRPr="00587B95">
        <w:rPr>
          <w:rFonts w:ascii="Times New Roman" w:hAnsi="Times New Roman"/>
          <w:sz w:val="24"/>
          <w:szCs w:val="24"/>
        </w:rPr>
        <w:t>Uplatnenie prenosu daňovej povinnosti pri stavebných prácach závisí od správneho zatriedenia stavebnej práce podľa štatistickej klasifikácie produktov („klasifikácia CPA“), ktorá je vydaná Nariadením komisie (EÚ) č. 1209/2014 z 29. októbra 2014</w:t>
      </w:r>
      <w:r>
        <w:rPr>
          <w:rFonts w:ascii="Times New Roman" w:hAnsi="Times New Roman"/>
          <w:sz w:val="24"/>
          <w:szCs w:val="24"/>
        </w:rPr>
        <w:t>,</w:t>
      </w:r>
      <w:r w:rsidRPr="00587B95">
        <w:rPr>
          <w:rFonts w:ascii="Times New Roman" w:hAnsi="Times New Roman"/>
          <w:sz w:val="24"/>
          <w:szCs w:val="24"/>
        </w:rPr>
        <w:t xml:space="preserve"> ktorou sa mení nariadenie Európskeho parlamentu a Rady (ES) č. 451/2008, ktorou sa zavádza nová štatistická klasifikácia produktov podľa činností (CPA) a ktorou sa zrušuje nariadenie Rady (EHS) č. 3696/93. V praxi dochádza často k nejednotnému posúdeniu zatriedenia určitej stavebnej činnosti do klasifikácie CPA a dodávateľ ako aj odberateľ sa vystavuj</w:t>
      </w:r>
      <w:r>
        <w:rPr>
          <w:rFonts w:ascii="Times New Roman" w:hAnsi="Times New Roman"/>
          <w:sz w:val="24"/>
          <w:szCs w:val="24"/>
        </w:rPr>
        <w:t>ú</w:t>
      </w:r>
      <w:r w:rsidRPr="00587B95">
        <w:rPr>
          <w:rFonts w:ascii="Times New Roman" w:hAnsi="Times New Roman"/>
          <w:sz w:val="24"/>
          <w:szCs w:val="24"/>
        </w:rPr>
        <w:t xml:space="preserve"> riziku dodatočného vyrubenia DPH príp. neuznaniu odpočítania dane, ak sa dodávateľ rozhodne z opatrnosti uplatniť  DPH na výstupe, aj keď v skutočnosti má uplatniť prenos daňovej povinnosti.</w:t>
      </w:r>
    </w:p>
    <w:p w:rsidR="0048428B" w:rsidRPr="00587B95" w:rsidP="0048428B">
      <w:pPr>
        <w:bidi w:val="0"/>
        <w:spacing w:after="0" w:line="240" w:lineRule="auto"/>
        <w:jc w:val="both"/>
        <w:rPr>
          <w:rFonts w:ascii="Times New Roman" w:hAnsi="Times New Roman"/>
          <w:sz w:val="24"/>
          <w:szCs w:val="24"/>
        </w:rPr>
      </w:pPr>
      <w:r w:rsidRPr="00587B95">
        <w:rPr>
          <w:rFonts w:ascii="Times New Roman" w:hAnsi="Times New Roman"/>
          <w:sz w:val="24"/>
          <w:szCs w:val="24"/>
        </w:rPr>
        <w:t>V praxi sa stáva, že dodávateľ má iné zatriedenie ako odberateľ, čo môže byť zapríčinené najmä ich odlišným spôsobom popisu tej istej činnosti. Z uvedeného dôvodu sa navrhuje zavedenie právnej fikcie pri uplatňovaní prenosu daňovej povinnosti pri stavebných prácach, ktoré by malo priniesť právnu istotu ako pre dodávateľa tak aj pre odberateľa a odstráni</w:t>
      </w:r>
      <w:r>
        <w:rPr>
          <w:rFonts w:ascii="Times New Roman" w:hAnsi="Times New Roman"/>
          <w:sz w:val="24"/>
          <w:szCs w:val="24"/>
        </w:rPr>
        <w:t>ť</w:t>
      </w:r>
      <w:r w:rsidRPr="00587B95">
        <w:rPr>
          <w:rFonts w:ascii="Times New Roman" w:hAnsi="Times New Roman"/>
          <w:sz w:val="24"/>
          <w:szCs w:val="24"/>
        </w:rPr>
        <w:t xml:space="preserve"> nadmernú  administratívnu záťaž pri viacnásobnom overovaní správnosti zatriedenia činnosti podľa klasifikácie CPA.</w:t>
      </w:r>
    </w:p>
    <w:p w:rsidR="0048428B" w:rsidP="0048428B">
      <w:pPr>
        <w:bidi w:val="0"/>
        <w:spacing w:after="0" w:line="240" w:lineRule="auto"/>
        <w:jc w:val="both"/>
        <w:rPr>
          <w:rFonts w:ascii="Times New Roman" w:hAnsi="Times New Roman"/>
          <w:sz w:val="24"/>
          <w:szCs w:val="24"/>
        </w:rPr>
      </w:pPr>
      <w:r w:rsidRPr="00587B95">
        <w:rPr>
          <w:rFonts w:ascii="Times New Roman" w:hAnsi="Times New Roman"/>
          <w:sz w:val="24"/>
          <w:szCs w:val="24"/>
        </w:rPr>
        <w:t>Navrhuje sa, aby v</w:t>
      </w:r>
      <w:r>
        <w:rPr>
          <w:rFonts w:ascii="Times New Roman" w:hAnsi="Times New Roman"/>
          <w:sz w:val="24"/>
          <w:szCs w:val="24"/>
        </w:rPr>
        <w:t> </w:t>
      </w:r>
      <w:r w:rsidRPr="00587B95">
        <w:rPr>
          <w:rFonts w:ascii="Times New Roman" w:hAnsi="Times New Roman"/>
          <w:sz w:val="24"/>
          <w:szCs w:val="24"/>
        </w:rPr>
        <w:t>prípade</w:t>
      </w:r>
      <w:r>
        <w:rPr>
          <w:rFonts w:ascii="Times New Roman" w:hAnsi="Times New Roman"/>
          <w:sz w:val="24"/>
          <w:szCs w:val="24"/>
        </w:rPr>
        <w:t>,</w:t>
      </w:r>
      <w:r w:rsidRPr="00587B95">
        <w:rPr>
          <w:rFonts w:ascii="Times New Roman" w:hAnsi="Times New Roman"/>
          <w:sz w:val="24"/>
          <w:szCs w:val="24"/>
        </w:rPr>
        <w:t xml:space="preserve"> ak dodávateľ na základe odôvodneného predpokladu, že ním dodaná stavebná služba podlieha prenosu daňovej povinnosti, uvedie na faktúre informáciu „prenesenie daňovej povinnosti“, príjemca plnenia (platiteľ dane) bol osobou povinnou platiť DPH.  </w:t>
      </w:r>
    </w:p>
    <w:p w:rsidR="0048428B" w:rsidP="0048428B">
      <w:pPr>
        <w:bidi w:val="0"/>
        <w:spacing w:after="0" w:line="240" w:lineRule="auto"/>
        <w:jc w:val="both"/>
        <w:rPr>
          <w:rFonts w:ascii="Times New Roman" w:hAnsi="Times New Roman"/>
          <w:b/>
          <w:bCs/>
          <w:sz w:val="24"/>
          <w:szCs w:val="24"/>
        </w:rPr>
      </w:pPr>
      <w:r>
        <w:rPr>
          <w:rFonts w:ascii="Times New Roman" w:hAnsi="Times New Roman"/>
          <w:sz w:val="24"/>
          <w:szCs w:val="24"/>
        </w:rPr>
        <w:t>Takáto právna úprava si súčasne vyžiadala doplnenie povinnosti pre platiteľa dane, ktorý uskutoční dodávku s prenosom daňovej povinnosti v stavebníctve, vykazovať vyhotovené faktúry v kontrolnom výkaze, a to aj napriek tomu, že tieto dodávky neuvádza v daňovom priznaní. Faktúra sa bude uvádzať v časti A.2. kontrolného výkazu a údaje z týchto faktúr sa budú využívať pri analytickej činnosti finančnej správy.</w:t>
      </w:r>
    </w:p>
    <w:p w:rsidR="0048428B" w:rsidP="0048428B">
      <w:pPr>
        <w:bidi w:val="0"/>
        <w:spacing w:after="0" w:line="240" w:lineRule="auto"/>
        <w:jc w:val="both"/>
        <w:rPr>
          <w:rFonts w:ascii="Times New Roman" w:hAnsi="Times New Roman"/>
          <w:b/>
          <w:bCs/>
          <w:sz w:val="24"/>
          <w:szCs w:val="24"/>
        </w:rPr>
      </w:pPr>
    </w:p>
    <w:p w:rsidR="0048428B" w:rsidRPr="00CC0117" w:rsidP="0048428B">
      <w:pPr>
        <w:bidi w:val="0"/>
        <w:spacing w:after="0" w:line="240" w:lineRule="auto"/>
        <w:jc w:val="both"/>
        <w:rPr>
          <w:rFonts w:ascii="Times New Roman" w:hAnsi="Times New Roman"/>
          <w:b/>
          <w:bCs/>
          <w:sz w:val="24"/>
          <w:szCs w:val="24"/>
        </w:rPr>
      </w:pPr>
      <w:r w:rsidRPr="00CC0117">
        <w:rPr>
          <w:rFonts w:ascii="Times New Roman" w:hAnsi="Times New Roman"/>
          <w:b/>
          <w:bCs/>
          <w:sz w:val="24"/>
          <w:szCs w:val="24"/>
        </w:rPr>
        <w:t xml:space="preserve">K bodu </w:t>
      </w:r>
      <w:r>
        <w:rPr>
          <w:rFonts w:ascii="Times New Roman" w:hAnsi="Times New Roman"/>
          <w:b/>
          <w:bCs/>
          <w:sz w:val="24"/>
          <w:szCs w:val="24"/>
        </w:rPr>
        <w:t>6 (§ 79a</w:t>
      </w:r>
      <w:r w:rsidRPr="00CC0117">
        <w:rPr>
          <w:rFonts w:ascii="Times New Roman" w:hAnsi="Times New Roman"/>
          <w:b/>
          <w:bCs/>
          <w:sz w:val="24"/>
          <w:szCs w:val="24"/>
        </w:rPr>
        <w:t>)</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Nadmerný odpočet vzniká, ak výška odpočítateľnej dane prevyšuje daň na výstupe za príslušné zdaňovacie obdobie. Uplatnením nároku na nadmerný odpočet vzniká povinnosť štátu túto sumu zaplatiť platiteľovi dane. Zákon ustanovuje dve bežné lehoty na vrátenie nadmerného odpočtu pre platiteľov dane s mesačným zdaňovacím obdobím, a to 60 a 30 dní (30 dní v prípade tzv. spoľahlivého </w:t>
      </w:r>
      <w:r>
        <w:rPr>
          <w:rFonts w:ascii="Times New Roman" w:hAnsi="Times New Roman"/>
          <w:color w:val="000000"/>
          <w:sz w:val="24"/>
          <w:szCs w:val="24"/>
        </w:rPr>
        <w:t xml:space="preserve">daňového </w:t>
      </w:r>
      <w:r w:rsidRPr="00820963">
        <w:rPr>
          <w:rFonts w:ascii="Times New Roman" w:hAnsi="Times New Roman"/>
          <w:color w:val="000000"/>
          <w:sz w:val="24"/>
          <w:szCs w:val="24"/>
        </w:rPr>
        <w:t xml:space="preserve">subjektu) a 120 dní pre platiteľov dane so štvrťročným zdaňovacím obdobím. V prípade začatia daňovej kontroly v rámci plynutia 30 dňovej alebo 60 a 120 dňovej lehoty, zákon ustanovuje  ďalšiu osobitnú lehotu na vrátenie nadmerného odpočtu, a to 10 dní od skončenia daňovej kontroly. </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Samotné uplatnenie nároku na vrátenie nadmerného odpočtu podaním daňového priznania však neznamená, že túto sumu nadmerného odpočtu je štát povinný vrátiť automaticky bez toho, aby mal možnosť uplatnený nárok skontrolovať. </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Podľa Daňového poriadku kontrola môže trvať najviac 12 mesiacov (vo výnimočných prípadoch je možné predĺžiť výkon kontroly). Túto lehotu má správca dane k dispozícii bez ohľadu na to, či ide o kontrolu malého podniku alebo veľkého podniku, či ide o podnik, ktorý vykonáva výlučne tuzemské dodania tovarov a služieb alebo ide o daňový subjekt, ktorý vykonáva dodávky tovarov a služieb prevažne do iných štátov. </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Ak je kontrola začatá v lehote na vrátenie nadmerného odpočtu, tak vrátenie tohto nadmerného odpočtu je odložené až do skončenia kontroly a výška nadmerného odpočtu na vrátenie závisí od výsledku kontroly.</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Keďže platiteľ dane počas výkonu kontroly nemôže dočasne disponovať finančnými prostriedkami vo výške nadmerného odpočtu, navrhuje sa, aby za obdobie </w:t>
      </w:r>
      <w:r>
        <w:rPr>
          <w:rFonts w:ascii="Times New Roman" w:hAnsi="Times New Roman"/>
          <w:color w:val="000000"/>
          <w:sz w:val="24"/>
          <w:szCs w:val="24"/>
        </w:rPr>
        <w:t>zadržania nadmerného odpočtu b</w:t>
      </w:r>
      <w:r w:rsidRPr="00820963">
        <w:rPr>
          <w:rFonts w:ascii="Times New Roman" w:hAnsi="Times New Roman"/>
          <w:color w:val="000000"/>
          <w:sz w:val="24"/>
          <w:szCs w:val="24"/>
        </w:rPr>
        <w:t xml:space="preserve">ola platiteľovi dane priznaná peňažná náhrada (úrok z nadmerného odpočtu). Nárok na úrok z nadmerného odpočtu sa navrhuje priznať platiteľovi dane, ak </w:t>
      </w:r>
      <w:r>
        <w:rPr>
          <w:rFonts w:ascii="Times New Roman" w:hAnsi="Times New Roman"/>
          <w:color w:val="000000"/>
          <w:sz w:val="24"/>
          <w:szCs w:val="24"/>
        </w:rPr>
        <w:t xml:space="preserve">obdobie zadržania nadmerného odpočtu je </w:t>
      </w:r>
      <w:r w:rsidRPr="00820963">
        <w:rPr>
          <w:rFonts w:ascii="Times New Roman" w:hAnsi="Times New Roman"/>
          <w:color w:val="000000"/>
          <w:sz w:val="24"/>
          <w:szCs w:val="24"/>
        </w:rPr>
        <w:t>viac ako šesť mesiacov odo dňa</w:t>
      </w:r>
      <w:r>
        <w:rPr>
          <w:rFonts w:ascii="Times New Roman" w:hAnsi="Times New Roman"/>
          <w:color w:val="000000"/>
          <w:sz w:val="24"/>
          <w:szCs w:val="24"/>
        </w:rPr>
        <w:t xml:space="preserve"> uplynutia lehoty na vrátenie </w:t>
      </w:r>
      <w:r w:rsidRPr="00820963">
        <w:rPr>
          <w:rFonts w:ascii="Times New Roman" w:hAnsi="Times New Roman"/>
          <w:color w:val="000000"/>
          <w:sz w:val="24"/>
          <w:szCs w:val="24"/>
        </w:rPr>
        <w:t>nadmern</w:t>
      </w:r>
      <w:r>
        <w:rPr>
          <w:rFonts w:ascii="Times New Roman" w:hAnsi="Times New Roman"/>
          <w:color w:val="000000"/>
          <w:sz w:val="24"/>
          <w:szCs w:val="24"/>
        </w:rPr>
        <w:t>ého odpočtu.</w:t>
      </w:r>
      <w:r w:rsidRPr="00820963">
        <w:rPr>
          <w:rFonts w:ascii="Times New Roman" w:hAnsi="Times New Roman"/>
          <w:color w:val="000000"/>
          <w:sz w:val="24"/>
          <w:szCs w:val="24"/>
        </w:rPr>
        <w:t xml:space="preserve"> </w:t>
      </w:r>
      <w:r>
        <w:rPr>
          <w:rFonts w:ascii="Times New Roman" w:hAnsi="Times New Roman"/>
          <w:color w:val="000000"/>
          <w:sz w:val="24"/>
          <w:szCs w:val="24"/>
        </w:rPr>
        <w:t>Takže sa ponecháva štátu určitý čas na to, aby uplatnil svoju právomoc kontrolovať oprávnenosť nadmerného odpočtu bez toho, aby sa na toto obdobie zadržania vzťahoval nárok na úrok z nadmerného odpočtu.</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Výpočet úrokov z nadmerného odpočtu sa stanovuje percentom</w:t>
      </w:r>
      <w:r>
        <w:rPr>
          <w:rFonts w:ascii="Times New Roman" w:hAnsi="Times New Roman"/>
          <w:color w:val="000000"/>
          <w:sz w:val="24"/>
          <w:szCs w:val="24"/>
        </w:rPr>
        <w:t xml:space="preserve"> </w:t>
      </w:r>
      <w:r w:rsidRPr="00820963">
        <w:rPr>
          <w:rFonts w:ascii="Times New Roman" w:hAnsi="Times New Roman"/>
          <w:color w:val="000000"/>
          <w:sz w:val="24"/>
          <w:szCs w:val="24"/>
        </w:rPr>
        <w:t>zo</w:t>
      </w:r>
      <w:r>
        <w:rPr>
          <w:rFonts w:ascii="Times New Roman" w:hAnsi="Times New Roman"/>
          <w:color w:val="000000"/>
          <w:sz w:val="24"/>
          <w:szCs w:val="24"/>
        </w:rPr>
        <w:t xml:space="preserve"> </w:t>
      </w:r>
      <w:r w:rsidRPr="00820963">
        <w:rPr>
          <w:rFonts w:ascii="Times New Roman" w:hAnsi="Times New Roman"/>
          <w:color w:val="000000"/>
          <w:sz w:val="24"/>
          <w:szCs w:val="24"/>
        </w:rPr>
        <w:t>sumy vráteného nadmerného odpočtu (suma NO zistená po kontrole), a to za každý deň až do jeho vrátenia. Počiatočným dňom nároku na úrok z nadmerného odpočtu je deň nasledujúci po uplynutí šiestich mesiacov odo dňa nasledujúceho po uplynutí lehoty na vrátenie nadmerného odpočtu.</w:t>
      </w:r>
    </w:p>
    <w:p w:rsidR="0048428B" w:rsidP="0048428B">
      <w:p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N</w:t>
      </w:r>
      <w:r w:rsidRPr="00C56DFC">
        <w:rPr>
          <w:rFonts w:ascii="Times New Roman" w:hAnsi="Times New Roman"/>
          <w:color w:val="000000"/>
          <w:sz w:val="24"/>
          <w:szCs w:val="24"/>
        </w:rPr>
        <w:t>avrhuje</w:t>
      </w:r>
      <w:r>
        <w:rPr>
          <w:rFonts w:ascii="Times New Roman" w:hAnsi="Times New Roman"/>
          <w:color w:val="000000"/>
          <w:sz w:val="24"/>
          <w:szCs w:val="24"/>
        </w:rPr>
        <w:t xml:space="preserve"> sa priznať úrok vo výške dvojnásobku </w:t>
      </w:r>
      <w:r w:rsidRPr="00C56DFC">
        <w:rPr>
          <w:rFonts w:ascii="Times New Roman" w:hAnsi="Times New Roman"/>
          <w:color w:val="000000"/>
          <w:sz w:val="24"/>
          <w:szCs w:val="24"/>
        </w:rPr>
        <w:t>základnej sadzby ECB</w:t>
      </w:r>
      <w:r>
        <w:rPr>
          <w:rFonts w:ascii="Times New Roman" w:hAnsi="Times New Roman"/>
          <w:color w:val="000000"/>
          <w:sz w:val="24"/>
          <w:szCs w:val="24"/>
        </w:rPr>
        <w:t xml:space="preserve"> platnej v prvý deň daného kalendárneho roka, za ktorý sa úrok z nadmerného odpočtu počíta. Zároveň sa navrhuje stanoviť minimálny úrok vo výške 1,5 % pre prípad, ak v danom kalendárnom roku bude dvojnásobok základnej sadzby ECB nižší ako 1,5 %.</w:t>
      </w:r>
    </w:p>
    <w:p w:rsidR="0048428B"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Platiteľ dane </w:t>
      </w:r>
      <w:r>
        <w:rPr>
          <w:rFonts w:ascii="Times New Roman" w:hAnsi="Times New Roman"/>
          <w:color w:val="000000"/>
          <w:sz w:val="24"/>
          <w:szCs w:val="24"/>
        </w:rPr>
        <w:t>ne</w:t>
      </w:r>
      <w:r w:rsidRPr="00820963">
        <w:rPr>
          <w:rFonts w:ascii="Times New Roman" w:hAnsi="Times New Roman"/>
          <w:color w:val="000000"/>
          <w:sz w:val="24"/>
          <w:szCs w:val="24"/>
        </w:rPr>
        <w:t>musí podať žiadosť o</w:t>
      </w:r>
      <w:r>
        <w:rPr>
          <w:rFonts w:ascii="Times New Roman" w:hAnsi="Times New Roman"/>
          <w:color w:val="000000"/>
          <w:sz w:val="24"/>
          <w:szCs w:val="24"/>
        </w:rPr>
        <w:t> </w:t>
      </w:r>
      <w:r w:rsidRPr="00820963">
        <w:rPr>
          <w:rFonts w:ascii="Times New Roman" w:hAnsi="Times New Roman"/>
          <w:color w:val="000000"/>
          <w:sz w:val="24"/>
          <w:szCs w:val="24"/>
        </w:rPr>
        <w:t>priznan</w:t>
      </w:r>
      <w:r>
        <w:rPr>
          <w:rFonts w:ascii="Times New Roman" w:hAnsi="Times New Roman"/>
          <w:color w:val="000000"/>
          <w:sz w:val="24"/>
          <w:szCs w:val="24"/>
        </w:rPr>
        <w:t xml:space="preserve">ie nároku na úrok </w:t>
      </w:r>
      <w:r w:rsidRPr="00820963">
        <w:rPr>
          <w:rFonts w:ascii="Times New Roman" w:hAnsi="Times New Roman"/>
          <w:color w:val="000000"/>
          <w:sz w:val="24"/>
          <w:szCs w:val="24"/>
        </w:rPr>
        <w:t>z nadmerného odpočtu</w:t>
      </w:r>
      <w:r>
        <w:rPr>
          <w:rFonts w:ascii="Times New Roman" w:hAnsi="Times New Roman"/>
          <w:color w:val="000000"/>
          <w:sz w:val="24"/>
          <w:szCs w:val="24"/>
        </w:rPr>
        <w:t xml:space="preserve">. Daňový úrad o priznaní úroku z nadmerného odpočtu </w:t>
      </w:r>
      <w:r w:rsidRPr="00820963">
        <w:rPr>
          <w:rFonts w:ascii="Times New Roman" w:hAnsi="Times New Roman"/>
          <w:color w:val="000000"/>
          <w:sz w:val="24"/>
          <w:szCs w:val="24"/>
        </w:rPr>
        <w:t>vydá rozhodnutie</w:t>
      </w:r>
      <w:r>
        <w:rPr>
          <w:rFonts w:ascii="Times New Roman" w:hAnsi="Times New Roman"/>
          <w:color w:val="000000"/>
          <w:sz w:val="24"/>
          <w:szCs w:val="24"/>
        </w:rPr>
        <w:t xml:space="preserve"> ex offo. </w:t>
      </w:r>
    </w:p>
    <w:p w:rsidR="0048428B" w:rsidRPr="00820963" w:rsidP="0048428B">
      <w:p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Zákonom ustanovené dôvody, ktoré majú za následok nemožnosť skontrolovať oprávnenosť uplatňovaného nadmerného odpočtu, </w:t>
      </w:r>
      <w:r w:rsidRPr="00820963">
        <w:rPr>
          <w:rFonts w:ascii="Times New Roman" w:hAnsi="Times New Roman"/>
          <w:color w:val="000000"/>
          <w:sz w:val="24"/>
          <w:szCs w:val="24"/>
        </w:rPr>
        <w:t>tvor</w:t>
      </w:r>
      <w:r>
        <w:rPr>
          <w:rFonts w:ascii="Times New Roman" w:hAnsi="Times New Roman"/>
          <w:color w:val="000000"/>
          <w:sz w:val="24"/>
          <w:szCs w:val="24"/>
        </w:rPr>
        <w:t>ia</w:t>
      </w:r>
      <w:r w:rsidRPr="00820963">
        <w:rPr>
          <w:rFonts w:ascii="Times New Roman" w:hAnsi="Times New Roman"/>
          <w:color w:val="000000"/>
          <w:sz w:val="24"/>
          <w:szCs w:val="24"/>
        </w:rPr>
        <w:t xml:space="preserve"> racionálny základ pre nepriznanie nároku na úroky</w:t>
      </w:r>
      <w:r>
        <w:rPr>
          <w:rFonts w:ascii="Times New Roman" w:hAnsi="Times New Roman"/>
          <w:color w:val="000000"/>
          <w:sz w:val="24"/>
          <w:szCs w:val="24"/>
        </w:rPr>
        <w:t xml:space="preserve"> z</w:t>
      </w:r>
      <w:r w:rsidRPr="00820963">
        <w:rPr>
          <w:rFonts w:ascii="Times New Roman" w:hAnsi="Times New Roman"/>
          <w:color w:val="000000"/>
          <w:sz w:val="24"/>
          <w:szCs w:val="24"/>
        </w:rPr>
        <w:t xml:space="preserve"> nadmerného odpočtu. </w:t>
      </w:r>
    </w:p>
    <w:p w:rsidR="0048428B"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Súčasne sa navrhuje riešiť aj situácie, ak sa </w:t>
      </w:r>
      <w:r>
        <w:rPr>
          <w:rFonts w:ascii="Times New Roman" w:hAnsi="Times New Roman"/>
          <w:color w:val="000000"/>
          <w:sz w:val="24"/>
          <w:szCs w:val="24"/>
        </w:rPr>
        <w:t xml:space="preserve">po priznaní resp. nepriznaní úroku z nadmerného odpočtu zmení výška vráteného nadmerného odpočtu. </w:t>
      </w:r>
    </w:p>
    <w:p w:rsidR="0048428B" w:rsidP="0048428B">
      <w:p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V nadväznosti na zmenu výšky vráteného nadmerného odpočtu, sa suma úroku môže zvýšiť alebo znížiť príp. zrušiť.</w:t>
      </w:r>
    </w:p>
    <w:p w:rsidR="0048428B" w:rsidP="0048428B">
      <w:p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 prípade zvýšeného vrátenia nadmerného odpočtu, daňový úrad vydá rozhodnutie, ktorým prizná ďalší </w:t>
      </w:r>
      <w:r w:rsidRPr="00820963">
        <w:rPr>
          <w:rFonts w:ascii="Times New Roman" w:hAnsi="Times New Roman"/>
          <w:color w:val="000000"/>
          <w:sz w:val="24"/>
          <w:szCs w:val="24"/>
        </w:rPr>
        <w:t>úrok</w:t>
      </w:r>
      <w:r>
        <w:rPr>
          <w:rFonts w:ascii="Times New Roman" w:hAnsi="Times New Roman"/>
          <w:color w:val="000000"/>
          <w:sz w:val="24"/>
          <w:szCs w:val="24"/>
        </w:rPr>
        <w:t xml:space="preserve"> z nadmerného odpočtu v nadväznosti na sumu, o ktorú sa zvýšila suma vráteného nadmerného odpočtu.</w:t>
      </w:r>
    </w:p>
    <w:p w:rsidR="0048428B" w:rsidRPr="00820963" w:rsidP="0048428B">
      <w:p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 prípade zníženia výšky už vráteného nadmerného odpočtu, </w:t>
      </w:r>
      <w:r w:rsidRPr="00820963">
        <w:rPr>
          <w:rFonts w:ascii="Times New Roman" w:hAnsi="Times New Roman"/>
          <w:color w:val="000000"/>
          <w:sz w:val="24"/>
          <w:szCs w:val="24"/>
        </w:rPr>
        <w:t>daňový úrad rozhodnutím z úradnej moci zníži alebo zruší sumu priznaného úroku z nadmerného odpočtu. Týmto novým rozhodnutím sa pôvodné rozhodnutie</w:t>
      </w:r>
      <w:r>
        <w:rPr>
          <w:rFonts w:ascii="Times New Roman" w:hAnsi="Times New Roman"/>
          <w:color w:val="000000"/>
          <w:sz w:val="24"/>
          <w:szCs w:val="24"/>
        </w:rPr>
        <w:t xml:space="preserve"> </w:t>
      </w:r>
      <w:r w:rsidRPr="00820963">
        <w:rPr>
          <w:rFonts w:ascii="Times New Roman" w:hAnsi="Times New Roman"/>
          <w:color w:val="000000"/>
          <w:sz w:val="24"/>
          <w:szCs w:val="24"/>
        </w:rPr>
        <w:t>o priznaní nároku na úrok z nadmerného odpočtu zrušuje a platiteľ dane je povinný do 15 dní od nadobudnutia právoplatnosti rozhodnutia o znížení alebo zrušení priznaného úroku, vrátiť celú čiastku priznaného úroku alebo jeho časť.</w:t>
      </w:r>
    </w:p>
    <w:p w:rsidR="0048428B" w:rsidP="0048428B">
      <w:pPr>
        <w:bidi w:val="0"/>
        <w:spacing w:after="0" w:line="240" w:lineRule="auto"/>
        <w:jc w:val="both"/>
        <w:rPr>
          <w:rFonts w:ascii="Times New Roman" w:hAnsi="Times New Roman"/>
          <w:color w:val="000000"/>
          <w:sz w:val="24"/>
          <w:szCs w:val="24"/>
        </w:rPr>
      </w:pPr>
    </w:p>
    <w:p w:rsidR="0048428B" w:rsidRPr="00820963" w:rsidP="0048428B">
      <w:pPr>
        <w:bidi w:val="0"/>
        <w:spacing w:after="0" w:line="240" w:lineRule="auto"/>
        <w:jc w:val="both"/>
        <w:rPr>
          <w:rFonts w:ascii="Times New Roman" w:hAnsi="Times New Roman"/>
          <w:b/>
          <w:color w:val="000000"/>
          <w:sz w:val="24"/>
          <w:szCs w:val="24"/>
        </w:rPr>
      </w:pPr>
      <w:r w:rsidRPr="00820963">
        <w:rPr>
          <w:rFonts w:ascii="Times New Roman" w:hAnsi="Times New Roman"/>
          <w:b/>
          <w:color w:val="000000"/>
          <w:sz w:val="24"/>
          <w:szCs w:val="24"/>
        </w:rPr>
        <w:t xml:space="preserve">K bodu </w:t>
      </w:r>
      <w:r>
        <w:rPr>
          <w:rFonts w:ascii="Times New Roman" w:hAnsi="Times New Roman"/>
          <w:b/>
          <w:color w:val="000000"/>
          <w:sz w:val="24"/>
          <w:szCs w:val="24"/>
        </w:rPr>
        <w:t xml:space="preserve">7 </w:t>
      </w:r>
      <w:r w:rsidRPr="00820963">
        <w:rPr>
          <w:rFonts w:ascii="Times New Roman" w:hAnsi="Times New Roman"/>
          <w:b/>
          <w:color w:val="000000"/>
          <w:sz w:val="24"/>
          <w:szCs w:val="24"/>
        </w:rPr>
        <w:t>(§ 85ke)</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 xml:space="preserve">Prechodným ustanovením sa navrhuje, aby </w:t>
      </w:r>
      <w:r>
        <w:rPr>
          <w:rFonts w:ascii="Times New Roman" w:hAnsi="Times New Roman"/>
          <w:color w:val="000000"/>
          <w:sz w:val="24"/>
          <w:szCs w:val="24"/>
        </w:rPr>
        <w:t xml:space="preserve">sa </w:t>
      </w:r>
      <w:r w:rsidRPr="00820963">
        <w:rPr>
          <w:rFonts w:ascii="Times New Roman" w:hAnsi="Times New Roman"/>
          <w:color w:val="000000"/>
          <w:sz w:val="24"/>
          <w:szCs w:val="24"/>
        </w:rPr>
        <w:t>právna úprava nároku na peňažnú náhradu z dôvodu zadržania nadmerného odpočtu počas výkonu daňovej kontroly</w:t>
      </w:r>
      <w:r>
        <w:rPr>
          <w:rFonts w:ascii="Times New Roman" w:hAnsi="Times New Roman"/>
          <w:color w:val="000000"/>
          <w:sz w:val="24"/>
          <w:szCs w:val="24"/>
        </w:rPr>
        <w:t>, ktorá má nadobudnúť účinnosť od 1. januára 2017,</w:t>
      </w:r>
      <w:r w:rsidRPr="00820963">
        <w:rPr>
          <w:rFonts w:ascii="Times New Roman" w:hAnsi="Times New Roman"/>
          <w:color w:val="000000"/>
          <w:sz w:val="24"/>
          <w:szCs w:val="24"/>
        </w:rPr>
        <w:t xml:space="preserve"> </w:t>
      </w:r>
      <w:r>
        <w:rPr>
          <w:rFonts w:ascii="Times New Roman" w:hAnsi="Times New Roman"/>
          <w:color w:val="000000"/>
          <w:sz w:val="24"/>
          <w:szCs w:val="24"/>
        </w:rPr>
        <w:t xml:space="preserve">vzťahovala na prípady zadržania nadmerného odpočtu na základe kontroly, ktorá sa začala po 1.1.2017 ako aj na </w:t>
      </w:r>
      <w:r w:rsidRPr="00820963">
        <w:rPr>
          <w:rFonts w:ascii="Times New Roman" w:hAnsi="Times New Roman"/>
          <w:color w:val="000000"/>
          <w:sz w:val="24"/>
          <w:szCs w:val="24"/>
        </w:rPr>
        <w:t>prípady, ak sa daňová kontrola začala pred účinnosťou tejto novely a</w:t>
      </w:r>
      <w:r>
        <w:rPr>
          <w:rFonts w:ascii="Times New Roman" w:hAnsi="Times New Roman"/>
          <w:color w:val="000000"/>
          <w:sz w:val="24"/>
          <w:szCs w:val="24"/>
        </w:rPr>
        <w:t> </w:t>
      </w:r>
      <w:r w:rsidRPr="00820963">
        <w:rPr>
          <w:rFonts w:ascii="Times New Roman" w:hAnsi="Times New Roman"/>
          <w:color w:val="000000"/>
          <w:sz w:val="24"/>
          <w:szCs w:val="24"/>
        </w:rPr>
        <w:t>k</w:t>
      </w:r>
      <w:r>
        <w:rPr>
          <w:rFonts w:ascii="Times New Roman" w:hAnsi="Times New Roman"/>
          <w:color w:val="000000"/>
          <w:sz w:val="24"/>
          <w:szCs w:val="24"/>
        </w:rPr>
        <w:t xml:space="preserve"> 1.1.2017 </w:t>
      </w:r>
      <w:r w:rsidRPr="00820963">
        <w:rPr>
          <w:rFonts w:ascii="Times New Roman" w:hAnsi="Times New Roman"/>
          <w:color w:val="000000"/>
          <w:sz w:val="24"/>
          <w:szCs w:val="24"/>
        </w:rPr>
        <w:t xml:space="preserve">nebola </w:t>
      </w:r>
      <w:r>
        <w:rPr>
          <w:rFonts w:ascii="Times New Roman" w:hAnsi="Times New Roman"/>
          <w:color w:val="000000"/>
          <w:sz w:val="24"/>
          <w:szCs w:val="24"/>
        </w:rPr>
        <w:t xml:space="preserve">ešte </w:t>
      </w:r>
      <w:r w:rsidRPr="00820963">
        <w:rPr>
          <w:rFonts w:ascii="Times New Roman" w:hAnsi="Times New Roman"/>
          <w:color w:val="000000"/>
          <w:sz w:val="24"/>
          <w:szCs w:val="24"/>
        </w:rPr>
        <w:t>skončená.</w:t>
      </w:r>
    </w:p>
    <w:p w:rsidR="0048428B" w:rsidP="0048428B">
      <w:pPr>
        <w:bidi w:val="0"/>
        <w:spacing w:after="0" w:line="240" w:lineRule="auto"/>
        <w:jc w:val="both"/>
        <w:rPr>
          <w:rFonts w:ascii="Times New Roman" w:hAnsi="Times New Roman"/>
          <w:b/>
          <w:color w:val="000000"/>
          <w:sz w:val="24"/>
          <w:szCs w:val="24"/>
        </w:rPr>
      </w:pPr>
    </w:p>
    <w:p w:rsidR="0048428B" w:rsidRPr="00820963" w:rsidP="0048428B">
      <w:pPr>
        <w:bidi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bodu 8</w:t>
      </w:r>
      <w:r w:rsidRPr="00820963">
        <w:rPr>
          <w:rFonts w:ascii="Times New Roman" w:hAnsi="Times New Roman"/>
          <w:b/>
          <w:color w:val="000000"/>
          <w:sz w:val="24"/>
          <w:szCs w:val="24"/>
        </w:rPr>
        <w:t xml:space="preserve"> (§ 85l)</w:t>
      </w:r>
    </w:p>
    <w:p w:rsidR="0048428B" w:rsidP="0048428B">
      <w:pPr>
        <w:bidi w:val="0"/>
        <w:spacing w:after="0" w:line="240" w:lineRule="auto"/>
        <w:jc w:val="both"/>
        <w:rPr>
          <w:rFonts w:ascii="Times New Roman" w:hAnsi="Times New Roman"/>
          <w:color w:val="000000"/>
          <w:sz w:val="24"/>
          <w:szCs w:val="24"/>
        </w:rPr>
      </w:pP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V súvislosti s prehodnotením účinnosti samozdanenia dovozu tovaru z tretích štátov platiteľom dane sa upravuje prechodné ustanovenie. Účinnosť sa navrhuje v závislosti od výsledku porovnania údajov o výške verejného dlhu, ktorý je zverejnený za príslušný rozpočtový rok Eurostatom (aktuálna výška dlhu verejnej správy SR)</w:t>
      </w:r>
      <w:r>
        <w:rPr>
          <w:rFonts w:ascii="Times New Roman" w:hAnsi="Times New Roman"/>
          <w:color w:val="000000"/>
          <w:sz w:val="24"/>
          <w:szCs w:val="24"/>
        </w:rPr>
        <w:t>,</w:t>
      </w:r>
      <w:r w:rsidRPr="00820963">
        <w:rPr>
          <w:rFonts w:ascii="Times New Roman" w:hAnsi="Times New Roman"/>
          <w:color w:val="000000"/>
          <w:sz w:val="24"/>
          <w:szCs w:val="24"/>
        </w:rPr>
        <w:t xml:space="preserve"> a hornom limite dlhu verejnej správy ustanoveným pre tento príslušný rozpočtový rok v zmysle Ústavného zákona č. 493/2011 Z. z. o rozpočtovej zodpovednosti.</w:t>
      </w:r>
    </w:p>
    <w:p w:rsidR="0048428B" w:rsidRPr="00820963" w:rsidP="0048428B">
      <w:pPr>
        <w:bidi w:val="0"/>
        <w:spacing w:after="0" w:line="240" w:lineRule="auto"/>
        <w:jc w:val="both"/>
        <w:rPr>
          <w:rFonts w:ascii="Times New Roman" w:hAnsi="Times New Roman"/>
          <w:b/>
          <w:color w:val="000000"/>
          <w:sz w:val="24"/>
          <w:szCs w:val="24"/>
        </w:rPr>
      </w:pPr>
    </w:p>
    <w:p w:rsidR="0048428B" w:rsidRPr="00820963" w:rsidP="0048428B">
      <w:pPr>
        <w:bidi w:val="0"/>
        <w:spacing w:after="0" w:line="240" w:lineRule="auto"/>
        <w:jc w:val="both"/>
        <w:rPr>
          <w:rFonts w:ascii="Times New Roman" w:hAnsi="Times New Roman"/>
          <w:b/>
          <w:color w:val="000000"/>
          <w:sz w:val="24"/>
          <w:szCs w:val="24"/>
        </w:rPr>
      </w:pPr>
      <w:r w:rsidRPr="00820963">
        <w:rPr>
          <w:rFonts w:ascii="Times New Roman" w:hAnsi="Times New Roman"/>
          <w:b/>
          <w:color w:val="000000"/>
          <w:sz w:val="24"/>
          <w:szCs w:val="24"/>
        </w:rPr>
        <w:t>K čl. II</w:t>
      </w:r>
    </w:p>
    <w:p w:rsidR="0048428B" w:rsidRPr="00820963" w:rsidP="0048428B">
      <w:pPr>
        <w:bidi w:val="0"/>
        <w:spacing w:after="0" w:line="240" w:lineRule="auto"/>
        <w:jc w:val="both"/>
        <w:rPr>
          <w:rFonts w:ascii="Times New Roman" w:hAnsi="Times New Roman"/>
          <w:b/>
          <w:color w:val="000000"/>
          <w:sz w:val="24"/>
          <w:szCs w:val="24"/>
        </w:rPr>
      </w:pPr>
    </w:p>
    <w:p w:rsidR="0048428B" w:rsidRPr="00CC0117" w:rsidP="0048428B">
      <w:pPr>
        <w:bidi w:val="0"/>
        <w:spacing w:after="0" w:line="240" w:lineRule="auto"/>
        <w:jc w:val="both"/>
        <w:rPr>
          <w:rFonts w:ascii="Times New Roman" w:hAnsi="Times New Roman"/>
          <w:color w:val="000000"/>
          <w:sz w:val="24"/>
          <w:szCs w:val="24"/>
        </w:rPr>
      </w:pPr>
      <w:r w:rsidRPr="00CE41CF">
        <w:rPr>
          <w:rFonts w:ascii="Times New Roman" w:hAnsi="Times New Roman"/>
          <w:color w:val="000000"/>
          <w:sz w:val="24"/>
          <w:szCs w:val="24"/>
        </w:rPr>
        <w:t>Mení sa účinnosť ustanovení upravujúcich uplatňovanie dane pri dovoze tovaru z tretích štátov platiteľmi dane. Účinnosť sa navrhuje tak, aby bol vytvorený dostatočný časový priestor na vykonanie</w:t>
      </w:r>
      <w:r w:rsidRPr="00CC0117">
        <w:rPr>
          <w:rFonts w:ascii="Times New Roman" w:hAnsi="Times New Roman"/>
          <w:color w:val="000000"/>
          <w:sz w:val="24"/>
          <w:szCs w:val="24"/>
        </w:rPr>
        <w:t xml:space="preserve"> všetkých potrebných legislatívnych opatrení (napr. nový vzor daňového priznania, nový vzor kontrolného výkazu) ako aj nelegislatívnych opatrení súvisiacich so zavedením nových pravidiel do praxe, najmä zmien informačných systémov, a to ako na strane podnikateľov, tak aj na strane finančnej správy.</w:t>
      </w:r>
    </w:p>
    <w:p w:rsidR="004D2921" w:rsidP="0048428B">
      <w:pPr>
        <w:bidi w:val="0"/>
        <w:spacing w:after="0" w:line="240" w:lineRule="auto"/>
        <w:jc w:val="both"/>
        <w:rPr>
          <w:rFonts w:ascii="Times New Roman" w:hAnsi="Times New Roman"/>
          <w:b/>
          <w:color w:val="000000"/>
          <w:sz w:val="24"/>
          <w:szCs w:val="24"/>
        </w:rPr>
      </w:pPr>
    </w:p>
    <w:p w:rsidR="0048428B" w:rsidRPr="00CC0117" w:rsidP="0048428B">
      <w:pPr>
        <w:bidi w:val="0"/>
        <w:spacing w:after="0" w:line="240" w:lineRule="auto"/>
        <w:jc w:val="both"/>
        <w:rPr>
          <w:rFonts w:ascii="Times New Roman" w:hAnsi="Times New Roman"/>
          <w:b/>
          <w:color w:val="000000"/>
          <w:sz w:val="24"/>
          <w:szCs w:val="24"/>
        </w:rPr>
      </w:pPr>
      <w:r w:rsidRPr="00CC0117">
        <w:rPr>
          <w:rFonts w:ascii="Times New Roman" w:hAnsi="Times New Roman"/>
          <w:b/>
          <w:color w:val="000000"/>
          <w:sz w:val="24"/>
          <w:szCs w:val="24"/>
        </w:rPr>
        <w:t>K čl. III</w:t>
      </w:r>
    </w:p>
    <w:p w:rsidR="0048428B" w:rsidRPr="00820963" w:rsidP="0048428B">
      <w:pPr>
        <w:bidi w:val="0"/>
        <w:spacing w:after="0" w:line="240" w:lineRule="auto"/>
        <w:jc w:val="both"/>
        <w:rPr>
          <w:rFonts w:ascii="Times New Roman" w:hAnsi="Times New Roman"/>
          <w:color w:val="000000"/>
          <w:sz w:val="24"/>
          <w:szCs w:val="24"/>
        </w:rPr>
      </w:pPr>
      <w:r w:rsidRPr="00820963">
        <w:rPr>
          <w:rFonts w:ascii="Times New Roman" w:hAnsi="Times New Roman"/>
          <w:color w:val="000000"/>
          <w:sz w:val="24"/>
          <w:szCs w:val="24"/>
        </w:rPr>
        <w:t>Navrhuje sa účinnosť zákona od 1. januára 2017 okrem účinnosti ustanovení upravujúcich uplatňovanie dane pri dovoze tovaru z tretích štátov</w:t>
      </w:r>
      <w:r>
        <w:rPr>
          <w:rFonts w:ascii="Times New Roman" w:hAnsi="Times New Roman"/>
          <w:color w:val="000000"/>
          <w:sz w:val="24"/>
          <w:szCs w:val="24"/>
        </w:rPr>
        <w:t>,</w:t>
      </w:r>
      <w:r w:rsidRPr="00820963">
        <w:rPr>
          <w:rFonts w:ascii="Times New Roman" w:hAnsi="Times New Roman"/>
          <w:color w:val="000000"/>
          <w:sz w:val="24"/>
          <w:szCs w:val="24"/>
        </w:rPr>
        <w:t xml:space="preserve"> ktoré nadobúdajú účinnosť od 31. decembra 2016.</w:t>
      </w:r>
    </w:p>
    <w:p w:rsidR="0048428B" w:rsidRPr="00820963" w:rsidP="0048428B">
      <w:pPr>
        <w:bidi w:val="0"/>
        <w:spacing w:after="0" w:line="240" w:lineRule="auto"/>
        <w:jc w:val="both"/>
        <w:rPr>
          <w:rFonts w:ascii="Times New Roman" w:hAnsi="Times New Roman"/>
          <w:color w:val="000000"/>
          <w:sz w:val="24"/>
          <w:szCs w:val="24"/>
        </w:rPr>
      </w:pPr>
    </w:p>
    <w:p w:rsidR="0048428B" w:rsidRPr="00CC0117" w:rsidP="0048428B">
      <w:pPr>
        <w:bidi w:val="0"/>
        <w:spacing w:after="0" w:line="240" w:lineRule="auto"/>
        <w:jc w:val="both"/>
        <w:rPr>
          <w:rFonts w:ascii="Times New Roman" w:hAnsi="Times New Roman"/>
          <w:color w:val="000000"/>
          <w:sz w:val="24"/>
          <w:szCs w:val="24"/>
        </w:rPr>
      </w:pPr>
    </w:p>
    <w:p w:rsidR="004D2921" w:rsidRPr="004D2921" w:rsidP="004D2921">
      <w:pPr>
        <w:bidi w:val="0"/>
        <w:spacing w:after="0" w:line="240" w:lineRule="auto"/>
        <w:rPr>
          <w:rStyle w:val="PlaceholderText"/>
          <w:color w:val="000000"/>
          <w:sz w:val="24"/>
          <w:szCs w:val="24"/>
        </w:rPr>
      </w:pPr>
      <w:r w:rsidRPr="004D2921">
        <w:rPr>
          <w:rStyle w:val="PlaceholderText"/>
          <w:color w:val="000000"/>
          <w:sz w:val="24"/>
          <w:szCs w:val="24"/>
        </w:rPr>
        <w:t xml:space="preserve">Schválené na rokovaní vlády Slovenskej republiky dňa </w:t>
      </w:r>
      <w:r>
        <w:rPr>
          <w:rStyle w:val="PlaceholderText"/>
          <w:color w:val="000000"/>
          <w:sz w:val="24"/>
          <w:szCs w:val="24"/>
        </w:rPr>
        <w:t>1</w:t>
      </w:r>
      <w:r w:rsidRPr="004D2921">
        <w:rPr>
          <w:rStyle w:val="PlaceholderText"/>
          <w:color w:val="000000"/>
          <w:sz w:val="24"/>
          <w:szCs w:val="24"/>
        </w:rPr>
        <w:t>7. a</w:t>
      </w:r>
      <w:r>
        <w:rPr>
          <w:rStyle w:val="PlaceholderText"/>
          <w:color w:val="000000"/>
          <w:sz w:val="24"/>
          <w:szCs w:val="24"/>
        </w:rPr>
        <w:t>ugusta</w:t>
      </w:r>
      <w:r w:rsidRPr="004D2921">
        <w:rPr>
          <w:rStyle w:val="PlaceholderText"/>
          <w:color w:val="000000"/>
          <w:sz w:val="24"/>
          <w:szCs w:val="24"/>
        </w:rPr>
        <w:t xml:space="preserve"> 201</w:t>
      </w:r>
      <w:r>
        <w:rPr>
          <w:rStyle w:val="PlaceholderText"/>
          <w:color w:val="000000"/>
          <w:sz w:val="24"/>
          <w:szCs w:val="24"/>
        </w:rPr>
        <w:t>6</w:t>
      </w:r>
      <w:r w:rsidRPr="004D2921">
        <w:rPr>
          <w:rStyle w:val="PlaceholderText"/>
          <w:color w:val="000000"/>
          <w:sz w:val="24"/>
          <w:szCs w:val="24"/>
        </w:rPr>
        <w:t>.</w:t>
      </w:r>
    </w:p>
    <w:p w:rsidR="004D2921" w:rsidRPr="004D2921" w:rsidP="004D2921">
      <w:pPr>
        <w:tabs>
          <w:tab w:val="left" w:pos="360"/>
        </w:tabs>
        <w:bidi w:val="0"/>
        <w:spacing w:after="0" w:line="240" w:lineRule="auto"/>
        <w:rPr>
          <w:rFonts w:ascii="Times New Roman" w:hAnsi="Times New Roman"/>
          <w:sz w:val="24"/>
          <w:szCs w:val="24"/>
        </w:rPr>
      </w:pPr>
    </w:p>
    <w:p w:rsidR="004D2921" w:rsidRPr="004D2921" w:rsidP="004D2921">
      <w:pPr>
        <w:tabs>
          <w:tab w:val="left" w:pos="360"/>
        </w:tabs>
        <w:bidi w:val="0"/>
        <w:spacing w:after="0" w:line="240" w:lineRule="auto"/>
        <w:rPr>
          <w:rFonts w:ascii="Times New Roman" w:hAnsi="Times New Roman"/>
          <w:sz w:val="24"/>
          <w:szCs w:val="24"/>
        </w:rPr>
      </w:pPr>
    </w:p>
    <w:p w:rsidR="004D2921" w:rsidRPr="004D2921" w:rsidP="004D2921">
      <w:pPr>
        <w:bidi w:val="0"/>
        <w:spacing w:after="0" w:line="240" w:lineRule="auto"/>
        <w:jc w:val="center"/>
        <w:rPr>
          <w:rFonts w:ascii="Times New Roman" w:hAnsi="Times New Roman"/>
          <w:sz w:val="24"/>
          <w:szCs w:val="24"/>
        </w:rPr>
      </w:pPr>
    </w:p>
    <w:p w:rsidR="004D2921" w:rsidRPr="004D2921" w:rsidP="004D2921">
      <w:pPr>
        <w:bidi w:val="0"/>
        <w:spacing w:after="0" w:line="240" w:lineRule="auto"/>
        <w:jc w:val="center"/>
        <w:rPr>
          <w:rFonts w:ascii="Times New Roman" w:hAnsi="Times New Roman"/>
          <w:b/>
          <w:sz w:val="24"/>
          <w:szCs w:val="24"/>
        </w:rPr>
      </w:pPr>
      <w:r w:rsidRPr="004D2921">
        <w:rPr>
          <w:rFonts w:ascii="Times New Roman" w:hAnsi="Times New Roman"/>
          <w:b/>
          <w:sz w:val="24"/>
          <w:szCs w:val="24"/>
        </w:rPr>
        <w:t>Robert Fico</w:t>
      </w:r>
      <w:r w:rsidR="00E960E4">
        <w:rPr>
          <w:rFonts w:ascii="Times New Roman" w:hAnsi="Times New Roman"/>
          <w:b/>
          <w:sz w:val="24"/>
          <w:szCs w:val="24"/>
        </w:rPr>
        <w:t xml:space="preserve"> v. r.</w:t>
      </w:r>
    </w:p>
    <w:p w:rsidR="004D2921" w:rsidRPr="004D2921" w:rsidP="004D2921">
      <w:pPr>
        <w:bidi w:val="0"/>
        <w:spacing w:after="0" w:line="240" w:lineRule="auto"/>
        <w:jc w:val="center"/>
        <w:rPr>
          <w:rFonts w:ascii="Times New Roman" w:hAnsi="Times New Roman"/>
          <w:sz w:val="24"/>
          <w:szCs w:val="24"/>
        </w:rPr>
      </w:pPr>
    </w:p>
    <w:p w:rsidR="004D2921" w:rsidRPr="004D2921" w:rsidP="004D2921">
      <w:pPr>
        <w:bidi w:val="0"/>
        <w:spacing w:after="0" w:line="240" w:lineRule="auto"/>
        <w:jc w:val="center"/>
        <w:rPr>
          <w:rFonts w:ascii="Times New Roman" w:hAnsi="Times New Roman"/>
          <w:sz w:val="24"/>
          <w:szCs w:val="24"/>
        </w:rPr>
      </w:pPr>
      <w:r w:rsidRPr="004D2921">
        <w:rPr>
          <w:rFonts w:ascii="Times New Roman" w:hAnsi="Times New Roman"/>
          <w:sz w:val="24"/>
          <w:szCs w:val="24"/>
        </w:rPr>
        <w:t>predseda vlády Slovenskej republiky</w:t>
      </w:r>
    </w:p>
    <w:p w:rsidR="004D2921" w:rsidRPr="004D2921" w:rsidP="004D2921">
      <w:pPr>
        <w:bidi w:val="0"/>
        <w:spacing w:after="0" w:line="240" w:lineRule="auto"/>
        <w:jc w:val="center"/>
        <w:rPr>
          <w:rFonts w:ascii="Times New Roman" w:hAnsi="Times New Roman"/>
          <w:sz w:val="24"/>
          <w:szCs w:val="24"/>
        </w:rPr>
      </w:pPr>
    </w:p>
    <w:p w:rsidR="004D2921" w:rsidRPr="004D2921" w:rsidP="004D2921">
      <w:pPr>
        <w:bidi w:val="0"/>
        <w:spacing w:after="0" w:line="240" w:lineRule="auto"/>
        <w:jc w:val="center"/>
        <w:rPr>
          <w:rFonts w:ascii="Times New Roman" w:hAnsi="Times New Roman"/>
          <w:sz w:val="24"/>
          <w:szCs w:val="24"/>
        </w:rPr>
      </w:pPr>
    </w:p>
    <w:p w:rsidR="004D2921" w:rsidRPr="004D2921" w:rsidP="004D2921">
      <w:pPr>
        <w:bidi w:val="0"/>
        <w:spacing w:after="0" w:line="240" w:lineRule="auto"/>
        <w:jc w:val="center"/>
        <w:rPr>
          <w:rFonts w:ascii="Times New Roman" w:hAnsi="Times New Roman"/>
          <w:sz w:val="24"/>
          <w:szCs w:val="24"/>
        </w:rPr>
      </w:pPr>
    </w:p>
    <w:p w:rsidR="004D2921" w:rsidRPr="004D2921" w:rsidP="004D2921">
      <w:pPr>
        <w:bidi w:val="0"/>
        <w:spacing w:after="0" w:line="240" w:lineRule="auto"/>
        <w:jc w:val="center"/>
        <w:rPr>
          <w:rFonts w:ascii="Times New Roman" w:hAnsi="Times New Roman"/>
          <w:b/>
          <w:sz w:val="24"/>
          <w:szCs w:val="24"/>
        </w:rPr>
      </w:pPr>
      <w:r w:rsidRPr="004D2921">
        <w:rPr>
          <w:rFonts w:ascii="Times New Roman" w:hAnsi="Times New Roman"/>
          <w:b/>
          <w:sz w:val="24"/>
          <w:szCs w:val="24"/>
        </w:rPr>
        <w:t>Peter Kažimír</w:t>
      </w:r>
      <w:r w:rsidR="00E960E4">
        <w:rPr>
          <w:rFonts w:ascii="Times New Roman" w:hAnsi="Times New Roman"/>
          <w:b/>
          <w:sz w:val="24"/>
          <w:szCs w:val="24"/>
        </w:rPr>
        <w:t xml:space="preserve"> v. r.</w:t>
      </w:r>
    </w:p>
    <w:p w:rsidR="004D2921" w:rsidRPr="004D2921" w:rsidP="004D2921">
      <w:pPr>
        <w:bidi w:val="0"/>
        <w:spacing w:after="0" w:line="240" w:lineRule="auto"/>
        <w:jc w:val="center"/>
        <w:rPr>
          <w:rFonts w:ascii="Times New Roman" w:hAnsi="Times New Roman"/>
          <w:sz w:val="24"/>
          <w:szCs w:val="24"/>
        </w:rPr>
      </w:pPr>
    </w:p>
    <w:p w:rsidR="004D2921" w:rsidRPr="004D2921" w:rsidP="004D2921">
      <w:pPr>
        <w:bidi w:val="0"/>
        <w:spacing w:after="0" w:line="240" w:lineRule="auto"/>
        <w:jc w:val="center"/>
        <w:rPr>
          <w:rFonts w:ascii="Times New Roman" w:hAnsi="Times New Roman"/>
          <w:sz w:val="24"/>
          <w:szCs w:val="24"/>
        </w:rPr>
      </w:pPr>
      <w:r w:rsidRPr="004D2921">
        <w:rPr>
          <w:rFonts w:ascii="Times New Roman" w:hAnsi="Times New Roman"/>
          <w:sz w:val="24"/>
          <w:szCs w:val="24"/>
        </w:rPr>
        <w:t>minister financií</w:t>
      </w:r>
      <w:r>
        <w:rPr>
          <w:rFonts w:ascii="Times New Roman" w:hAnsi="Times New Roman"/>
          <w:sz w:val="24"/>
          <w:szCs w:val="24"/>
        </w:rPr>
        <w:t xml:space="preserve"> </w:t>
      </w:r>
      <w:r w:rsidRPr="004D2921">
        <w:rPr>
          <w:rFonts w:ascii="Times New Roman" w:hAnsi="Times New Roman"/>
          <w:sz w:val="24"/>
          <w:szCs w:val="24"/>
        </w:rPr>
        <w:t>Slovenskej republiky</w:t>
      </w:r>
    </w:p>
    <w:p w:rsidR="004D2921" w:rsidRPr="004D2921" w:rsidP="004D2921">
      <w:pPr>
        <w:bidi w:val="0"/>
        <w:spacing w:after="0" w:line="240" w:lineRule="auto"/>
        <w:jc w:val="center"/>
        <w:rPr>
          <w:rFonts w:ascii="Times New Roman" w:hAnsi="Times New Roman"/>
          <w:sz w:val="24"/>
          <w:szCs w:val="24"/>
        </w:rPr>
      </w:pPr>
    </w:p>
    <w:p w:rsidR="0048428B" w:rsidRPr="00C5392B" w:rsidP="0048428B">
      <w:pPr>
        <w:bidi w:val="0"/>
        <w:spacing w:after="0" w:line="240" w:lineRule="auto"/>
        <w:jc w:val="both"/>
        <w:rPr>
          <w:rFonts w:ascii="Times New Roman" w:hAnsi="Times New Roman"/>
          <w:sz w:val="24"/>
          <w:szCs w:val="24"/>
        </w:rPr>
      </w:pPr>
    </w:p>
    <w:sectPr w:rsidSect="0048428B">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Times">
    <w:panose1 w:val="0202060305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7D574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4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960E4">
      <w:rPr>
        <w:rFonts w:ascii="Times New Roman" w:hAnsi="Times New Roman"/>
        <w:noProof/>
      </w:rPr>
      <w:t>16</w:t>
    </w:r>
    <w:r>
      <w:rPr>
        <w:rFonts w:ascii="Times New Roman" w:hAnsi="Times New Roman"/>
      </w:rPr>
      <w:fldChar w:fldCharType="end"/>
    </w:r>
  </w:p>
  <w:p w:rsidR="007D5748">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7D574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P="00EB59C8">
    <w:pPr>
      <w:pStyle w:val="Header"/>
      <w:bidi w:val="0"/>
      <w:jc w:val="right"/>
      <w:rPr>
        <w:rFonts w:ascii="Times New Roman" w:hAnsi="Times New Roman"/>
        <w:sz w:val="24"/>
        <w:szCs w:val="24"/>
      </w:rPr>
    </w:pPr>
    <w:r>
      <w:rPr>
        <w:rFonts w:ascii="Times New Roman" w:hAnsi="Times New Roman"/>
        <w:sz w:val="24"/>
        <w:szCs w:val="24"/>
      </w:rPr>
      <w:t>Príloha č. 2</w:t>
    </w:r>
  </w:p>
  <w:p w:rsidR="007D5748" w:rsidRPr="00EB59C8" w:rsidP="00EB59C8">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48" w:rsidRPr="000A15AE" w:rsidP="000A15AE">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789B"/>
    <w:multiLevelType w:val="hybridMultilevel"/>
    <w:tmpl w:val="02A0138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DE30F51"/>
    <w:multiLevelType w:val="multilevel"/>
    <w:tmpl w:val="00000000"/>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
    <w:nsid w:val="65CB77B4"/>
    <w:multiLevelType w:val="hybridMultilevel"/>
    <w:tmpl w:val="54D2588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44D7210"/>
    <w:multiLevelType w:val="hybridMultilevel"/>
    <w:tmpl w:val="FD94E27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6D47341"/>
    <w:multiLevelType w:val="hybridMultilevel"/>
    <w:tmpl w:val="7E700E2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6">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2"/>
  </w:num>
  <w:num w:numId="3">
    <w:abstractNumId w:val="0"/>
  </w:num>
  <w:num w:numId="4">
    <w:abstractNumId w:val="3"/>
  </w:num>
  <w:num w:numId="5">
    <w:abstractNumId w:val="5"/>
  </w:num>
  <w:num w:numId="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F16916"/>
    <w:rsid w:val="0000511E"/>
    <w:rsid w:val="00010407"/>
    <w:rsid w:val="00020B91"/>
    <w:rsid w:val="0009276B"/>
    <w:rsid w:val="000A0C95"/>
    <w:rsid w:val="000A15AE"/>
    <w:rsid w:val="00102A6F"/>
    <w:rsid w:val="00127DAC"/>
    <w:rsid w:val="00143337"/>
    <w:rsid w:val="00164337"/>
    <w:rsid w:val="00174047"/>
    <w:rsid w:val="00201B0F"/>
    <w:rsid w:val="00212894"/>
    <w:rsid w:val="00213C2E"/>
    <w:rsid w:val="002210CD"/>
    <w:rsid w:val="002347B3"/>
    <w:rsid w:val="00242978"/>
    <w:rsid w:val="00244067"/>
    <w:rsid w:val="002707FB"/>
    <w:rsid w:val="00282763"/>
    <w:rsid w:val="002A40AE"/>
    <w:rsid w:val="002C65CF"/>
    <w:rsid w:val="00300EBF"/>
    <w:rsid w:val="0032414E"/>
    <w:rsid w:val="003301A9"/>
    <w:rsid w:val="00350B73"/>
    <w:rsid w:val="00392688"/>
    <w:rsid w:val="0039293E"/>
    <w:rsid w:val="0039740B"/>
    <w:rsid w:val="003D34D5"/>
    <w:rsid w:val="003E3202"/>
    <w:rsid w:val="003F29F8"/>
    <w:rsid w:val="0041680E"/>
    <w:rsid w:val="00474027"/>
    <w:rsid w:val="00476EE2"/>
    <w:rsid w:val="0048428B"/>
    <w:rsid w:val="00497B83"/>
    <w:rsid w:val="00497FAA"/>
    <w:rsid w:val="004C60B8"/>
    <w:rsid w:val="004C63A4"/>
    <w:rsid w:val="004D2921"/>
    <w:rsid w:val="004F14A1"/>
    <w:rsid w:val="00546862"/>
    <w:rsid w:val="0054744A"/>
    <w:rsid w:val="00556EE6"/>
    <w:rsid w:val="00571AB7"/>
    <w:rsid w:val="00587157"/>
    <w:rsid w:val="00587B95"/>
    <w:rsid w:val="00596424"/>
    <w:rsid w:val="005D0274"/>
    <w:rsid w:val="005E7A14"/>
    <w:rsid w:val="005F33C9"/>
    <w:rsid w:val="005F636E"/>
    <w:rsid w:val="00620E8D"/>
    <w:rsid w:val="00644511"/>
    <w:rsid w:val="00644757"/>
    <w:rsid w:val="00653ADA"/>
    <w:rsid w:val="006C7596"/>
    <w:rsid w:val="006D69E7"/>
    <w:rsid w:val="006F6C82"/>
    <w:rsid w:val="00716AC7"/>
    <w:rsid w:val="00721561"/>
    <w:rsid w:val="007279EC"/>
    <w:rsid w:val="00740DE6"/>
    <w:rsid w:val="00744E27"/>
    <w:rsid w:val="00756259"/>
    <w:rsid w:val="00760AEE"/>
    <w:rsid w:val="00763CA4"/>
    <w:rsid w:val="007B05EC"/>
    <w:rsid w:val="007D5748"/>
    <w:rsid w:val="00801579"/>
    <w:rsid w:val="00820963"/>
    <w:rsid w:val="00846958"/>
    <w:rsid w:val="008D6778"/>
    <w:rsid w:val="008F055F"/>
    <w:rsid w:val="008F1524"/>
    <w:rsid w:val="0090430C"/>
    <w:rsid w:val="0093260A"/>
    <w:rsid w:val="009449EC"/>
    <w:rsid w:val="009634B3"/>
    <w:rsid w:val="0097289D"/>
    <w:rsid w:val="00995AD2"/>
    <w:rsid w:val="009A351F"/>
    <w:rsid w:val="009C2E69"/>
    <w:rsid w:val="009E11EC"/>
    <w:rsid w:val="009E5F21"/>
    <w:rsid w:val="00A1211D"/>
    <w:rsid w:val="00A179AE"/>
    <w:rsid w:val="00A4783B"/>
    <w:rsid w:val="00A57379"/>
    <w:rsid w:val="00A61B52"/>
    <w:rsid w:val="00AD35A8"/>
    <w:rsid w:val="00AE3DF5"/>
    <w:rsid w:val="00AE6EA0"/>
    <w:rsid w:val="00AF4535"/>
    <w:rsid w:val="00B06402"/>
    <w:rsid w:val="00B24D37"/>
    <w:rsid w:val="00B725DA"/>
    <w:rsid w:val="00B77CC8"/>
    <w:rsid w:val="00B91FDE"/>
    <w:rsid w:val="00B93002"/>
    <w:rsid w:val="00BB2048"/>
    <w:rsid w:val="00BD1A52"/>
    <w:rsid w:val="00BD3FA9"/>
    <w:rsid w:val="00BD7CBB"/>
    <w:rsid w:val="00BE01E2"/>
    <w:rsid w:val="00BF3078"/>
    <w:rsid w:val="00C4422F"/>
    <w:rsid w:val="00C5392B"/>
    <w:rsid w:val="00C56DFC"/>
    <w:rsid w:val="00C621AE"/>
    <w:rsid w:val="00C866D1"/>
    <w:rsid w:val="00C90835"/>
    <w:rsid w:val="00CB64EC"/>
    <w:rsid w:val="00CC0117"/>
    <w:rsid w:val="00CE41CF"/>
    <w:rsid w:val="00D2318B"/>
    <w:rsid w:val="00D66B9E"/>
    <w:rsid w:val="00DA3839"/>
    <w:rsid w:val="00DD4FAA"/>
    <w:rsid w:val="00DE3565"/>
    <w:rsid w:val="00DF28AF"/>
    <w:rsid w:val="00DF7493"/>
    <w:rsid w:val="00E07C3C"/>
    <w:rsid w:val="00E126AA"/>
    <w:rsid w:val="00E2243F"/>
    <w:rsid w:val="00E60B0F"/>
    <w:rsid w:val="00E9130D"/>
    <w:rsid w:val="00E960E4"/>
    <w:rsid w:val="00EA3859"/>
    <w:rsid w:val="00EA680F"/>
    <w:rsid w:val="00EB59C8"/>
    <w:rsid w:val="00ED234A"/>
    <w:rsid w:val="00EE2700"/>
    <w:rsid w:val="00F16916"/>
    <w:rsid w:val="00F3063F"/>
    <w:rsid w:val="00F350ED"/>
    <w:rsid w:val="00F8054C"/>
    <w:rsid w:val="00F870F8"/>
    <w:rsid w:val="00F968E1"/>
    <w:rsid w:val="00FA5F46"/>
    <w:rsid w:val="00FB7709"/>
    <w:rsid w:val="00FC6ACD"/>
    <w:rsid w:val="00FF111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FF111C"/>
    <w:pPr>
      <w:ind w:left="720"/>
      <w:contextualSpacing/>
      <w:jc w:val="left"/>
    </w:pPr>
  </w:style>
  <w:style w:type="paragraph" w:customStyle="1" w:styleId="Default">
    <w:name w:val="Default"/>
    <w:rsid w:val="003F29F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Header">
    <w:name w:val="header"/>
    <w:basedOn w:val="Normal"/>
    <w:link w:val="HlavikaChar"/>
    <w:uiPriority w:val="99"/>
    <w:rsid w:val="0054744A"/>
    <w:pPr>
      <w:tabs>
        <w:tab w:val="center" w:pos="4536"/>
        <w:tab w:val="right" w:pos="9072"/>
      </w:tabs>
      <w:spacing w:after="0" w:line="240" w:lineRule="auto"/>
      <w:jc w:val="left"/>
    </w:pPr>
    <w:rPr>
      <w:rFonts w:ascii="Times New Roman" w:hAnsi="Times New Roman"/>
      <w:sz w:val="20"/>
      <w:szCs w:val="20"/>
      <w:lang w:val="cs-CZ" w:eastAsia="sk-SK"/>
    </w:rPr>
  </w:style>
  <w:style w:type="character" w:customStyle="1" w:styleId="HlavikaChar">
    <w:name w:val="Hlavička Char"/>
    <w:basedOn w:val="DefaultParagraphFont"/>
    <w:link w:val="Header"/>
    <w:uiPriority w:val="99"/>
    <w:locked/>
    <w:rsid w:val="0054744A"/>
    <w:rPr>
      <w:rFonts w:ascii="Times New Roman" w:hAnsi="Times New Roman" w:cs="Times New Roman"/>
      <w:sz w:val="20"/>
      <w:szCs w:val="20"/>
      <w:rtl w:val="0"/>
      <w:cs w:val="0"/>
      <w:lang w:val="cs-CZ" w:eastAsia="sk-SK"/>
    </w:rPr>
  </w:style>
  <w:style w:type="character" w:styleId="PlaceholderText">
    <w:name w:val="Placeholder Text"/>
    <w:basedOn w:val="DefaultParagraphFont"/>
    <w:uiPriority w:val="99"/>
    <w:semiHidden/>
    <w:rsid w:val="00020B91"/>
    <w:rPr>
      <w:rFonts w:ascii="Times New Roman" w:hAnsi="Times New Roman" w:cs="Times New Roman"/>
      <w:color w:val="808080"/>
      <w:rtl w:val="0"/>
      <w:cs w:val="0"/>
    </w:rPr>
  </w:style>
  <w:style w:type="paragraph" w:customStyle="1" w:styleId="tl">
    <w:name w:val="Štýl"/>
    <w:uiPriority w:val="99"/>
    <w:rsid w:val="00CB64EC"/>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BodyText2">
    <w:name w:val="Body Text 2"/>
    <w:basedOn w:val="Normal"/>
    <w:link w:val="Zkladntext2Char"/>
    <w:uiPriority w:val="99"/>
    <w:rsid w:val="00F3063F"/>
    <w:pPr>
      <w:spacing w:after="0" w:line="240" w:lineRule="auto"/>
      <w:jc w:val="both"/>
    </w:pPr>
    <w:rPr>
      <w:rFonts w:ascii="Arial Narrow" w:hAnsi="Arial Narrow"/>
      <w:szCs w:val="20"/>
      <w:lang w:eastAsia="sk-SK"/>
    </w:rPr>
  </w:style>
  <w:style w:type="character" w:customStyle="1" w:styleId="Zkladntext2Char">
    <w:name w:val="Základný text 2 Char"/>
    <w:basedOn w:val="DefaultParagraphFont"/>
    <w:link w:val="BodyText2"/>
    <w:uiPriority w:val="99"/>
    <w:locked/>
    <w:rsid w:val="00F3063F"/>
    <w:rPr>
      <w:rFonts w:ascii="Arial Narrow" w:hAnsi="Arial Narrow" w:cs="Times New Roman"/>
      <w:sz w:val="20"/>
      <w:szCs w:val="20"/>
      <w:rtl w:val="0"/>
      <w:cs w:val="0"/>
      <w:lang w:val="x-none" w:eastAsia="sk-SK"/>
    </w:rPr>
  </w:style>
  <w:style w:type="paragraph" w:customStyle="1" w:styleId="Zkladntext">
    <w:name w:val="Základní text"/>
    <w:rsid w:val="00620E8D"/>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alloonText">
    <w:name w:val="Balloon Text"/>
    <w:basedOn w:val="Normal"/>
    <w:link w:val="TextbublinyChar"/>
    <w:uiPriority w:val="99"/>
    <w:rsid w:val="00E07C3C"/>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07C3C"/>
    <w:rPr>
      <w:rFonts w:ascii="Segoe UI" w:hAnsi="Segoe UI" w:cs="Segoe UI"/>
      <w:sz w:val="18"/>
      <w:szCs w:val="18"/>
      <w:rtl w:val="0"/>
      <w:cs w:val="0"/>
    </w:rPr>
  </w:style>
  <w:style w:type="table" w:styleId="TableGrid">
    <w:name w:val="Table Grid"/>
    <w:basedOn w:val="TableNormal"/>
    <w:uiPriority w:val="59"/>
    <w:rsid w:val="0048428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PtaChar"/>
    <w:uiPriority w:val="99"/>
    <w:unhideWhenUsed/>
    <w:rsid w:val="0048428B"/>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48428B"/>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48428B"/>
    <w:rPr>
      <w:rFonts w:cs="Times New Roman"/>
      <w:rtl w:val="0"/>
      <w:cs w:val="0"/>
    </w:rPr>
  </w:style>
  <w:style w:type="table" w:customStyle="1" w:styleId="Mriekatabuky1">
    <w:name w:val="Mriežka tabuľky1"/>
    <w:basedOn w:val="TableNormal"/>
    <w:next w:val="TableGrid"/>
    <w:uiPriority w:val="99"/>
    <w:unhideWhenUsed/>
    <w:rsid w:val="00744E27"/>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TotalTime>
  <Pages>17</Pages>
  <Words>6182</Words>
  <Characters>35238</Characters>
  <Application>Microsoft Office Word</Application>
  <DocSecurity>0</DocSecurity>
  <Lines>0</Lines>
  <Paragraphs>0</Paragraphs>
  <ScaleCrop>false</ScaleCrop>
  <Company>Ministerstvo financií SR</Company>
  <LinksUpToDate>false</LinksUpToDate>
  <CharactersWithSpaces>41338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 Mojmir</dc:creator>
  <cp:lastModifiedBy>Rybansky Ludovit</cp:lastModifiedBy>
  <cp:revision>5</cp:revision>
  <cp:lastPrinted>2016-08-17T12:43:00Z</cp:lastPrinted>
  <dcterms:created xsi:type="dcterms:W3CDTF">2016-08-17T10:32:00Z</dcterms:created>
  <dcterms:modified xsi:type="dcterms:W3CDTF">2016-08-17T13:10:00Z</dcterms:modified>
</cp:coreProperties>
</file>