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E3569" w:rsidRPr="00B718B7" w:rsidP="00B718B7">
      <w:pPr>
        <w:pStyle w:val="NormalWeb"/>
        <w:bidi w:val="0"/>
        <w:spacing w:before="120" w:after="0" w:line="276" w:lineRule="auto"/>
        <w:jc w:val="center"/>
        <w:rPr>
          <w:rFonts w:ascii="Book Antiqua" w:hAnsi="Book Antiqua" w:cstheme="minorBidi"/>
          <w:sz w:val="22"/>
          <w:szCs w:val="22"/>
        </w:rPr>
      </w:pPr>
      <w:r w:rsidRPr="00B718B7">
        <w:rPr>
          <w:rFonts w:ascii="Book Antiqua" w:hAnsi="Book Antiqua" w:cstheme="minorBidi"/>
          <w:b/>
          <w:caps/>
          <w:spacing w:val="30"/>
          <w:sz w:val="22"/>
          <w:szCs w:val="22"/>
        </w:rPr>
        <w:t>Dôvodová správa</w:t>
      </w:r>
    </w:p>
    <w:p w:rsidR="003E3569" w:rsidRPr="00B718B7" w:rsidP="00B718B7">
      <w:pPr>
        <w:pStyle w:val="Heading1"/>
        <w:bidi w:val="0"/>
        <w:spacing w:before="120" w:line="276" w:lineRule="auto"/>
        <w:rPr>
          <w:rFonts w:ascii="Book Antiqua" w:hAnsi="Book Antiqua" w:cstheme="minorBidi"/>
          <w:bCs w:val="0"/>
          <w:sz w:val="22"/>
          <w:szCs w:val="22"/>
        </w:rPr>
      </w:pPr>
      <w:r w:rsidRPr="00B718B7">
        <w:rPr>
          <w:rFonts w:ascii="Book Antiqua" w:hAnsi="Book Antiqua" w:cstheme="minorBidi"/>
          <w:bCs w:val="0"/>
          <w:sz w:val="22"/>
          <w:szCs w:val="22"/>
        </w:rPr>
        <w:t> </w:t>
      </w:r>
    </w:p>
    <w:p w:rsidR="003E3569" w:rsidRPr="00B718B7" w:rsidP="00B718B7">
      <w:pPr>
        <w:pStyle w:val="Heading1"/>
        <w:bidi w:val="0"/>
        <w:spacing w:before="120" w:line="276" w:lineRule="auto"/>
        <w:jc w:val="left"/>
        <w:rPr>
          <w:rFonts w:ascii="Book Antiqua" w:hAnsi="Book Antiqua" w:cstheme="minorBidi"/>
          <w:bCs w:val="0"/>
          <w:sz w:val="22"/>
          <w:szCs w:val="22"/>
        </w:rPr>
      </w:pPr>
      <w:r w:rsidRPr="00B718B7">
        <w:rPr>
          <w:rFonts w:ascii="Book Antiqua" w:hAnsi="Book Antiqua" w:cstheme="minorBidi"/>
          <w:bCs w:val="0"/>
          <w:sz w:val="22"/>
          <w:szCs w:val="22"/>
        </w:rPr>
        <w:t>A. Všeobecná časť</w:t>
      </w:r>
    </w:p>
    <w:p w:rsidR="003E3569" w:rsidRPr="00B718B7" w:rsidP="00B718B7">
      <w:pPr>
        <w:bidi w:val="0"/>
        <w:spacing w:before="120" w:line="276" w:lineRule="auto"/>
        <w:ind w:firstLine="708"/>
        <w:jc w:val="both"/>
        <w:rPr>
          <w:rFonts w:ascii="Book Antiqua" w:hAnsi="Book Antiqua" w:cstheme="minorBidi"/>
          <w:sz w:val="22"/>
          <w:szCs w:val="22"/>
        </w:rPr>
      </w:pPr>
      <w:r w:rsidRPr="00B718B7">
        <w:rPr>
          <w:rFonts w:ascii="Book Antiqua" w:hAnsi="Book Antiqua" w:cstheme="minorBidi"/>
          <w:sz w:val="22"/>
          <w:szCs w:val="22"/>
        </w:rPr>
        <w:t>Návrh zákona, ktorým sa mení a dopĺňa zákon č. 36/2005 Z. z. o rodine a o zmene a doplnení niektorých zákon v znení neskorších predpisov (ďalej len „návrh zákona“) predkladajú poslankyne Národnej rady Slovenskej republiky za hnutie OBYČAJNÍ ĽUDIA a nezávislé osobnosti (OĽaNO-NOVA) Er</w:t>
      </w:r>
      <w:r w:rsidR="00B718B7">
        <w:rPr>
          <w:rFonts w:ascii="Book Antiqua" w:hAnsi="Book Antiqua" w:cstheme="minorBidi"/>
          <w:sz w:val="22"/>
          <w:szCs w:val="22"/>
        </w:rPr>
        <w:t xml:space="preserve">ika Jurinová, Soňa Gáborčáková, Silvia Petruchová a </w:t>
      </w:r>
      <w:r w:rsidRPr="00B718B7">
        <w:rPr>
          <w:rFonts w:ascii="Book Antiqua" w:hAnsi="Book Antiqua" w:cstheme="minorBidi"/>
          <w:sz w:val="22"/>
          <w:szCs w:val="22"/>
        </w:rPr>
        <w:t>A</w:t>
      </w:r>
      <w:r w:rsidR="00B718B7">
        <w:rPr>
          <w:rFonts w:ascii="Book Antiqua" w:hAnsi="Book Antiqua" w:cstheme="minorBidi"/>
          <w:sz w:val="22"/>
          <w:szCs w:val="22"/>
        </w:rPr>
        <w:t>nna Verešová</w:t>
      </w:r>
      <w:r w:rsidRPr="00B718B7">
        <w:rPr>
          <w:rFonts w:ascii="Book Antiqua" w:hAnsi="Book Antiqua" w:cstheme="minorBidi"/>
          <w:sz w:val="22"/>
          <w:szCs w:val="22"/>
        </w:rPr>
        <w:t>.</w:t>
      </w:r>
    </w:p>
    <w:p w:rsidR="003E3569" w:rsidRPr="00B718B7" w:rsidP="00B718B7">
      <w:pPr>
        <w:pStyle w:val="NormalWeb"/>
        <w:shd w:val="clear" w:color="auto" w:fill="FFFFFF"/>
        <w:bidi w:val="0"/>
        <w:spacing w:before="120" w:after="0" w:line="276" w:lineRule="auto"/>
        <w:ind w:firstLine="708"/>
        <w:jc w:val="both"/>
        <w:rPr>
          <w:rFonts w:ascii="Book Antiqua" w:hAnsi="Book Antiqua" w:cstheme="minorBidi"/>
          <w:sz w:val="22"/>
          <w:szCs w:val="22"/>
        </w:rPr>
      </w:pPr>
      <w:r w:rsidRPr="00B718B7">
        <w:rPr>
          <w:rFonts w:ascii="Book Antiqua" w:hAnsi="Book Antiqua" w:cstheme="minorBidi"/>
          <w:color w:val="000000"/>
          <w:sz w:val="22"/>
          <w:szCs w:val="22"/>
        </w:rPr>
        <w:t xml:space="preserve">Každý rodič bez ohľadu na svoje schopnosti, možnosti a majetkové pomery je povinný plniť svoju vyživovaciu povinnosť v minimálnom rozsahu vo výške 30% zo sumy životného minima na nezaopatrené neplnoleté dieťa alebo na nezaopatrené dieťa podľa § 2 písm. c) zákona č. 601/2003 Z. z. o životnom minime a o zmene a doplnení niektorých zákonov v znení neskorších predpisov (ďalej len „zákon o životnom minime“). Rodič je teda povinný plniť svoju vyživovaciu povinnosť minimálne vo výške 27,13 €. Vzhľadom na vývoj cien, rast životných nákladov a stagnáciu výšky životného minima </w:t>
      </w:r>
      <w:r w:rsidRPr="00B718B7" w:rsidR="0094514C">
        <w:rPr>
          <w:rFonts w:ascii="Book Antiqua" w:hAnsi="Book Antiqua" w:cstheme="minorBidi"/>
          <w:color w:val="000000"/>
          <w:sz w:val="22"/>
          <w:szCs w:val="22"/>
        </w:rPr>
        <w:t>považujeme zákonom stanovenú vyživovaciu povinnosť za nepostačujúcu a navrhujeme</w:t>
      </w:r>
      <w:r w:rsidRPr="00B718B7">
        <w:rPr>
          <w:rFonts w:ascii="Book Antiqua" w:hAnsi="Book Antiqua" w:cstheme="minorBidi"/>
          <w:color w:val="000000"/>
          <w:sz w:val="22"/>
          <w:szCs w:val="22"/>
        </w:rPr>
        <w:t xml:space="preserve"> upraviť stanovenú</w:t>
      </w:r>
      <w:r w:rsidRPr="00B718B7" w:rsidR="00F57631">
        <w:rPr>
          <w:rFonts w:ascii="Book Antiqua" w:hAnsi="Book Antiqua" w:cstheme="minorBidi"/>
          <w:color w:val="000000"/>
          <w:sz w:val="22"/>
          <w:szCs w:val="22"/>
        </w:rPr>
        <w:t xml:space="preserve"> sumu</w:t>
      </w:r>
      <w:r w:rsidRPr="00B718B7">
        <w:rPr>
          <w:rFonts w:ascii="Book Antiqua" w:hAnsi="Book Antiqua" w:cstheme="minorBidi"/>
          <w:color w:val="000000"/>
          <w:sz w:val="22"/>
          <w:szCs w:val="22"/>
        </w:rPr>
        <w:t xml:space="preserve"> t. j. zmeniť percentuálny podiel, ktorým sa zistí minimálna vyživovacia povinnosť rodiča k dieťaťu. </w:t>
      </w:r>
    </w:p>
    <w:p w:rsidR="003E3569" w:rsidRPr="00B718B7" w:rsidP="00B718B7">
      <w:pPr>
        <w:pStyle w:val="NormalWeb"/>
        <w:shd w:val="clear" w:color="auto" w:fill="FFFFFF"/>
        <w:bidi w:val="0"/>
        <w:spacing w:before="120" w:after="0" w:line="276" w:lineRule="auto"/>
        <w:ind w:firstLine="708"/>
        <w:jc w:val="both"/>
        <w:rPr>
          <w:rFonts w:ascii="Book Antiqua" w:hAnsi="Book Antiqua" w:cstheme="minorBidi"/>
          <w:color w:val="000000"/>
          <w:sz w:val="22"/>
          <w:szCs w:val="22"/>
        </w:rPr>
      </w:pPr>
      <w:r w:rsidRPr="00B718B7">
        <w:rPr>
          <w:rFonts w:ascii="Book Antiqua" w:hAnsi="Book Antiqua" w:cstheme="minorBidi"/>
          <w:b/>
          <w:color w:val="000000"/>
          <w:sz w:val="22"/>
          <w:szCs w:val="22"/>
        </w:rPr>
        <w:t>Účelom zákona je najmä ochrana najslabších skupín spoločnosti, a to detí, ktoré sú nezaopatrené, neplnoleté alebo sa sústavne pripravujú na povolanie a sú odkázané na pomoc svojich rodičov, ako i rodiča, ktorý sa o takéto dieťa stará sám. V prípadoch neúplných rodín sú tieto mnohokrát odkázané na finančnú pomoc druhého rodiča, ktorý ju zabezpečuje práve prostredníctvom tzv. minimálneho výživného</w:t>
      </w:r>
      <w:r w:rsidRPr="00B718B7">
        <w:rPr>
          <w:rFonts w:ascii="Book Antiqua" w:hAnsi="Book Antiqua" w:cstheme="minorBidi"/>
          <w:color w:val="000000"/>
          <w:sz w:val="22"/>
          <w:szCs w:val="22"/>
        </w:rPr>
        <w:t xml:space="preserve">. </w:t>
      </w:r>
      <w:r w:rsidRPr="00B718B7">
        <w:rPr>
          <w:rFonts w:ascii="Book Antiqua" w:hAnsi="Book Antiqua"/>
          <w:color w:val="000000"/>
          <w:sz w:val="22"/>
          <w:szCs w:val="22"/>
        </w:rPr>
        <w:t xml:space="preserve">Neúplné rodiny sú najviac ohrozené chudobou, potvrdzujú to dlhodobo výskumy, t.z., že sú ohrozené samotné deti. </w:t>
      </w:r>
      <w:r w:rsidRPr="00B718B7">
        <w:rPr>
          <w:rFonts w:ascii="Book Antiqua" w:hAnsi="Book Antiqua" w:cstheme="minorBidi"/>
          <w:color w:val="000000"/>
          <w:sz w:val="22"/>
          <w:szCs w:val="22"/>
        </w:rPr>
        <w:t xml:space="preserve">Zákonné výživné však v mnohých prípadoch nepokrýva ani základné potreby dieťaťa, preto je potrebné výšku minimálneho výživného rodiča zvýšiť. </w:t>
      </w:r>
    </w:p>
    <w:p w:rsidR="003E3569" w:rsidRPr="00B718B7" w:rsidP="00B718B7">
      <w:pPr>
        <w:pStyle w:val="NormalWeb"/>
        <w:shd w:val="clear" w:color="auto" w:fill="FFFFFF"/>
        <w:bidi w:val="0"/>
        <w:spacing w:before="120" w:after="0" w:line="276" w:lineRule="auto"/>
        <w:ind w:firstLine="708"/>
        <w:jc w:val="both"/>
        <w:rPr>
          <w:rFonts w:ascii="Book Antiqua" w:hAnsi="Book Antiqua" w:cstheme="minorBidi"/>
          <w:sz w:val="22"/>
          <w:szCs w:val="22"/>
        </w:rPr>
      </w:pPr>
      <w:r w:rsidRPr="00B718B7">
        <w:rPr>
          <w:rFonts w:ascii="Book Antiqua" w:hAnsi="Book Antiqua" w:cstheme="minorBidi"/>
          <w:color w:val="000000"/>
          <w:sz w:val="22"/>
          <w:szCs w:val="22"/>
        </w:rPr>
        <w:t xml:space="preserve">Tiež si dovoľujeme uviesť, že </w:t>
      </w:r>
      <w:r w:rsidRPr="00B718B7" w:rsidR="00F57631">
        <w:rPr>
          <w:rFonts w:ascii="Book Antiqua" w:hAnsi="Book Antiqua" w:cstheme="minorBidi"/>
          <w:color w:val="000000"/>
          <w:sz w:val="22"/>
          <w:szCs w:val="22"/>
        </w:rPr>
        <w:t>častou praxou pri</w:t>
      </w:r>
      <w:r w:rsidRPr="00B718B7" w:rsidR="00B718B7">
        <w:rPr>
          <w:rFonts w:ascii="Book Antiqua" w:hAnsi="Book Antiqua" w:cstheme="minorBidi"/>
          <w:color w:val="000000"/>
          <w:sz w:val="22"/>
          <w:szCs w:val="22"/>
        </w:rPr>
        <w:t xml:space="preserve"> rozhodnutiach súdov o neodkladných (predtým predbežných) opatreniach</w:t>
      </w:r>
      <w:r w:rsidRPr="00B718B7" w:rsidR="008460B7">
        <w:rPr>
          <w:rFonts w:ascii="Book Antiqua" w:hAnsi="Book Antiqua" w:cstheme="minorBidi"/>
          <w:color w:val="000000"/>
          <w:sz w:val="22"/>
          <w:szCs w:val="22"/>
        </w:rPr>
        <w:t xml:space="preserve"> je</w:t>
      </w:r>
      <w:r w:rsidRPr="00B718B7" w:rsidR="00B718B7">
        <w:rPr>
          <w:rFonts w:ascii="Book Antiqua" w:hAnsi="Book Antiqua" w:cstheme="minorBidi"/>
          <w:color w:val="000000"/>
          <w:sz w:val="22"/>
          <w:szCs w:val="22"/>
        </w:rPr>
        <w:t>, najmä z dôvodu bezodkladného riešenia veci</w:t>
      </w:r>
      <w:r w:rsidRPr="00B718B7" w:rsidR="00F57631">
        <w:rPr>
          <w:rFonts w:ascii="Book Antiqua" w:hAnsi="Book Antiqua" w:cstheme="minorBidi"/>
          <w:color w:val="000000"/>
          <w:sz w:val="22"/>
          <w:szCs w:val="22"/>
        </w:rPr>
        <w:t>, že sa sudcovia</w:t>
      </w:r>
      <w:r w:rsidRPr="00B718B7">
        <w:rPr>
          <w:rFonts w:ascii="Book Antiqua" w:hAnsi="Book Antiqua" w:cstheme="minorBidi"/>
          <w:color w:val="000000"/>
          <w:sz w:val="22"/>
          <w:szCs w:val="22"/>
        </w:rPr>
        <w:t xml:space="preserve"> nezaoberajú</w:t>
      </w:r>
      <w:r w:rsidRPr="00B718B7" w:rsidR="00F57631">
        <w:rPr>
          <w:rFonts w:ascii="Book Antiqua" w:hAnsi="Book Antiqua" w:cstheme="minorBidi"/>
          <w:color w:val="000000"/>
          <w:sz w:val="22"/>
          <w:szCs w:val="22"/>
        </w:rPr>
        <w:t xml:space="preserve"> finančnou situáciou rodičov a stanovia </w:t>
      </w:r>
      <w:r w:rsidRPr="00B718B7" w:rsidR="00B718B7">
        <w:rPr>
          <w:rFonts w:ascii="Book Antiqua" w:hAnsi="Book Antiqua" w:cstheme="minorBidi"/>
          <w:color w:val="000000"/>
          <w:sz w:val="22"/>
          <w:szCs w:val="22"/>
        </w:rPr>
        <w:t xml:space="preserve">povinnému </w:t>
      </w:r>
      <w:r w:rsidRPr="00B718B7" w:rsidR="008460B7">
        <w:rPr>
          <w:rFonts w:ascii="Book Antiqua" w:hAnsi="Book Antiqua" w:cstheme="minorBidi"/>
          <w:color w:val="000000"/>
          <w:sz w:val="22"/>
          <w:szCs w:val="22"/>
        </w:rPr>
        <w:t xml:space="preserve">až </w:t>
      </w:r>
      <w:r w:rsidRPr="00B718B7" w:rsidR="00B718B7">
        <w:rPr>
          <w:rFonts w:ascii="Book Antiqua" w:hAnsi="Book Antiqua" w:cstheme="minorBidi"/>
          <w:color w:val="000000"/>
          <w:sz w:val="22"/>
          <w:szCs w:val="22"/>
        </w:rPr>
        <w:t xml:space="preserve">do </w:t>
      </w:r>
      <w:r w:rsidRPr="00B718B7" w:rsidR="00F57631">
        <w:rPr>
          <w:rFonts w:ascii="Book Antiqua" w:hAnsi="Book Antiqua" w:cstheme="minorBidi"/>
          <w:color w:val="000000"/>
          <w:sz w:val="22"/>
          <w:szCs w:val="22"/>
        </w:rPr>
        <w:t>rozhodnutia</w:t>
      </w:r>
      <w:r w:rsidRPr="00B718B7" w:rsidR="00B718B7">
        <w:rPr>
          <w:rFonts w:ascii="Book Antiqua" w:hAnsi="Book Antiqua" w:cstheme="minorBidi"/>
          <w:color w:val="000000"/>
          <w:sz w:val="22"/>
          <w:szCs w:val="22"/>
        </w:rPr>
        <w:t xml:space="preserve"> vo veci samej </w:t>
      </w:r>
      <w:r w:rsidRPr="00B718B7" w:rsidR="00F57631">
        <w:rPr>
          <w:rFonts w:ascii="Book Antiqua" w:hAnsi="Book Antiqua" w:cstheme="minorBidi"/>
          <w:color w:val="000000"/>
          <w:sz w:val="22"/>
          <w:szCs w:val="22"/>
        </w:rPr>
        <w:t>iba minimálnu vy</w:t>
      </w:r>
      <w:r w:rsidRPr="00B718B7" w:rsidR="00B718B7">
        <w:rPr>
          <w:rFonts w:ascii="Book Antiqua" w:hAnsi="Book Antiqua" w:cstheme="minorBidi"/>
          <w:color w:val="000000"/>
          <w:sz w:val="22"/>
          <w:szCs w:val="22"/>
        </w:rPr>
        <w:t>živovaciu povinnosť čo často</w:t>
      </w:r>
      <w:r w:rsidRPr="00B718B7" w:rsidR="00F57631">
        <w:rPr>
          <w:rFonts w:ascii="Book Antiqua" w:hAnsi="Book Antiqua" w:cstheme="minorBidi"/>
          <w:color w:val="000000"/>
          <w:sz w:val="22"/>
          <w:szCs w:val="22"/>
        </w:rPr>
        <w:t xml:space="preserve"> vedie k rapídnemu zníženiu životného štandardu rodiny (neúplnej)</w:t>
      </w:r>
      <w:r w:rsidRPr="00B718B7" w:rsidR="008460B7">
        <w:rPr>
          <w:rFonts w:ascii="Book Antiqua" w:hAnsi="Book Antiqua" w:cstheme="minorBidi"/>
          <w:color w:val="000000"/>
          <w:sz w:val="22"/>
          <w:szCs w:val="22"/>
        </w:rPr>
        <w:t xml:space="preserve"> na dlhšiu dobu.  </w:t>
      </w:r>
    </w:p>
    <w:p w:rsidR="003E3569" w:rsidRPr="00B718B7" w:rsidP="00B718B7">
      <w:pPr>
        <w:bidi w:val="0"/>
        <w:spacing w:before="120" w:line="276" w:lineRule="auto"/>
        <w:ind w:right="-1" w:firstLine="720"/>
        <w:jc w:val="both"/>
        <w:rPr>
          <w:rFonts w:ascii="Book Antiqua" w:hAnsi="Book Antiqua" w:cstheme="minorBidi"/>
          <w:sz w:val="22"/>
          <w:szCs w:val="22"/>
        </w:rPr>
      </w:pPr>
      <w:r w:rsidRPr="00B718B7">
        <w:rPr>
          <w:rFonts w:ascii="Book Antiqua" w:hAnsi="Book Antiqua" w:cstheme="minorBidi"/>
          <w:sz w:val="22"/>
          <w:szCs w:val="22"/>
        </w:rPr>
        <w:t xml:space="preserve">Vzhľadom na vyššie uvedené </w:t>
      </w:r>
      <w:r w:rsidRPr="00B718B7">
        <w:rPr>
          <w:rFonts w:ascii="Book Antiqua" w:hAnsi="Book Antiqua" w:cstheme="minorBidi"/>
          <w:b/>
          <w:sz w:val="22"/>
          <w:szCs w:val="22"/>
        </w:rPr>
        <w:t>sa navrhuje upraviť výška vyživovacej povinnosti, a to tak, že k</w:t>
      </w:r>
      <w:r w:rsidRPr="00B718B7">
        <w:rPr>
          <w:rFonts w:ascii="Book Antiqua" w:hAnsi="Book Antiqua" w:cstheme="minorBidi"/>
          <w:b/>
          <w:color w:val="000000"/>
          <w:sz w:val="22"/>
          <w:szCs w:val="22"/>
        </w:rPr>
        <w:t>aždý rodič bez ohľadu na svoje schopnosti, možnosti a majetkové pomery je povinný plniť svoju vyživovaciu povinnosť v minimálnom rozsahu vo výške 50% zo sumy životného minima na nezaopatrené neplnoleté dieťa alebo na nezaopatrené dieťa podľa § 2 písm. c) zákona o životnom minime, t. j. vo výške 45,21 € mesačne</w:t>
      </w:r>
      <w:r w:rsidRPr="00B718B7">
        <w:rPr>
          <w:rFonts w:ascii="Book Antiqua" w:hAnsi="Book Antiqua" w:cstheme="minorBidi"/>
          <w:color w:val="000000"/>
          <w:sz w:val="22"/>
          <w:szCs w:val="22"/>
        </w:rPr>
        <w:t>.</w:t>
      </w:r>
    </w:p>
    <w:p w:rsidR="003E3569" w:rsidRPr="00B718B7" w:rsidP="00B718B7">
      <w:pPr>
        <w:bidi w:val="0"/>
        <w:spacing w:before="120" w:line="276" w:lineRule="auto"/>
        <w:ind w:right="-1" w:firstLine="720"/>
        <w:jc w:val="both"/>
        <w:rPr>
          <w:rFonts w:ascii="Book Antiqua" w:hAnsi="Book Antiqua" w:cstheme="minorBidi"/>
          <w:sz w:val="22"/>
          <w:szCs w:val="22"/>
        </w:rPr>
      </w:pPr>
      <w:r w:rsidRPr="00B718B7">
        <w:rPr>
          <w:rFonts w:ascii="Book Antiqua" w:hAnsi="Book Antiqua" w:cstheme="minorBidi"/>
          <w:sz w:val="22"/>
          <w:szCs w:val="22"/>
        </w:rPr>
        <w:t>Návrh zákona vyvoláva pozitívne a zároveň aj negatívne sociálne vplyvy, konkrétne vplyv na hospodárenie obyvateľstva. Návrh zákona nemá vplyv na informatizáciu spoločnosti a na životné prostredie</w:t>
      </w:r>
      <w:r w:rsidRPr="00B718B7">
        <w:rPr>
          <w:rFonts w:ascii="Book Antiqua" w:hAnsi="Book Antiqua" w:cstheme="minorBidi"/>
          <w:sz w:val="22"/>
          <w:szCs w:val="22"/>
          <w:highlight w:val="white"/>
        </w:rPr>
        <w:t>. Taktiež sa nepredpokladá žiadny vplyv na podnikateľské prostredie</w:t>
      </w:r>
      <w:r w:rsidRPr="00B718B7">
        <w:rPr>
          <w:rFonts w:ascii="Book Antiqua" w:hAnsi="Book Antiqua" w:cstheme="minorBidi"/>
          <w:sz w:val="22"/>
          <w:szCs w:val="22"/>
        </w:rPr>
        <w:t xml:space="preserve"> a na rozpočet verejnej správy</w:t>
      </w:r>
      <w:r w:rsidRPr="00B718B7">
        <w:rPr>
          <w:rFonts w:ascii="Book Antiqua" w:hAnsi="Book Antiqua" w:cstheme="minorBidi"/>
          <w:sz w:val="22"/>
          <w:szCs w:val="22"/>
          <w:highlight w:val="white"/>
        </w:rPr>
        <w:t>.</w:t>
      </w:r>
    </w:p>
    <w:p w:rsidR="003E3569" w:rsidRPr="00B718B7" w:rsidP="00B718B7">
      <w:pPr>
        <w:pStyle w:val="NormalWeb"/>
        <w:bidi w:val="0"/>
        <w:spacing w:before="120" w:after="0" w:line="276" w:lineRule="auto"/>
        <w:ind w:firstLine="708"/>
        <w:jc w:val="both"/>
        <w:rPr>
          <w:rFonts w:ascii="Book Antiqua" w:hAnsi="Book Antiqua" w:cstheme="minorBidi"/>
          <w:sz w:val="22"/>
          <w:szCs w:val="22"/>
        </w:rPr>
      </w:pPr>
      <w:r w:rsidRPr="00B718B7">
        <w:rPr>
          <w:rFonts w:ascii="Book Antiqua" w:hAnsi="Book Antiqua" w:cstheme="minorBidi"/>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3E3569" w:rsidRPr="00B718B7" w:rsidP="00B718B7">
      <w:pPr>
        <w:pStyle w:val="NormalWeb"/>
        <w:pageBreakBefore/>
        <w:bidi w:val="0"/>
        <w:spacing w:before="120" w:after="0" w:line="276" w:lineRule="auto"/>
        <w:jc w:val="both"/>
        <w:rPr>
          <w:rFonts w:ascii="Book Antiqua" w:hAnsi="Book Antiqua" w:cstheme="minorBidi"/>
          <w:sz w:val="22"/>
          <w:szCs w:val="22"/>
        </w:rPr>
      </w:pPr>
      <w:r w:rsidRPr="00B718B7">
        <w:rPr>
          <w:rFonts w:ascii="Book Antiqua" w:hAnsi="Book Antiqua" w:cstheme="minorBidi"/>
          <w:b/>
          <w:sz w:val="22"/>
          <w:szCs w:val="22"/>
        </w:rPr>
        <w:t>B. Osobitná časť</w:t>
      </w:r>
    </w:p>
    <w:p w:rsidR="003E3569" w:rsidRPr="00B718B7" w:rsidP="00B718B7">
      <w:pPr>
        <w:pStyle w:val="NormalWeb"/>
        <w:bidi w:val="0"/>
        <w:spacing w:before="120" w:after="0" w:line="276" w:lineRule="auto"/>
        <w:rPr>
          <w:rFonts w:ascii="Book Antiqua" w:hAnsi="Book Antiqua" w:cstheme="minorBidi"/>
          <w:b/>
          <w:caps/>
          <w:spacing w:val="30"/>
          <w:sz w:val="22"/>
          <w:szCs w:val="22"/>
        </w:rPr>
      </w:pPr>
    </w:p>
    <w:p w:rsidR="003E3569" w:rsidRPr="00B718B7" w:rsidP="00B718B7">
      <w:pPr>
        <w:pStyle w:val="NormalWeb"/>
        <w:bidi w:val="0"/>
        <w:spacing w:before="120" w:after="0" w:line="276" w:lineRule="auto"/>
        <w:jc w:val="both"/>
        <w:rPr>
          <w:rFonts w:ascii="Book Antiqua" w:hAnsi="Book Antiqua" w:cstheme="minorBidi"/>
          <w:sz w:val="22"/>
          <w:szCs w:val="22"/>
        </w:rPr>
      </w:pPr>
      <w:r w:rsidRPr="00B718B7">
        <w:rPr>
          <w:rFonts w:ascii="Book Antiqua" w:hAnsi="Book Antiqua" w:cstheme="minorBidi"/>
          <w:b/>
          <w:sz w:val="22"/>
          <w:szCs w:val="22"/>
        </w:rPr>
        <w:t>K Čl. I</w:t>
      </w:r>
    </w:p>
    <w:p w:rsidR="003E3569" w:rsidRPr="00B718B7" w:rsidP="00B718B7">
      <w:pPr>
        <w:pStyle w:val="NormalWeb"/>
        <w:bidi w:val="0"/>
        <w:spacing w:before="120" w:after="0" w:line="276" w:lineRule="auto"/>
        <w:jc w:val="both"/>
        <w:rPr>
          <w:rFonts w:ascii="Book Antiqua" w:hAnsi="Book Antiqua" w:cstheme="minorBidi"/>
          <w:sz w:val="22"/>
          <w:szCs w:val="22"/>
        </w:rPr>
      </w:pPr>
      <w:r w:rsidRPr="00B718B7">
        <w:rPr>
          <w:rFonts w:ascii="Book Antiqua" w:hAnsi="Book Antiqua" w:cstheme="minorBidi"/>
          <w:sz w:val="22"/>
          <w:szCs w:val="22"/>
          <w:u w:val="single"/>
        </w:rPr>
        <w:t>K bodu 1</w:t>
      </w:r>
    </w:p>
    <w:p w:rsidR="003E3569" w:rsidRPr="00B718B7" w:rsidP="00B718B7">
      <w:pPr>
        <w:pStyle w:val="NormalWeb"/>
        <w:bidi w:val="0"/>
        <w:spacing w:before="120" w:after="0" w:line="276" w:lineRule="auto"/>
        <w:ind w:firstLine="708"/>
        <w:jc w:val="both"/>
        <w:rPr>
          <w:rFonts w:ascii="Book Antiqua" w:hAnsi="Book Antiqua" w:cstheme="minorBidi"/>
          <w:sz w:val="22"/>
          <w:szCs w:val="22"/>
        </w:rPr>
      </w:pPr>
      <w:r w:rsidRPr="00B718B7">
        <w:rPr>
          <w:rFonts w:ascii="Book Antiqua" w:hAnsi="Book Antiqua" w:cstheme="minorBidi"/>
          <w:color w:val="000000"/>
          <w:sz w:val="22"/>
          <w:szCs w:val="22"/>
        </w:rPr>
        <w:t xml:space="preserve">Obdobie platenia výživného nie je určené vekom, ale schopnosťami dieťaťa samo sa živiť. Takýto stav možno konštatovať, keď dieťa napr. ukončí vysokú školu. Ak sa dieťa nechce dobrovoľne zamestnať, vyživovacia povinnosť zaniká. </w:t>
      </w:r>
      <w:r w:rsidRPr="00B718B7">
        <w:rPr>
          <w:rFonts w:ascii="Book Antiqua" w:hAnsi="Book Antiqua" w:cstheme="minorBidi"/>
          <w:color w:val="000000"/>
          <w:sz w:val="22"/>
          <w:szCs w:val="22"/>
          <w:highlight w:val="white"/>
        </w:rPr>
        <w:t>Rodičia sú teda povinní starať sa a finančne zabezpečovať okrem neplnoletých detí aj deti, ktoré študujú dennou formou na strednej alebo vysokej škole, alebo deti, ktoré sa o seba nedokážu starať z dôvodu vážnej choroby alebo iného zdravotného postihnutia (v prípade takýchto detí môže vyživovacia povinnosť rodičov trvať počas ich celého života).</w:t>
      </w:r>
    </w:p>
    <w:p w:rsidR="003E3569" w:rsidRPr="00B718B7" w:rsidP="00B718B7">
      <w:pPr>
        <w:pStyle w:val="NormalWeb"/>
        <w:bidi w:val="0"/>
        <w:spacing w:before="120" w:after="0" w:line="276" w:lineRule="auto"/>
        <w:ind w:firstLine="708"/>
        <w:jc w:val="both"/>
        <w:rPr>
          <w:rFonts w:ascii="Book Antiqua" w:hAnsi="Book Antiqua" w:cstheme="minorBidi"/>
          <w:sz w:val="22"/>
          <w:szCs w:val="22"/>
        </w:rPr>
      </w:pPr>
      <w:r w:rsidRPr="00B718B7">
        <w:rPr>
          <w:rFonts w:ascii="Book Antiqua" w:hAnsi="Book Antiqua" w:cstheme="minorBidi"/>
          <w:b/>
          <w:sz w:val="22"/>
          <w:szCs w:val="22"/>
        </w:rPr>
        <w:t xml:space="preserve">Vzhľadom na sociálnu situáciu mnohých osamelých rodičov a ich detí a rast životných nákladov sa zvyšuje percentuálna výška pre výpočet vyživovacej povinnosti v minimálnom rozsahu. Minimálne výživné sa v súčasnosti stanovuje ako 30% zo sumy životného minima </w:t>
      </w:r>
      <w:r w:rsidRPr="00B718B7">
        <w:rPr>
          <w:rFonts w:ascii="Book Antiqua" w:hAnsi="Book Antiqua" w:cstheme="minorBidi"/>
          <w:color w:val="000000"/>
          <w:sz w:val="22"/>
          <w:szCs w:val="22"/>
        </w:rPr>
        <w:t xml:space="preserve">na nezaopatrené neplnoleté dieťa alebo na nezaopatrené dieťa podľa § 2 písm. c) zákona o životnom minime, t. j. zo sumy 90,42 €, čomu zodpovedá suma minimálneho výživného vo výške 27,13 € mesačne. </w:t>
      </w:r>
    </w:p>
    <w:p w:rsidR="003E3569" w:rsidRPr="00B718B7" w:rsidP="00B718B7">
      <w:pPr>
        <w:pStyle w:val="NormalWeb"/>
        <w:bidi w:val="0"/>
        <w:spacing w:before="120" w:after="0" w:line="276" w:lineRule="auto"/>
        <w:jc w:val="both"/>
        <w:rPr>
          <w:rFonts w:ascii="Book Antiqua" w:hAnsi="Book Antiqua" w:cstheme="minorBidi"/>
          <w:sz w:val="22"/>
          <w:szCs w:val="22"/>
        </w:rPr>
      </w:pPr>
      <w:r w:rsidRPr="00B718B7">
        <w:rPr>
          <w:rFonts w:ascii="Book Antiqua" w:hAnsi="Book Antiqua" w:cstheme="minorBidi"/>
          <w:color w:val="000000"/>
          <w:sz w:val="22"/>
          <w:szCs w:val="22"/>
        </w:rPr>
        <w:tab/>
        <w:t>Predkladaný návrh zákona preto stanovuje percentuálnu hranicu pre určenie vyživovacej povinnosti v minimálnom rozsahu na úroveň 50% z</w:t>
      </w:r>
      <w:r w:rsidRPr="00B718B7">
        <w:rPr>
          <w:rFonts w:ascii="Book Antiqua" w:hAnsi="Book Antiqua" w:cstheme="minorBidi"/>
          <w:b/>
          <w:sz w:val="22"/>
          <w:szCs w:val="22"/>
        </w:rPr>
        <w:t xml:space="preserve">o sumy životného minima </w:t>
      </w:r>
      <w:r w:rsidRPr="00B718B7">
        <w:rPr>
          <w:rFonts w:ascii="Book Antiqua" w:hAnsi="Book Antiqua" w:cstheme="minorBidi"/>
          <w:color w:val="000000"/>
          <w:sz w:val="22"/>
          <w:szCs w:val="22"/>
        </w:rPr>
        <w:t>na nezaopatrené neplnoleté dieťa alebo na nezaopatrené dieťa podľa § 2 písm. c) zákona o životnom minime, t. j. na sumu vo výške 45,21 € mesačne. Oproti súčasnej právnej úprave tak vyživovacia povinnosť rodiča na jeho dieťa vzrastie o 18,08 €.</w:t>
      </w:r>
    </w:p>
    <w:p w:rsidR="003E3569" w:rsidRPr="00B718B7" w:rsidP="00B718B7">
      <w:pPr>
        <w:pStyle w:val="NormalWeb"/>
        <w:bidi w:val="0"/>
        <w:spacing w:before="120" w:after="0" w:line="276" w:lineRule="auto"/>
        <w:jc w:val="both"/>
        <w:rPr>
          <w:rFonts w:ascii="Book Antiqua" w:hAnsi="Book Antiqua" w:cstheme="minorBidi"/>
          <w:sz w:val="22"/>
          <w:szCs w:val="22"/>
        </w:rPr>
      </w:pPr>
      <w:r w:rsidRPr="00B718B7">
        <w:rPr>
          <w:rFonts w:ascii="Book Antiqua" w:hAnsi="Book Antiqua" w:cstheme="minorBidi"/>
          <w:sz w:val="22"/>
          <w:szCs w:val="22"/>
          <w:u w:val="single"/>
        </w:rPr>
        <w:t>K bodu 2</w:t>
      </w:r>
    </w:p>
    <w:p w:rsidR="003E3569" w:rsidRPr="00B718B7" w:rsidP="00B718B7">
      <w:pPr>
        <w:pStyle w:val="NormalWeb"/>
        <w:bidi w:val="0"/>
        <w:spacing w:before="120" w:after="0" w:line="276" w:lineRule="auto"/>
        <w:ind w:firstLine="708"/>
        <w:jc w:val="both"/>
        <w:rPr>
          <w:rFonts w:ascii="Book Antiqua" w:hAnsi="Book Antiqua" w:cstheme="minorBidi"/>
          <w:sz w:val="22"/>
          <w:szCs w:val="22"/>
        </w:rPr>
      </w:pPr>
      <w:r w:rsidRPr="00B718B7">
        <w:rPr>
          <w:rFonts w:ascii="Book Antiqua" w:hAnsi="Book Antiqua" w:cstheme="minorBidi"/>
          <w:sz w:val="22"/>
          <w:szCs w:val="22"/>
        </w:rPr>
        <w:t xml:space="preserve">Prechodné ustanovenia majú za cieľ zabrániť retroaktivite právnych predpisov a upraviť vzťahy vznikajúce pri nadobudnutí účinnosti predkladaného návrhu zákona s dôrazom na jednoznačnosť právnej úpravy a odstránenie prípadných nejasností. Prechodné ustanovenia upravujú časovú hranicu rozhodnú pre stanovenie výšky vyživovacej povinnosti v minimálnom rozsahu a s tým spojeného prípadného omeškania s plnením danej povinnosti. </w:t>
      </w:r>
    </w:p>
    <w:p w:rsidR="003E3569" w:rsidRPr="00B718B7" w:rsidP="00B718B7">
      <w:pPr>
        <w:pStyle w:val="NormalWeb"/>
        <w:bidi w:val="0"/>
        <w:spacing w:before="120" w:after="0" w:line="276" w:lineRule="auto"/>
        <w:ind w:firstLine="708"/>
        <w:jc w:val="both"/>
        <w:rPr>
          <w:rFonts w:ascii="Book Antiqua" w:hAnsi="Book Antiqua" w:cstheme="minorBidi"/>
          <w:b/>
          <w:sz w:val="22"/>
          <w:szCs w:val="22"/>
          <w:u w:val="single"/>
        </w:rPr>
      </w:pPr>
    </w:p>
    <w:p w:rsidR="003E3569" w:rsidRPr="00B718B7" w:rsidP="00B718B7">
      <w:pPr>
        <w:pStyle w:val="NormalWeb"/>
        <w:bidi w:val="0"/>
        <w:spacing w:before="120" w:after="0" w:line="276" w:lineRule="auto"/>
        <w:jc w:val="both"/>
        <w:rPr>
          <w:rFonts w:ascii="Book Antiqua" w:hAnsi="Book Antiqua" w:cstheme="minorBidi"/>
          <w:sz w:val="22"/>
          <w:szCs w:val="22"/>
        </w:rPr>
      </w:pPr>
      <w:r w:rsidRPr="00B718B7">
        <w:rPr>
          <w:rFonts w:ascii="Book Antiqua" w:hAnsi="Book Antiqua" w:cstheme="minorBidi"/>
          <w:b/>
          <w:sz w:val="22"/>
          <w:szCs w:val="22"/>
        </w:rPr>
        <w:t>K Čl. II</w:t>
      </w:r>
    </w:p>
    <w:p w:rsidR="003E3569" w:rsidRPr="00B718B7" w:rsidP="00B718B7">
      <w:pPr>
        <w:pStyle w:val="NormalWeb"/>
        <w:bidi w:val="0"/>
        <w:spacing w:before="120" w:after="0" w:line="276" w:lineRule="auto"/>
        <w:ind w:firstLine="708"/>
        <w:jc w:val="both"/>
        <w:rPr>
          <w:rFonts w:ascii="Book Antiqua" w:hAnsi="Book Antiqua" w:cstheme="minorBidi"/>
          <w:sz w:val="22"/>
          <w:szCs w:val="22"/>
        </w:rPr>
      </w:pPr>
      <w:r w:rsidRPr="00B718B7">
        <w:rPr>
          <w:rFonts w:ascii="Book Antiqua" w:hAnsi="Book Antiqua" w:cstheme="minorBidi"/>
          <w:sz w:val="22"/>
          <w:szCs w:val="22"/>
        </w:rPr>
        <w:t>Navrhuje sa, aby zákon nadobudol účinnosť 1. januára 2017, a to so zohľadnením legisvakančnej lehoty.</w:t>
      </w:r>
    </w:p>
    <w:p w:rsidR="003E3569" w:rsidRPr="00B718B7" w:rsidP="00B718B7">
      <w:pPr>
        <w:pStyle w:val="NormalWeb"/>
        <w:bidi w:val="0"/>
        <w:spacing w:before="120" w:after="0" w:line="276" w:lineRule="auto"/>
        <w:rPr>
          <w:rFonts w:ascii="Book Antiqua" w:hAnsi="Book Antiqua" w:cstheme="minorBidi"/>
          <w:b/>
          <w:caps/>
          <w:spacing w:val="30"/>
          <w:sz w:val="22"/>
          <w:szCs w:val="22"/>
        </w:rPr>
      </w:pPr>
    </w:p>
    <w:p w:rsidR="003E3569" w:rsidRPr="00B718B7" w:rsidP="00B718B7">
      <w:pPr>
        <w:pStyle w:val="NormalWeb"/>
        <w:bidi w:val="0"/>
        <w:spacing w:before="120" w:after="0" w:line="276" w:lineRule="auto"/>
        <w:jc w:val="center"/>
        <w:rPr>
          <w:rFonts w:ascii="Book Antiqua" w:hAnsi="Book Antiqua" w:cstheme="minorBidi"/>
          <w:sz w:val="22"/>
          <w:szCs w:val="22"/>
        </w:rPr>
      </w:pPr>
    </w:p>
    <w:p w:rsidR="003E3569" w:rsidRPr="00B718B7" w:rsidP="00B718B7">
      <w:pPr>
        <w:pStyle w:val="NormalWeb"/>
        <w:pageBreakBefore/>
        <w:bidi w:val="0"/>
        <w:spacing w:before="120" w:after="0" w:line="276" w:lineRule="auto"/>
        <w:jc w:val="center"/>
        <w:rPr>
          <w:rFonts w:ascii="Book Antiqua" w:hAnsi="Book Antiqua" w:cstheme="minorBidi"/>
          <w:sz w:val="22"/>
          <w:szCs w:val="22"/>
        </w:rPr>
      </w:pPr>
      <w:r w:rsidRPr="00B718B7">
        <w:rPr>
          <w:rFonts w:ascii="Book Antiqua" w:hAnsi="Book Antiqua" w:cstheme="minorBidi"/>
          <w:b/>
          <w:caps/>
          <w:spacing w:val="30"/>
          <w:sz w:val="22"/>
          <w:szCs w:val="22"/>
        </w:rPr>
        <w:t>DOLOŽKA ZLUČITEĽNOSTI</w:t>
      </w:r>
    </w:p>
    <w:p w:rsidR="003E3569" w:rsidRPr="00B718B7" w:rsidP="00B718B7">
      <w:pPr>
        <w:pStyle w:val="NormalWeb"/>
        <w:bidi w:val="0"/>
        <w:spacing w:before="120" w:after="0" w:line="276" w:lineRule="auto"/>
        <w:jc w:val="center"/>
        <w:rPr>
          <w:rFonts w:ascii="Book Antiqua" w:hAnsi="Book Antiqua" w:cstheme="minorBidi"/>
          <w:sz w:val="22"/>
          <w:szCs w:val="22"/>
        </w:rPr>
      </w:pPr>
      <w:r w:rsidRPr="00B718B7">
        <w:rPr>
          <w:rFonts w:ascii="Book Antiqua" w:hAnsi="Book Antiqua" w:cstheme="minorBidi"/>
          <w:b/>
          <w:sz w:val="22"/>
          <w:szCs w:val="22"/>
        </w:rPr>
        <w:t>návrhu zákona</w:t>
      </w:r>
      <w:r w:rsidRPr="00B718B7">
        <w:rPr>
          <w:rFonts w:ascii="Book Antiqua" w:hAnsi="Book Antiqua" w:cstheme="minorBidi"/>
          <w:sz w:val="22"/>
          <w:szCs w:val="22"/>
        </w:rPr>
        <w:t xml:space="preserve"> </w:t>
      </w:r>
      <w:r w:rsidRPr="00B718B7">
        <w:rPr>
          <w:rFonts w:ascii="Book Antiqua" w:hAnsi="Book Antiqua" w:cstheme="minorBidi"/>
          <w:b/>
          <w:sz w:val="22"/>
          <w:szCs w:val="22"/>
        </w:rPr>
        <w:t>s právom Európskej únie</w:t>
      </w:r>
    </w:p>
    <w:p w:rsidR="003E3569" w:rsidRPr="00B718B7" w:rsidP="00B718B7">
      <w:pPr>
        <w:pStyle w:val="NormalWeb"/>
        <w:bidi w:val="0"/>
        <w:spacing w:before="120" w:after="0" w:line="276" w:lineRule="auto"/>
        <w:jc w:val="both"/>
        <w:rPr>
          <w:rFonts w:ascii="Book Antiqua" w:hAnsi="Book Antiqua" w:cstheme="minorBidi"/>
          <w:sz w:val="22"/>
          <w:szCs w:val="22"/>
        </w:rPr>
      </w:pPr>
      <w:r w:rsidRPr="00B718B7">
        <w:rPr>
          <w:rFonts w:ascii="Book Antiqua" w:hAnsi="Book Antiqua" w:cstheme="minorBidi"/>
          <w:sz w:val="22"/>
          <w:szCs w:val="22"/>
        </w:rPr>
        <w:t> </w:t>
      </w:r>
    </w:p>
    <w:p w:rsidR="003E3569" w:rsidRPr="00B718B7" w:rsidP="00B718B7">
      <w:pPr>
        <w:pStyle w:val="NormalWeb"/>
        <w:bidi w:val="0"/>
        <w:spacing w:before="120" w:after="0" w:line="276" w:lineRule="auto"/>
        <w:jc w:val="both"/>
        <w:rPr>
          <w:rFonts w:ascii="Book Antiqua" w:hAnsi="Book Antiqua" w:cstheme="minorBidi"/>
          <w:sz w:val="22"/>
          <w:szCs w:val="22"/>
        </w:rPr>
      </w:pPr>
      <w:r w:rsidRPr="00B718B7">
        <w:rPr>
          <w:rFonts w:ascii="Book Antiqua" w:hAnsi="Book Antiqua" w:cstheme="minorBidi"/>
          <w:b/>
          <w:sz w:val="22"/>
          <w:szCs w:val="22"/>
        </w:rPr>
        <w:t>1. Navrhovateľ zákona:</w:t>
      </w:r>
      <w:r w:rsidRPr="00B718B7">
        <w:rPr>
          <w:rFonts w:ascii="Book Antiqua" w:hAnsi="Book Antiqua" w:cstheme="minorBidi"/>
          <w:sz w:val="22"/>
          <w:szCs w:val="22"/>
        </w:rPr>
        <w:t xml:space="preserve">  poslankyne Národnej rady Slovenskej republiky Erika Jurinová, Soňa Gáborčáková, </w:t>
      </w:r>
      <w:r w:rsidR="00B718B7">
        <w:rPr>
          <w:rFonts w:ascii="Book Antiqua" w:hAnsi="Book Antiqua" w:cstheme="minorBidi"/>
          <w:sz w:val="22"/>
          <w:szCs w:val="22"/>
        </w:rPr>
        <w:t>Silvia Petruchová a Anna Verešová</w:t>
      </w:r>
    </w:p>
    <w:p w:rsidR="003E3569" w:rsidRPr="00B718B7" w:rsidP="00B718B7">
      <w:pPr>
        <w:pStyle w:val="NormalWeb"/>
        <w:bidi w:val="0"/>
        <w:spacing w:before="120" w:after="0" w:line="276" w:lineRule="auto"/>
        <w:jc w:val="both"/>
        <w:rPr>
          <w:rFonts w:ascii="Book Antiqua" w:hAnsi="Book Antiqua" w:cstheme="minorBidi"/>
          <w:sz w:val="22"/>
          <w:szCs w:val="22"/>
        </w:rPr>
      </w:pPr>
    </w:p>
    <w:p w:rsidR="003E3569" w:rsidRPr="00B718B7" w:rsidP="00B718B7">
      <w:pPr>
        <w:bidi w:val="0"/>
        <w:spacing w:before="120" w:line="276" w:lineRule="auto"/>
        <w:jc w:val="both"/>
        <w:rPr>
          <w:rFonts w:ascii="Book Antiqua" w:hAnsi="Book Antiqua" w:cstheme="minorBidi"/>
          <w:sz w:val="22"/>
          <w:szCs w:val="22"/>
        </w:rPr>
      </w:pPr>
      <w:r w:rsidRPr="00B718B7">
        <w:rPr>
          <w:rFonts w:ascii="Book Antiqua" w:hAnsi="Book Antiqua" w:cstheme="minorBidi"/>
          <w:b/>
          <w:sz w:val="22"/>
          <w:szCs w:val="22"/>
        </w:rPr>
        <w:t>2. Názov návrhu zákona:</w:t>
      </w:r>
      <w:r w:rsidRPr="00B718B7">
        <w:rPr>
          <w:rFonts w:ascii="Book Antiqua" w:hAnsi="Book Antiqua" w:cstheme="minorBidi"/>
          <w:sz w:val="22"/>
          <w:szCs w:val="22"/>
        </w:rPr>
        <w:t xml:space="preserve"> návrh zákona, ktorým sa mení a dopĺňa zákon č. 36/2005 Z. z. o rodine a o zmene a doplnení niektorých zákon v znení neskorších predpisov</w:t>
      </w:r>
    </w:p>
    <w:p w:rsidR="003E3569" w:rsidRPr="00B718B7" w:rsidP="00B718B7">
      <w:pPr>
        <w:bidi w:val="0"/>
        <w:spacing w:before="120" w:line="276" w:lineRule="auto"/>
        <w:jc w:val="both"/>
        <w:rPr>
          <w:rFonts w:ascii="Book Antiqua" w:hAnsi="Book Antiqua" w:cstheme="minorBidi"/>
          <w:sz w:val="22"/>
          <w:szCs w:val="22"/>
        </w:rPr>
      </w:pPr>
    </w:p>
    <w:p w:rsidR="003E3569" w:rsidRPr="00B718B7" w:rsidP="00B718B7">
      <w:pPr>
        <w:pStyle w:val="NormalWeb"/>
        <w:bidi w:val="0"/>
        <w:spacing w:before="120" w:after="0" w:line="276" w:lineRule="auto"/>
        <w:jc w:val="both"/>
        <w:rPr>
          <w:rFonts w:ascii="Book Antiqua" w:hAnsi="Book Antiqua" w:cstheme="minorBidi"/>
          <w:sz w:val="22"/>
          <w:szCs w:val="22"/>
        </w:rPr>
      </w:pPr>
      <w:r w:rsidRPr="00B718B7">
        <w:rPr>
          <w:rFonts w:ascii="Book Antiqua" w:hAnsi="Book Antiqua" w:cstheme="minorBidi"/>
          <w:b/>
          <w:sz w:val="22"/>
          <w:szCs w:val="22"/>
        </w:rPr>
        <w:t>3. Predmet návrhu zákona:</w:t>
      </w:r>
    </w:p>
    <w:p w:rsidR="003E3569" w:rsidRPr="00B718B7" w:rsidP="00B718B7">
      <w:pPr>
        <w:pStyle w:val="NormalWeb"/>
        <w:numPr>
          <w:numId w:val="1"/>
        </w:numPr>
        <w:bidi w:val="0"/>
        <w:spacing w:before="120" w:after="0" w:line="276" w:lineRule="auto"/>
        <w:jc w:val="both"/>
        <w:rPr>
          <w:rFonts w:ascii="Book Antiqua" w:hAnsi="Book Antiqua" w:cstheme="minorBidi"/>
          <w:sz w:val="22"/>
          <w:szCs w:val="22"/>
        </w:rPr>
      </w:pPr>
      <w:r w:rsidRPr="00B718B7">
        <w:rPr>
          <w:rFonts w:ascii="Book Antiqua" w:hAnsi="Book Antiqua" w:cstheme="minorBidi"/>
          <w:sz w:val="22"/>
          <w:szCs w:val="22"/>
        </w:rPr>
        <w:t xml:space="preserve">nie je upravený v primárnom práve Európskej únie, </w:t>
      </w:r>
    </w:p>
    <w:p w:rsidR="003E3569" w:rsidRPr="00B718B7" w:rsidP="00B718B7">
      <w:pPr>
        <w:pStyle w:val="NormalWeb"/>
        <w:numPr>
          <w:numId w:val="1"/>
        </w:numPr>
        <w:bidi w:val="0"/>
        <w:spacing w:before="120" w:after="0" w:line="276" w:lineRule="auto"/>
        <w:jc w:val="both"/>
        <w:rPr>
          <w:rFonts w:ascii="Book Antiqua" w:hAnsi="Book Antiqua" w:cstheme="minorBidi"/>
          <w:sz w:val="22"/>
          <w:szCs w:val="22"/>
        </w:rPr>
      </w:pPr>
      <w:r w:rsidRPr="00B718B7">
        <w:rPr>
          <w:rFonts w:ascii="Book Antiqua" w:hAnsi="Book Antiqua" w:cstheme="minorBidi"/>
          <w:sz w:val="22"/>
          <w:szCs w:val="22"/>
        </w:rPr>
        <w:t>nie je upravený v sekundárnom práve Európskej únie,</w:t>
      </w:r>
    </w:p>
    <w:p w:rsidR="003E3569" w:rsidRPr="00B718B7" w:rsidP="00B718B7">
      <w:pPr>
        <w:pStyle w:val="NormalWeb"/>
        <w:numPr>
          <w:numId w:val="1"/>
        </w:numPr>
        <w:bidi w:val="0"/>
        <w:spacing w:before="120" w:after="0" w:line="276" w:lineRule="auto"/>
        <w:jc w:val="both"/>
        <w:rPr>
          <w:rFonts w:ascii="Book Antiqua" w:hAnsi="Book Antiqua" w:cstheme="minorBidi"/>
          <w:sz w:val="22"/>
          <w:szCs w:val="22"/>
        </w:rPr>
      </w:pPr>
      <w:r w:rsidRPr="00B718B7">
        <w:rPr>
          <w:rFonts w:ascii="Book Antiqua" w:hAnsi="Book Antiqua" w:cstheme="minorBidi"/>
          <w:sz w:val="22"/>
          <w:szCs w:val="22"/>
        </w:rPr>
        <w:t>nie je obsiahnutý v judikatúre Súdneho dvora Európskej únie.</w:t>
      </w:r>
    </w:p>
    <w:p w:rsidR="003E3569" w:rsidRPr="00B718B7" w:rsidP="00B718B7">
      <w:pPr>
        <w:pStyle w:val="NormalWeb"/>
        <w:bidi w:val="0"/>
        <w:spacing w:before="120" w:after="0" w:line="276" w:lineRule="auto"/>
        <w:rPr>
          <w:rFonts w:ascii="Book Antiqua" w:hAnsi="Book Antiqua" w:cstheme="minorBidi"/>
          <w:b/>
          <w:sz w:val="22"/>
          <w:szCs w:val="22"/>
        </w:rPr>
      </w:pPr>
    </w:p>
    <w:p w:rsidR="003E3569" w:rsidRPr="00B718B7" w:rsidP="00B718B7">
      <w:pPr>
        <w:pStyle w:val="NormalWeb"/>
        <w:bidi w:val="0"/>
        <w:spacing w:before="120" w:after="0" w:line="276" w:lineRule="auto"/>
        <w:rPr>
          <w:rFonts w:ascii="Book Antiqua" w:hAnsi="Book Antiqua" w:cstheme="minorBidi"/>
          <w:sz w:val="22"/>
          <w:szCs w:val="22"/>
        </w:rPr>
      </w:pPr>
      <w:r w:rsidRPr="00B718B7">
        <w:rPr>
          <w:rFonts w:ascii="Book Antiqua" w:hAnsi="Book Antiqua" w:cstheme="minorBidi"/>
          <w:b/>
          <w:sz w:val="22"/>
          <w:szCs w:val="22"/>
        </w:rPr>
        <w:t>Vzhľadom na to, že predmet návrhu zákona nie je upravený v práve Európskej únie, je bezpredmetné vyjadrovať sa k bodom 4. a 5.</w:t>
      </w:r>
    </w:p>
    <w:p w:rsidR="003E3569" w:rsidRPr="00B718B7" w:rsidP="00B718B7">
      <w:pPr>
        <w:pStyle w:val="NormalWeb"/>
        <w:bidi w:val="0"/>
        <w:spacing w:before="120" w:after="0" w:line="276" w:lineRule="auto"/>
        <w:rPr>
          <w:rFonts w:ascii="Book Antiqua" w:hAnsi="Book Antiqua" w:cstheme="minorBidi"/>
          <w:sz w:val="22"/>
          <w:szCs w:val="22"/>
        </w:rPr>
      </w:pPr>
    </w:p>
    <w:p w:rsidR="003E3569" w:rsidRPr="00B718B7" w:rsidP="00B718B7">
      <w:pPr>
        <w:pStyle w:val="NormalWeb"/>
        <w:bidi w:val="0"/>
        <w:spacing w:before="120" w:after="0" w:line="276" w:lineRule="auto"/>
        <w:rPr>
          <w:rFonts w:ascii="Book Antiqua" w:hAnsi="Book Antiqua" w:cstheme="minorBidi"/>
          <w:sz w:val="22"/>
          <w:szCs w:val="22"/>
        </w:rPr>
      </w:pPr>
    </w:p>
    <w:p w:rsidR="003E3569" w:rsidRPr="00B718B7" w:rsidP="00B718B7">
      <w:pPr>
        <w:pStyle w:val="NormalWeb"/>
        <w:bidi w:val="0"/>
        <w:spacing w:before="120" w:after="0" w:line="276" w:lineRule="auto"/>
        <w:rPr>
          <w:rFonts w:ascii="Book Antiqua" w:hAnsi="Book Antiqua" w:cstheme="minorBidi"/>
          <w:sz w:val="22"/>
          <w:szCs w:val="22"/>
        </w:rPr>
      </w:pPr>
    </w:p>
    <w:p w:rsidR="003E3569" w:rsidRPr="00B718B7" w:rsidP="00B718B7">
      <w:pPr>
        <w:pStyle w:val="NormalWeb"/>
        <w:bidi w:val="0"/>
        <w:spacing w:before="120" w:after="0" w:line="276" w:lineRule="auto"/>
        <w:rPr>
          <w:rFonts w:ascii="Book Antiqua" w:hAnsi="Book Antiqua" w:cstheme="minorBidi"/>
          <w:sz w:val="22"/>
          <w:szCs w:val="22"/>
        </w:rPr>
      </w:pPr>
    </w:p>
    <w:p w:rsidR="003E3569" w:rsidRPr="00B718B7" w:rsidP="00B718B7">
      <w:pPr>
        <w:pStyle w:val="NormalWeb"/>
        <w:bidi w:val="0"/>
        <w:spacing w:before="120" w:after="0" w:line="276" w:lineRule="auto"/>
        <w:rPr>
          <w:rFonts w:ascii="Book Antiqua" w:hAnsi="Book Antiqua" w:cstheme="minorBidi"/>
          <w:sz w:val="22"/>
          <w:szCs w:val="22"/>
        </w:rPr>
      </w:pPr>
    </w:p>
    <w:p w:rsidR="003E3569" w:rsidRPr="00B718B7" w:rsidP="00B718B7">
      <w:pPr>
        <w:pStyle w:val="NormalWeb"/>
        <w:bidi w:val="0"/>
        <w:spacing w:before="120" w:after="0" w:line="276" w:lineRule="auto"/>
        <w:jc w:val="center"/>
        <w:rPr>
          <w:rFonts w:ascii="Book Antiqua" w:hAnsi="Book Antiqua" w:cstheme="minorBidi"/>
          <w:b/>
          <w:caps/>
          <w:color w:val="000000"/>
          <w:spacing w:val="30"/>
          <w:sz w:val="22"/>
          <w:szCs w:val="22"/>
        </w:rPr>
      </w:pPr>
    </w:p>
    <w:p w:rsidR="003E3569" w:rsidRPr="00B718B7" w:rsidP="00B718B7">
      <w:pPr>
        <w:pStyle w:val="NormalWeb"/>
        <w:bidi w:val="0"/>
        <w:spacing w:before="120" w:after="0" w:line="276" w:lineRule="auto"/>
        <w:jc w:val="center"/>
        <w:rPr>
          <w:rFonts w:ascii="Book Antiqua" w:hAnsi="Book Antiqua" w:cstheme="minorBidi"/>
          <w:sz w:val="22"/>
          <w:szCs w:val="22"/>
        </w:rPr>
      </w:pPr>
    </w:p>
    <w:p w:rsidR="003E3569" w:rsidRPr="00B718B7" w:rsidP="00B718B7">
      <w:pPr>
        <w:pStyle w:val="NormalWeb"/>
        <w:pageBreakBefore/>
        <w:bidi w:val="0"/>
        <w:spacing w:before="120" w:after="0" w:line="276" w:lineRule="auto"/>
        <w:jc w:val="center"/>
        <w:rPr>
          <w:rFonts w:ascii="Book Antiqua" w:hAnsi="Book Antiqua" w:cstheme="minorBidi"/>
          <w:sz w:val="22"/>
          <w:szCs w:val="22"/>
        </w:rPr>
      </w:pPr>
      <w:r w:rsidRPr="00B718B7">
        <w:rPr>
          <w:rFonts w:ascii="Book Antiqua" w:hAnsi="Book Antiqua" w:cstheme="minorBidi"/>
          <w:b/>
          <w:caps/>
          <w:color w:val="000000"/>
          <w:spacing w:val="30"/>
          <w:sz w:val="22"/>
          <w:szCs w:val="22"/>
        </w:rPr>
        <w:t>Doložka</w:t>
      </w:r>
    </w:p>
    <w:p w:rsidR="003E3569" w:rsidRPr="00B718B7" w:rsidP="00B718B7">
      <w:pPr>
        <w:pStyle w:val="NormalWeb"/>
        <w:bidi w:val="0"/>
        <w:spacing w:before="120" w:after="0" w:line="276" w:lineRule="auto"/>
        <w:jc w:val="center"/>
        <w:rPr>
          <w:rFonts w:ascii="Book Antiqua" w:hAnsi="Book Antiqua" w:cstheme="minorBidi"/>
          <w:sz w:val="22"/>
          <w:szCs w:val="22"/>
        </w:rPr>
      </w:pPr>
      <w:r w:rsidRPr="00B718B7">
        <w:rPr>
          <w:rFonts w:ascii="Book Antiqua" w:hAnsi="Book Antiqua" w:cstheme="minorBidi"/>
          <w:b/>
          <w:color w:val="000000"/>
          <w:sz w:val="22"/>
          <w:szCs w:val="22"/>
        </w:rPr>
        <w:t>vybraných vplyvov</w:t>
      </w:r>
    </w:p>
    <w:p w:rsidR="003E3569" w:rsidRPr="00B718B7" w:rsidP="00B718B7">
      <w:pPr>
        <w:pStyle w:val="NormalWeb"/>
        <w:bidi w:val="0"/>
        <w:spacing w:before="120" w:after="0" w:line="276" w:lineRule="auto"/>
        <w:rPr>
          <w:rFonts w:ascii="Book Antiqua" w:hAnsi="Book Antiqua" w:cstheme="minorBidi"/>
          <w:sz w:val="22"/>
          <w:szCs w:val="22"/>
        </w:rPr>
      </w:pPr>
      <w:r w:rsidRPr="00B718B7">
        <w:rPr>
          <w:rFonts w:ascii="Book Antiqua" w:hAnsi="Book Antiqua" w:cstheme="minorBidi"/>
          <w:color w:val="000000"/>
          <w:sz w:val="22"/>
          <w:szCs w:val="22"/>
        </w:rPr>
        <w:t> </w:t>
      </w:r>
    </w:p>
    <w:p w:rsidR="003E3569" w:rsidRPr="00B718B7" w:rsidP="00B718B7">
      <w:pPr>
        <w:bidi w:val="0"/>
        <w:spacing w:before="120" w:line="276" w:lineRule="auto"/>
        <w:jc w:val="both"/>
        <w:rPr>
          <w:rFonts w:ascii="Book Antiqua" w:hAnsi="Book Antiqua" w:cstheme="minorBidi"/>
          <w:sz w:val="22"/>
          <w:szCs w:val="22"/>
        </w:rPr>
      </w:pPr>
      <w:r w:rsidRPr="00B718B7">
        <w:rPr>
          <w:rFonts w:ascii="Book Antiqua" w:hAnsi="Book Antiqua" w:cstheme="minorBidi"/>
          <w:b/>
          <w:color w:val="000000"/>
          <w:sz w:val="22"/>
          <w:szCs w:val="22"/>
        </w:rPr>
        <w:t>A.1. Názov materiálu:</w:t>
      </w:r>
      <w:r w:rsidRPr="00B718B7">
        <w:rPr>
          <w:rFonts w:ascii="Book Antiqua" w:hAnsi="Book Antiqua" w:cstheme="minorBidi"/>
          <w:sz w:val="22"/>
          <w:szCs w:val="22"/>
        </w:rPr>
        <w:t xml:space="preserve"> návrh zákona, ktorým sa mení a dopĺňa zákon č. 36/2005 Z. z. o rodine a o zmene a doplnení niektorých zákon v znení neskorších predpisov</w:t>
      </w:r>
    </w:p>
    <w:p w:rsidR="003E3569" w:rsidRPr="00B718B7" w:rsidP="00B718B7">
      <w:pPr>
        <w:pStyle w:val="NormalWeb"/>
        <w:bidi w:val="0"/>
        <w:spacing w:before="120" w:after="0" w:line="276" w:lineRule="auto"/>
        <w:jc w:val="both"/>
        <w:rPr>
          <w:rFonts w:ascii="Book Antiqua" w:hAnsi="Book Antiqua" w:cstheme="minorBidi"/>
          <w:sz w:val="22"/>
          <w:szCs w:val="22"/>
        </w:rPr>
      </w:pPr>
      <w:r w:rsidRPr="00B718B7">
        <w:rPr>
          <w:rFonts w:ascii="Book Antiqua" w:hAnsi="Book Antiqua" w:cstheme="minorBidi"/>
          <w:b/>
          <w:color w:val="000000"/>
          <w:sz w:val="22"/>
          <w:szCs w:val="22"/>
        </w:rPr>
        <w:t>Termín začatia a ukončenia PPK:</w:t>
      </w:r>
      <w:r w:rsidRPr="00B718B7">
        <w:rPr>
          <w:rFonts w:ascii="Book Antiqua" w:hAnsi="Book Antiqua" w:cstheme="minorBidi"/>
          <w:color w:val="000000"/>
          <w:sz w:val="22"/>
          <w:szCs w:val="22"/>
        </w:rPr>
        <w:t xml:space="preserve"> </w:t>
      </w:r>
      <w:r w:rsidRPr="00B718B7">
        <w:rPr>
          <w:rFonts w:ascii="Book Antiqua" w:hAnsi="Book Antiqua" w:cstheme="minorBidi"/>
          <w:i/>
          <w:color w:val="000000"/>
          <w:sz w:val="22"/>
          <w:szCs w:val="22"/>
        </w:rPr>
        <w:t>bezpredmetné</w:t>
      </w:r>
    </w:p>
    <w:p w:rsidR="003E3569" w:rsidRPr="00B718B7" w:rsidP="00B718B7">
      <w:pPr>
        <w:pStyle w:val="NormalWeb"/>
        <w:bidi w:val="0"/>
        <w:spacing w:before="120" w:after="0" w:line="276" w:lineRule="auto"/>
        <w:jc w:val="both"/>
        <w:rPr>
          <w:rFonts w:ascii="Book Antiqua" w:hAnsi="Book Antiqua" w:cstheme="minorBidi"/>
          <w:sz w:val="22"/>
          <w:szCs w:val="22"/>
        </w:rPr>
      </w:pPr>
    </w:p>
    <w:p w:rsidR="003E3569" w:rsidRPr="00B718B7" w:rsidP="00B718B7">
      <w:pPr>
        <w:pStyle w:val="NormalWeb"/>
        <w:bidi w:val="0"/>
        <w:spacing w:before="120" w:after="0" w:line="276" w:lineRule="auto"/>
        <w:jc w:val="both"/>
        <w:rPr>
          <w:rFonts w:ascii="Book Antiqua" w:hAnsi="Book Antiqua" w:cstheme="minorBidi"/>
          <w:sz w:val="22"/>
          <w:szCs w:val="22"/>
        </w:rPr>
      </w:pPr>
      <w:r w:rsidRPr="00B718B7">
        <w:rPr>
          <w:rFonts w:ascii="Book Antiqua" w:hAnsi="Book Antiqua" w:cstheme="minorBidi"/>
          <w:b/>
          <w:color w:val="000000"/>
          <w:sz w:val="22"/>
          <w:szCs w:val="22"/>
        </w:rPr>
        <w:t>A.2. Vplyvy:</w:t>
      </w:r>
    </w:p>
    <w:tbl>
      <w:tblPr>
        <w:tblStyle w:val="TableNormal"/>
        <w:tblW w:w="0" w:type="auto"/>
        <w:tblLayout w:type="fixed"/>
        <w:tblCellMar>
          <w:left w:w="0" w:type="dxa"/>
          <w:right w:w="0" w:type="dxa"/>
        </w:tblCellMar>
      </w:tblPr>
      <w:tblGrid>
        <w:gridCol w:w="5507"/>
        <w:gridCol w:w="1189"/>
        <w:gridCol w:w="1179"/>
        <w:gridCol w:w="1196"/>
      </w:tblGrid>
      <w:tr>
        <w:tblPrEx>
          <w:tblW w:w="0" w:type="auto"/>
          <w:tblLayout w:type="fixed"/>
          <w:tblCellMar>
            <w:left w:w="0" w:type="dxa"/>
            <w:right w:w="0" w:type="dxa"/>
          </w:tblCellMar>
        </w:tblPrEx>
        <w:tc>
          <w:tcPr>
            <w:tcW w:w="5507"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rPr>
                <w:rFonts w:ascii="Book Antiqua" w:hAnsi="Book Antiqua" w:cstheme="minorBidi"/>
              </w:rPr>
            </w:pPr>
            <w:r w:rsidRPr="00B718B7">
              <w:rPr>
                <w:rFonts w:ascii="Book Antiqua" w:hAnsi="Book Antiqua" w:cstheme="minorBidi"/>
                <w:color w:val="000000"/>
                <w:sz w:val="22"/>
                <w:szCs w:val="22"/>
              </w:rPr>
              <w:t> </w:t>
            </w:r>
          </w:p>
        </w:tc>
        <w:tc>
          <w:tcPr>
            <w:tcW w:w="1189"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cstheme="minorBidi"/>
              </w:rPr>
            </w:pPr>
            <w:r w:rsidRPr="00B718B7">
              <w:rPr>
                <w:rFonts w:ascii="Book Antiqua" w:hAnsi="Book Antiqua" w:cstheme="minorBidi"/>
                <w:color w:val="000000"/>
                <w:sz w:val="22"/>
                <w:szCs w:val="22"/>
              </w:rPr>
              <w:t> Pozitívne </w:t>
            </w:r>
          </w:p>
        </w:tc>
        <w:tc>
          <w:tcPr>
            <w:tcW w:w="1179"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cstheme="minorBidi"/>
              </w:rPr>
            </w:pPr>
            <w:r w:rsidRPr="00B718B7">
              <w:rPr>
                <w:rFonts w:ascii="Book Antiqua" w:hAnsi="Book Antiqua" w:cstheme="minorBidi"/>
                <w:color w:val="000000"/>
                <w:sz w:val="22"/>
                <w:szCs w:val="22"/>
              </w:rPr>
              <w:t> Žiadne </w:t>
            </w:r>
          </w:p>
        </w:tc>
        <w:tc>
          <w:tcPr>
            <w:tcW w:w="1196"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cstheme="minorBidi"/>
              </w:rPr>
            </w:pPr>
            <w:r w:rsidRPr="00B718B7">
              <w:rPr>
                <w:rFonts w:ascii="Book Antiqua" w:hAnsi="Book Antiqua" w:cstheme="minorBidi"/>
                <w:color w:val="000000"/>
                <w:sz w:val="22"/>
                <w:szCs w:val="22"/>
              </w:rPr>
              <w:t> Negatívne </w:t>
            </w:r>
          </w:p>
        </w:tc>
      </w:tr>
      <w:tr>
        <w:tblPrEx>
          <w:tblW w:w="0" w:type="auto"/>
          <w:tblLayout w:type="fixed"/>
          <w:tblCellMar>
            <w:left w:w="0" w:type="dxa"/>
            <w:right w:w="0" w:type="dxa"/>
          </w:tblCellMar>
        </w:tblPrEx>
        <w:tc>
          <w:tcPr>
            <w:tcW w:w="5507"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rPr>
                <w:rFonts w:ascii="Book Antiqua" w:hAnsi="Book Antiqua" w:cstheme="minorBidi"/>
              </w:rPr>
            </w:pPr>
            <w:r w:rsidRPr="00B718B7">
              <w:rPr>
                <w:rFonts w:ascii="Book Antiqua" w:hAnsi="Book Antiqua" w:cstheme="minorBidi"/>
                <w:color w:val="000000"/>
                <w:sz w:val="22"/>
                <w:szCs w:val="22"/>
              </w:rPr>
              <w:t>1. Vplyvy na rozpočet verejnej správy</w:t>
            </w:r>
          </w:p>
        </w:tc>
        <w:tc>
          <w:tcPr>
            <w:tcW w:w="1189"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cstheme="minorBidi"/>
              </w:rPr>
            </w:pPr>
          </w:p>
        </w:tc>
        <w:tc>
          <w:tcPr>
            <w:tcW w:w="1179"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cstheme="minorBidi"/>
              </w:rPr>
            </w:pPr>
            <w:r w:rsidRPr="00B718B7">
              <w:rPr>
                <w:rFonts w:ascii="Book Antiqua" w:hAnsi="Book Antiqua" w:cstheme="minorBidi"/>
                <w:sz w:val="22"/>
                <w:szCs w:val="22"/>
              </w:rPr>
              <w:t>x</w:t>
            </w:r>
          </w:p>
        </w:tc>
        <w:tc>
          <w:tcPr>
            <w:tcW w:w="1196"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cstheme="minorBidi"/>
              </w:rPr>
            </w:pPr>
            <w:r w:rsidRPr="00B718B7">
              <w:rPr>
                <w:rFonts w:ascii="Book Antiqua" w:hAnsi="Book Antiqua" w:cstheme="minorBidi"/>
                <w:color w:val="000000"/>
                <w:sz w:val="22"/>
                <w:szCs w:val="22"/>
              </w:rPr>
              <w:t> </w:t>
            </w:r>
          </w:p>
        </w:tc>
      </w:tr>
      <w:tr>
        <w:tblPrEx>
          <w:tblW w:w="0" w:type="auto"/>
          <w:tblLayout w:type="fixed"/>
          <w:tblCellMar>
            <w:left w:w="0" w:type="dxa"/>
            <w:right w:w="0" w:type="dxa"/>
          </w:tblCellMar>
        </w:tblPrEx>
        <w:tc>
          <w:tcPr>
            <w:tcW w:w="5507"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rPr>
                <w:rFonts w:ascii="Book Antiqua" w:hAnsi="Book Antiqua" w:cstheme="minorBidi"/>
              </w:rPr>
            </w:pPr>
            <w:r w:rsidRPr="00B718B7">
              <w:rPr>
                <w:rFonts w:ascii="Book Antiqua" w:hAnsi="Book Antiqua" w:cstheme="minorBidi"/>
                <w:color w:val="000000"/>
                <w:sz w:val="22"/>
                <w:szCs w:val="22"/>
              </w:rPr>
              <w:t>2. Vplyvy na podnikateľské prostredie – dochádza k zvýšeniu regulačného zaťaženia?</w:t>
            </w:r>
          </w:p>
        </w:tc>
        <w:tc>
          <w:tcPr>
            <w:tcW w:w="1189"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cstheme="minorBidi"/>
              </w:rPr>
            </w:pPr>
          </w:p>
        </w:tc>
        <w:tc>
          <w:tcPr>
            <w:tcW w:w="1179"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cstheme="minorBidi"/>
              </w:rPr>
            </w:pPr>
            <w:r w:rsidRPr="00B718B7">
              <w:rPr>
                <w:rFonts w:ascii="Book Antiqua" w:hAnsi="Book Antiqua" w:cstheme="minorBidi"/>
                <w:sz w:val="22"/>
                <w:szCs w:val="22"/>
              </w:rPr>
              <w:t>x</w:t>
            </w:r>
          </w:p>
        </w:tc>
        <w:tc>
          <w:tcPr>
            <w:tcW w:w="1196"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cstheme="minorBidi"/>
              </w:rPr>
            </w:pPr>
          </w:p>
        </w:tc>
      </w:tr>
      <w:tr>
        <w:tblPrEx>
          <w:tblW w:w="0" w:type="auto"/>
          <w:tblLayout w:type="fixed"/>
          <w:tblCellMar>
            <w:left w:w="0" w:type="dxa"/>
            <w:right w:w="0" w:type="dxa"/>
          </w:tblCellMar>
        </w:tblPrEx>
        <w:tc>
          <w:tcPr>
            <w:tcW w:w="5507"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rPr>
                <w:rFonts w:ascii="Book Antiqua" w:hAnsi="Book Antiqua" w:cstheme="minorBidi"/>
              </w:rPr>
            </w:pPr>
            <w:r w:rsidRPr="00B718B7">
              <w:rPr>
                <w:rFonts w:ascii="Book Antiqua" w:hAnsi="Book Antiqua" w:cstheme="minorBidi"/>
                <w:color w:val="000000"/>
                <w:sz w:val="22"/>
                <w:szCs w:val="22"/>
              </w:rPr>
              <w:t>3. Sociálne vplyvy</w:t>
            </w:r>
          </w:p>
        </w:tc>
        <w:tc>
          <w:tcPr>
            <w:tcW w:w="1189"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cstheme="minorBidi"/>
              </w:rPr>
            </w:pPr>
            <w:r w:rsidRPr="00B718B7">
              <w:rPr>
                <w:rFonts w:ascii="Book Antiqua" w:hAnsi="Book Antiqua" w:cstheme="minorBidi"/>
                <w:sz w:val="22"/>
                <w:szCs w:val="22"/>
              </w:rPr>
              <w:t>x</w:t>
            </w:r>
          </w:p>
        </w:tc>
        <w:tc>
          <w:tcPr>
            <w:tcW w:w="1179"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cstheme="minorBidi"/>
              </w:rPr>
            </w:pPr>
          </w:p>
        </w:tc>
        <w:tc>
          <w:tcPr>
            <w:tcW w:w="1196"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cstheme="minorBidi"/>
              </w:rPr>
            </w:pPr>
            <w:r w:rsidRPr="00B718B7">
              <w:rPr>
                <w:rFonts w:ascii="Book Antiqua" w:hAnsi="Book Antiqua" w:cstheme="minorBidi"/>
                <w:color w:val="000000"/>
                <w:sz w:val="22"/>
                <w:szCs w:val="22"/>
              </w:rPr>
              <w:t>x</w:t>
            </w:r>
          </w:p>
        </w:tc>
      </w:tr>
      <w:tr>
        <w:tblPrEx>
          <w:tblW w:w="0" w:type="auto"/>
          <w:tblLayout w:type="fixed"/>
          <w:tblCellMar>
            <w:left w:w="0" w:type="dxa"/>
            <w:right w:w="0" w:type="dxa"/>
          </w:tblCellMar>
        </w:tblPrEx>
        <w:tc>
          <w:tcPr>
            <w:tcW w:w="5507"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rPr>
                <w:rFonts w:ascii="Book Antiqua" w:hAnsi="Book Antiqua" w:cstheme="minorBidi"/>
              </w:rPr>
            </w:pPr>
            <w:r w:rsidRPr="00B718B7">
              <w:rPr>
                <w:rFonts w:ascii="Book Antiqua" w:hAnsi="Book Antiqua" w:cstheme="minorBidi"/>
                <w:color w:val="000000"/>
                <w:sz w:val="22"/>
                <w:szCs w:val="22"/>
              </w:rPr>
              <w:t>– vplyvy na hospodárenie obyvateľstva,</w:t>
            </w:r>
          </w:p>
        </w:tc>
        <w:tc>
          <w:tcPr>
            <w:tcW w:w="1189"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cstheme="minorBidi"/>
              </w:rPr>
            </w:pPr>
            <w:r w:rsidRPr="00B718B7">
              <w:rPr>
                <w:rFonts w:ascii="Book Antiqua" w:hAnsi="Book Antiqua" w:cstheme="minorBidi"/>
                <w:sz w:val="22"/>
                <w:szCs w:val="22"/>
              </w:rPr>
              <w:t>x</w:t>
            </w:r>
          </w:p>
        </w:tc>
        <w:tc>
          <w:tcPr>
            <w:tcW w:w="1179"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cstheme="minorBidi"/>
              </w:rPr>
            </w:pPr>
          </w:p>
        </w:tc>
        <w:tc>
          <w:tcPr>
            <w:tcW w:w="1196"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cstheme="minorBidi"/>
              </w:rPr>
            </w:pPr>
            <w:r w:rsidRPr="00B718B7">
              <w:rPr>
                <w:rFonts w:ascii="Book Antiqua" w:hAnsi="Book Antiqua" w:cstheme="minorBidi"/>
                <w:color w:val="000000"/>
                <w:sz w:val="22"/>
                <w:szCs w:val="22"/>
              </w:rPr>
              <w:t> x</w:t>
            </w:r>
          </w:p>
        </w:tc>
      </w:tr>
      <w:tr>
        <w:tblPrEx>
          <w:tblW w:w="0" w:type="auto"/>
          <w:tblLayout w:type="fixed"/>
          <w:tblCellMar>
            <w:left w:w="0" w:type="dxa"/>
            <w:right w:w="0" w:type="dxa"/>
          </w:tblCellMar>
        </w:tblPrEx>
        <w:tc>
          <w:tcPr>
            <w:tcW w:w="5507"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rPr>
                <w:rFonts w:ascii="Book Antiqua" w:hAnsi="Book Antiqua" w:cstheme="minorBidi"/>
              </w:rPr>
            </w:pPr>
            <w:r w:rsidRPr="00B718B7">
              <w:rPr>
                <w:rFonts w:ascii="Book Antiqua" w:hAnsi="Book Antiqua" w:cstheme="minorBidi"/>
                <w:color w:val="000000"/>
                <w:sz w:val="22"/>
                <w:szCs w:val="22"/>
              </w:rPr>
              <w:t>– sociálnu exklúziu,</w:t>
            </w:r>
          </w:p>
        </w:tc>
        <w:tc>
          <w:tcPr>
            <w:tcW w:w="1189"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cstheme="minorBidi"/>
              </w:rPr>
            </w:pPr>
          </w:p>
        </w:tc>
        <w:tc>
          <w:tcPr>
            <w:tcW w:w="1179"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cstheme="minorBidi"/>
              </w:rPr>
            </w:pPr>
            <w:r w:rsidRPr="00B718B7">
              <w:rPr>
                <w:rFonts w:ascii="Book Antiqua" w:hAnsi="Book Antiqua" w:cstheme="minorBidi"/>
                <w:sz w:val="22"/>
                <w:szCs w:val="22"/>
              </w:rPr>
              <w:t>x</w:t>
            </w:r>
          </w:p>
        </w:tc>
        <w:tc>
          <w:tcPr>
            <w:tcW w:w="1196"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cstheme="minorBidi"/>
              </w:rPr>
            </w:pPr>
            <w:r w:rsidRPr="00B718B7">
              <w:rPr>
                <w:rFonts w:ascii="Book Antiqua" w:hAnsi="Book Antiqua" w:cstheme="minorBidi"/>
                <w:color w:val="000000"/>
                <w:sz w:val="22"/>
                <w:szCs w:val="22"/>
              </w:rPr>
              <w:t> </w:t>
            </w:r>
          </w:p>
        </w:tc>
      </w:tr>
      <w:tr>
        <w:tblPrEx>
          <w:tblW w:w="0" w:type="auto"/>
          <w:tblLayout w:type="fixed"/>
          <w:tblCellMar>
            <w:left w:w="0" w:type="dxa"/>
            <w:right w:w="0" w:type="dxa"/>
          </w:tblCellMar>
        </w:tblPrEx>
        <w:tc>
          <w:tcPr>
            <w:tcW w:w="5507"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rPr>
                <w:rFonts w:ascii="Book Antiqua" w:hAnsi="Book Antiqua" w:cstheme="minorBidi"/>
              </w:rPr>
            </w:pPr>
            <w:r w:rsidRPr="00B718B7">
              <w:rPr>
                <w:rFonts w:ascii="Book Antiqua" w:hAnsi="Book Antiqua" w:cstheme="minorBidi"/>
                <w:color w:val="000000"/>
                <w:sz w:val="22"/>
                <w:szCs w:val="22"/>
              </w:rPr>
              <w:t>– rovnosť príležitostí a rodovú rovnosť a vplyvy na zamestnanosť</w:t>
            </w:r>
          </w:p>
        </w:tc>
        <w:tc>
          <w:tcPr>
            <w:tcW w:w="1189"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cstheme="minorBidi"/>
              </w:rPr>
            </w:pPr>
          </w:p>
        </w:tc>
        <w:tc>
          <w:tcPr>
            <w:tcW w:w="1179"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cstheme="minorBidi"/>
              </w:rPr>
            </w:pPr>
            <w:r w:rsidRPr="00B718B7">
              <w:rPr>
                <w:rFonts w:ascii="Book Antiqua" w:hAnsi="Book Antiqua" w:cstheme="minorBidi"/>
                <w:sz w:val="22"/>
                <w:szCs w:val="22"/>
              </w:rPr>
              <w:t>x</w:t>
            </w:r>
          </w:p>
        </w:tc>
        <w:tc>
          <w:tcPr>
            <w:tcW w:w="1196"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cstheme="minorBidi"/>
              </w:rPr>
            </w:pPr>
            <w:r w:rsidRPr="00B718B7">
              <w:rPr>
                <w:rFonts w:ascii="Book Antiqua" w:hAnsi="Book Antiqua" w:cstheme="minorBidi"/>
                <w:color w:val="000000"/>
                <w:sz w:val="22"/>
                <w:szCs w:val="22"/>
              </w:rPr>
              <w:t> </w:t>
            </w:r>
          </w:p>
        </w:tc>
      </w:tr>
      <w:tr>
        <w:tblPrEx>
          <w:tblW w:w="0" w:type="auto"/>
          <w:tblLayout w:type="fixed"/>
          <w:tblCellMar>
            <w:left w:w="0" w:type="dxa"/>
            <w:right w:w="0" w:type="dxa"/>
          </w:tblCellMar>
        </w:tblPrEx>
        <w:tc>
          <w:tcPr>
            <w:tcW w:w="5507"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rPr>
                <w:rFonts w:ascii="Book Antiqua" w:hAnsi="Book Antiqua" w:cstheme="minorBidi"/>
              </w:rPr>
            </w:pPr>
            <w:r w:rsidRPr="00B718B7">
              <w:rPr>
                <w:rFonts w:ascii="Book Antiqua" w:hAnsi="Book Antiqua" w:cstheme="minorBidi"/>
                <w:color w:val="000000"/>
                <w:sz w:val="22"/>
                <w:szCs w:val="22"/>
              </w:rPr>
              <w:t>4. Vplyvy na životné prostredie</w:t>
            </w:r>
          </w:p>
        </w:tc>
        <w:tc>
          <w:tcPr>
            <w:tcW w:w="1189"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cstheme="minorBidi"/>
              </w:rPr>
            </w:pPr>
            <w:r w:rsidRPr="00B718B7">
              <w:rPr>
                <w:rFonts w:ascii="Book Antiqua" w:hAnsi="Book Antiqua" w:cstheme="minorBidi"/>
                <w:color w:val="000000"/>
                <w:sz w:val="22"/>
                <w:szCs w:val="22"/>
              </w:rPr>
              <w:t> </w:t>
            </w:r>
          </w:p>
        </w:tc>
        <w:tc>
          <w:tcPr>
            <w:tcW w:w="1179"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cstheme="minorBidi"/>
              </w:rPr>
            </w:pPr>
            <w:r w:rsidRPr="00B718B7">
              <w:rPr>
                <w:rFonts w:ascii="Book Antiqua" w:hAnsi="Book Antiqua" w:cstheme="minorBidi"/>
                <w:sz w:val="22"/>
                <w:szCs w:val="22"/>
              </w:rPr>
              <w:t>x</w:t>
            </w:r>
          </w:p>
        </w:tc>
        <w:tc>
          <w:tcPr>
            <w:tcW w:w="1196"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cstheme="minorBidi"/>
              </w:rPr>
            </w:pPr>
            <w:r w:rsidRPr="00B718B7">
              <w:rPr>
                <w:rFonts w:ascii="Book Antiqua" w:hAnsi="Book Antiqua" w:cstheme="minorBidi"/>
                <w:color w:val="000000"/>
                <w:sz w:val="22"/>
                <w:szCs w:val="22"/>
              </w:rPr>
              <w:t> </w:t>
            </w:r>
          </w:p>
        </w:tc>
      </w:tr>
      <w:tr>
        <w:tblPrEx>
          <w:tblW w:w="0" w:type="auto"/>
          <w:tblLayout w:type="fixed"/>
          <w:tblCellMar>
            <w:left w:w="0" w:type="dxa"/>
            <w:right w:w="0" w:type="dxa"/>
          </w:tblCellMar>
        </w:tblPrEx>
        <w:tc>
          <w:tcPr>
            <w:tcW w:w="5507"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rPr>
                <w:rFonts w:ascii="Book Antiqua" w:hAnsi="Book Antiqua" w:cstheme="minorBidi"/>
              </w:rPr>
            </w:pPr>
            <w:r w:rsidRPr="00B718B7">
              <w:rPr>
                <w:rFonts w:ascii="Book Antiqua" w:hAnsi="Book Antiqua" w:cstheme="minorBidi"/>
                <w:color w:val="000000"/>
                <w:sz w:val="22"/>
                <w:szCs w:val="22"/>
              </w:rPr>
              <w:t>5. Vplyvy na informatizáciu spoločnosti</w:t>
            </w:r>
          </w:p>
        </w:tc>
        <w:tc>
          <w:tcPr>
            <w:tcW w:w="1189"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cstheme="minorBidi"/>
              </w:rPr>
            </w:pPr>
          </w:p>
        </w:tc>
        <w:tc>
          <w:tcPr>
            <w:tcW w:w="1179"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cstheme="minorBidi"/>
              </w:rPr>
            </w:pPr>
            <w:r w:rsidRPr="00B718B7">
              <w:rPr>
                <w:rFonts w:ascii="Book Antiqua" w:hAnsi="Book Antiqua" w:cstheme="minorBidi"/>
                <w:sz w:val="22"/>
                <w:szCs w:val="22"/>
              </w:rPr>
              <w:t>x</w:t>
            </w:r>
          </w:p>
        </w:tc>
        <w:tc>
          <w:tcPr>
            <w:tcW w:w="1196" w:type="dxa"/>
            <w:tcBorders>
              <w:top w:val="single" w:sz="6" w:space="0" w:color="000001"/>
              <w:left w:val="single" w:sz="6" w:space="0" w:color="000001"/>
              <w:bottom w:val="single" w:sz="6" w:space="0" w:color="000001"/>
              <w:right w:val="single" w:sz="6" w:space="0" w:color="000001"/>
            </w:tcBorders>
            <w:textDirection w:val="lrTb"/>
            <w:vAlign w:val="center"/>
          </w:tcPr>
          <w:p w:rsidR="003E3569" w:rsidRPr="00B718B7" w:rsidP="00B718B7">
            <w:pPr>
              <w:pStyle w:val="NormalWeb"/>
              <w:bidi w:val="0"/>
              <w:spacing w:before="120" w:after="0" w:line="276" w:lineRule="auto"/>
              <w:jc w:val="center"/>
              <w:rPr>
                <w:rFonts w:ascii="Book Antiqua" w:hAnsi="Book Antiqua" w:cstheme="minorBidi"/>
              </w:rPr>
            </w:pPr>
            <w:r w:rsidRPr="00B718B7">
              <w:rPr>
                <w:rFonts w:ascii="Book Antiqua" w:hAnsi="Book Antiqua" w:cstheme="minorBidi"/>
                <w:color w:val="000000"/>
                <w:sz w:val="22"/>
                <w:szCs w:val="22"/>
              </w:rPr>
              <w:t> </w:t>
            </w:r>
          </w:p>
        </w:tc>
      </w:tr>
    </w:tbl>
    <w:p w:rsidR="003E3569" w:rsidRPr="00B718B7" w:rsidP="00B718B7">
      <w:pPr>
        <w:pStyle w:val="NormalWeb"/>
        <w:bidi w:val="0"/>
        <w:spacing w:before="120" w:after="0" w:line="276" w:lineRule="auto"/>
        <w:rPr>
          <w:rFonts w:ascii="Book Antiqua" w:hAnsi="Book Antiqua" w:cstheme="minorBidi"/>
          <w:sz w:val="22"/>
          <w:szCs w:val="22"/>
        </w:rPr>
      </w:pPr>
      <w:r w:rsidRPr="00B718B7">
        <w:rPr>
          <w:rFonts w:ascii="Book Antiqua" w:hAnsi="Book Antiqua" w:cstheme="minorBidi"/>
          <w:color w:val="000000"/>
          <w:sz w:val="22"/>
          <w:szCs w:val="22"/>
        </w:rPr>
        <w:t> </w:t>
      </w:r>
    </w:p>
    <w:p w:rsidR="003E3569" w:rsidRPr="00B718B7" w:rsidP="00B718B7">
      <w:pPr>
        <w:pStyle w:val="NormalWeb"/>
        <w:bidi w:val="0"/>
        <w:spacing w:before="120" w:after="0" w:line="276" w:lineRule="auto"/>
        <w:rPr>
          <w:rFonts w:ascii="Book Antiqua" w:hAnsi="Book Antiqua" w:cstheme="minorBidi"/>
          <w:sz w:val="22"/>
          <w:szCs w:val="22"/>
        </w:rPr>
      </w:pPr>
      <w:r w:rsidRPr="00B718B7">
        <w:rPr>
          <w:rFonts w:ascii="Book Antiqua" w:hAnsi="Book Antiqua" w:cstheme="minorBidi"/>
          <w:b/>
          <w:color w:val="000000"/>
          <w:sz w:val="22"/>
          <w:szCs w:val="22"/>
        </w:rPr>
        <w:t>A.3. Poznámky</w:t>
      </w:r>
    </w:p>
    <w:p w:rsidR="003E3569" w:rsidRPr="00B718B7" w:rsidP="00B718B7">
      <w:pPr>
        <w:pStyle w:val="NormalWeb"/>
        <w:bidi w:val="0"/>
        <w:spacing w:before="120" w:after="0" w:line="276" w:lineRule="auto"/>
        <w:jc w:val="both"/>
        <w:rPr>
          <w:rFonts w:ascii="Book Antiqua" w:hAnsi="Book Antiqua" w:cstheme="minorBidi"/>
          <w:sz w:val="22"/>
          <w:szCs w:val="22"/>
        </w:rPr>
      </w:pPr>
      <w:r w:rsidRPr="00B718B7">
        <w:rPr>
          <w:rFonts w:ascii="Book Antiqua" w:hAnsi="Book Antiqua" w:cstheme="minorBidi"/>
          <w:i/>
          <w:color w:val="000000"/>
          <w:sz w:val="22"/>
          <w:szCs w:val="22"/>
        </w:rPr>
        <w:t xml:space="preserve">Návrh zákona zvyšuje percento, na základe ktorého sa zisťuje suma vyživovacej povinnosti, ktorú je povinný v minimálnom rozsahu poskytovať každý rodič svojmu dieťaťu. Doterajších 30% zo sumy </w:t>
      </w:r>
      <w:r w:rsidRPr="00B718B7">
        <w:rPr>
          <w:rFonts w:ascii="Book Antiqua" w:hAnsi="Book Antiqua" w:cstheme="minorBidi"/>
          <w:i/>
          <w:color w:val="000000"/>
          <w:sz w:val="22"/>
          <w:szCs w:val="22"/>
          <w:highlight w:val="white"/>
        </w:rPr>
        <w:t>životného minima na nezaopatrené neplnoleté dieťa alebo na nezaopatrené dieťa podľa osobitného zákona sa zvyšuje na 50% zo sumy životného minima, čo predstavuje zvýšenie zo súčasných 27,13 € mesačne na sumu 45,21 € mesačne. Povinný výdavok rodiča teda vzrastie o 18,08 €, čomu zároveň zodpovedá zvýšenie príjmu na dieťa druhému rodičovi, ak spolu rodičia nežijú. Predpokladá sa, že výživné rodiča, s ktorým dieťa žije v spoločnej domácnosti, je vyššie ako tzv. minimálne výživné. To predstavuje jednak pozitívny a jednak negatívny dopad na hospodárenie obyvateľstva.</w:t>
      </w:r>
      <w:bookmarkStart w:id="0" w:name="_GoBack"/>
      <w:bookmarkEnd w:id="0"/>
    </w:p>
    <w:p w:rsidR="003E3569" w:rsidRPr="00B718B7" w:rsidP="00B718B7">
      <w:pPr>
        <w:pStyle w:val="NormalWeb"/>
        <w:bidi w:val="0"/>
        <w:spacing w:before="120" w:after="0" w:line="276" w:lineRule="auto"/>
        <w:jc w:val="both"/>
        <w:rPr>
          <w:rFonts w:ascii="Book Antiqua" w:hAnsi="Book Antiqua" w:cstheme="minorBidi"/>
          <w:sz w:val="22"/>
          <w:szCs w:val="22"/>
        </w:rPr>
      </w:pPr>
      <w:r w:rsidRPr="00B718B7">
        <w:rPr>
          <w:rFonts w:ascii="Book Antiqua" w:hAnsi="Book Antiqua" w:cstheme="minorBidi"/>
          <w:b/>
          <w:color w:val="000000"/>
          <w:sz w:val="22"/>
          <w:szCs w:val="22"/>
        </w:rPr>
        <w:t>A.4. Alternatívne riešenia</w:t>
      </w:r>
    </w:p>
    <w:p w:rsidR="003E3569" w:rsidRPr="00B718B7" w:rsidP="00B718B7">
      <w:pPr>
        <w:pStyle w:val="NormalWeb"/>
        <w:bidi w:val="0"/>
        <w:spacing w:before="120" w:after="0" w:line="276" w:lineRule="auto"/>
        <w:jc w:val="both"/>
        <w:rPr>
          <w:rFonts w:ascii="Book Antiqua" w:hAnsi="Book Antiqua" w:cstheme="minorBidi"/>
          <w:sz w:val="22"/>
          <w:szCs w:val="22"/>
        </w:rPr>
      </w:pPr>
      <w:r w:rsidRPr="00B718B7">
        <w:rPr>
          <w:rFonts w:ascii="Book Antiqua" w:hAnsi="Book Antiqua" w:cstheme="minorBidi"/>
          <w:i/>
          <w:color w:val="000000"/>
          <w:sz w:val="22"/>
          <w:szCs w:val="22"/>
        </w:rPr>
        <w:t>bezpredmetné</w:t>
      </w:r>
    </w:p>
    <w:p w:rsidR="003E3569" w:rsidRPr="00B718B7" w:rsidP="00B718B7">
      <w:pPr>
        <w:pStyle w:val="NormalWeb"/>
        <w:bidi w:val="0"/>
        <w:spacing w:before="120" w:after="0" w:line="276" w:lineRule="auto"/>
        <w:jc w:val="both"/>
        <w:rPr>
          <w:rFonts w:ascii="Book Antiqua" w:hAnsi="Book Antiqua" w:cstheme="minorBidi"/>
          <w:sz w:val="22"/>
          <w:szCs w:val="22"/>
        </w:rPr>
      </w:pPr>
      <w:r w:rsidRPr="00B718B7">
        <w:rPr>
          <w:rFonts w:ascii="Book Antiqua" w:hAnsi="Book Antiqua" w:cstheme="minorBidi"/>
          <w:b/>
          <w:color w:val="000000"/>
          <w:sz w:val="22"/>
          <w:szCs w:val="22"/>
        </w:rPr>
        <w:t>A.5. Stanovisko gestorov</w:t>
      </w:r>
    </w:p>
    <w:p w:rsidR="003E3569" w:rsidRPr="00B718B7" w:rsidP="00B718B7">
      <w:pPr>
        <w:pStyle w:val="NormalWeb"/>
        <w:bidi w:val="0"/>
        <w:spacing w:before="120" w:after="0" w:line="276" w:lineRule="auto"/>
        <w:jc w:val="both"/>
        <w:rPr>
          <w:rFonts w:ascii="Book Antiqua" w:hAnsi="Book Antiqua" w:cstheme="minorBidi"/>
          <w:sz w:val="22"/>
          <w:szCs w:val="22"/>
        </w:rPr>
      </w:pPr>
      <w:r w:rsidRPr="00B718B7">
        <w:rPr>
          <w:rFonts w:ascii="Book Antiqua" w:hAnsi="Book Antiqua" w:cstheme="minorBidi"/>
          <w:i/>
          <w:color w:val="000000"/>
          <w:sz w:val="22"/>
          <w:szCs w:val="22"/>
        </w:rPr>
        <w:t>Návrh zákona bol zaslaný na vyjadrenie Ministerstvu financií SR a stanovisko tohto ministerstva tvorí súčasť predkladaného materiálu.</w:t>
      </w:r>
    </w:p>
    <w:p w:rsidR="003E3569" w:rsidRPr="00B718B7" w:rsidP="00B718B7">
      <w:pPr>
        <w:pStyle w:val="Pe4ta"/>
        <w:bidi w:val="0"/>
        <w:spacing w:before="120" w:line="276" w:lineRule="auto"/>
        <w:rPr>
          <w:rFonts w:ascii="Book Antiqua" w:hAnsi="Book Antiqua" w:cstheme="minorBidi"/>
          <w:sz w:val="22"/>
          <w:szCs w:val="22"/>
        </w:rPr>
      </w:pPr>
    </w:p>
    <w:sectPr w:rsidSect="00253207">
      <w:footerReference w:type="default" r:id="rId4"/>
      <w:type w:val="continuous"/>
      <w:pgSz w:w="11906" w:h="16838"/>
      <w:pgMar w:top="1417" w:right="1417" w:bottom="1417" w:left="1417" w:header="708" w:footer="708" w:gutter="0"/>
      <w:lnNumType w:distance="0"/>
      <w:cols w:space="708"/>
      <w:formProt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Liberation Serif">
    <w:altName w:val="Times New Roman"/>
    <w:charset w:val="EE"/>
    <w:family w:val="roman"/>
    <w:pitch w:val="variable"/>
    <w:sig w:usb0="00000000" w:usb1="00000000" w:usb2="00000000" w:usb3="00000000" w:csb0="00000002" w:csb1="00000000"/>
  </w:font>
  <w:font w:name="Segoe UI">
    <w:altName w:val="Athelas Italic"/>
    <w:panose1 w:val="020B0502040204020203"/>
    <w:charset w:val="EE"/>
    <w:family w:val="swiss"/>
    <w:pitch w:val="variable"/>
    <w:sig w:usb0="00000000" w:usb1="00000000" w:usb2="00000000" w:usb3="00000000" w:csb0="000001DF" w:csb1="00000000"/>
  </w:font>
  <w:font w:name="Book Antiqua">
    <w:altName w:val="Book Antiqua"/>
    <w:panose1 w:val="00000000000000000000"/>
    <w:charset w:val="EE"/>
    <w:family w:val="roman"/>
    <w:pitch w:val="variable"/>
    <w:sig w:usb0="00000000" w:usb1="00000000" w:usb2="00000000" w:usb3="00000000" w:csb0="0000009F" w:csb1="00000000"/>
  </w:font>
  <w:font w:name="Calibri Light">
    <w:panose1 w:val="00000000000000000000"/>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569">
    <w:pPr>
      <w:pStyle w:val="Pe4ta"/>
      <w:bidi w:val="0"/>
      <w:jc w:val="right"/>
    </w:pPr>
    <w:r>
      <w:fldChar w:fldCharType="begin"/>
    </w:r>
    <w:r>
      <w:instrText xml:space="preserve"> PAGE </w:instrText>
    </w:r>
    <w:r>
      <w:fldChar w:fldCharType="separate"/>
    </w:r>
    <w:r w:rsidR="001C05AE">
      <w:rPr>
        <w:noProof/>
      </w:rPr>
      <w:t>1</w:t>
    </w:r>
    <w:r>
      <w:fldChar w:fldCharType="end"/>
    </w:r>
  </w:p>
  <w:p w:rsidR="003E3569">
    <w:pPr>
      <w:pStyle w:val="Pe4ta"/>
      <w:bidi w:val="0"/>
      <w:ind w:right="360"/>
      <w:rPr>
        <w:rFonts w:cstheme="minorBidi"/>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lowerLetter"/>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1">
    <w:nsid w:val="00000002"/>
    <w:multiLevelType w:val="multilevel"/>
    <w:tmpl w:val="00000002"/>
    <w:lvl w:ilvl="0">
      <w:start w:val="1"/>
      <w:numFmt w:val="none"/>
      <w:suff w:val="nothing"/>
      <w:lvlJc w:val="left"/>
      <w:pPr>
        <w:ind w:left="432" w:hanging="432"/>
      </w:pPr>
      <w:rPr>
        <w:rFonts w:cs="Times New Roman"/>
        <w:rtl w:val="0"/>
        <w:cs w:val="0"/>
      </w:rPr>
    </w:lvl>
    <w:lvl w:ilvl="1">
      <w:start w:val="1"/>
      <w:numFmt w:val="none"/>
      <w:suff w:val="nothing"/>
      <w:lvlJc w:val="left"/>
      <w:pPr>
        <w:ind w:left="576" w:hanging="576"/>
      </w:pPr>
      <w:rPr>
        <w:rFonts w:cs="Times New Roman"/>
        <w:rtl w:val="0"/>
        <w:cs w:val="0"/>
      </w:rPr>
    </w:lvl>
    <w:lvl w:ilvl="2">
      <w:start w:val="1"/>
      <w:numFmt w:val="none"/>
      <w:suff w:val="nothing"/>
      <w:lvlJc w:val="left"/>
      <w:pPr>
        <w:ind w:left="720" w:hanging="720"/>
      </w:pPr>
      <w:rPr>
        <w:rFonts w:cs="Times New Roman"/>
        <w:rtl w:val="0"/>
        <w:cs w:val="0"/>
      </w:rPr>
    </w:lvl>
    <w:lvl w:ilvl="3">
      <w:start w:val="1"/>
      <w:numFmt w:val="none"/>
      <w:suff w:val="nothing"/>
      <w:lvlJc w:val="left"/>
      <w:pPr>
        <w:ind w:left="864" w:hanging="864"/>
      </w:pPr>
      <w:rPr>
        <w:rFonts w:cs="Times New Roman"/>
        <w:rtl w:val="0"/>
        <w:cs w:val="0"/>
      </w:rPr>
    </w:lvl>
    <w:lvl w:ilvl="4">
      <w:start w:val="1"/>
      <w:numFmt w:val="none"/>
      <w:suff w:val="nothing"/>
      <w:lvlJc w:val="left"/>
      <w:pPr>
        <w:ind w:left="1008" w:hanging="1008"/>
      </w:pPr>
      <w:rPr>
        <w:rFonts w:cs="Times New Roman"/>
        <w:rtl w:val="0"/>
        <w:cs w:val="0"/>
      </w:rPr>
    </w:lvl>
    <w:lvl w:ilvl="5">
      <w:start w:val="1"/>
      <w:numFmt w:val="none"/>
      <w:suff w:val="nothing"/>
      <w:lvlJc w:val="left"/>
      <w:pPr>
        <w:ind w:left="1152" w:hanging="1152"/>
      </w:pPr>
      <w:rPr>
        <w:rFonts w:cs="Times New Roman"/>
        <w:rtl w:val="0"/>
        <w:cs w:val="0"/>
      </w:rPr>
    </w:lvl>
    <w:lvl w:ilvl="6">
      <w:start w:val="1"/>
      <w:numFmt w:val="none"/>
      <w:suff w:val="nothing"/>
      <w:lvlJc w:val="left"/>
      <w:pPr>
        <w:ind w:left="1296" w:hanging="1296"/>
      </w:pPr>
      <w:rPr>
        <w:rFonts w:cs="Times New Roman"/>
        <w:rtl w:val="0"/>
        <w:cs w:val="0"/>
      </w:rPr>
    </w:lvl>
    <w:lvl w:ilvl="7">
      <w:start w:val="1"/>
      <w:numFmt w:val="none"/>
      <w:suff w:val="nothing"/>
      <w:lvlJc w:val="left"/>
      <w:pPr>
        <w:ind w:left="1440" w:hanging="1440"/>
      </w:pPr>
      <w:rPr>
        <w:rFonts w:cs="Times New Roman"/>
        <w:rtl w:val="0"/>
        <w:cs w:val="0"/>
      </w:rPr>
    </w:lvl>
    <w:lvl w:ilvl="8">
      <w:start w:val="1"/>
      <w:numFmt w:val="none"/>
      <w:suff w:val="nothing"/>
      <w:lvlJc w:val="left"/>
      <w:pPr>
        <w:ind w:left="1584" w:hanging="1584"/>
      </w:pPr>
      <w:rPr>
        <w:rFonts w:cs="Times New Roman"/>
        <w:rtl w:val="0"/>
        <w:cs w:val="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08"/>
  <w:hyphenationZone w:val="425"/>
  <w:drawingGridHorizontalSpacing w:val="120"/>
  <w:drawingGridVerticalSpacing w:val="120"/>
  <w:displayHorizontalDrawingGridEvery w:val="0"/>
  <w:displayVerticalDrawingGridEvery w:val="3"/>
  <w:characterSpacingControl w:val="compressPunctuation"/>
  <w:doNotValidateAgainstSchema/>
  <w:doNotDemarcateInvalidXml/>
  <w:compat>
    <w:spaceForUL/>
    <w:balanceSingleByteDoubleByteWidth/>
    <w:doNotLeaveBackslashAlone/>
    <w:ulTrailSpace/>
    <w:doNotExpandShiftReturn/>
    <w:adjustLineHeightInTable/>
  </w:compat>
  <w:rsids>
    <w:rsidRoot w:val="003E3569"/>
    <w:rsid w:val="001C05AE"/>
    <w:rsid w:val="00230071"/>
    <w:rsid w:val="00253207"/>
    <w:rsid w:val="003E3569"/>
    <w:rsid w:val="00572834"/>
    <w:rsid w:val="008460B7"/>
    <w:rsid w:val="0094514C"/>
    <w:rsid w:val="00B718B7"/>
    <w:rsid w:val="00EC17FA"/>
    <w:rsid w:val="00F5763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caption" w:semiHidden="0" w:unhideWhenUsed="0" w:qFormat="1"/>
    <w:lsdException w:name="footnote reference" w:unhideWhenUsed="0"/>
    <w:lsdException w:name="annotation reference" w:unhideWhenUsed="0"/>
    <w:lsdException w:name="page number" w:unhideWhenUsed="0"/>
    <w:lsdException w:name="List"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207"/>
    <w:pPr>
      <w:framePr w:wrap="auto"/>
      <w:widowControl/>
      <w:autoSpaceDE w:val="0"/>
      <w:autoSpaceDN w:val="0"/>
      <w:adjustRightInd w:val="0"/>
      <w:ind w:left="0" w:right="0"/>
      <w:jc w:val="left"/>
      <w:textAlignment w:val="auto"/>
    </w:pPr>
    <w:rPr>
      <w:rFonts w:ascii="Times New Roman" w:eastAsia="Times New Roman" w:hAnsi="Liberation Serif" w:cs="Times New Roman"/>
      <w:kern w:val="1"/>
      <w:sz w:val="24"/>
      <w:szCs w:val="24"/>
      <w:rtl w:val="0"/>
      <w:cs w:val="0"/>
      <w:lang w:val="sk-SK" w:eastAsia="sk-SK" w:bidi="ar-SA"/>
    </w:rPr>
  </w:style>
  <w:style w:type="paragraph" w:styleId="Heading1">
    <w:name w:val="heading 1"/>
    <w:basedOn w:val="Normal"/>
    <w:link w:val="Nadpis1Char"/>
    <w:uiPriority w:val="99"/>
    <w:qFormat/>
    <w:rsid w:val="00253207"/>
    <w:pPr>
      <w:keepNext/>
      <w:jc w:val="center"/>
      <w:outlineLvl w:val="0"/>
    </w:pPr>
    <w:rPr>
      <w:rFonts w:ascii="Cambria" w:cs="Cambria"/>
      <w:b/>
      <w:bCs/>
      <w:sz w:val="32"/>
      <w:szCs w:val="32"/>
    </w:rPr>
  </w:style>
  <w:style w:type="paragraph" w:styleId="Heading3">
    <w:name w:val="heading 3"/>
    <w:basedOn w:val="Normal"/>
    <w:link w:val="Nadpis3Char"/>
    <w:uiPriority w:val="99"/>
    <w:qFormat/>
    <w:rsid w:val="00253207"/>
    <w:pPr>
      <w:keepNext/>
      <w:spacing w:before="240" w:after="60"/>
      <w:jc w:val="left"/>
      <w:outlineLvl w:val="2"/>
    </w:pPr>
    <w:rPr>
      <w:rFonts w:ascii="Cambria" w:cs="Cambria"/>
      <w:b/>
      <w:bCs/>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253207"/>
    <w:rPr>
      <w:rFonts w:ascii="Cambria" w:eastAsia="Times New Roman" w:cs="Cambria"/>
      <w:b/>
      <w:bCs/>
      <w:kern w:val="1"/>
      <w:sz w:val="32"/>
      <w:szCs w:val="32"/>
      <w:rtl w:val="0"/>
      <w:cs w:val="0"/>
    </w:rPr>
  </w:style>
  <w:style w:type="character" w:customStyle="1" w:styleId="Nadpis3Char">
    <w:name w:val="Nadpis 3 Char"/>
    <w:basedOn w:val="DefaultParagraphFont"/>
    <w:link w:val="Heading3"/>
    <w:uiPriority w:val="99"/>
    <w:locked/>
    <w:rsid w:val="00253207"/>
    <w:rPr>
      <w:rFonts w:ascii="Cambria" w:eastAsia="Times New Roman" w:cs="Cambria"/>
      <w:b/>
      <w:bCs/>
      <w:sz w:val="26"/>
      <w:szCs w:val="26"/>
      <w:rtl w:val="0"/>
      <w:cs w:val="0"/>
    </w:rPr>
  </w:style>
  <w:style w:type="character" w:customStyle="1" w:styleId="Pe4taChar">
    <w:name w:val="Päe4ta Char"/>
    <w:basedOn w:val="DefaultParagraphFont"/>
    <w:uiPriority w:val="99"/>
    <w:rsid w:val="00253207"/>
    <w:rPr>
      <w:rFonts w:eastAsia="Times New Roman" w:cs="Times New Roman"/>
      <w:rtl w:val="0"/>
      <w:cs w:val="0"/>
    </w:rPr>
  </w:style>
  <w:style w:type="character" w:customStyle="1" w:styleId="TextbublinyChar">
    <w:name w:val="Text bubliny Char"/>
    <w:basedOn w:val="DefaultParagraphFont"/>
    <w:uiPriority w:val="99"/>
    <w:rsid w:val="00253207"/>
    <w:rPr>
      <w:rFonts w:ascii="Tahoma" w:eastAsia="Times New Roman" w:cs="Tahoma"/>
      <w:sz w:val="16"/>
      <w:szCs w:val="16"/>
      <w:rtl w:val="0"/>
      <w:cs w:val="0"/>
    </w:rPr>
  </w:style>
  <w:style w:type="character" w:styleId="PageNumber">
    <w:name w:val="page number"/>
    <w:basedOn w:val="DefaultParagraphFont"/>
    <w:uiPriority w:val="99"/>
    <w:rsid w:val="00253207"/>
    <w:rPr>
      <w:rFonts w:eastAsia="Times New Roman" w:cs="Times New Roman"/>
      <w:rtl w:val="0"/>
      <w:cs w:val="0"/>
    </w:rPr>
  </w:style>
  <w:style w:type="character" w:customStyle="1" w:styleId="apple-converted-space">
    <w:name w:val="apple-converted-space"/>
    <w:uiPriority w:val="99"/>
    <w:rsid w:val="00253207"/>
  </w:style>
  <w:style w:type="character" w:customStyle="1" w:styleId="Internetovfdodkaz">
    <w:name w:val="Internetovýfd odkaz"/>
    <w:basedOn w:val="DefaultParagraphFont"/>
    <w:uiPriority w:val="99"/>
    <w:rsid w:val="00253207"/>
    <w:rPr>
      <w:rFonts w:eastAsia="Times New Roman" w:cs="Times New Roman"/>
      <w:color w:val="0000FF"/>
      <w:u w:val="single"/>
      <w:rtl w:val="0"/>
      <w:cs w:val="0"/>
    </w:rPr>
  </w:style>
  <w:style w:type="character" w:customStyle="1" w:styleId="Zdf4raznenie">
    <w:name w:val="Zdôf4raznenie"/>
    <w:basedOn w:val="DefaultParagraphFont"/>
    <w:uiPriority w:val="99"/>
    <w:rsid w:val="00253207"/>
    <w:rPr>
      <w:rFonts w:eastAsia="Times New Roman" w:cs="Times New Roman"/>
      <w:i/>
      <w:iCs/>
      <w:rtl w:val="0"/>
      <w:cs w:val="0"/>
    </w:rPr>
  </w:style>
  <w:style w:type="character" w:styleId="CommentReference">
    <w:name w:val="annotation reference"/>
    <w:basedOn w:val="DefaultParagraphFont"/>
    <w:uiPriority w:val="99"/>
    <w:rsid w:val="00253207"/>
    <w:rPr>
      <w:rFonts w:eastAsia="Times New Roman" w:cs="Times New Roman"/>
      <w:sz w:val="16"/>
      <w:szCs w:val="16"/>
      <w:rtl w:val="0"/>
      <w:cs w:val="0"/>
    </w:rPr>
  </w:style>
  <w:style w:type="character" w:customStyle="1" w:styleId="Textkomente1raChar">
    <w:name w:val="Text komentáe1ra Char"/>
    <w:basedOn w:val="DefaultParagraphFont"/>
    <w:uiPriority w:val="99"/>
    <w:rsid w:val="00253207"/>
    <w:rPr>
      <w:rFonts w:eastAsia="Times New Roman" w:cs="Times New Roman"/>
      <w:rtl w:val="0"/>
      <w:cs w:val="0"/>
    </w:rPr>
  </w:style>
  <w:style w:type="character" w:customStyle="1" w:styleId="Predmetkomente1raChar">
    <w:name w:val="Predmet komentáe1ra Char"/>
    <w:basedOn w:val="Textkomente1raChar"/>
    <w:uiPriority w:val="99"/>
    <w:rsid w:val="00253207"/>
    <w:rPr>
      <w:b/>
      <w:bCs/>
    </w:rPr>
  </w:style>
  <w:style w:type="character" w:customStyle="1" w:styleId="Hlavie8kaChar">
    <w:name w:val="Hlaviče8ka Char"/>
    <w:basedOn w:val="DefaultParagraphFont"/>
    <w:uiPriority w:val="99"/>
    <w:rsid w:val="00253207"/>
    <w:rPr>
      <w:rFonts w:eastAsia="Times New Roman" w:cs="Times New Roman"/>
      <w:rtl w:val="0"/>
      <w:cs w:val="0"/>
    </w:rPr>
  </w:style>
  <w:style w:type="character" w:customStyle="1" w:styleId="Ze1kladnfdtextChar">
    <w:name w:val="Záe1kladnýfd text Char"/>
    <w:basedOn w:val="DefaultParagraphFont"/>
    <w:uiPriority w:val="99"/>
    <w:rsid w:val="00253207"/>
    <w:rPr>
      <w:rFonts w:eastAsia="Times New Roman" w:cs="Times New Roman"/>
      <w:rtl w:val="0"/>
      <w:cs w:val="0"/>
    </w:rPr>
  </w:style>
  <w:style w:type="character" w:customStyle="1" w:styleId="Textpozne1mkypode8iarouChar">
    <w:name w:val="Text poznáe1mky pod če8iarou Char"/>
    <w:basedOn w:val="DefaultParagraphFont"/>
    <w:uiPriority w:val="99"/>
    <w:rsid w:val="00253207"/>
    <w:rPr>
      <w:rFonts w:eastAsia="Times New Roman" w:cs="Times New Roman"/>
      <w:rtl w:val="0"/>
      <w:cs w:val="0"/>
    </w:rPr>
  </w:style>
  <w:style w:type="character" w:styleId="FootnoteReference">
    <w:name w:val="footnote reference"/>
    <w:basedOn w:val="DefaultParagraphFont"/>
    <w:uiPriority w:val="99"/>
    <w:rsid w:val="00253207"/>
    <w:rPr>
      <w:rFonts w:eastAsia="Times New Roman" w:cs="Times New Roman"/>
      <w:vertAlign w:val="superscript"/>
      <w:rtl w:val="0"/>
      <w:cs w:val="0"/>
    </w:rPr>
  </w:style>
  <w:style w:type="character" w:customStyle="1" w:styleId="ListLabel1">
    <w:name w:val="ListLabel 1"/>
    <w:uiPriority w:val="99"/>
    <w:rsid w:val="00253207"/>
    <w:rPr>
      <w:rFonts w:eastAsia="Times New Roman"/>
    </w:rPr>
  </w:style>
  <w:style w:type="character" w:customStyle="1" w:styleId="ListLabel2">
    <w:name w:val="ListLabel 2"/>
    <w:uiPriority w:val="99"/>
    <w:rsid w:val="00253207"/>
    <w:rPr>
      <w:rFonts w:eastAsia="Times New Roman"/>
    </w:rPr>
  </w:style>
  <w:style w:type="character" w:customStyle="1" w:styleId="ListLabel3">
    <w:name w:val="ListLabel 3"/>
    <w:uiPriority w:val="99"/>
    <w:rsid w:val="00253207"/>
    <w:rPr>
      <w:rFonts w:eastAsia="Times New Roman"/>
    </w:rPr>
  </w:style>
  <w:style w:type="paragraph" w:customStyle="1" w:styleId="Nadpis">
    <w:name w:val="Nadpis"/>
    <w:basedOn w:val="Normal"/>
    <w:next w:val="Telotextu"/>
    <w:uiPriority w:val="99"/>
    <w:rsid w:val="00253207"/>
    <w:pPr>
      <w:keepNext/>
      <w:widowControl w:val="0"/>
      <w:spacing w:before="240" w:after="120"/>
      <w:jc w:val="left"/>
    </w:pPr>
    <w:rPr>
      <w:rFonts w:ascii="Arial" w:cs="Arial"/>
      <w:sz w:val="28"/>
      <w:szCs w:val="28"/>
      <w:lang w:bidi="hi-IN"/>
    </w:rPr>
  </w:style>
  <w:style w:type="paragraph" w:customStyle="1" w:styleId="Telotextu">
    <w:name w:val="Telo textu"/>
    <w:basedOn w:val="Normal"/>
    <w:uiPriority w:val="99"/>
    <w:rsid w:val="00253207"/>
    <w:pPr>
      <w:spacing w:after="120" w:line="288" w:lineRule="auto"/>
      <w:jc w:val="left"/>
    </w:pPr>
    <w:rPr>
      <w:kern w:val="0"/>
    </w:rPr>
  </w:style>
  <w:style w:type="paragraph" w:styleId="List">
    <w:name w:val="List"/>
    <w:basedOn w:val="Telotextu"/>
    <w:uiPriority w:val="99"/>
    <w:rsid w:val="00253207"/>
    <w:pPr>
      <w:jc w:val="left"/>
    </w:pPr>
    <w:rPr>
      <w:kern w:val="0"/>
    </w:rPr>
  </w:style>
  <w:style w:type="paragraph" w:styleId="Caption">
    <w:name w:val="caption"/>
    <w:basedOn w:val="Normal"/>
    <w:uiPriority w:val="99"/>
    <w:qFormat/>
    <w:rsid w:val="00253207"/>
    <w:pPr>
      <w:suppressLineNumbers/>
      <w:spacing w:before="120" w:after="120"/>
      <w:jc w:val="left"/>
    </w:pPr>
    <w:rPr>
      <w:i/>
      <w:iCs/>
      <w:kern w:val="0"/>
    </w:rPr>
  </w:style>
  <w:style w:type="paragraph" w:customStyle="1" w:styleId="Index">
    <w:name w:val="Index"/>
    <w:basedOn w:val="Normal"/>
    <w:uiPriority w:val="99"/>
    <w:rsid w:val="00253207"/>
    <w:pPr>
      <w:suppressLineNumbers/>
      <w:jc w:val="left"/>
    </w:pPr>
    <w:rPr>
      <w:kern w:val="0"/>
    </w:rPr>
  </w:style>
  <w:style w:type="paragraph" w:customStyle="1" w:styleId="Pe4ta">
    <w:name w:val="Päe4ta"/>
    <w:basedOn w:val="Normal"/>
    <w:uiPriority w:val="99"/>
    <w:rsid w:val="00253207"/>
    <w:pPr>
      <w:tabs>
        <w:tab w:val="center" w:pos="4536"/>
        <w:tab w:val="right" w:pos="9072"/>
      </w:tabs>
      <w:jc w:val="left"/>
    </w:pPr>
    <w:rPr>
      <w:kern w:val="0"/>
    </w:rPr>
  </w:style>
  <w:style w:type="paragraph" w:styleId="BalloonText">
    <w:name w:val="Balloon Text"/>
    <w:basedOn w:val="Normal"/>
    <w:link w:val="TextbublinyChar1"/>
    <w:uiPriority w:val="99"/>
    <w:rsid w:val="00253207"/>
    <w:pPr>
      <w:jc w:val="left"/>
    </w:pPr>
    <w:rPr>
      <w:rFonts w:ascii="Tahoma" w:cs="Tahoma"/>
      <w:kern w:val="0"/>
      <w:sz w:val="16"/>
      <w:szCs w:val="16"/>
    </w:rPr>
  </w:style>
  <w:style w:type="character" w:customStyle="1" w:styleId="TextbublinyChar1">
    <w:name w:val="Text bubliny Char1"/>
    <w:basedOn w:val="DefaultParagraphFont"/>
    <w:link w:val="BalloonText"/>
    <w:uiPriority w:val="99"/>
    <w:semiHidden/>
    <w:locked/>
    <w:rsid w:val="00253207"/>
    <w:rPr>
      <w:rFonts w:ascii="Segoe UI" w:hAnsi="Segoe UI" w:cs="Segoe UI"/>
      <w:kern w:val="1"/>
      <w:sz w:val="18"/>
      <w:szCs w:val="18"/>
      <w:rtl w:val="0"/>
      <w:cs w:val="0"/>
    </w:rPr>
  </w:style>
  <w:style w:type="paragraph" w:customStyle="1" w:styleId="titulok">
    <w:name w:val="titulok"/>
    <w:basedOn w:val="Normal"/>
    <w:uiPriority w:val="99"/>
    <w:rsid w:val="00253207"/>
    <w:pPr>
      <w:spacing w:before="100" w:after="100"/>
      <w:jc w:val="center"/>
    </w:pPr>
    <w:rPr>
      <w:rFonts w:ascii="Arial" w:cs="Arial"/>
      <w:b/>
      <w:bCs/>
      <w:color w:val="007060"/>
      <w:kern w:val="0"/>
    </w:rPr>
  </w:style>
  <w:style w:type="paragraph" w:styleId="NormalWeb">
    <w:name w:val="Normal (Web)"/>
    <w:basedOn w:val="Normal"/>
    <w:uiPriority w:val="99"/>
    <w:rsid w:val="00253207"/>
    <w:pPr>
      <w:spacing w:before="100" w:after="100"/>
      <w:jc w:val="left"/>
    </w:pPr>
    <w:rPr>
      <w:kern w:val="0"/>
    </w:rPr>
  </w:style>
  <w:style w:type="paragraph" w:styleId="CommentText">
    <w:name w:val="annotation text"/>
    <w:basedOn w:val="Normal"/>
    <w:link w:val="TextkomentraChar"/>
    <w:uiPriority w:val="99"/>
    <w:rsid w:val="00253207"/>
    <w:pPr>
      <w:jc w:val="left"/>
    </w:pPr>
    <w:rPr>
      <w:kern w:val="0"/>
      <w:sz w:val="20"/>
      <w:szCs w:val="20"/>
    </w:rPr>
  </w:style>
  <w:style w:type="character" w:customStyle="1" w:styleId="TextkomentraChar">
    <w:name w:val="Text komentára Char"/>
    <w:basedOn w:val="DefaultParagraphFont"/>
    <w:link w:val="CommentText"/>
    <w:uiPriority w:val="99"/>
    <w:semiHidden/>
    <w:locked/>
    <w:rsid w:val="00253207"/>
    <w:rPr>
      <w:rFonts w:ascii="Times New Roman" w:eastAsia="Times New Roman" w:hAnsi="Liberation Serif" w:cs="Times New Roman"/>
      <w:kern w:val="1"/>
      <w:sz w:val="20"/>
      <w:szCs w:val="20"/>
      <w:rtl w:val="0"/>
      <w:cs w:val="0"/>
    </w:rPr>
  </w:style>
  <w:style w:type="paragraph" w:styleId="CommentSubject">
    <w:name w:val="annotation subject"/>
    <w:basedOn w:val="CommentText"/>
    <w:link w:val="PredmetkomentraChar"/>
    <w:uiPriority w:val="99"/>
    <w:rsid w:val="00253207"/>
    <w:pPr>
      <w:jc w:val="left"/>
    </w:pPr>
    <w:rPr>
      <w:b/>
      <w:bCs/>
      <w:kern w:val="0"/>
    </w:rPr>
  </w:style>
  <w:style w:type="character" w:customStyle="1" w:styleId="PredmetkomentraChar">
    <w:name w:val="Predmet komentára Char"/>
    <w:basedOn w:val="TextkomentraChar"/>
    <w:link w:val="CommentSubject"/>
    <w:uiPriority w:val="99"/>
    <w:semiHidden/>
    <w:locked/>
    <w:rsid w:val="00253207"/>
    <w:rPr>
      <w:b/>
      <w:bCs/>
    </w:rPr>
  </w:style>
  <w:style w:type="paragraph" w:customStyle="1" w:styleId="Hlavie8ka">
    <w:name w:val="Hlaviče8ka"/>
    <w:basedOn w:val="Normal"/>
    <w:uiPriority w:val="99"/>
    <w:rsid w:val="00253207"/>
    <w:pPr>
      <w:tabs>
        <w:tab w:val="center" w:pos="4536"/>
        <w:tab w:val="right" w:pos="9072"/>
      </w:tabs>
      <w:jc w:val="left"/>
    </w:pPr>
    <w:rPr>
      <w:kern w:val="0"/>
    </w:rPr>
  </w:style>
  <w:style w:type="paragraph" w:customStyle="1" w:styleId="Default">
    <w:name w:val="Default"/>
    <w:uiPriority w:val="99"/>
    <w:rsid w:val="00253207"/>
    <w:pPr>
      <w:framePr w:wrap="auto"/>
      <w:widowControl/>
      <w:autoSpaceDE w:val="0"/>
      <w:autoSpaceDN w:val="0"/>
      <w:adjustRightInd w:val="0"/>
      <w:ind w:left="0" w:right="0"/>
      <w:jc w:val="left"/>
      <w:textAlignment w:val="auto"/>
    </w:pPr>
    <w:rPr>
      <w:rFonts w:ascii="Times New Roman" w:eastAsia="Times New Roman" w:hAnsi="Liberation Serif" w:cs="Times New Roman"/>
      <w:color w:val="000000"/>
      <w:kern w:val="1"/>
      <w:sz w:val="24"/>
      <w:szCs w:val="24"/>
      <w:rtl w:val="0"/>
      <w:cs w:val="0"/>
      <w:lang w:val="sk-SK" w:eastAsia="sk-SK" w:bidi="ar-SA"/>
    </w:rPr>
  </w:style>
  <w:style w:type="paragraph" w:styleId="FootnoteText">
    <w:name w:val="footnote text"/>
    <w:basedOn w:val="Normal"/>
    <w:link w:val="TextpoznmkypodiarouChar"/>
    <w:uiPriority w:val="99"/>
    <w:rsid w:val="00253207"/>
    <w:pPr>
      <w:jc w:val="left"/>
    </w:pPr>
    <w:rPr>
      <w:kern w:val="0"/>
      <w:sz w:val="20"/>
      <w:szCs w:val="20"/>
    </w:rPr>
  </w:style>
  <w:style w:type="character" w:customStyle="1" w:styleId="TextpoznmkypodiarouChar">
    <w:name w:val="Text poznámky pod čiarou Char"/>
    <w:basedOn w:val="DefaultParagraphFont"/>
    <w:link w:val="FootnoteText"/>
    <w:uiPriority w:val="99"/>
    <w:semiHidden/>
    <w:locked/>
    <w:rsid w:val="00253207"/>
    <w:rPr>
      <w:rFonts w:ascii="Times New Roman" w:eastAsia="Times New Roman" w:hAnsi="Liberation Serif" w:cs="Times New Roman"/>
      <w:kern w:val="1"/>
      <w:sz w:val="20"/>
      <w:szCs w:val="2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7</TotalTime>
  <Pages>5</Pages>
  <Words>1103</Words>
  <Characters>6442</Characters>
  <Application>Microsoft Office Word</Application>
  <DocSecurity>0</DocSecurity>
  <Lines>0</Lines>
  <Paragraphs>0</Paragraphs>
  <ScaleCrop>false</ScaleCrop>
  <Company>Kancelaria NR SR</Company>
  <LinksUpToDate>false</LinksUpToDate>
  <CharactersWithSpaces>7530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galinata</cp:lastModifiedBy>
  <cp:revision>2</cp:revision>
  <cp:lastPrinted>2016-08-19T08:53:00Z</cp:lastPrinted>
  <dcterms:created xsi:type="dcterms:W3CDTF">2016-08-19T08:54:00Z</dcterms:created>
  <dcterms:modified xsi:type="dcterms:W3CDTF">2016-08-19T08:54:00Z</dcterms:modified>
</cp:coreProperties>
</file>