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395E" w:rsidRPr="00213298" w:rsidP="00213298">
      <w:pPr>
        <w:pStyle w:val="NormalWeb"/>
        <w:bidi w:val="0"/>
        <w:spacing w:before="120" w:after="0"/>
        <w:jc w:val="center"/>
        <w:rPr>
          <w:rFonts w:hAnsi="Book Antiqua"/>
          <w:sz w:val="22"/>
          <w:szCs w:val="22"/>
        </w:rPr>
      </w:pPr>
      <w:r w:rsidRPr="00213298">
        <w:rPr>
          <w:rFonts w:hAnsi="Book Antiqua"/>
          <w:b/>
          <w:bCs/>
          <w:caps/>
          <w:spacing w:val="30"/>
          <w:sz w:val="22"/>
          <w:szCs w:val="22"/>
        </w:rPr>
        <w:t>Dôvodová správa</w:t>
      </w:r>
    </w:p>
    <w:p w:rsidR="0010395E" w:rsidRPr="00213298" w:rsidP="00213298">
      <w:pPr>
        <w:pStyle w:val="Heading1"/>
        <w:bidi w:val="0"/>
        <w:spacing w:before="120" w:after="0"/>
        <w:jc w:val="left"/>
        <w:rPr>
          <w:rFonts w:ascii="Book Antiqua" w:hAnsi="Book Antiqua" w:cs="Times New Roman"/>
          <w:bCs w:val="0"/>
          <w:sz w:val="22"/>
          <w:szCs w:val="22"/>
        </w:rPr>
      </w:pPr>
    </w:p>
    <w:p w:rsidR="00213298" w:rsidRPr="00463C0F" w:rsidP="00213298">
      <w:pPr>
        <w:pStyle w:val="Heading1"/>
        <w:bidi w:val="0"/>
        <w:spacing w:before="120" w:after="0"/>
        <w:jc w:val="left"/>
        <w:rPr>
          <w:rFonts w:ascii="Book Antiqua" w:hAnsi="Book Antiqua"/>
          <w:sz w:val="22"/>
          <w:szCs w:val="22"/>
        </w:rPr>
      </w:pPr>
      <w:r w:rsidRPr="00463C0F">
        <w:rPr>
          <w:rFonts w:ascii="Book Antiqua" w:hAnsi="Book Antiqua"/>
          <w:sz w:val="22"/>
          <w:szCs w:val="22"/>
        </w:rPr>
        <w:t>A. Všeobecná časť</w:t>
      </w:r>
    </w:p>
    <w:p w:rsidR="0010395E" w:rsidRPr="00213298" w:rsidP="00213298">
      <w:pPr>
        <w:bidi w:val="0"/>
        <w:spacing w:before="120" w:after="0"/>
        <w:ind w:firstLine="708"/>
        <w:jc w:val="both"/>
        <w:rPr>
          <w:rFonts w:hAnsi="Book Antiqua"/>
          <w:sz w:val="22"/>
          <w:szCs w:val="22"/>
        </w:rPr>
      </w:pPr>
      <w:r w:rsidRPr="00213298">
        <w:rPr>
          <w:rFonts w:hAnsi="Book Antiqua" w:cs="Times New Roman"/>
          <w:sz w:val="22"/>
          <w:szCs w:val="22"/>
        </w:rPr>
        <w:t>Návrh zákona, ktorým sa mení zákon č. 595/2003 Z. z. o dani z príjmov v znení neskorších predpisov (ďalej len „návrh zákona“) predkladajú poslankyne Národnej rady Slovenskej republiky za hnutie OBYČAJNÍ ĽUD</w:t>
      </w:r>
      <w:r w:rsidR="00D359ED">
        <w:rPr>
          <w:rFonts w:hAnsi="Book Antiqua" w:cs="Times New Roman"/>
          <w:sz w:val="22"/>
          <w:szCs w:val="22"/>
        </w:rPr>
        <w:t>IA a nezávislé osobnosti (OĽaNO–</w:t>
      </w:r>
      <w:r w:rsidRPr="00213298">
        <w:rPr>
          <w:rFonts w:hAnsi="Book Antiqua" w:cs="Times New Roman"/>
          <w:sz w:val="22"/>
          <w:szCs w:val="22"/>
        </w:rPr>
        <w:t>NOVA) Erika Jurinová, Soňa Gaborčáková, Silvia Petruchová a Anna Verešová.</w:t>
      </w:r>
    </w:p>
    <w:p w:rsidR="00213298" w:rsidP="00213298">
      <w:pPr>
        <w:pStyle w:val="NormalWeb"/>
        <w:bidi w:val="0"/>
        <w:spacing w:before="120" w:after="0"/>
        <w:ind w:firstLine="709"/>
        <w:jc w:val="both"/>
        <w:rPr>
          <w:rFonts w:hAnsi="Book Antiqua" w:cs="Times New Roman"/>
          <w:b/>
          <w:sz w:val="22"/>
          <w:szCs w:val="22"/>
        </w:rPr>
      </w:pPr>
      <w:r w:rsidRPr="00213298" w:rsidR="0010395E">
        <w:rPr>
          <w:rFonts w:hAnsi="Book Antiqua" w:cs="Times New Roman"/>
          <w:sz w:val="22"/>
          <w:szCs w:val="22"/>
        </w:rPr>
        <w:t>Jedným z pili</w:t>
      </w:r>
      <w:r w:rsidRPr="00213298" w:rsidR="00F025C4">
        <w:rPr>
          <w:rFonts w:hAnsi="Book Antiqua" w:cs="Times New Roman"/>
          <w:sz w:val="22"/>
          <w:szCs w:val="22"/>
        </w:rPr>
        <w:t>e</w:t>
      </w:r>
      <w:r w:rsidRPr="00213298" w:rsidR="0010395E">
        <w:rPr>
          <w:rFonts w:hAnsi="Book Antiqua" w:cs="Times New Roman"/>
          <w:sz w:val="22"/>
          <w:szCs w:val="22"/>
        </w:rPr>
        <w:t>rov volebného programu O</w:t>
      </w:r>
      <w:r w:rsidRPr="00213298" w:rsidR="006F56B1">
        <w:rPr>
          <w:rFonts w:hAnsi="Book Antiqua" w:cs="Times New Roman"/>
          <w:sz w:val="22"/>
          <w:szCs w:val="22"/>
        </w:rPr>
        <w:t>Ľ</w:t>
      </w:r>
      <w:r w:rsidRPr="00213298" w:rsidR="0010395E">
        <w:rPr>
          <w:rFonts w:hAnsi="Book Antiqua" w:cs="Times New Roman"/>
          <w:sz w:val="22"/>
          <w:szCs w:val="22"/>
        </w:rPr>
        <w:t>aNO – NOVA vo voľbách do Národnej rady Slovenskej republiky bola podpora rodinnej politiky. V súlade s týmt</w:t>
      </w:r>
      <w:r>
        <w:rPr>
          <w:rFonts w:hAnsi="Book Antiqua" w:cs="Times New Roman"/>
          <w:sz w:val="22"/>
          <w:szCs w:val="22"/>
        </w:rPr>
        <w:t>o volebným programom sa predkladá</w:t>
      </w:r>
      <w:r w:rsidRPr="00213298" w:rsidR="0010395E">
        <w:rPr>
          <w:rFonts w:hAnsi="Book Antiqua" w:cs="Times New Roman"/>
          <w:sz w:val="22"/>
          <w:szCs w:val="22"/>
        </w:rPr>
        <w:t xml:space="preserve"> do legislatívneho procesu návrh zákona, ktorého </w:t>
      </w:r>
      <w:r w:rsidRPr="00213298" w:rsidR="0010395E">
        <w:rPr>
          <w:rFonts w:hAnsi="Book Antiqua" w:cs="Times New Roman"/>
          <w:b/>
          <w:sz w:val="22"/>
          <w:szCs w:val="22"/>
        </w:rPr>
        <w:t>hlavným cieľom je zvýšenie daňového bonusu na vyživované dieť</w:t>
      </w:r>
      <w:r>
        <w:rPr>
          <w:rFonts w:hAnsi="Book Antiqua" w:cs="Times New Roman"/>
          <w:b/>
          <w:sz w:val="22"/>
          <w:szCs w:val="22"/>
        </w:rPr>
        <w:t>a na dvojnásobok.</w:t>
      </w:r>
    </w:p>
    <w:p w:rsidR="00F025C4" w:rsidRPr="00213298" w:rsidP="00213298">
      <w:pPr>
        <w:bidi w:val="0"/>
        <w:spacing w:before="120" w:after="0"/>
        <w:ind w:firstLine="709"/>
        <w:jc w:val="both"/>
        <w:rPr>
          <w:rFonts w:hAnsi="Book Antiqua" w:cs="Times New Roman"/>
          <w:sz w:val="22"/>
          <w:szCs w:val="22"/>
        </w:rPr>
      </w:pPr>
      <w:r w:rsidRPr="00213298" w:rsidR="0010395E">
        <w:rPr>
          <w:rFonts w:hAnsi="Book Antiqua" w:cs="Times New Roman"/>
          <w:sz w:val="22"/>
          <w:szCs w:val="22"/>
        </w:rPr>
        <w:t>Zákon č. 595/2003 Z. z. o dani z príjmov v znení neskorších predpisov (ďalej len „zákon“) pomenúva daňový bonus ako daňové zvýhodnenie na vyživované dieťa žijúce s daňovníkom v domác</w:t>
      </w:r>
      <w:r w:rsidR="00213298">
        <w:rPr>
          <w:rFonts w:hAnsi="Book Antiqua" w:cs="Times New Roman"/>
          <w:sz w:val="22"/>
          <w:szCs w:val="22"/>
        </w:rPr>
        <w:t>nosti. V tomto čase</w:t>
      </w:r>
      <w:r w:rsidRPr="00213298">
        <w:rPr>
          <w:rFonts w:hAnsi="Book Antiqua" w:cs="Times New Roman"/>
          <w:sz w:val="22"/>
          <w:szCs w:val="22"/>
        </w:rPr>
        <w:t xml:space="preserve">, kedy </w:t>
      </w:r>
      <w:r w:rsidR="00213298">
        <w:rPr>
          <w:rFonts w:hAnsi="Book Antiqua" w:cs="Times New Roman"/>
          <w:sz w:val="22"/>
          <w:szCs w:val="22"/>
        </w:rPr>
        <w:t xml:space="preserve">má Slovenská republika </w:t>
      </w:r>
      <w:r w:rsidRPr="00213298">
        <w:rPr>
          <w:rFonts w:hAnsi="Book Antiqua" w:cs="Times New Roman"/>
          <w:sz w:val="22"/>
          <w:szCs w:val="22"/>
        </w:rPr>
        <w:t>jeden z najnižších populačných rastov v</w:t>
      </w:r>
      <w:r w:rsidR="00213298">
        <w:rPr>
          <w:rFonts w:hAnsi="Book Antiqua" w:cs="Times New Roman"/>
          <w:sz w:val="22"/>
          <w:szCs w:val="22"/>
        </w:rPr>
        <w:t> </w:t>
      </w:r>
      <w:r w:rsidRPr="00213298">
        <w:rPr>
          <w:rFonts w:hAnsi="Book Antiqua" w:cs="Times New Roman"/>
          <w:sz w:val="22"/>
          <w:szCs w:val="22"/>
        </w:rPr>
        <w:t>Európe</w:t>
      </w:r>
      <w:r w:rsidR="00213298">
        <w:rPr>
          <w:rFonts w:hAnsi="Book Antiqua" w:cs="Times New Roman"/>
          <w:sz w:val="22"/>
          <w:szCs w:val="22"/>
        </w:rPr>
        <w:t>,</w:t>
      </w:r>
      <w:r w:rsidRPr="00213298">
        <w:rPr>
          <w:rFonts w:hAnsi="Book Antiqua" w:cs="Times New Roman"/>
          <w:sz w:val="22"/>
          <w:szCs w:val="22"/>
        </w:rPr>
        <w:t xml:space="preserve"> je štát povinný vytvoriť také nástroje, ktoré pomôžu mladým rodinám v rozhodovaní o prijatí ďa</w:t>
      </w:r>
      <w:r w:rsidR="00213298">
        <w:rPr>
          <w:rFonts w:hAnsi="Book Antiqua" w:cs="Times New Roman"/>
          <w:sz w:val="22"/>
          <w:szCs w:val="22"/>
        </w:rPr>
        <w:t>l</w:t>
      </w:r>
      <w:r w:rsidRPr="00213298">
        <w:rPr>
          <w:rFonts w:hAnsi="Book Antiqua" w:cs="Times New Roman"/>
          <w:sz w:val="22"/>
          <w:szCs w:val="22"/>
        </w:rPr>
        <w:t>šieho dieťaťa do rodiny. Ekonomické nástroje sú jedným z dôležitých benefitov súčasnosti práve pri rozhodovaní o počte detí. Je nutné si uvedomiť, že rodič</w:t>
      </w:r>
      <w:r w:rsidR="00213298">
        <w:rPr>
          <w:rFonts w:hAnsi="Book Antiqua" w:cs="Times New Roman"/>
          <w:sz w:val="22"/>
          <w:szCs w:val="22"/>
        </w:rPr>
        <w:t>ia vychovávajú deti nie</w:t>
      </w:r>
      <w:r w:rsidRPr="00213298">
        <w:rPr>
          <w:rFonts w:hAnsi="Book Antiqua" w:cs="Times New Roman"/>
          <w:sz w:val="22"/>
          <w:szCs w:val="22"/>
        </w:rPr>
        <w:t>len pre seba, ale pre spoločnosť, ktorú v budúcnosti (v aktívnom veku) odmenia vo f</w:t>
      </w:r>
      <w:r w:rsidR="008E6985">
        <w:rPr>
          <w:rFonts w:hAnsi="Book Antiqua" w:cs="Times New Roman"/>
          <w:sz w:val="22"/>
          <w:szCs w:val="22"/>
        </w:rPr>
        <w:t xml:space="preserve">orme odvádzania daní a odvodov. </w:t>
      </w:r>
      <w:r w:rsidRPr="00213298">
        <w:rPr>
          <w:rFonts w:hAnsi="Book Antiqua" w:cs="Times New Roman"/>
          <w:sz w:val="22"/>
          <w:szCs w:val="22"/>
        </w:rPr>
        <w:t xml:space="preserve">Preto je dôležité nepozerať sa na súčasné navýšenie sumy daňového bonusu ako na mínus pre štátny rozpočet, ale ako na veľký prínos a investíciu do budúcnosti. Navyše takéto opatrenie je zamerané na </w:t>
      </w:r>
      <w:r w:rsidRPr="00213298" w:rsidR="00370FC8">
        <w:rPr>
          <w:rFonts w:hAnsi="Book Antiqua" w:cs="Times New Roman"/>
          <w:sz w:val="22"/>
          <w:szCs w:val="22"/>
        </w:rPr>
        <w:t>platcov</w:t>
      </w:r>
      <w:r w:rsidRPr="00213298">
        <w:rPr>
          <w:rFonts w:hAnsi="Book Antiqua" w:cs="Times New Roman"/>
          <w:sz w:val="22"/>
          <w:szCs w:val="22"/>
        </w:rPr>
        <w:t xml:space="preserve"> dane, teda pre pracujúcich rodičov. Nie je nasmerované pre poberateľov sociálnych dávok.</w:t>
      </w:r>
    </w:p>
    <w:p w:rsidR="00213298" w:rsidP="00213298">
      <w:pPr>
        <w:pStyle w:val="NormalWeb"/>
        <w:bidi w:val="0"/>
        <w:spacing w:before="120" w:after="0"/>
        <w:ind w:firstLine="709"/>
        <w:jc w:val="both"/>
        <w:rPr>
          <w:rFonts w:hAnsi="Book Antiqua" w:cs="Times New Roman"/>
          <w:sz w:val="22"/>
          <w:szCs w:val="22"/>
        </w:rPr>
      </w:pPr>
      <w:r w:rsidRPr="00213298" w:rsidR="00F025C4">
        <w:rPr>
          <w:rFonts w:hAnsi="Book Antiqua" w:cs="Times New Roman"/>
          <w:sz w:val="22"/>
          <w:szCs w:val="22"/>
        </w:rPr>
        <w:t>Daňový bonus znižuje daň z príjmu tým ľuďom, ktorí vyživujú vlastné deti, osvojené deti, deti prevzaté do starostlivosti nahrádzajúcej starostlivosť rodičov na základe rozhodnutia príslušného orgánu a deti druhého z manž</w:t>
      </w:r>
      <w:r>
        <w:rPr>
          <w:rFonts w:hAnsi="Book Antiqua" w:cs="Times New Roman"/>
          <w:sz w:val="22"/>
          <w:szCs w:val="22"/>
        </w:rPr>
        <w:t>elov.</w:t>
      </w:r>
    </w:p>
    <w:p w:rsidR="0010395E" w:rsidRPr="00213298" w:rsidP="00213298">
      <w:pPr>
        <w:bidi w:val="0"/>
        <w:spacing w:before="120"/>
        <w:ind w:firstLine="708"/>
        <w:jc w:val="both"/>
        <w:rPr>
          <w:rFonts w:hAnsi="Book Antiqua"/>
          <w:b/>
          <w:sz w:val="22"/>
          <w:szCs w:val="22"/>
        </w:rPr>
      </w:pPr>
      <w:r w:rsidRPr="00213298">
        <w:rPr>
          <w:rFonts w:hAnsi="Book Antiqua" w:cs="Times New Roman"/>
          <w:sz w:val="22"/>
          <w:szCs w:val="22"/>
        </w:rPr>
        <w:t>Podľa súčasnej právnej úpravy si daňovník, ktorý v zdaňovacom období mal zdaniteľné príjmy</w:t>
      </w:r>
    </w:p>
    <w:p w:rsidR="0010395E" w:rsidRPr="00213298" w:rsidP="00213298">
      <w:pPr>
        <w:pStyle w:val="NormalWeb"/>
        <w:numPr>
          <w:numId w:val="2"/>
        </w:numPr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sz w:val="22"/>
          <w:szCs w:val="22"/>
        </w:rPr>
        <w:t xml:space="preserve">zo závislej činnosti (§ 5 zákona) aspoň vo výške 6-násobku minimálnej mzdy, </w:t>
      </w:r>
    </w:p>
    <w:p w:rsidR="0010395E" w:rsidRPr="00213298" w:rsidP="00213298">
      <w:pPr>
        <w:pStyle w:val="NormalWeb"/>
        <w:numPr>
          <w:numId w:val="2"/>
        </w:numPr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sz w:val="22"/>
          <w:szCs w:val="22"/>
        </w:rPr>
        <w:t>z podnikania, z inej samostatnej zárobkovej činnosti (§ 6 ods. 1 a 2 zákona) aspoň vo výške 6-násobku minimálnej mzdy a vykázal z týchto činností základ dane (čiastkový základ dane),</w:t>
      </w:r>
    </w:p>
    <w:p w:rsidR="008E6985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 w:rsidR="0010395E">
        <w:rPr>
          <w:rFonts w:hAnsi="Book Antiqua" w:cs="Times New Roman"/>
          <w:sz w:val="22"/>
          <w:szCs w:val="22"/>
        </w:rPr>
        <w:t>môže si uplatniť daňový bonus v sume 19,32 eura mesačne na každé vyživované dieťa žijúce v domácnosti s daň</w:t>
      </w:r>
      <w:r>
        <w:rPr>
          <w:rFonts w:hAnsi="Book Antiqua" w:cs="Times New Roman"/>
          <w:sz w:val="22"/>
          <w:szCs w:val="22"/>
        </w:rPr>
        <w:t>ovníkom.</w:t>
      </w:r>
    </w:p>
    <w:p w:rsidR="008E6985" w:rsidP="008E6985">
      <w:pPr>
        <w:bidi w:val="0"/>
        <w:spacing w:before="120"/>
        <w:ind w:firstLine="708"/>
        <w:jc w:val="both"/>
        <w:rPr>
          <w:rFonts w:hAnsi="Book Antiqua" w:cs="Times New Roman"/>
          <w:sz w:val="22"/>
          <w:szCs w:val="22"/>
        </w:rPr>
      </w:pPr>
      <w:r w:rsidRPr="00213298" w:rsidR="0010395E">
        <w:rPr>
          <w:rFonts w:hAnsi="Book Antiqua" w:cs="Times New Roman"/>
          <w:sz w:val="22"/>
          <w:szCs w:val="22"/>
        </w:rPr>
        <w:t>V súlade s § 52zd ods. 7 zákona daňový bonus sa zvyšuje k 1. januáru príslušného zdaňovacieho obdobia rovnakým koeficientom, ako sa zvyšovala suma životného minima k 1. júlu predchádzajúceho zdaňovacieho obdobia. Na základe toho sa každoročne suma daňového bonusu valorizuje; aktuálne výška daňového bonusu v roku 2016 je 21,41 eur mesačne, t.j. 256,92 eur ročne na každé dieťa.</w:t>
      </w:r>
    </w:p>
    <w:p w:rsidR="0010395E" w:rsidP="008E6985">
      <w:pPr>
        <w:pStyle w:val="NormalWeb"/>
        <w:bidi w:val="0"/>
        <w:spacing w:before="120" w:after="0"/>
        <w:ind w:firstLine="709"/>
        <w:jc w:val="both"/>
        <w:rPr>
          <w:rFonts w:hAnsi="Book Antiqua" w:cs="Times New Roman"/>
          <w:sz w:val="22"/>
          <w:szCs w:val="22"/>
        </w:rPr>
      </w:pPr>
      <w:r w:rsidR="008E6985">
        <w:rPr>
          <w:rFonts w:hAnsi="Book Antiqua" w:cs="Times New Roman"/>
          <w:sz w:val="22"/>
          <w:szCs w:val="22"/>
        </w:rPr>
        <w:t xml:space="preserve">Hlavným zámerom </w:t>
      </w:r>
      <w:r w:rsidRPr="00213298">
        <w:rPr>
          <w:rFonts w:hAnsi="Book Antiqua" w:cs="Times New Roman"/>
          <w:sz w:val="22"/>
          <w:szCs w:val="22"/>
        </w:rPr>
        <w:t>návrhu zákona je zvýšiť výšku daňového bonusu na dvojnásobok, čo bude mať priaznivý vplyv pre všetkých „živiteľov rodiny“, keďže toto opatrenie prinesie viac peňazí do rodinného rozpočtu.</w:t>
      </w:r>
    </w:p>
    <w:p w:rsidR="0010395E" w:rsidRPr="008E6985" w:rsidP="008E6985">
      <w:pPr>
        <w:bidi w:val="0"/>
        <w:spacing w:before="120"/>
        <w:ind w:firstLine="708"/>
        <w:jc w:val="both"/>
        <w:rPr>
          <w:rFonts w:hAnsi="Book Antiqua"/>
          <w:b/>
          <w:sz w:val="22"/>
          <w:szCs w:val="22"/>
        </w:rPr>
      </w:pPr>
      <w:r w:rsidRPr="00213298">
        <w:rPr>
          <w:rFonts w:hAnsi="Book Antiqua" w:cs="Times New Roman"/>
          <w:sz w:val="22"/>
          <w:szCs w:val="22"/>
        </w:rPr>
        <w:t xml:space="preserve">Predkladaný návrh zákona má negatívny vplyv na rozpočet verejnej správy, nemá vplyv na životné prostredie a ani na informatizáciu spoločnosti. Návrh zákona má pozitívny vplyv na podnikateľské prostredie a na hospodárenie obyvateľstva. </w:t>
      </w:r>
    </w:p>
    <w:p w:rsidR="0010395E" w:rsidRPr="00213298" w:rsidP="00213298">
      <w:pPr>
        <w:pStyle w:val="NormalWeb"/>
        <w:bidi w:val="0"/>
        <w:spacing w:before="120" w:after="0"/>
        <w:ind w:firstLine="708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sz w:val="22"/>
          <w:szCs w:val="22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 a s právom Európskej únie.</w:t>
      </w: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b/>
          <w:sz w:val="22"/>
          <w:szCs w:val="22"/>
        </w:rPr>
      </w:pPr>
    </w:p>
    <w:p w:rsidR="004166B9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b/>
          <w:sz w:val="22"/>
          <w:szCs w:val="22"/>
        </w:rPr>
      </w:pPr>
      <w:r w:rsidRPr="00213298">
        <w:rPr>
          <w:rFonts w:hAnsi="Book Antiqua" w:cs="Times New Roman"/>
          <w:b/>
          <w:sz w:val="22"/>
          <w:szCs w:val="22"/>
        </w:rPr>
        <w:br w:type="page"/>
      </w: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b/>
          <w:sz w:val="22"/>
          <w:szCs w:val="22"/>
        </w:rPr>
        <w:t>B. Osobitná časť</w:t>
      </w: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b/>
          <w:sz w:val="22"/>
          <w:szCs w:val="22"/>
        </w:rPr>
        <w:t>K Čl. I</w:t>
      </w:r>
    </w:p>
    <w:p w:rsidR="0010395E" w:rsidRPr="008E6985" w:rsidP="00213298">
      <w:pPr>
        <w:shd w:val="clear" w:color="auto" w:fill="FFFFFF"/>
        <w:bidi w:val="0"/>
        <w:spacing w:before="120" w:after="0"/>
        <w:ind w:firstLine="708"/>
        <w:jc w:val="both"/>
        <w:textAlignment w:val="baseline"/>
        <w:rPr>
          <w:rFonts w:hAnsi="Book Antiqua" w:cs="Times New Roman"/>
          <w:color w:val="auto"/>
          <w:sz w:val="22"/>
          <w:szCs w:val="22"/>
        </w:rPr>
      </w:pPr>
      <w:r w:rsidR="008E6985">
        <w:rPr>
          <w:rFonts w:hAnsi="Book Antiqua" w:cs="Times New Roman"/>
          <w:color w:val="auto"/>
          <w:sz w:val="22"/>
          <w:szCs w:val="22"/>
          <w:lang w:eastAsia="en-US"/>
        </w:rPr>
        <w:t>Z</w:t>
      </w:r>
      <w:r w:rsidRPr="008E6985">
        <w:rPr>
          <w:rFonts w:hAnsi="Book Antiqua" w:cs="Times New Roman"/>
          <w:color w:val="auto"/>
          <w:sz w:val="22"/>
          <w:szCs w:val="22"/>
          <w:lang w:eastAsia="en-US"/>
        </w:rPr>
        <w:t>vyš</w:t>
      </w:r>
      <w:r w:rsidRPr="008E6985" w:rsidR="006F56B1">
        <w:rPr>
          <w:rFonts w:hAnsi="Book Antiqua" w:cs="Times New Roman"/>
          <w:color w:val="auto"/>
          <w:sz w:val="22"/>
          <w:szCs w:val="22"/>
          <w:lang w:eastAsia="en-US"/>
        </w:rPr>
        <w:t>uje</w:t>
      </w:r>
      <w:r w:rsidRPr="008E6985">
        <w:rPr>
          <w:rFonts w:hAnsi="Book Antiqua" w:cs="Times New Roman"/>
          <w:color w:val="auto"/>
          <w:sz w:val="22"/>
          <w:szCs w:val="22"/>
          <w:lang w:eastAsia="en-US"/>
        </w:rPr>
        <w:t xml:space="preserve"> </w:t>
      </w:r>
      <w:r w:rsidR="008E6985">
        <w:rPr>
          <w:rFonts w:hAnsi="Book Antiqua" w:cs="Times New Roman"/>
          <w:color w:val="auto"/>
          <w:sz w:val="22"/>
          <w:szCs w:val="22"/>
          <w:lang w:eastAsia="en-US"/>
        </w:rPr>
        <w:t xml:space="preserve">sa </w:t>
      </w:r>
      <w:r w:rsidRPr="008E6985">
        <w:rPr>
          <w:rFonts w:hAnsi="Book Antiqua" w:cs="Times New Roman"/>
          <w:color w:val="auto"/>
          <w:sz w:val="22"/>
          <w:szCs w:val="22"/>
          <w:lang w:eastAsia="en-US"/>
        </w:rPr>
        <w:t>daňový bonus z 19,32 eur mesačne na 38,64 eur mesačne. Táto suma daňového bonusu nie je konečná, keďž</w:t>
      </w:r>
      <w:r w:rsidR="008E6985">
        <w:rPr>
          <w:rFonts w:hAnsi="Book Antiqua" w:cs="Times New Roman"/>
          <w:color w:val="auto"/>
          <w:sz w:val="22"/>
          <w:szCs w:val="22"/>
          <w:lang w:eastAsia="en-US"/>
        </w:rPr>
        <w:t>e zároveň platí</w:t>
      </w:r>
      <w:r w:rsidRPr="008E6985">
        <w:rPr>
          <w:rFonts w:hAnsi="Book Antiqua" w:cs="Times New Roman"/>
          <w:color w:val="auto"/>
          <w:sz w:val="22"/>
          <w:szCs w:val="22"/>
          <w:lang w:eastAsia="en-US"/>
        </w:rPr>
        <w:t xml:space="preserve"> ustanovenie § 52zd ods. 7 zákona, v zmysle ktorého sa daňový bonus podľa § 33 zvyšuje </w:t>
      </w:r>
      <w:r w:rsidRPr="008E6985">
        <w:rPr>
          <w:rFonts w:hAnsi="Book Antiqua" w:cs="Times New Roman"/>
          <w:color w:val="auto"/>
          <w:sz w:val="22"/>
          <w:szCs w:val="22"/>
        </w:rPr>
        <w:t xml:space="preserve">k 1. januáru príslušného zdaňovacieho obdobia rovnakým koeficientom, ako sa zvyšovala suma životného minima k 1. júlu predchádzajúceho zdaňovacieho obdobia. Toto ustanovenie je v účinnosti od 1. januára </w:t>
      </w:r>
      <w:r w:rsidR="008E6985">
        <w:rPr>
          <w:rFonts w:hAnsi="Book Antiqua" w:cs="Times New Roman"/>
          <w:color w:val="auto"/>
          <w:sz w:val="22"/>
          <w:szCs w:val="22"/>
        </w:rPr>
        <w:t xml:space="preserve">2015 prijatím novely zákona (zákon </w:t>
      </w:r>
      <w:r w:rsidRPr="008E6985">
        <w:rPr>
          <w:rFonts w:hAnsi="Book Antiqua" w:cs="Times New Roman"/>
          <w:color w:val="auto"/>
          <w:sz w:val="22"/>
          <w:szCs w:val="22"/>
        </w:rPr>
        <w:t>č. 333/2014 Z. z.</w:t>
      </w:r>
      <w:r w:rsidR="008E6985">
        <w:rPr>
          <w:rFonts w:hAnsi="Book Antiqua" w:cs="Times New Roman"/>
          <w:color w:val="auto"/>
          <w:sz w:val="22"/>
          <w:szCs w:val="22"/>
        </w:rPr>
        <w:t>)</w:t>
      </w:r>
      <w:r w:rsidRPr="008E6985">
        <w:rPr>
          <w:rFonts w:hAnsi="Book Antiqua" w:cs="Times New Roman"/>
          <w:color w:val="auto"/>
          <w:sz w:val="22"/>
          <w:szCs w:val="22"/>
        </w:rPr>
        <w:t>, v dôsledku čoho sa suma daňového bonusu upravuje nie k 1. júlu, ale k 1. januáru. Ostatné podmienky, pri splnení ktorých si daňovník môže uplatniť nárok na daňový bonus na každé vyživované dieťa žijúce s ním v domácnosti, zostávajú v predkladanom návrhu zákona nezmenené.</w:t>
        <w:br/>
      </w:r>
    </w:p>
    <w:p w:rsidR="0010395E" w:rsidRPr="008E6985" w:rsidP="00213298">
      <w:pPr>
        <w:pStyle w:val="NormalWeb"/>
        <w:bidi w:val="0"/>
        <w:spacing w:before="120" w:after="0"/>
        <w:contextualSpacing w:val="0"/>
        <w:jc w:val="both"/>
        <w:rPr>
          <w:rFonts w:hAnsi="Book Antiqua" w:cs="Times New Roman"/>
          <w:color w:val="auto"/>
          <w:sz w:val="22"/>
          <w:szCs w:val="22"/>
        </w:rPr>
      </w:pPr>
      <w:r w:rsidRPr="008E6985">
        <w:rPr>
          <w:rFonts w:hAnsi="Book Antiqua" w:cs="Times New Roman"/>
          <w:b/>
          <w:color w:val="auto"/>
          <w:sz w:val="22"/>
          <w:szCs w:val="22"/>
        </w:rPr>
        <w:t>K Čl. II</w:t>
      </w:r>
    </w:p>
    <w:p w:rsidR="0010395E" w:rsidRPr="008E6985" w:rsidP="00213298">
      <w:pPr>
        <w:pStyle w:val="NormalWeb"/>
        <w:bidi w:val="0"/>
        <w:spacing w:before="120" w:after="0"/>
        <w:ind w:firstLine="708"/>
        <w:contextualSpacing w:val="0"/>
        <w:jc w:val="both"/>
        <w:rPr>
          <w:rFonts w:hAnsi="Book Antiqua" w:cs="Times New Roman"/>
          <w:color w:val="auto"/>
          <w:sz w:val="22"/>
          <w:szCs w:val="22"/>
        </w:rPr>
      </w:pPr>
      <w:r w:rsidRPr="008E6985">
        <w:rPr>
          <w:rFonts w:hAnsi="Book Antiqua" w:cs="Times New Roman"/>
          <w:color w:val="auto"/>
          <w:sz w:val="22"/>
          <w:szCs w:val="22"/>
        </w:rPr>
        <w:t>Účinnosť predkladaného zákona sa, so zohľadnením legisvakančnej lehoty a úprave daňového bonusu vždy k 1. januáru príslušného kalendárneho roka, navrhuje od 1. januára 2017.</w:t>
      </w:r>
    </w:p>
    <w:p w:rsidR="0010395E" w:rsidRPr="008E6985" w:rsidP="00213298">
      <w:pPr>
        <w:pStyle w:val="NormalWeb"/>
        <w:bidi w:val="0"/>
        <w:spacing w:before="120" w:after="0"/>
        <w:jc w:val="center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jc w:val="center"/>
        <w:rPr>
          <w:rFonts w:hAnsi="Book Antiqua" w:cs="Times New Roman"/>
          <w:b/>
          <w:caps/>
          <w:spacing w:val="30"/>
          <w:sz w:val="22"/>
          <w:szCs w:val="22"/>
        </w:rPr>
      </w:pPr>
      <w:r w:rsidRPr="00213298" w:rsidR="004166B9">
        <w:rPr>
          <w:rFonts w:hAnsi="Book Antiqua" w:cs="Times New Roman"/>
          <w:b/>
          <w:caps/>
          <w:spacing w:val="30"/>
          <w:sz w:val="22"/>
          <w:szCs w:val="22"/>
        </w:rPr>
        <w:t xml:space="preserve"> </w:t>
      </w:r>
    </w:p>
    <w:p w:rsidR="0010395E" w:rsidRPr="00213298" w:rsidP="00213298">
      <w:pPr>
        <w:pStyle w:val="NormalWeb"/>
        <w:bidi w:val="0"/>
        <w:spacing w:before="120" w:after="0"/>
        <w:jc w:val="center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jc w:val="center"/>
        <w:rPr>
          <w:rFonts w:hAnsi="Book Antiqua" w:cs="Times New Roman"/>
          <w:sz w:val="22"/>
          <w:szCs w:val="22"/>
        </w:rPr>
      </w:pPr>
    </w:p>
    <w:p w:rsidR="0010395E" w:rsidRPr="00213298" w:rsidP="00213298">
      <w:pPr>
        <w:pStyle w:val="NormalWeb"/>
        <w:pageBreakBefore/>
        <w:bidi w:val="0"/>
        <w:spacing w:before="120" w:after="0"/>
        <w:jc w:val="center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b/>
          <w:caps/>
          <w:spacing w:val="30"/>
          <w:sz w:val="22"/>
          <w:szCs w:val="22"/>
        </w:rPr>
        <w:t>DOLOŽKA ZLUČITEĽNOSTI</w:t>
      </w:r>
    </w:p>
    <w:p w:rsidR="0010395E" w:rsidRPr="00213298" w:rsidP="00213298">
      <w:pPr>
        <w:pStyle w:val="NormalWeb"/>
        <w:bidi w:val="0"/>
        <w:spacing w:before="120" w:after="0"/>
        <w:jc w:val="center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b/>
          <w:sz w:val="22"/>
          <w:szCs w:val="22"/>
        </w:rPr>
        <w:t>návrhu zákona</w:t>
      </w:r>
      <w:r w:rsidRPr="00213298">
        <w:rPr>
          <w:rFonts w:hAnsi="Book Antiqua" w:cs="Times New Roman"/>
          <w:sz w:val="22"/>
          <w:szCs w:val="22"/>
        </w:rPr>
        <w:t xml:space="preserve"> </w:t>
      </w:r>
      <w:r w:rsidRPr="00213298">
        <w:rPr>
          <w:rFonts w:hAnsi="Book Antiqua" w:cs="Times New Roman"/>
          <w:b/>
          <w:sz w:val="22"/>
          <w:szCs w:val="22"/>
        </w:rPr>
        <w:t>s právom Európskej únie</w:t>
      </w: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sz w:val="22"/>
          <w:szCs w:val="22"/>
        </w:rPr>
        <w:t> </w:t>
      </w: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b/>
          <w:sz w:val="22"/>
          <w:szCs w:val="22"/>
        </w:rPr>
        <w:t>1. Navrhovateľ zákona:</w:t>
      </w:r>
      <w:r w:rsidRPr="00213298">
        <w:rPr>
          <w:rFonts w:hAnsi="Book Antiqua" w:cs="Times New Roman"/>
          <w:sz w:val="22"/>
          <w:szCs w:val="22"/>
        </w:rPr>
        <w:t xml:space="preserve"> poslankyne Národnej rady Slovenskej republiky Erika Jurinová, Soňa Gaborčáková, Silvia Petruchová a Anna Verešová</w:t>
      </w: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b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b/>
          <w:sz w:val="22"/>
          <w:szCs w:val="22"/>
        </w:rPr>
        <w:t>2. Názov návrhu zákona:</w:t>
      </w:r>
      <w:r w:rsidRPr="00213298">
        <w:rPr>
          <w:rFonts w:hAnsi="Book Antiqua" w:cs="Times New Roman"/>
          <w:sz w:val="22"/>
          <w:szCs w:val="22"/>
        </w:rPr>
        <w:t xml:space="preserve"> návrh zákona, ktorým sa mení zákon č. 595/2003 Z. z. o dani z príjmov v znení neskorších predpisov</w:t>
      </w: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b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b/>
          <w:sz w:val="22"/>
          <w:szCs w:val="22"/>
        </w:rPr>
        <w:t>3. Predmet návrhu zákona:</w:t>
      </w: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</w:p>
    <w:p w:rsidR="0010395E" w:rsidRPr="00213298" w:rsidP="00213298">
      <w:pPr>
        <w:pStyle w:val="NormalWeb"/>
        <w:numPr>
          <w:numId w:val="1"/>
        </w:numPr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sz w:val="22"/>
          <w:szCs w:val="22"/>
        </w:rPr>
        <w:t>nie je upravený v primárnom práve Európskej únie,</w:t>
      </w:r>
    </w:p>
    <w:p w:rsidR="0010395E" w:rsidRPr="00213298" w:rsidP="00213298">
      <w:pPr>
        <w:pStyle w:val="NormalWeb"/>
        <w:numPr>
          <w:numId w:val="1"/>
        </w:numPr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sz w:val="22"/>
          <w:szCs w:val="22"/>
        </w:rPr>
        <w:t xml:space="preserve">nie je upravený v sekundárnom práve Európskej únie, </w:t>
      </w:r>
    </w:p>
    <w:p w:rsidR="0010395E" w:rsidRPr="00213298" w:rsidP="00213298">
      <w:pPr>
        <w:pStyle w:val="NormalWeb"/>
        <w:numPr>
          <w:numId w:val="1"/>
        </w:numPr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sz w:val="22"/>
          <w:szCs w:val="22"/>
        </w:rPr>
        <w:t>nie</w:t>
      </w:r>
      <w:r w:rsidR="008E6985">
        <w:rPr>
          <w:rFonts w:hAnsi="Book Antiqua" w:cs="Times New Roman"/>
          <w:sz w:val="22"/>
          <w:szCs w:val="22"/>
        </w:rPr>
        <w:t xml:space="preserve"> je obsiahnutý</w:t>
      </w:r>
      <w:r w:rsidRPr="00213298">
        <w:rPr>
          <w:rFonts w:hAnsi="Book Antiqua" w:cs="Times New Roman"/>
          <w:sz w:val="22"/>
          <w:szCs w:val="22"/>
        </w:rPr>
        <w:t xml:space="preserve"> v judikatúre Súdneho dvora Európskej únie. </w:t>
      </w:r>
    </w:p>
    <w:p w:rsidR="0010395E" w:rsidRPr="00213298" w:rsidP="00213298">
      <w:pPr>
        <w:bidi w:val="0"/>
        <w:spacing w:before="120" w:after="0"/>
        <w:ind w:left="341"/>
        <w:jc w:val="both"/>
        <w:rPr>
          <w:rFonts w:hAnsi="Book Antiqua" w:cs="Times New Roman"/>
          <w:b/>
          <w:sz w:val="22"/>
          <w:szCs w:val="22"/>
        </w:rPr>
      </w:pPr>
    </w:p>
    <w:p w:rsidR="0010395E" w:rsidRPr="00213298" w:rsidP="00213298">
      <w:pPr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b/>
          <w:sz w:val="22"/>
          <w:szCs w:val="22"/>
        </w:rPr>
        <w:t>Vzhľadom na to, že predmet návrhu zákona nie je upravený v práve Európskej únie, je bezpredmetné vyjadrovať sa k bodom 4. a 5.</w:t>
      </w:r>
    </w:p>
    <w:p w:rsidR="0010395E" w:rsidRPr="00213298" w:rsidP="00213298">
      <w:pPr>
        <w:tabs>
          <w:tab w:val="left" w:pos="341"/>
        </w:tabs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b/>
          <w:caps/>
          <w:spacing w:val="30"/>
          <w:sz w:val="22"/>
          <w:szCs w:val="22"/>
        </w:rPr>
      </w:pPr>
    </w:p>
    <w:p w:rsidR="004166B9" w:rsidRPr="00213298" w:rsidP="00213298">
      <w:pPr>
        <w:pStyle w:val="NormalWeb"/>
        <w:bidi w:val="0"/>
        <w:spacing w:before="120" w:after="0"/>
        <w:jc w:val="center"/>
        <w:rPr>
          <w:rFonts w:hAnsi="Book Antiqua" w:cs="Times New Roman"/>
          <w:b/>
          <w:caps/>
          <w:spacing w:val="30"/>
          <w:sz w:val="22"/>
          <w:szCs w:val="22"/>
        </w:rPr>
      </w:pPr>
      <w:r w:rsidRPr="00213298">
        <w:rPr>
          <w:rFonts w:hAnsi="Book Antiqua" w:cs="Times New Roman"/>
          <w:b/>
          <w:caps/>
          <w:spacing w:val="30"/>
          <w:sz w:val="22"/>
          <w:szCs w:val="22"/>
        </w:rPr>
        <w:br w:type="page"/>
      </w:r>
    </w:p>
    <w:p w:rsidR="0010395E" w:rsidRPr="00213298" w:rsidP="00213298">
      <w:pPr>
        <w:pStyle w:val="NormalWeb"/>
        <w:bidi w:val="0"/>
        <w:spacing w:before="120" w:after="0"/>
        <w:jc w:val="center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b/>
          <w:caps/>
          <w:spacing w:val="30"/>
          <w:sz w:val="22"/>
          <w:szCs w:val="22"/>
        </w:rPr>
        <w:t>Doložka</w:t>
      </w:r>
    </w:p>
    <w:p w:rsidR="0010395E" w:rsidRPr="00213298" w:rsidP="00213298">
      <w:pPr>
        <w:pStyle w:val="NormalWeb"/>
        <w:bidi w:val="0"/>
        <w:spacing w:before="120" w:after="0"/>
        <w:jc w:val="center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b/>
          <w:sz w:val="22"/>
          <w:szCs w:val="22"/>
        </w:rPr>
        <w:t>vybraných vplyvov</w:t>
      </w:r>
    </w:p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sz w:val="22"/>
          <w:szCs w:val="22"/>
        </w:rPr>
        <w:t> </w:t>
      </w: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b/>
          <w:sz w:val="22"/>
          <w:szCs w:val="22"/>
        </w:rPr>
        <w:t xml:space="preserve">A.1. Názov materiálu: </w:t>
      </w:r>
      <w:r w:rsidRPr="00213298">
        <w:rPr>
          <w:rFonts w:hAnsi="Book Antiqua" w:cs="Times New Roman"/>
          <w:sz w:val="22"/>
          <w:szCs w:val="22"/>
        </w:rPr>
        <w:t xml:space="preserve">návrh zákona, ktorým sa mení zákon č. 595/2003 Z. z. o dani z príjmov v znení neskorších predpisov </w:t>
      </w:r>
    </w:p>
    <w:p w:rsidR="004166B9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b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b/>
          <w:sz w:val="22"/>
          <w:szCs w:val="22"/>
        </w:rPr>
        <w:t>Termín začatia a ukončenia PPK:</w:t>
      </w:r>
      <w:r w:rsidRPr="00213298">
        <w:rPr>
          <w:rFonts w:hAnsi="Book Antiqua" w:cs="Times New Roman"/>
          <w:sz w:val="22"/>
          <w:szCs w:val="22"/>
        </w:rPr>
        <w:t xml:space="preserve"> </w:t>
      </w:r>
      <w:r w:rsidRPr="00213298">
        <w:rPr>
          <w:rFonts w:hAnsi="Book Antiqua" w:cs="Times New Roman"/>
          <w:i/>
          <w:sz w:val="22"/>
          <w:szCs w:val="22"/>
        </w:rPr>
        <w:t>bezpredmetné</w:t>
      </w: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b/>
          <w:sz w:val="22"/>
          <w:szCs w:val="22"/>
        </w:rPr>
        <w:t> </w:t>
      </w: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b/>
          <w:sz w:val="22"/>
          <w:szCs w:val="22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06"/>
        <w:gridCol w:w="1188"/>
        <w:gridCol w:w="1178"/>
        <w:gridCol w:w="1198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 Pozitívne 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 Žiadne 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1. Vplyvy na rozpočet verejnej správy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X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bookmarkStart w:id="0" w:name="__DdeLink__4333_600043196"/>
            <w:bookmarkEnd w:id="0"/>
            <w:r w:rsidRPr="00213298">
              <w:rPr>
                <w:rFonts w:hAnsi="Book Antiqua" w:cs="Times New Roman"/>
                <w:sz w:val="22"/>
                <w:szCs w:val="22"/>
              </w:rPr>
              <w:t>3. Sociálne vplyvy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– vplyvy na hospodárenie obyvateľstva,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– sociálnu exklúziu,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213298" w:rsidP="00213298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sz w:val="22"/>
                <w:szCs w:val="22"/>
              </w:rPr>
            </w:pPr>
            <w:r w:rsidRPr="00213298">
              <w:rPr>
                <w:rFonts w:hAnsi="Book Antiqua" w:cs="Times New Roman"/>
                <w:sz w:val="22"/>
                <w:szCs w:val="22"/>
              </w:rPr>
              <w:t> </w:t>
            </w:r>
          </w:p>
        </w:tc>
      </w:tr>
    </w:tbl>
    <w:p w:rsidR="0010395E" w:rsidRPr="00213298" w:rsidP="00213298">
      <w:pPr>
        <w:pStyle w:val="NormalWeb"/>
        <w:bidi w:val="0"/>
        <w:spacing w:before="120" w:after="0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sz w:val="22"/>
          <w:szCs w:val="22"/>
        </w:rPr>
        <w:t> </w:t>
      </w: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b/>
          <w:sz w:val="22"/>
          <w:szCs w:val="22"/>
        </w:rPr>
        <w:t>A.3. Poznámky</w:t>
      </w: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i/>
          <w:sz w:val="22"/>
          <w:szCs w:val="22"/>
          <w:highlight w:val="yellow"/>
        </w:rPr>
      </w:pPr>
      <w:r w:rsidRPr="00213298">
        <w:rPr>
          <w:rFonts w:hAnsi="Book Antiqua" w:cs="Times New Roman"/>
          <w:i/>
          <w:sz w:val="22"/>
          <w:szCs w:val="22"/>
        </w:rPr>
        <w:t xml:space="preserve">Návrh zákona predpokladá negatívny vplyv na rozpočet verejnej správy, keďže zvýšením sumy daňového bonusu sa znižuje daň z príjmu daňovníkovi, čo predstavuje menej odvedených finančných prostriedkov do štátneho rozpočtu. </w:t>
      </w:r>
      <w:r w:rsidRPr="00213298" w:rsidR="00370FC8">
        <w:rPr>
          <w:rFonts w:hAnsi="Book Antiqua" w:cs="Times New Roman"/>
          <w:i/>
          <w:sz w:val="22"/>
          <w:szCs w:val="22"/>
        </w:rPr>
        <w:t>Návrh zákona predstavuj</w:t>
      </w:r>
      <w:r w:rsidRPr="00213298" w:rsidR="00E531F9">
        <w:rPr>
          <w:rFonts w:hAnsi="Book Antiqua" w:cs="Times New Roman"/>
          <w:i/>
          <w:sz w:val="22"/>
          <w:szCs w:val="22"/>
        </w:rPr>
        <w:t>e</w:t>
      </w:r>
      <w:r w:rsidRPr="00213298" w:rsidR="00370FC8">
        <w:rPr>
          <w:rFonts w:hAnsi="Book Antiqua" w:cs="Times New Roman"/>
          <w:i/>
          <w:sz w:val="22"/>
          <w:szCs w:val="22"/>
        </w:rPr>
        <w:t xml:space="preserve"> </w:t>
      </w:r>
      <w:r w:rsidRPr="00213298" w:rsidR="00A05BCE">
        <w:rPr>
          <w:rFonts w:hAnsi="Book Antiqua" w:cs="Times New Roman"/>
          <w:i/>
          <w:sz w:val="22"/>
          <w:szCs w:val="22"/>
        </w:rPr>
        <w:t>záťaž pre</w:t>
      </w:r>
      <w:r w:rsidRPr="00213298" w:rsidR="00370FC8">
        <w:rPr>
          <w:rFonts w:hAnsi="Book Antiqua" w:cs="Times New Roman"/>
          <w:i/>
          <w:sz w:val="22"/>
          <w:szCs w:val="22"/>
        </w:rPr>
        <w:t xml:space="preserve"> rozpočet verejnej správy vo výš</w:t>
      </w:r>
      <w:r w:rsidRPr="00213298" w:rsidR="001F0926">
        <w:rPr>
          <w:rFonts w:hAnsi="Book Antiqua" w:cs="Times New Roman"/>
          <w:i/>
          <w:sz w:val="22"/>
          <w:szCs w:val="22"/>
        </w:rPr>
        <w:t>ke 261.</w:t>
      </w:r>
      <w:r w:rsidRPr="00213298" w:rsidR="00370FC8">
        <w:rPr>
          <w:rFonts w:hAnsi="Book Antiqua" w:cs="Times New Roman"/>
          <w:i/>
          <w:sz w:val="22"/>
          <w:szCs w:val="22"/>
        </w:rPr>
        <w:t>516</w:t>
      </w:r>
      <w:r w:rsidRPr="00213298" w:rsidR="001F0926">
        <w:rPr>
          <w:rFonts w:hAnsi="Book Antiqua" w:cs="Times New Roman"/>
          <w:i/>
          <w:sz w:val="22"/>
          <w:szCs w:val="22"/>
        </w:rPr>
        <w:t>.</w:t>
      </w:r>
      <w:r w:rsidRPr="00213298" w:rsidR="00370FC8">
        <w:rPr>
          <w:rFonts w:hAnsi="Book Antiqua" w:cs="Times New Roman"/>
          <w:i/>
          <w:sz w:val="22"/>
          <w:szCs w:val="22"/>
        </w:rPr>
        <w:t>000 eur ročne.</w:t>
      </w:r>
      <w:r w:rsidRPr="00213298">
        <w:rPr>
          <w:rFonts w:hAnsi="Book Antiqua" w:cs="Times New Roman"/>
          <w:i/>
          <w:sz w:val="22"/>
          <w:szCs w:val="22"/>
        </w:rPr>
        <w:t xml:space="preserve"> </w:t>
      </w:r>
      <w:r w:rsidRPr="00213298" w:rsidR="000A6F48">
        <w:rPr>
          <w:rFonts w:hAnsi="Book Antiqua" w:cs="Times New Roman"/>
          <w:i/>
          <w:sz w:val="22"/>
          <w:szCs w:val="22"/>
        </w:rPr>
        <w:t xml:space="preserve">Za </w:t>
      </w:r>
      <w:r w:rsidRPr="00213298" w:rsidR="00370FC8">
        <w:rPr>
          <w:rFonts w:hAnsi="Book Antiqua" w:cs="Times New Roman"/>
          <w:i/>
          <w:sz w:val="22"/>
          <w:szCs w:val="22"/>
        </w:rPr>
        <w:t>rok</w:t>
      </w:r>
      <w:r w:rsidRPr="00213298" w:rsidR="00A05BCE">
        <w:rPr>
          <w:rFonts w:hAnsi="Book Antiqua" w:cs="Times New Roman"/>
          <w:i/>
          <w:sz w:val="22"/>
          <w:szCs w:val="22"/>
        </w:rPr>
        <w:t>y</w:t>
      </w:r>
      <w:r w:rsidRPr="00213298" w:rsidR="00370FC8">
        <w:rPr>
          <w:rFonts w:hAnsi="Book Antiqua" w:cs="Times New Roman"/>
          <w:i/>
          <w:sz w:val="22"/>
          <w:szCs w:val="22"/>
        </w:rPr>
        <w:t xml:space="preserve"> 2017</w:t>
      </w:r>
      <w:r w:rsidRPr="00213298" w:rsidR="001F0926">
        <w:rPr>
          <w:rFonts w:hAnsi="Book Antiqua" w:cs="Times New Roman"/>
          <w:i/>
          <w:sz w:val="22"/>
          <w:szCs w:val="22"/>
        </w:rPr>
        <w:t xml:space="preserve"> a 2018</w:t>
      </w:r>
      <w:r w:rsidRPr="00213298" w:rsidR="00370FC8">
        <w:rPr>
          <w:rFonts w:hAnsi="Book Antiqua" w:cs="Times New Roman"/>
          <w:i/>
          <w:sz w:val="22"/>
          <w:szCs w:val="22"/>
        </w:rPr>
        <w:t xml:space="preserve"> pokry</w:t>
      </w:r>
      <w:r w:rsidRPr="00213298" w:rsidR="00A05BCE">
        <w:rPr>
          <w:rFonts w:hAnsi="Book Antiqua" w:cs="Times New Roman"/>
          <w:i/>
          <w:sz w:val="22"/>
          <w:szCs w:val="22"/>
        </w:rPr>
        <w:t>jú</w:t>
      </w:r>
      <w:r w:rsidRPr="00213298" w:rsidR="000A6F48">
        <w:rPr>
          <w:rFonts w:hAnsi="Book Antiqua" w:cs="Times New Roman"/>
          <w:i/>
          <w:sz w:val="22"/>
          <w:szCs w:val="22"/>
        </w:rPr>
        <w:t xml:space="preserve"> </w:t>
      </w:r>
      <w:r w:rsidRPr="00213298" w:rsidR="001F0926">
        <w:rPr>
          <w:rFonts w:hAnsi="Book Antiqua" w:cs="Times New Roman"/>
          <w:i/>
          <w:sz w:val="22"/>
          <w:szCs w:val="22"/>
        </w:rPr>
        <w:t>vý</w:t>
      </w:r>
      <w:r w:rsidRPr="00213298" w:rsidR="00A05BCE">
        <w:rPr>
          <w:rFonts w:hAnsi="Book Antiqua" w:cs="Times New Roman"/>
          <w:i/>
          <w:sz w:val="22"/>
          <w:szCs w:val="22"/>
        </w:rPr>
        <w:t xml:space="preserve">davky </w:t>
      </w:r>
      <w:r w:rsidRPr="00213298" w:rsidR="000A6F48">
        <w:rPr>
          <w:rFonts w:hAnsi="Book Antiqua" w:cs="Times New Roman"/>
          <w:i/>
          <w:sz w:val="22"/>
          <w:szCs w:val="22"/>
        </w:rPr>
        <w:t> </w:t>
      </w:r>
      <w:r w:rsidRPr="00213298" w:rsidR="001F0926">
        <w:rPr>
          <w:rFonts w:hAnsi="Book Antiqua" w:cs="Times New Roman"/>
          <w:i/>
          <w:sz w:val="22"/>
          <w:szCs w:val="22"/>
        </w:rPr>
        <w:t>úspor</w:t>
      </w:r>
      <w:r w:rsidRPr="00213298" w:rsidR="00A05BCE">
        <w:rPr>
          <w:rFonts w:hAnsi="Book Antiqua" w:cs="Times New Roman"/>
          <w:i/>
          <w:sz w:val="22"/>
          <w:szCs w:val="22"/>
        </w:rPr>
        <w:t>y</w:t>
      </w:r>
      <w:r w:rsidRPr="00213298" w:rsidR="001F0926">
        <w:rPr>
          <w:rFonts w:hAnsi="Book Antiqua" w:cs="Times New Roman"/>
          <w:i/>
          <w:sz w:val="22"/>
          <w:szCs w:val="22"/>
        </w:rPr>
        <w:t xml:space="preserve"> </w:t>
      </w:r>
      <w:r w:rsidRPr="00213298" w:rsidR="000A6F48">
        <w:rPr>
          <w:rFonts w:hAnsi="Book Antiqua" w:cs="Times New Roman"/>
          <w:i/>
          <w:sz w:val="22"/>
          <w:szCs w:val="22"/>
        </w:rPr>
        <w:t>v rezorte dopravy</w:t>
      </w:r>
      <w:r w:rsidRPr="00213298" w:rsidR="001F0926">
        <w:rPr>
          <w:rFonts w:hAnsi="Book Antiqua" w:cs="Times New Roman"/>
          <w:i/>
          <w:sz w:val="22"/>
          <w:szCs w:val="22"/>
        </w:rPr>
        <w:t>, pochádzajú</w:t>
      </w:r>
      <w:r w:rsidRPr="00213298" w:rsidR="004166B9">
        <w:rPr>
          <w:rFonts w:hAnsi="Book Antiqua" w:cs="Times New Roman"/>
          <w:i/>
          <w:sz w:val="22"/>
          <w:szCs w:val="22"/>
        </w:rPr>
        <w:t>ce</w:t>
      </w:r>
      <w:r w:rsidRPr="00213298" w:rsidR="00A05BCE">
        <w:rPr>
          <w:rFonts w:hAnsi="Book Antiqua" w:cs="Times New Roman"/>
          <w:i/>
          <w:sz w:val="22"/>
          <w:szCs w:val="22"/>
        </w:rPr>
        <w:t xml:space="preserve"> </w:t>
      </w:r>
      <w:r w:rsidRPr="00213298" w:rsidR="004166B9">
        <w:rPr>
          <w:rFonts w:hAnsi="Book Antiqua" w:cs="Times New Roman"/>
          <w:i/>
          <w:sz w:val="22"/>
          <w:szCs w:val="22"/>
        </w:rPr>
        <w:t>z</w:t>
      </w:r>
      <w:r w:rsidRPr="00213298" w:rsidR="000A6F48">
        <w:rPr>
          <w:rFonts w:hAnsi="Book Antiqua" w:cs="Times New Roman"/>
          <w:i/>
          <w:sz w:val="22"/>
          <w:szCs w:val="22"/>
        </w:rPr>
        <w:t> výdavkov na prevádzku, opravu a</w:t>
      </w:r>
      <w:r w:rsidRPr="00213298" w:rsidR="001F0926">
        <w:rPr>
          <w:rFonts w:hAnsi="Book Antiqua" w:cs="Times New Roman"/>
          <w:i/>
          <w:sz w:val="22"/>
          <w:szCs w:val="22"/>
        </w:rPr>
        <w:t> </w:t>
      </w:r>
      <w:r w:rsidRPr="00213298" w:rsidR="000A6F48">
        <w:rPr>
          <w:rFonts w:hAnsi="Book Antiqua" w:cs="Times New Roman"/>
          <w:i/>
          <w:sz w:val="22"/>
          <w:szCs w:val="22"/>
        </w:rPr>
        <w:t>údržbu</w:t>
      </w:r>
      <w:r w:rsidRPr="00213298" w:rsidR="001F0926">
        <w:rPr>
          <w:rFonts w:hAnsi="Book Antiqua" w:cs="Times New Roman"/>
          <w:i/>
          <w:sz w:val="22"/>
          <w:szCs w:val="22"/>
        </w:rPr>
        <w:t xml:space="preserve"> ciest a</w:t>
      </w:r>
      <w:r w:rsidRPr="00213298" w:rsidR="00A05BCE">
        <w:rPr>
          <w:rFonts w:hAnsi="Book Antiqua" w:cs="Times New Roman"/>
          <w:i/>
          <w:sz w:val="22"/>
          <w:szCs w:val="22"/>
        </w:rPr>
        <w:t> </w:t>
      </w:r>
      <w:r w:rsidRPr="00213298" w:rsidR="001F0926">
        <w:rPr>
          <w:rFonts w:hAnsi="Book Antiqua" w:cs="Times New Roman"/>
          <w:i/>
          <w:sz w:val="22"/>
          <w:szCs w:val="22"/>
        </w:rPr>
        <w:t>diaľnic</w:t>
      </w:r>
      <w:r w:rsidRPr="00213298" w:rsidR="00A05BCE">
        <w:rPr>
          <w:rFonts w:hAnsi="Book Antiqua" w:cs="Times New Roman"/>
          <w:i/>
          <w:sz w:val="22"/>
          <w:szCs w:val="22"/>
        </w:rPr>
        <w:t xml:space="preserve">. </w:t>
      </w:r>
      <w:r w:rsidRPr="00213298" w:rsidR="000A6F48">
        <w:rPr>
          <w:rFonts w:hAnsi="Book Antiqua" w:cs="Times New Roman"/>
          <w:i/>
          <w:sz w:val="22"/>
          <w:szCs w:val="22"/>
        </w:rPr>
        <w:t xml:space="preserve">Podľa analýzy výdavkov </w:t>
      </w:r>
      <w:r w:rsidRPr="00213298" w:rsidR="004166B9">
        <w:rPr>
          <w:rFonts w:hAnsi="Book Antiqua" w:cs="Times New Roman"/>
          <w:i/>
          <w:sz w:val="22"/>
          <w:szCs w:val="22"/>
        </w:rPr>
        <w:t>Ministerstva dopravy, výstavby a regionálneho rozvoja SR</w:t>
      </w:r>
      <w:r w:rsidRPr="00213298" w:rsidR="00A05BCE">
        <w:rPr>
          <w:rFonts w:hAnsi="Book Antiqua" w:cs="Times New Roman"/>
          <w:i/>
          <w:sz w:val="22"/>
          <w:szCs w:val="22"/>
        </w:rPr>
        <w:t xml:space="preserve"> cez projekt </w:t>
      </w:r>
      <w:r w:rsidRPr="00213298" w:rsidR="000A6F48">
        <w:rPr>
          <w:rFonts w:hAnsi="Book Antiqua" w:cs="Times New Roman"/>
          <w:i/>
          <w:sz w:val="22"/>
          <w:szCs w:val="22"/>
        </w:rPr>
        <w:t xml:space="preserve">„hodnota za peniaze“ sa odkryla úspora vo výške </w:t>
      </w:r>
      <w:r w:rsidRPr="00213298" w:rsidR="001F0926">
        <w:rPr>
          <w:rFonts w:hAnsi="Book Antiqua" w:cs="Times New Roman"/>
          <w:i/>
          <w:sz w:val="22"/>
          <w:szCs w:val="22"/>
        </w:rPr>
        <w:t>468.000.</w:t>
      </w:r>
      <w:r w:rsidRPr="00213298" w:rsidR="000A6F48">
        <w:rPr>
          <w:rFonts w:hAnsi="Book Antiqua" w:cs="Times New Roman"/>
          <w:i/>
          <w:sz w:val="22"/>
          <w:szCs w:val="22"/>
        </w:rPr>
        <w:t>000 eur na roky 2017 – 2020.</w:t>
      </w:r>
      <w:r w:rsidRPr="00213298" w:rsidR="001F0926">
        <w:rPr>
          <w:rFonts w:hAnsi="Book Antiqua" w:cs="Times New Roman"/>
          <w:i/>
          <w:sz w:val="22"/>
          <w:szCs w:val="22"/>
        </w:rPr>
        <w:t xml:space="preserve"> Ostatný výpadok dane z príjmov </w:t>
      </w:r>
      <w:r w:rsidRPr="00213298" w:rsidR="00A05BCE">
        <w:rPr>
          <w:rFonts w:hAnsi="Book Antiqua" w:cs="Times New Roman"/>
          <w:i/>
          <w:sz w:val="22"/>
          <w:szCs w:val="22"/>
        </w:rPr>
        <w:t>f</w:t>
      </w:r>
      <w:r w:rsidRPr="00213298" w:rsidR="001F0926">
        <w:rPr>
          <w:rFonts w:hAnsi="Book Antiqua" w:cs="Times New Roman"/>
          <w:i/>
          <w:sz w:val="22"/>
          <w:szCs w:val="22"/>
        </w:rPr>
        <w:t>yzických osôb navrhujeme financovať z príjmov zo zvýšenej sadzby z podnikania v regulovaných subjektoch</w:t>
      </w:r>
      <w:r w:rsidRPr="00213298" w:rsidR="004166B9">
        <w:rPr>
          <w:rFonts w:hAnsi="Book Antiqua" w:cs="Times New Roman"/>
          <w:i/>
          <w:sz w:val="22"/>
          <w:szCs w:val="22"/>
        </w:rPr>
        <w:t>,</w:t>
      </w:r>
      <w:r w:rsidRPr="00213298" w:rsidR="001F0926">
        <w:rPr>
          <w:rFonts w:hAnsi="Book Antiqua" w:cs="Times New Roman"/>
          <w:i/>
          <w:sz w:val="22"/>
          <w:szCs w:val="22"/>
        </w:rPr>
        <w:t xml:space="preserve"> a to ročne vo výške 65.000.000 eur. </w:t>
      </w:r>
      <w:r w:rsidRPr="00213298" w:rsidR="004166B9">
        <w:rPr>
          <w:rFonts w:hAnsi="Book Antiqua" w:cs="Times New Roman"/>
          <w:i/>
          <w:sz w:val="22"/>
          <w:szCs w:val="22"/>
        </w:rPr>
        <w:t>Návrh zákona má</w:t>
      </w:r>
      <w:r w:rsidRPr="00213298">
        <w:rPr>
          <w:rFonts w:hAnsi="Book Antiqua" w:cs="Times New Roman"/>
          <w:i/>
          <w:sz w:val="22"/>
          <w:szCs w:val="22"/>
        </w:rPr>
        <w:t xml:space="preserve"> na druhej strane výrazne pozitívny vplyv na podnikateľské prostredie a na hospodárenie obyvateľstva, keďže nižšia daň z príjmu predstavuje viac finančných prostriedkov napr. na starostlivosť o deti. Zvýšenie daňového bonusu sa dá považovať za efektívne opatrenie rodinnej politiky so zameraním sa na podporu viacdetných rodín. </w:t>
      </w: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b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b/>
          <w:sz w:val="22"/>
          <w:szCs w:val="22"/>
        </w:rPr>
        <w:t>A.4. Alternatívne riešenia</w:t>
      </w: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i/>
          <w:sz w:val="22"/>
          <w:szCs w:val="22"/>
        </w:rPr>
        <w:t>bezpredmetné</w:t>
      </w:r>
    </w:p>
    <w:p w:rsidR="004166B9" w:rsidRPr="008E6985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b/>
          <w:sz w:val="22"/>
          <w:szCs w:val="22"/>
        </w:rPr>
        <w:t>A.5. Stanovisko gestorov</w:t>
      </w:r>
    </w:p>
    <w:p w:rsidR="0010395E" w:rsidRPr="00213298" w:rsidP="00213298">
      <w:pPr>
        <w:pStyle w:val="NormalWeb"/>
        <w:bidi w:val="0"/>
        <w:spacing w:before="120" w:after="0"/>
        <w:jc w:val="both"/>
        <w:rPr>
          <w:rFonts w:hAnsi="Book Antiqua" w:cs="Times New Roman"/>
          <w:sz w:val="22"/>
          <w:szCs w:val="22"/>
        </w:rPr>
      </w:pPr>
      <w:r w:rsidRPr="00213298">
        <w:rPr>
          <w:rFonts w:hAnsi="Book Antiqua" w:cs="Times New Roman"/>
          <w:i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Segoe UI">
    <w:altName w:val="Athelas Ital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ucida Grande">
    <w:altName w:val="Arial"/>
    <w:panose1 w:val="020B0600040502020204"/>
    <w:charset w:val="00"/>
    <w:family w:val="auto"/>
    <w:pitch w:val="variable"/>
    <w:sig w:usb0="00000000" w:usb1="00000000" w:usb2="00000000" w:usb3="00000000" w:csb0="00000001" w:csb1="00000000"/>
  </w:font>
  <w:font w:name="游明朝">
    <w:altName w:val="MS PMincho"/>
    <w:panose1 w:val="00000000000000000000"/>
    <w:charset w:val="80"/>
    <w:family w:val="roman"/>
    <w:pitch w:val="default"/>
    <w:sig w:usb0="00000000" w:usb1="00000000" w:usb2="00000000" w:usb3="00000000" w:csb0="00020000" w:csb1="00000000"/>
  </w:font>
  <w:font w:name="@游明朝">
    <w:panose1 w:val="00000000000000000000"/>
    <w:charset w:val="80"/>
    <w:family w:val="roman"/>
    <w:pitch w:val="default"/>
    <w:sig w:usb0="00000000" w:usb1="00000000" w:usb2="00000000" w:usb3="00000000" w:csb0="00020000" w:csb1="00000000"/>
  </w:font>
  <w:font w:name="游ゴシック Light">
    <w:altName w:val="MS PMincho"/>
    <w:panose1 w:val="00000000000000000000"/>
    <w:charset w:val="80"/>
    <w:family w:val="roman"/>
    <w:pitch w:val="default"/>
    <w:sig w:usb0="00000000" w:usb1="00000000" w:usb2="00000000" w:usb3="00000000" w:csb0="0002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25C4"/>
    <w:rsid w:val="000A6F48"/>
    <w:rsid w:val="0010395E"/>
    <w:rsid w:val="001F0926"/>
    <w:rsid w:val="00213298"/>
    <w:rsid w:val="002E4409"/>
    <w:rsid w:val="00370FC8"/>
    <w:rsid w:val="0041357E"/>
    <w:rsid w:val="004166B9"/>
    <w:rsid w:val="00463C0F"/>
    <w:rsid w:val="00497CDC"/>
    <w:rsid w:val="0053345E"/>
    <w:rsid w:val="00550563"/>
    <w:rsid w:val="006E7E31"/>
    <w:rsid w:val="006F56B1"/>
    <w:rsid w:val="00765479"/>
    <w:rsid w:val="008B011F"/>
    <w:rsid w:val="008E6985"/>
    <w:rsid w:val="009C7B84"/>
    <w:rsid w:val="00A05BCE"/>
    <w:rsid w:val="00A468F4"/>
    <w:rsid w:val="00D359ED"/>
    <w:rsid w:val="00DA7E3A"/>
    <w:rsid w:val="00DD1933"/>
    <w:rsid w:val="00E41C07"/>
    <w:rsid w:val="00E531F9"/>
    <w:rsid w:val="00F025C4"/>
    <w:rsid w:val="00F62453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qFormat="1"/>
    <w:lsdException w:name="annotation reference" w:semiHidden="1"/>
    <w:lsdException w:name="List" w:semiHidden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Normal (Web)" w:semiHidden="1"/>
    <w:lsdException w:name="HTML Variable" w:semiHidden="1"/>
    <w:lsdException w:name="annotation subject" w:semiHidden="1"/>
    <w:lsdException w:name="Balloon Text" w:semiHidden="1"/>
    <w:lsdException w:name="Table Grid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spacing w:after="200" w:line="276" w:lineRule="auto"/>
      <w:ind w:left="0" w:right="0"/>
      <w:contextualSpacing/>
      <w:jc w:val="left"/>
      <w:textAlignment w:val="auto"/>
    </w:pPr>
    <w:rPr>
      <w:rFonts w:ascii="Book Antiqua" w:eastAsia="Times New Roman" w:hAnsi="Liberation Serif" w:cs="Book Antiqua"/>
      <w:color w:val="000000"/>
      <w:kern w:val="1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qFormat/>
    <w:pPr>
      <w:keepNext/>
      <w:jc w:val="center"/>
      <w:outlineLvl w:val="0"/>
    </w:pPr>
    <w:rPr>
      <w:rFonts w:ascii="Cambria" w:cs="Cambria"/>
      <w:b/>
      <w:bCs/>
      <w:sz w:val="32"/>
      <w:szCs w:val="32"/>
    </w:rPr>
  </w:style>
  <w:style w:type="paragraph" w:styleId="Heading3">
    <w:name w:val="heading 3"/>
    <w:basedOn w:val="Normal"/>
    <w:link w:val="Nadpis3Char"/>
    <w:uiPriority w:val="99"/>
    <w:qFormat/>
    <w:pPr>
      <w:keepNext/>
      <w:spacing w:before="240" w:after="60"/>
      <w:jc w:val="left"/>
      <w:outlineLvl w:val="2"/>
    </w:pPr>
    <w:rPr>
      <w:rFonts w:asci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rtl w:val="0"/>
      <w:cs w:val="0"/>
    </w:rPr>
  </w:style>
  <w:style w:type="character" w:customStyle="1" w:styleId="Heading1Char">
    <w:name w:val="Heading 1 Char"/>
    <w:basedOn w:val="DefaultParagraphFont"/>
    <w:uiPriority w:val="99"/>
    <w:rPr>
      <w:rFonts w:ascii="Cambria" w:eastAsia="Times New Roman" w:cs="Cambria"/>
      <w:b/>
      <w:bCs/>
      <w:kern w:val="1"/>
      <w:sz w:val="32"/>
      <w:szCs w:val="32"/>
      <w:rtl w:val="0"/>
      <w:cs w:val="0"/>
    </w:rPr>
  </w:style>
  <w:style w:type="character" w:customStyle="1" w:styleId="Heading3Char">
    <w:name w:val="Heading 3 Char"/>
    <w:basedOn w:val="DefaultParagraphFont"/>
    <w:uiPriority w:val="99"/>
    <w:rPr>
      <w:rFonts w:ascii="Cambria" w:eastAsia="Times New Roman" w:cs="Cambria"/>
      <w:b/>
      <w:bCs/>
      <w:sz w:val="26"/>
      <w:szCs w:val="26"/>
      <w:rtl w:val="0"/>
      <w:cs w:val="0"/>
    </w:rPr>
  </w:style>
  <w:style w:type="character" w:customStyle="1" w:styleId="BalloonTextChar">
    <w:name w:val="Balloon Text Char"/>
    <w:basedOn w:val="DefaultParagraphFont"/>
    <w:uiPriority w:val="99"/>
    <w:rPr>
      <w:rFonts w:ascii="Tahoma" w:eastAsia="Times New Roman" w:cs="Tahoma"/>
      <w:sz w:val="16"/>
      <w:szCs w:val="16"/>
      <w:rtl w:val="0"/>
      <w:cs w:val="0"/>
    </w:rPr>
  </w:style>
  <w:style w:type="character" w:customStyle="1" w:styleId="BodyTextChar">
    <w:name w:val="Body Text Char"/>
    <w:basedOn w:val="DefaultParagraphFont"/>
    <w:uiPriority w:val="99"/>
    <w:rPr>
      <w:rFonts w:ascii="Times New Roman" w:eastAsia="Times New Roman" w:cs="Times New Roman"/>
      <w:rtl w:val="0"/>
      <w:cs w:val="0"/>
    </w:rPr>
  </w:style>
  <w:style w:type="character" w:customStyle="1" w:styleId="BalloonTextChar1">
    <w:name w:val="Balloon Text Char1"/>
    <w:basedOn w:val="DefaultParagraphFont"/>
    <w:uiPriority w:val="99"/>
    <w:rPr>
      <w:rFonts w:ascii="Lucida Grande" w:eastAsia="Times New Roman" w:cs="Lucida Grande"/>
      <w:sz w:val="18"/>
      <w:szCs w:val="18"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DocumentMapChar">
    <w:name w:val="Document Map Char"/>
    <w:basedOn w:val="DefaultParagraphFont"/>
    <w:uiPriority w:val="99"/>
    <w:rPr>
      <w:rFonts w:ascii="Tahoma" w:eastAsia="Times New Roman" w:cs="Tahoma"/>
      <w:sz w:val="16"/>
      <w:szCs w:val="16"/>
      <w:rtl w:val="0"/>
      <w:cs w:val="0"/>
    </w:rPr>
  </w:style>
  <w:style w:type="character" w:customStyle="1" w:styleId="DocumentMapChar1">
    <w:name w:val="Document Map Char1"/>
    <w:basedOn w:val="DefaultParagraphFont"/>
    <w:uiPriority w:val="99"/>
    <w:rPr>
      <w:rFonts w:ascii="Lucida Grande" w:eastAsia="Times New Roman" w:cs="Lucida Grande"/>
      <w:rtl w:val="0"/>
      <w:cs w:val="0"/>
    </w:rPr>
  </w:style>
  <w:style w:type="character" w:styleId="HTMLVariable">
    <w:name w:val="HTML Variable"/>
    <w:basedOn w:val="DefaultParagraphFont"/>
    <w:uiPriority w:val="99"/>
    <w:rPr>
      <w:rFonts w:eastAsia="Times New Roman" w:cs="Times New Roman"/>
      <w:i/>
      <w:iCs/>
      <w:rtl w:val="0"/>
      <w:cs w:val="0"/>
    </w:rPr>
  </w:style>
  <w:style w:type="character" w:styleId="CommentReference">
    <w:name w:val="annotation reference"/>
    <w:basedOn w:val="DefaultParagraphFont"/>
    <w:uiPriority w:val="99"/>
    <w:rPr>
      <w:rFonts w:eastAsia="Times New Roman" w:cs="Times New Roman"/>
      <w:sz w:val="16"/>
      <w:szCs w:val="16"/>
      <w:rtl w:val="0"/>
      <w:cs w:val="0"/>
    </w:rPr>
  </w:style>
  <w:style w:type="character" w:customStyle="1" w:styleId="CommentTextChar">
    <w:name w:val="Comment Text Char"/>
    <w:basedOn w:val="DefaultParagraphFont"/>
    <w:uiPriority w:val="99"/>
    <w:rPr>
      <w:rFonts w:ascii="Book Antiqua" w:eastAsia="Times New Roman" w:cs="Book Antiqua"/>
      <w:rtl w:val="0"/>
      <w:cs w:val="0"/>
    </w:rPr>
  </w:style>
  <w:style w:type="character" w:customStyle="1" w:styleId="Predmetkoment3fraChar">
    <w:name w:val="Predmet koment‡3fra Char"/>
    <w:basedOn w:val="CommentTextChar"/>
    <w:uiPriority w:val="99"/>
    <w:rPr>
      <w:b/>
      <w:bCs/>
    </w:rPr>
  </w:style>
  <w:style w:type="character" w:customStyle="1" w:styleId="CommentSubjectChar">
    <w:name w:val="Comment Subject Char"/>
    <w:basedOn w:val="CommentTextChar"/>
    <w:uiPriority w:val="99"/>
    <w:rPr>
      <w:b/>
      <w:bCs/>
    </w:rPr>
  </w:style>
  <w:style w:type="character" w:customStyle="1" w:styleId="CommentSubjectChar1">
    <w:name w:val="Comment Subject Char1"/>
    <w:basedOn w:val="CommentTextChar"/>
    <w:uiPriority w:val="99"/>
    <w:rPr>
      <w:b/>
      <w:bCs/>
    </w:rPr>
  </w:style>
  <w:style w:type="character" w:customStyle="1" w:styleId="Predmetkomente0raChar1">
    <w:name w:val="Predmet komentŕe0ra Char1"/>
    <w:basedOn w:val="CommentTextChar"/>
    <w:uiPriority w:val="99"/>
    <w:rPr>
      <w:b/>
      <w:bCs/>
    </w:rPr>
  </w:style>
  <w:style w:type="character" w:styleId="Strong">
    <w:name w:val="Strong"/>
    <w:basedOn w:val="DefaultParagraphFont"/>
    <w:uiPriority w:val="99"/>
    <w:qFormat/>
    <w:rPr>
      <w:rFonts w:eastAsia="Times New Roman" w:cs="Times New Roman"/>
      <w:b/>
      <w:bCs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contextualSpacing w:val="0"/>
      <w:jc w:val="left"/>
    </w:pPr>
    <w:rPr>
      <w:rFonts w:ascii="Liberation Sans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line="288" w:lineRule="auto"/>
      <w:jc w:val="both"/>
    </w:pPr>
    <w:rPr>
      <w:sz w:val="20"/>
      <w:szCs w:val="20"/>
    </w:rPr>
  </w:style>
  <w:style w:type="paragraph" w:styleId="List">
    <w:name w:val="List"/>
    <w:basedOn w:val="Telotextu"/>
    <w:uiPriority w:val="99"/>
    <w:pPr>
      <w:jc w:val="both"/>
    </w:pPr>
  </w:style>
  <w:style w:type="paragraph" w:styleId="Caption">
    <w:name w:val="caption"/>
    <w:basedOn w:val="Normal"/>
    <w:uiPriority w:val="99"/>
    <w:qFormat/>
    <w:pPr>
      <w:suppressLineNumbers/>
      <w:spacing w:before="120" w:after="120"/>
      <w:contextualSpacing w:val="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NormalWeb">
    <w:name w:val="Normal (Web)"/>
    <w:basedOn w:val="Normal"/>
    <w:uiPriority w:val="99"/>
    <w:pPr>
      <w:spacing w:before="100" w:after="100"/>
      <w:jc w:val="left"/>
    </w:p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pPr>
      <w:jc w:val="left"/>
    </w:pPr>
    <w:rPr>
      <w:rFonts w:ascii="Tahoma" w:cs="Tahoma"/>
      <w:sz w:val="16"/>
      <w:szCs w:val="16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Segoe UI" w:hAnsi="Segoe UI" w:cs="Mangal"/>
      <w:color w:val="000000"/>
      <w:kern w:val="1"/>
      <w:sz w:val="14"/>
      <w:szCs w:val="14"/>
      <w:rtl w:val="0"/>
      <w:cs w:val="0"/>
    </w:rPr>
  </w:style>
  <w:style w:type="paragraph" w:styleId="ListParagraph">
    <w:name w:val="List Paragraph"/>
    <w:basedOn w:val="Normal"/>
    <w:uiPriority w:val="99"/>
    <w:qFormat/>
    <w:pPr>
      <w:ind w:left="708"/>
      <w:jc w:val="left"/>
    </w:p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Book Antiqua" w:eastAsia="Times New Roman" w:hAnsi="Liberation Serif" w:cs="Mangal"/>
      <w:color w:val="000000"/>
      <w:kern w:val="1"/>
      <w:sz w:val="18"/>
      <w:szCs w:val="18"/>
      <w:rtl w:val="0"/>
      <w:cs w:val="0"/>
    </w:rPr>
  </w:style>
  <w:style w:type="paragraph" w:styleId="CommentSubject">
    <w:name w:val="annotation subject"/>
    <w:basedOn w:val="CommentText"/>
    <w:link w:val="PredmetkomentraChar"/>
    <w:uiPriority w:val="9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1037</Words>
  <Characters>5981</Characters>
  <Application>Microsoft Office Word</Application>
  <DocSecurity>0</DocSecurity>
  <Lines>0</Lines>
  <Paragraphs>0</Paragraphs>
  <ScaleCrop>false</ScaleCrop>
  <Company>Kancelaria NR SR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Tomá_ Mészáros</dc:creator>
  <cp:lastModifiedBy>galinata</cp:lastModifiedBy>
  <cp:revision>2</cp:revision>
  <cp:lastPrinted>2016-08-19T08:37:00Z</cp:lastPrinted>
  <dcterms:created xsi:type="dcterms:W3CDTF">2016-08-19T08:38:00Z</dcterms:created>
  <dcterms:modified xsi:type="dcterms:W3CDTF">2016-08-19T08:38:00Z</dcterms:modified>
</cp:coreProperties>
</file>