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91097" w:rsidP="004C67C9">
      <w:pPr>
        <w:bidi w:val="0"/>
        <w:jc w:val="center"/>
        <w:rPr>
          <w:rFonts w:ascii="Times New Roman" w:hAnsi="Times New Roman"/>
          <w:b/>
          <w:bCs/>
        </w:rPr>
      </w:pPr>
      <w:r>
        <w:rPr>
          <w:rFonts w:ascii="Times New Roman" w:hAnsi="Times New Roman"/>
        </w:rPr>
        <w:t xml:space="preserve"> </w:t>
      </w:r>
      <w:r w:rsidR="0041182F">
        <w:rPr>
          <w:rFonts w:ascii="Times New Roman" w:hAnsi="Times New Roman"/>
          <w:b/>
          <w:bCs/>
        </w:rPr>
        <w:t>Predkladacia správa</w:t>
      </w:r>
    </w:p>
    <w:p w:rsidR="0041182F" w:rsidP="004C67C9">
      <w:pPr>
        <w:bidi w:val="0"/>
        <w:jc w:val="center"/>
        <w:rPr>
          <w:rFonts w:ascii="Times New Roman" w:hAnsi="Times New Roman"/>
          <w:b/>
          <w:bCs/>
        </w:rPr>
      </w:pPr>
    </w:p>
    <w:p w:rsidR="00591097" w:rsidP="004C67C9">
      <w:pPr>
        <w:bidi w:val="0"/>
        <w:rPr>
          <w:rFonts w:ascii="Times New Roman" w:hAnsi="Times New Roman"/>
          <w:b/>
          <w:bCs/>
          <w:sz w:val="20"/>
        </w:rPr>
      </w:pPr>
    </w:p>
    <w:p w:rsidR="00591097" w:rsidP="004C67C9">
      <w:pPr>
        <w:pStyle w:val="BodyTextIndent"/>
        <w:bidi w:val="0"/>
        <w:rPr>
          <w:rFonts w:ascii="Times New Roman" w:hAnsi="Times New Roman"/>
        </w:rPr>
      </w:pPr>
      <w:r w:rsidR="0041182F">
        <w:rPr>
          <w:rFonts w:ascii="Times New Roman" w:hAnsi="Times New Roman"/>
        </w:rPr>
        <w:t>Predkladaný materiál obsahuje text</w:t>
      </w:r>
      <w:r>
        <w:rPr>
          <w:rFonts w:ascii="Times New Roman" w:hAnsi="Times New Roman"/>
        </w:rPr>
        <w:t xml:space="preserve"> </w:t>
      </w:r>
      <w:r w:rsidRPr="00C85F2E" w:rsidR="00C85F2E">
        <w:rPr>
          <w:rFonts w:ascii="Times New Roman" w:hAnsi="Times New Roman"/>
        </w:rPr>
        <w:t xml:space="preserve">Dohody medzi Slovenskou republikou a Iránskou islamskou republikou </w:t>
      </w:r>
      <w:r w:rsidR="00C85F2E">
        <w:rPr>
          <w:rFonts w:ascii="Times New Roman" w:hAnsi="Times New Roman"/>
        </w:rPr>
        <w:t xml:space="preserve">o podpore a vzájomnej ochrane investícií </w:t>
      </w:r>
      <w:r>
        <w:rPr>
          <w:rFonts w:ascii="Times New Roman" w:hAnsi="Times New Roman"/>
        </w:rPr>
        <w:t>(ďalej len „</w:t>
      </w:r>
      <w:r w:rsidR="00C85F2E">
        <w:rPr>
          <w:rFonts w:ascii="Times New Roman" w:hAnsi="Times New Roman"/>
        </w:rPr>
        <w:t>dohoda</w:t>
      </w:r>
      <w:r>
        <w:rPr>
          <w:rFonts w:ascii="Times New Roman" w:hAnsi="Times New Roman"/>
        </w:rPr>
        <w:t>“).</w:t>
      </w:r>
    </w:p>
    <w:p w:rsidR="00591097" w:rsidP="004C67C9">
      <w:pPr>
        <w:bidi w:val="0"/>
        <w:jc w:val="both"/>
        <w:rPr>
          <w:rFonts w:ascii="Times New Roman" w:hAnsi="Times New Roman"/>
          <w:sz w:val="20"/>
        </w:rPr>
      </w:pPr>
    </w:p>
    <w:p w:rsidR="00F6116D" w:rsidP="00F6116D">
      <w:pPr>
        <w:bidi w:val="0"/>
        <w:ind w:firstLine="708"/>
        <w:jc w:val="both"/>
        <w:rPr>
          <w:rStyle w:val="PlaceholderText"/>
          <w:color w:val="000000"/>
        </w:rPr>
      </w:pPr>
      <w:r w:rsidR="00A2694C">
        <w:rPr>
          <w:rStyle w:val="PlaceholderText"/>
          <w:color w:val="000000"/>
        </w:rPr>
        <w:t>Dohoda</w:t>
      </w:r>
      <w:r>
        <w:rPr>
          <w:rStyle w:val="PlaceholderText"/>
          <w:color w:val="000000"/>
        </w:rPr>
        <w:t xml:space="preserve"> sa predkladá ako iniciatívny návrh, jeho význam spočíva rozvoji medzinárodných vzťahov a podpory zahraničných investícií. </w:t>
      </w:r>
      <w:r w:rsidRPr="008B032A" w:rsidR="008B032A">
        <w:rPr>
          <w:rStyle w:val="PlaceholderText"/>
          <w:color w:val="000000"/>
        </w:rPr>
        <w:t>Predmetná dohoda bola schválená na rokovaní vlády SR dňa 13. januára 2016 uznesením číslo 1 a podpísaná bola dňa 19. januára 2016 v Teheráne.</w:t>
      </w:r>
    </w:p>
    <w:p w:rsidR="00F6116D" w:rsidP="00F6116D">
      <w:pPr>
        <w:bidi w:val="0"/>
        <w:ind w:firstLine="708"/>
        <w:jc w:val="both"/>
        <w:rPr>
          <w:rStyle w:val="PlaceholderText"/>
          <w:color w:val="000000"/>
        </w:rPr>
      </w:pPr>
      <w:r>
        <w:rPr>
          <w:rStyle w:val="PlaceholderText"/>
          <w:color w:val="000000"/>
        </w:rPr>
        <w:t> </w:t>
      </w:r>
    </w:p>
    <w:p w:rsidR="00F6116D" w:rsidP="00F6116D">
      <w:pPr>
        <w:bidi w:val="0"/>
        <w:ind w:firstLine="708"/>
        <w:jc w:val="both"/>
        <w:rPr>
          <w:rStyle w:val="PlaceholderText"/>
          <w:color w:val="000000"/>
        </w:rPr>
      </w:pPr>
      <w:r>
        <w:rPr>
          <w:rStyle w:val="PlaceholderText"/>
          <w:color w:val="000000"/>
        </w:rPr>
        <w:t>Predkladan</w:t>
      </w:r>
      <w:r w:rsidR="00A2694C">
        <w:rPr>
          <w:rStyle w:val="PlaceholderText"/>
          <w:color w:val="000000"/>
        </w:rPr>
        <w:t>á dohoda</w:t>
      </w:r>
      <w:r>
        <w:rPr>
          <w:rStyle w:val="PlaceholderText"/>
          <w:color w:val="000000"/>
        </w:rPr>
        <w:t xml:space="preserve"> </w:t>
      </w:r>
      <w:r w:rsidR="00E26D28">
        <w:rPr>
          <w:rStyle w:val="PlaceholderText"/>
          <w:color w:val="000000"/>
        </w:rPr>
        <w:t>je moderná a vyvážená a</w:t>
      </w:r>
      <w:r>
        <w:rPr>
          <w:rStyle w:val="PlaceholderText"/>
          <w:color w:val="000000"/>
        </w:rPr>
        <w:t xml:space="preserve"> rešpektuje regulačné právomoci štátu najmä v oblastiach legitímnych cieľov verejnej politiky a zároveň poskytuje primeranú ochranu zahraničným investorom v prípade prevažne svojvoľných a neodôvodnených závažných poškodení ich investícií zo strany hostiteľského štátu. Dohoda je významný medzinárodný zmluvný dokument a predstavuje jednu zo štandardných dohôd, ktoré sa uzatvárajú medzi suverénnymi subjektmi medzinárodného práva verejného s cieľom vytvárať priaznivé ekonomické podmienky pre rozvoj vzájomnej spolupráce a odpolitizovať spory medzi zahraničným investorom a hostiteľským štátom.</w:t>
      </w:r>
    </w:p>
    <w:p w:rsidR="00F6116D" w:rsidP="00F6116D">
      <w:pPr>
        <w:bidi w:val="0"/>
        <w:ind w:firstLine="708"/>
        <w:jc w:val="both"/>
        <w:rPr>
          <w:rStyle w:val="PlaceholderText"/>
          <w:color w:val="000000"/>
        </w:rPr>
      </w:pPr>
      <w:r>
        <w:rPr>
          <w:rStyle w:val="PlaceholderText"/>
          <w:color w:val="000000"/>
        </w:rPr>
        <w:t> </w:t>
      </w:r>
    </w:p>
    <w:p w:rsidR="00F6116D" w:rsidP="00F6116D">
      <w:pPr>
        <w:tabs>
          <w:tab w:val="left" w:pos="360"/>
        </w:tabs>
        <w:bidi w:val="0"/>
        <w:jc w:val="both"/>
        <w:rPr>
          <w:rFonts w:ascii="Times New Roman" w:hAnsi="Times New Roman"/>
          <w:color w:val="000000"/>
        </w:rPr>
      </w:pPr>
      <w:r>
        <w:rPr>
          <w:rFonts w:ascii="Times New Roman" w:hAnsi="Times New Roman"/>
          <w:color w:val="000000"/>
        </w:rPr>
        <w:tab/>
        <w:tab/>
      </w:r>
      <w:r w:rsidRPr="00F600A0">
        <w:rPr>
          <w:rFonts w:ascii="Times New Roman" w:hAnsi="Times New Roman"/>
          <w:color w:val="000000"/>
        </w:rPr>
        <w:t>Predmet Dohody do veľkej mier</w:t>
      </w:r>
      <w:r w:rsidR="00E26D28">
        <w:rPr>
          <w:rFonts w:ascii="Times New Roman" w:hAnsi="Times New Roman"/>
          <w:color w:val="000000"/>
        </w:rPr>
        <w:t>y</w:t>
      </w:r>
      <w:r w:rsidRPr="00F600A0">
        <w:rPr>
          <w:rFonts w:ascii="Times New Roman" w:hAnsi="Times New Roman"/>
          <w:color w:val="000000"/>
        </w:rPr>
        <w:t xml:space="preserve"> kopíruje novodobú investičnú stratégiu EÚ, výsledky rokovan</w:t>
      </w:r>
      <w:r w:rsidRPr="002D2784">
        <w:rPr>
          <w:rFonts w:ascii="Times New Roman" w:hAnsi="Times New Roman"/>
          <w:color w:val="000000"/>
        </w:rPr>
        <w:t xml:space="preserve">í </w:t>
      </w:r>
      <w:r w:rsidRPr="004372D8">
        <w:rPr>
          <w:rFonts w:ascii="Times New Roman" w:hAnsi="Times New Roman"/>
          <w:color w:val="000000"/>
        </w:rPr>
        <w:t xml:space="preserve">medzinárodných dohôd medzi EÚ a Kanadou </w:t>
      </w:r>
      <w:r w:rsidRPr="00F600A0">
        <w:rPr>
          <w:rFonts w:ascii="Times New Roman" w:hAnsi="Times New Roman"/>
          <w:color w:val="000000"/>
        </w:rPr>
        <w:t>(CETA) a</w:t>
      </w:r>
      <w:r w:rsidRPr="009B62EC">
        <w:rPr>
          <w:rFonts w:ascii="Times New Roman" w:hAnsi="Times New Roman"/>
          <w:color w:val="000000"/>
        </w:rPr>
        <w:t> </w:t>
      </w:r>
      <w:r w:rsidRPr="00F600A0">
        <w:rPr>
          <w:rFonts w:ascii="Times New Roman" w:hAnsi="Times New Roman"/>
          <w:color w:val="000000"/>
        </w:rPr>
        <w:t>med</w:t>
      </w:r>
      <w:r w:rsidRPr="002D2784">
        <w:rPr>
          <w:rFonts w:ascii="Times New Roman" w:hAnsi="Times New Roman"/>
          <w:color w:val="000000"/>
        </w:rPr>
        <w:t xml:space="preserve">zi </w:t>
      </w:r>
      <w:r w:rsidRPr="004372D8">
        <w:rPr>
          <w:rFonts w:ascii="Times New Roman" w:hAnsi="Times New Roman"/>
          <w:color w:val="000000"/>
        </w:rPr>
        <w:t xml:space="preserve">EÚ a Singapurom </w:t>
      </w:r>
      <w:r w:rsidRPr="00F600A0">
        <w:rPr>
          <w:rFonts w:ascii="Times New Roman" w:hAnsi="Times New Roman"/>
          <w:color w:val="000000"/>
        </w:rPr>
        <w:t>(EÚ SG FTA), najnovší návrh E</w:t>
      </w:r>
      <w:r w:rsidRPr="002D2784">
        <w:rPr>
          <w:rFonts w:ascii="Times New Roman" w:hAnsi="Times New Roman"/>
          <w:color w:val="000000"/>
        </w:rPr>
        <w:t>Ú</w:t>
      </w:r>
      <w:r w:rsidRPr="00F600A0">
        <w:rPr>
          <w:rFonts w:ascii="Times New Roman" w:hAnsi="Times New Roman"/>
          <w:color w:val="000000"/>
        </w:rPr>
        <w:t xml:space="preserve"> pre Transatlantické obchodné a investičné partnerstvo (TTIP)</w:t>
      </w:r>
      <w:r w:rsidRPr="002D2784">
        <w:rPr>
          <w:rFonts w:ascii="Times New Roman" w:hAnsi="Times New Roman"/>
          <w:color w:val="000000"/>
        </w:rPr>
        <w:t xml:space="preserve"> a </w:t>
      </w:r>
      <w:r w:rsidRPr="00F600A0">
        <w:rPr>
          <w:rFonts w:ascii="Times New Roman" w:hAnsi="Times New Roman"/>
          <w:color w:val="000000"/>
        </w:rPr>
        <w:t>v neposlednom rade národn</w:t>
      </w:r>
      <w:r w:rsidRPr="002D2784">
        <w:rPr>
          <w:rFonts w:ascii="Times New Roman" w:hAnsi="Times New Roman"/>
          <w:color w:val="000000"/>
        </w:rPr>
        <w:t>é</w:t>
      </w:r>
      <w:r w:rsidRPr="00F600A0">
        <w:rPr>
          <w:rFonts w:ascii="Times New Roman" w:hAnsi="Times New Roman"/>
          <w:color w:val="000000"/>
        </w:rPr>
        <w:t xml:space="preserve"> záujmy </w:t>
      </w:r>
      <w:r w:rsidRPr="002D2784">
        <w:rPr>
          <w:rFonts w:ascii="Times New Roman" w:hAnsi="Times New Roman"/>
          <w:color w:val="000000"/>
        </w:rPr>
        <w:t>SR</w:t>
      </w:r>
      <w:r w:rsidRPr="00F600A0">
        <w:rPr>
          <w:rFonts w:ascii="Times New Roman" w:hAnsi="Times New Roman"/>
          <w:color w:val="000000"/>
        </w:rPr>
        <w:t xml:space="preserve"> a jej skúseností a poznatky z režimu ochrany </w:t>
      </w:r>
      <w:r w:rsidRPr="002D2784">
        <w:rPr>
          <w:rFonts w:ascii="Times New Roman" w:hAnsi="Times New Roman"/>
          <w:color w:val="000000"/>
        </w:rPr>
        <w:t xml:space="preserve">zahraničných </w:t>
      </w:r>
      <w:r w:rsidRPr="00F600A0">
        <w:rPr>
          <w:rFonts w:ascii="Times New Roman" w:hAnsi="Times New Roman"/>
          <w:color w:val="000000"/>
        </w:rPr>
        <w:t xml:space="preserve">investícií. </w:t>
      </w:r>
      <w:r>
        <w:rPr>
          <w:rFonts w:ascii="Times New Roman" w:hAnsi="Times New Roman"/>
          <w:color w:val="000000"/>
        </w:rPr>
        <w:t xml:space="preserve">Predmetná Dohoda obsahuje tak hmotnoprávne ako aj procesnoprávne štandardy ochrany zahraničných investícií. Medzi hmotnoprávne štandardy môžeme zaradiť záväzok hostiteľského štátu na spravodlivé zaobchádzanie, dodržiavanie režimu národného zaobchádzania, doložku najvyšších výhod, ochranu pred diskriminačnými opatreniami či nezákonným vyvlastnením, atď. Uvedené štandardy sú oproti minulosti uvedené presnejšie, pričom minimalizujú riziko protichodných arbitrážnych rozhodnutí, prispievajú </w:t>
      </w:r>
      <w:r w:rsidRPr="00B829FA">
        <w:rPr>
          <w:rFonts w:ascii="Times New Roman" w:hAnsi="Times New Roman"/>
          <w:color w:val="000000"/>
        </w:rPr>
        <w:t>k lepšej informovanosti</w:t>
      </w:r>
      <w:r>
        <w:rPr>
          <w:rFonts w:ascii="Times New Roman" w:hAnsi="Times New Roman"/>
          <w:color w:val="000000"/>
        </w:rPr>
        <w:t xml:space="preserve">. </w:t>
      </w:r>
    </w:p>
    <w:p w:rsidR="00F6116D" w:rsidP="00F6116D">
      <w:pPr>
        <w:tabs>
          <w:tab w:val="left" w:pos="360"/>
        </w:tabs>
        <w:bidi w:val="0"/>
        <w:jc w:val="both"/>
        <w:rPr>
          <w:rFonts w:ascii="Times New Roman" w:hAnsi="Times New Roman"/>
          <w:color w:val="000000"/>
        </w:rPr>
      </w:pPr>
    </w:p>
    <w:p w:rsidR="00F6116D" w:rsidP="00F6116D">
      <w:pPr>
        <w:tabs>
          <w:tab w:val="left" w:pos="360"/>
        </w:tabs>
        <w:bidi w:val="0"/>
        <w:jc w:val="both"/>
        <w:rPr>
          <w:rFonts w:ascii="Times New Roman" w:hAnsi="Times New Roman"/>
          <w:color w:val="000000"/>
        </w:rPr>
      </w:pPr>
      <w:r>
        <w:rPr>
          <w:rFonts w:ascii="Times New Roman" w:hAnsi="Times New Roman"/>
          <w:color w:val="000000"/>
        </w:rPr>
        <w:tab/>
        <w:tab/>
        <w:t xml:space="preserve">Mechanizmus riešenia sporov medzi investorom a štátom obsahuje </w:t>
      </w:r>
      <w:r w:rsidRPr="00BB582F">
        <w:rPr>
          <w:rFonts w:ascii="Times New Roman" w:hAnsi="Times New Roman"/>
          <w:color w:val="000000"/>
        </w:rPr>
        <w:t>prísnejš</w:t>
      </w:r>
      <w:r>
        <w:rPr>
          <w:rFonts w:ascii="Times New Roman" w:hAnsi="Times New Roman"/>
          <w:color w:val="000000"/>
        </w:rPr>
        <w:t>ie pravidlá ohľadom možného</w:t>
      </w:r>
      <w:r w:rsidRPr="00BB582F">
        <w:rPr>
          <w:rFonts w:ascii="Times New Roman" w:hAnsi="Times New Roman"/>
          <w:color w:val="000000"/>
        </w:rPr>
        <w:t xml:space="preserve"> konflikt</w:t>
      </w:r>
      <w:r>
        <w:rPr>
          <w:rFonts w:ascii="Times New Roman" w:hAnsi="Times New Roman"/>
          <w:color w:val="000000"/>
        </w:rPr>
        <w:t>u záujmov rozhodcov, ich pracovníkov a asistentov,</w:t>
      </w:r>
      <w:r w:rsidRPr="00BB582F">
        <w:rPr>
          <w:rFonts w:ascii="Times New Roman" w:hAnsi="Times New Roman"/>
          <w:color w:val="000000"/>
        </w:rPr>
        <w:t xml:space="preserve"> </w:t>
      </w:r>
      <w:r>
        <w:rPr>
          <w:rFonts w:ascii="Times New Roman" w:hAnsi="Times New Roman"/>
          <w:color w:val="000000"/>
        </w:rPr>
        <w:t>zrýchlené konanie v prípade tzv. nepodložených žalobách, prevenciu</w:t>
      </w:r>
      <w:r w:rsidRPr="00BB582F">
        <w:rPr>
          <w:rFonts w:ascii="Times New Roman" w:hAnsi="Times New Roman"/>
          <w:color w:val="000000"/>
        </w:rPr>
        <w:t xml:space="preserve"> paralelných </w:t>
      </w:r>
      <w:r>
        <w:rPr>
          <w:rFonts w:ascii="Times New Roman" w:hAnsi="Times New Roman"/>
          <w:color w:val="000000"/>
        </w:rPr>
        <w:t>sporov,</w:t>
      </w:r>
      <w:r w:rsidRPr="00BB582F">
        <w:rPr>
          <w:rFonts w:ascii="Times New Roman" w:hAnsi="Times New Roman"/>
          <w:color w:val="000000"/>
        </w:rPr>
        <w:t xml:space="preserve"> </w:t>
      </w:r>
      <w:r>
        <w:rPr>
          <w:rFonts w:ascii="Times New Roman" w:hAnsi="Times New Roman"/>
          <w:color w:val="000000"/>
        </w:rPr>
        <w:t>kladie väčší dôraz na poskytovanie pravdivých informácií zo strany investora vrátane informácií o financovaní sporu zo strany tretej osoby. Medzi prevratné ustanovenia možno zaradiť aj priznanie výslovnej jurisdikcii rozhodcovského súdu na posúdenie a nariadenie zloženia zábezpeky v prípade hrozby neplnenia nepriaznivého rozhodnutia a možnosť posúdiť protinároky hostiteľského štátu vzniknuté z pôsobenia investora na jeho území.</w:t>
      </w:r>
    </w:p>
    <w:p w:rsidR="00F6116D" w:rsidP="00F6116D">
      <w:pPr>
        <w:tabs>
          <w:tab w:val="left" w:pos="360"/>
        </w:tabs>
        <w:bidi w:val="0"/>
        <w:jc w:val="both"/>
        <w:rPr>
          <w:rFonts w:ascii="Times New Roman" w:hAnsi="Times New Roman"/>
          <w:color w:val="000000"/>
        </w:rPr>
      </w:pPr>
    </w:p>
    <w:p w:rsidR="00F6116D" w:rsidRPr="00F600A0" w:rsidP="00F6116D">
      <w:pPr>
        <w:tabs>
          <w:tab w:val="left" w:pos="360"/>
        </w:tabs>
        <w:bidi w:val="0"/>
        <w:jc w:val="both"/>
        <w:rPr>
          <w:rFonts w:ascii="Times New Roman" w:hAnsi="Times New Roman"/>
          <w:color w:val="000000"/>
        </w:rPr>
      </w:pPr>
      <w:r>
        <w:rPr>
          <w:rFonts w:ascii="Times New Roman" w:hAnsi="Times New Roman"/>
          <w:color w:val="000000"/>
        </w:rPr>
        <w:tab/>
        <w:tab/>
        <w:t>Podľa Dohody sa akákoľvek investičná arbitráž proti Slovenskej republike bude viesť podľa Pravidiel transparentnosti UNCITRAL. Iránska islamská republika na druhej strane zváži aplikáciu týchto pravidiel na akúkoľvek investičnú arbitráž vedenú proti nej.</w:t>
      </w:r>
    </w:p>
    <w:p w:rsidR="00F6116D" w:rsidRPr="00BB582F" w:rsidP="00F6116D">
      <w:pPr>
        <w:tabs>
          <w:tab w:val="left" w:pos="360"/>
        </w:tabs>
        <w:bidi w:val="0"/>
        <w:jc w:val="both"/>
        <w:rPr>
          <w:rFonts w:ascii="Times New Roman" w:hAnsi="Times New Roman"/>
          <w:color w:val="000000"/>
        </w:rPr>
      </w:pPr>
    </w:p>
    <w:p w:rsidR="00F6116D" w:rsidP="00F6116D">
      <w:pPr>
        <w:bidi w:val="0"/>
        <w:ind w:firstLine="708"/>
        <w:jc w:val="both"/>
        <w:rPr>
          <w:rStyle w:val="PlaceholderText"/>
          <w:color w:val="000000"/>
        </w:rPr>
      </w:pPr>
      <w:r>
        <w:rPr>
          <w:rStyle w:val="PlaceholderText"/>
          <w:color w:val="000000"/>
        </w:rPr>
        <w:t>Uvedená dohoda je medzinárodnou hospodárskou zmluvou všeobecnej povahy (čl. 7 ods. 4 Ústavy SR), ktorá má vždy charakter prezidentskej zmluvy. Dohoda priamo zakladá práva a povinnosti fyzických alebo právnických osôb a má podľa čl. 7 ods. 5 Ústavy SR prednosť pred zákonmi SR. Dohoda podlieha ratifikácii a bude vyhlásená spôsobom ustanoveným zákonom (t. j. v Zbierke zákonov Slovenskej republiky). Ratifikácia dohody je podmienená predchádzajúcim schválením dohody Európskou komisiou podľa Nariadenia Európskeho parlamentu a Rady (EÚ) č. 1219/2012 z 12. decembra 2012, ktorým sa ustanovujú prechodné opatrenia pre bilaterálne investičné dohody medzi členskými štá</w:t>
      </w:r>
      <w:r w:rsidR="00E26D28">
        <w:rPr>
          <w:rStyle w:val="PlaceholderText"/>
          <w:color w:val="000000"/>
        </w:rPr>
        <w:t>tmi a tretími krajinami, pričom Európska komisia dohodu</w:t>
      </w:r>
      <w:r w:rsidRPr="00E26D28" w:rsidR="00E26D28">
        <w:rPr>
          <w:rStyle w:val="PlaceholderText"/>
          <w:color w:val="000000"/>
        </w:rPr>
        <w:t xml:space="preserve"> </w:t>
      </w:r>
      <w:r w:rsidR="00E26D28">
        <w:rPr>
          <w:rStyle w:val="PlaceholderText"/>
          <w:color w:val="000000"/>
        </w:rPr>
        <w:t>schválila.</w:t>
      </w:r>
    </w:p>
    <w:p w:rsidR="00F6116D" w:rsidP="00F6116D">
      <w:pPr>
        <w:bidi w:val="0"/>
        <w:ind w:firstLine="708"/>
        <w:jc w:val="both"/>
        <w:rPr>
          <w:rStyle w:val="PlaceholderText"/>
          <w:color w:val="000000"/>
        </w:rPr>
      </w:pPr>
      <w:r>
        <w:rPr>
          <w:rStyle w:val="PlaceholderText"/>
          <w:color w:val="000000"/>
        </w:rPr>
        <w:t> </w:t>
      </w:r>
    </w:p>
    <w:p w:rsidR="00F6116D" w:rsidP="00F6116D">
      <w:pPr>
        <w:bidi w:val="0"/>
        <w:ind w:firstLine="708"/>
        <w:jc w:val="both"/>
        <w:rPr>
          <w:rStyle w:val="PlaceholderText"/>
          <w:color w:val="000000"/>
        </w:rPr>
      </w:pPr>
      <w:r>
        <w:rPr>
          <w:rStyle w:val="PlaceholderText"/>
          <w:color w:val="000000"/>
        </w:rPr>
        <w:t>Predkladaná dohoda je v súlade s právnym poriadkom Slovenskej republiky, rozširuje jej bilaterálnu zmluvnú základňu a jej články zabezpečujú súlad dohody so záväzkami Slovenskej republiky ako členského štátu Európskej únie.</w:t>
      </w:r>
    </w:p>
    <w:p w:rsidR="00F6116D" w:rsidP="00F6116D">
      <w:pPr>
        <w:bidi w:val="0"/>
        <w:ind w:firstLine="708"/>
        <w:jc w:val="both"/>
        <w:rPr>
          <w:rStyle w:val="PlaceholderText"/>
          <w:color w:val="000000"/>
        </w:rPr>
      </w:pPr>
      <w:r>
        <w:rPr>
          <w:rStyle w:val="PlaceholderText"/>
          <w:color w:val="000000"/>
        </w:rPr>
        <w:t> </w:t>
      </w:r>
    </w:p>
    <w:p w:rsidR="00F6116D" w:rsidP="00F6116D">
      <w:pPr>
        <w:bidi w:val="0"/>
        <w:jc w:val="both"/>
        <w:rPr>
          <w:rStyle w:val="PlaceholderText"/>
          <w:color w:val="000000"/>
        </w:rPr>
      </w:pPr>
      <w:r>
        <w:rPr>
          <w:rStyle w:val="PlaceholderText"/>
          <w:color w:val="000000"/>
        </w:rPr>
        <w:t>         </w:t>
      </w:r>
      <w:r w:rsidR="00E26D28">
        <w:rPr>
          <w:rStyle w:val="PlaceholderText"/>
          <w:color w:val="000000"/>
        </w:rPr>
        <w:t>D</w:t>
      </w:r>
      <w:r>
        <w:rPr>
          <w:rStyle w:val="PlaceholderText"/>
          <w:color w:val="000000"/>
        </w:rPr>
        <w:t>ohod</w:t>
      </w:r>
      <w:r w:rsidR="00E26D28">
        <w:rPr>
          <w:rStyle w:val="PlaceholderText"/>
          <w:color w:val="000000"/>
        </w:rPr>
        <w:t>a</w:t>
      </w:r>
      <w:r>
        <w:rPr>
          <w:rStyle w:val="PlaceholderText"/>
          <w:color w:val="000000"/>
        </w:rPr>
        <w:t xml:space="preserve"> by mal</w:t>
      </w:r>
      <w:r w:rsidR="00E26D28">
        <w:rPr>
          <w:rStyle w:val="PlaceholderText"/>
          <w:color w:val="000000"/>
        </w:rPr>
        <w:t>a</w:t>
      </w:r>
      <w:r>
        <w:rPr>
          <w:rStyle w:val="PlaceholderText"/>
          <w:color w:val="000000"/>
        </w:rPr>
        <w:t xml:space="preserve"> mať predpokladaný pozitívny vplyv na podnikateľské prostredie, nemá environmentálny vplyv, vplyv na rozpočet verejnej správy, informatizáciu spoločnosti a sociálne vplyvy.</w:t>
      </w:r>
    </w:p>
    <w:p w:rsidR="00591097" w:rsidP="00F6116D">
      <w:pPr>
        <w:bidi w:val="0"/>
        <w:ind w:firstLine="708"/>
        <w:jc w:val="both"/>
        <w:rPr>
          <w:rFonts w:ascii="Times New Roman" w:hAnsi="Times New Roman"/>
        </w:rPr>
      </w:pPr>
    </w:p>
    <w:sectPr>
      <w:footerReference w:type="default" r:id="rId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DD6">
    <w:pPr>
      <w:pStyle w:val="Footer"/>
      <w:framePr w:vAnchor="text" w:hAnchor="margin" w:xAlign="center"/>
      <w:bidi w:val="0"/>
      <w:rPr>
        <w:rStyle w:val="PageNumber"/>
        <w:rFonts w:ascii="Times New Roman" w:hAnsi="Times New Roman"/>
      </w:rPr>
    </w:pPr>
  </w:p>
  <w:p w:rsidR="00C11DD6">
    <w:pPr>
      <w:pStyle w:val="Footer"/>
      <w:framePr w:vAnchor="text" w:hAnchor="margin" w:xAlign="center"/>
      <w:bidi w:val="0"/>
      <w:rPr>
        <w:rStyle w:val="PageNumber"/>
        <w:rFonts w:ascii="Times New Roman" w:hAnsi="Times New Roman"/>
      </w:rPr>
    </w:pPr>
  </w:p>
  <w:p w:rsidR="00C11DD6">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B5712"/>
    <w:multiLevelType w:val="hybridMultilevel"/>
    <w:tmpl w:val="D27205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stylePaneFormatFilter w:val="3F01"/>
  <w:doNotTrackMoves/>
  <w:defaultTabStop w:val="708"/>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A531D5"/>
    <w:rsid w:val="00063411"/>
    <w:rsid w:val="00121EC4"/>
    <w:rsid w:val="001530C1"/>
    <w:rsid w:val="001E0B88"/>
    <w:rsid w:val="002034FF"/>
    <w:rsid w:val="002639BD"/>
    <w:rsid w:val="00277955"/>
    <w:rsid w:val="002D2784"/>
    <w:rsid w:val="00395923"/>
    <w:rsid w:val="003D5AD8"/>
    <w:rsid w:val="0041182F"/>
    <w:rsid w:val="004372D8"/>
    <w:rsid w:val="00462B81"/>
    <w:rsid w:val="00486335"/>
    <w:rsid w:val="00495FA0"/>
    <w:rsid w:val="004A28DE"/>
    <w:rsid w:val="004C67C9"/>
    <w:rsid w:val="00505E2D"/>
    <w:rsid w:val="00591097"/>
    <w:rsid w:val="005D3630"/>
    <w:rsid w:val="0065736F"/>
    <w:rsid w:val="00674290"/>
    <w:rsid w:val="0068470F"/>
    <w:rsid w:val="006C1880"/>
    <w:rsid w:val="006C2661"/>
    <w:rsid w:val="006D0DA9"/>
    <w:rsid w:val="0071343A"/>
    <w:rsid w:val="007506D3"/>
    <w:rsid w:val="007B708E"/>
    <w:rsid w:val="007D6EDF"/>
    <w:rsid w:val="0089213D"/>
    <w:rsid w:val="008B032A"/>
    <w:rsid w:val="00930236"/>
    <w:rsid w:val="009B62EC"/>
    <w:rsid w:val="00A221C3"/>
    <w:rsid w:val="00A2694C"/>
    <w:rsid w:val="00A36B42"/>
    <w:rsid w:val="00A531D5"/>
    <w:rsid w:val="00AD2993"/>
    <w:rsid w:val="00B829FA"/>
    <w:rsid w:val="00B86508"/>
    <w:rsid w:val="00BB582F"/>
    <w:rsid w:val="00C11DD6"/>
    <w:rsid w:val="00C50119"/>
    <w:rsid w:val="00C85F2E"/>
    <w:rsid w:val="00CF3E43"/>
    <w:rsid w:val="00D30DB2"/>
    <w:rsid w:val="00DA1CC9"/>
    <w:rsid w:val="00DA5E03"/>
    <w:rsid w:val="00DC280C"/>
    <w:rsid w:val="00DD23F6"/>
    <w:rsid w:val="00E26D28"/>
    <w:rsid w:val="00E922E1"/>
    <w:rsid w:val="00F600A0"/>
    <w:rsid w:val="00F6116D"/>
    <w:rsid w:val="00FC4A71"/>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styleId="Footer">
    <w:name w:val="footer"/>
    <w:basedOn w:val="Normal"/>
    <w:pPr>
      <w:tabs>
        <w:tab w:val="center" w:pos="4536"/>
        <w:tab w:val="right" w:pos="9072"/>
      </w:tabs>
      <w:jc w:val="left"/>
    </w:pPr>
  </w:style>
  <w:style w:type="character" w:styleId="PageNumber">
    <w:name w:val="page number"/>
    <w:basedOn w:val="DefaultParagraphFont"/>
    <w:rPr>
      <w:rFonts w:cs="Times New Roman"/>
      <w:rtl w:val="0"/>
      <w:cs w:val="0"/>
    </w:rPr>
  </w:style>
  <w:style w:type="paragraph" w:styleId="BodyTextIndent">
    <w:name w:val="Body Text Indent"/>
    <w:basedOn w:val="Normal"/>
    <w:pPr>
      <w:ind w:firstLine="720"/>
      <w:jc w:val="both"/>
    </w:pPr>
  </w:style>
  <w:style w:type="paragraph" w:styleId="Header">
    <w:name w:val="header"/>
    <w:basedOn w:val="Normal"/>
    <w:pPr>
      <w:tabs>
        <w:tab w:val="center" w:pos="4536"/>
        <w:tab w:val="right" w:pos="9072"/>
      </w:tabs>
      <w:jc w:val="left"/>
    </w:pPr>
  </w:style>
  <w:style w:type="paragraph" w:styleId="BodyText">
    <w:name w:val="Body Text"/>
    <w:basedOn w:val="Normal"/>
    <w:rsid w:val="004C67C9"/>
    <w:pPr>
      <w:spacing w:after="120"/>
      <w:jc w:val="left"/>
    </w:pPr>
  </w:style>
  <w:style w:type="character" w:styleId="PlaceholderText">
    <w:name w:val="Placeholder Text"/>
    <w:uiPriority w:val="99"/>
    <w:semiHidden/>
    <w:rsid w:val="00F6116D"/>
    <w:rPr>
      <w:rFonts w:ascii="Times New Roman" w:hAnsi="Times New Roman" w:cs="Times New Roman"/>
      <w:color w:val="80808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2</Pages>
  <Words>608</Words>
  <Characters>3471</Characters>
  <Application>Microsoft Office Word</Application>
  <DocSecurity>0</DocSecurity>
  <Lines>0</Lines>
  <Paragraphs>0</Paragraphs>
  <ScaleCrop>false</ScaleCrop>
  <Company>MFSR</Company>
  <LinksUpToDate>false</LinksUpToDate>
  <CharactersWithSpaces>4071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 Predkladacej správy upravený J</dc:title>
  <dc:creator>jmaxianova</dc:creator>
  <cp:lastModifiedBy>Gašparíková, Jarmila</cp:lastModifiedBy>
  <cp:revision>2</cp:revision>
  <cp:lastPrinted>2007-12-06T07:18:00Z</cp:lastPrinted>
  <dcterms:created xsi:type="dcterms:W3CDTF">2016-08-19T12:07:00Z</dcterms:created>
  <dcterms:modified xsi:type="dcterms:W3CDTF">2016-08-19T12:07:00Z</dcterms:modified>
</cp:coreProperties>
</file>