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63488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63488E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67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2 023 468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67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1 818 936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67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1 764 936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7D5748" w:rsidP="0063488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2 023 468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1 818 936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1 764 936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2 023 468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1 818 936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 xml:space="preserve">1 764 936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  <w:t>2 023 468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  <w:t>1 818 936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67B93" w:rsidRPr="00167B93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  <w:t xml:space="preserve">1 764 936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67B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D70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D70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167B93" w:rsidR="00167B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="00ED70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167B9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="00ED70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52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535C0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361 560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535C0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723 120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535C0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723 120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5C0D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5C0D" w:rsidRPr="00535C0D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35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5C0D" w:rsidRPr="00535C0D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 w:rsidRPr="00535C0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361 560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5C0D" w:rsidRPr="00535C0D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 w:rsidRPr="00535C0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723 120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5C0D" w:rsidRPr="00535C0D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</w:pPr>
            <w:r w:rsidRPr="00535C0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sk-SK"/>
              </w:rPr>
              <w:t>723 120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55161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55161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55161" w:rsidRPr="007D5748" w:rsidP="00A00EC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2 023 468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55161" w:rsidRPr="007D5748" w:rsidP="00A00EC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1 818 936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455161" w:rsidRPr="007D5748" w:rsidP="00A00EC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1 764 936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55161" w:rsidRPr="007D5748" w:rsidP="0063488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55161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55161" w:rsidRPr="00167B93" w:rsidP="00A00EC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2 023 468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55161" w:rsidRPr="00167B93" w:rsidP="00A00EC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1 818 936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55161" w:rsidRPr="00167B93" w:rsidP="00A00EC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67B9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1 764 936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5C0D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5C0D" w:rsidRPr="007D5748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5C0D" w:rsidRPr="007D5748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551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5C0D" w:rsidRPr="007D5748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551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5C0D" w:rsidRPr="007D5748" w:rsidP="00995E1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551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ED70F8" w:rsidRPr="007D5748" w:rsidP="000532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85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05325F">
        <w:rPr>
          <w:rFonts w:ascii="Times New Roman" w:hAnsi="Times New Roman"/>
          <w:sz w:val="24"/>
          <w:szCs w:val="24"/>
        </w:rPr>
        <w:t>Negatívny</w:t>
      </w:r>
      <w:r w:rsidRPr="00ED70F8">
        <w:rPr>
          <w:rFonts w:ascii="Times New Roman" w:hAnsi="Times New Roman"/>
          <w:sz w:val="24"/>
          <w:szCs w:val="24"/>
        </w:rPr>
        <w:t xml:space="preserve"> 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vplyv na rozpoč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et kapitoly v 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rokoch 2017 až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 xml:space="preserve"> 2019, ktorý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 xml:space="preserve"> je prezentovaný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 xml:space="preserve"> ako rozpoč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tovo krytý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, rieš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iť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 xml:space="preserve"> v plnom rozsahu v 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rá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mci rokovaní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 xml:space="preserve"> o 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vrhu rozpoč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>tu na roky 2017 až</w:t>
      </w:r>
      <w:r w:rsidR="0005325F">
        <w:rPr>
          <w:rFonts w:ascii="Times New Roman" w:eastAsia="Calibri" w:hAnsi="Times New Roman" w:cs="Times New Roman" w:hint="default"/>
          <w:sz w:val="24"/>
          <w:szCs w:val="24"/>
        </w:rPr>
        <w:t xml:space="preserve"> 2019 v priebehu roka </w:t>
      </w:r>
      <w:r w:rsidRPr="00ED70F8">
        <w:rPr>
          <w:rFonts w:ascii="Times New Roman" w:hAnsi="Times New Roman"/>
          <w:sz w:val="24"/>
          <w:szCs w:val="24"/>
        </w:rPr>
        <w:t>2016.</w:t>
      </w:r>
    </w:p>
    <w:p w:rsidR="00E54749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218B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DB659A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B659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DB659A" w:rsidP="00DB659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DB659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B659A" w:rsidR="00DB659A">
        <w:rPr>
          <w:rFonts w:ascii="Times New Roman" w:hAnsi="Times New Roman" w:cs="Times New Roman"/>
          <w:sz w:val="24"/>
          <w:szCs w:val="24"/>
          <w:lang w:eastAsia="sk-SK"/>
        </w:rPr>
        <w:t>Návrh zákona o upomínacom konaní</w:t>
      </w:r>
      <w:r w:rsidR="008C0471">
        <w:rPr>
          <w:rFonts w:ascii="Times New Roman" w:hAnsi="Times New Roman" w:cs="Times New Roman"/>
          <w:sz w:val="24"/>
          <w:szCs w:val="24"/>
          <w:lang w:eastAsia="sk-SK"/>
        </w:rPr>
        <w:t xml:space="preserve"> a o doplnení niektorých zákonov</w:t>
      </w:r>
      <w:r w:rsidRPr="00DB659A" w:rsidR="00DB659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B659A">
        <w:rPr>
          <w:rFonts w:ascii="Times New Roman" w:hAnsi="Times New Roman" w:cs="Times New Roman"/>
          <w:sz w:val="24"/>
          <w:szCs w:val="24"/>
          <w:lang w:eastAsia="sk-SK"/>
        </w:rPr>
        <w:t xml:space="preserve">upravuje alternatívne elektronické konanie o platobnom rozkaze prostredníctvom štandardizovaných formulárov. </w:t>
      </w:r>
      <w:r w:rsidRPr="00DB659A" w:rsidR="00DB659A">
        <w:rPr>
          <w:rFonts w:ascii="Times New Roman" w:hAnsi="Times New Roman" w:cs="Times New Roman"/>
          <w:sz w:val="24"/>
          <w:szCs w:val="24"/>
          <w:lang w:eastAsia="sk-SK"/>
        </w:rPr>
        <w:t>Formuláre budú mať štruktúrovanú podobu, ktorá umožní ich automatické spracovanie informačným systémom na súde, čo bude mať výrazný vplyv na urýchlenie konania. Štandardizované formuláre prevedú žalobcu a žalovaného celým konaním, kde budú interaktívnymi nápovedami navádzaní, aby správne vyplnili jednotlivé polia formulárov, a tak predišli nejasným a nezrozumiteľným návrhom.</w:t>
      </w:r>
      <w:r w:rsidR="00DB659A">
        <w:rPr>
          <w:rFonts w:ascii="Times New Roman" w:hAnsi="Times New Roman" w:cs="Times New Roman"/>
          <w:sz w:val="24"/>
          <w:szCs w:val="24"/>
          <w:lang w:eastAsia="sk-SK"/>
        </w:rPr>
        <w:t xml:space="preserve"> Elektronické konanie – upomínacie konanie bude sústredené na jeden súd – Okresný súd Banská Bystrica.</w:t>
      </w:r>
    </w:p>
    <w:p w:rsidR="00BC1F7D" w:rsidP="00DB659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C1F7D" w:rsidP="00DB659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Návrh bude implementovať Ministerstvo spravodlivosti Slovenskej republiky.</w:t>
      </w:r>
    </w:p>
    <w:p w:rsidR="00DB659A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B659A" w:rsidRPr="00DB659A" w:rsidP="00DB659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DB659A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B659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DB659A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DB659A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B659A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86579D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DB659A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DB659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DB659A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DB659A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B659A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B659A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DB659A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B659A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B659A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DB659A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B659A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B659A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B659A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817A7C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DB659A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DB659A">
        <w:rPr>
          <w:rFonts w:ascii="Times New Roman" w:hAnsi="Times New Roman" w:cs="Times New Roman"/>
          <w:sz w:val="24"/>
          <w:szCs w:val="24"/>
          <w:lang w:eastAsia="sk-SK"/>
        </w:rPr>
        <w:t xml:space="preserve">  iné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C1F7D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5325F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218B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8218B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C1F7D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54749">
        <w:rPr>
          <w:rFonts w:ascii="Times New Roman" w:hAnsi="Times New Roman" w:cs="Times New Roman"/>
          <w:sz w:val="24"/>
          <w:szCs w:val="24"/>
          <w:lang w:eastAsia="sk-SK"/>
        </w:rPr>
        <w:t>Uvedený návrh zohľadňuje nákl</w:t>
      </w:r>
      <w:r w:rsidR="0005325F">
        <w:rPr>
          <w:rFonts w:ascii="Times New Roman" w:hAnsi="Times New Roman" w:cs="Times New Roman"/>
          <w:sz w:val="24"/>
          <w:szCs w:val="24"/>
          <w:lang w:eastAsia="sk-SK"/>
        </w:rPr>
        <w:t>ady na novovzniknutý útvar pod O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>kresným súdom</w:t>
      </w:r>
      <w:r w:rsidR="0005325F">
        <w:rPr>
          <w:rFonts w:ascii="Times New Roman" w:hAnsi="Times New Roman" w:cs="Times New Roman"/>
          <w:sz w:val="24"/>
          <w:szCs w:val="24"/>
          <w:lang w:eastAsia="sk-SK"/>
        </w:rPr>
        <w:t xml:space="preserve"> Banská Bystrica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>, ktorý bude umiestnený v samostatnom objekte.</w:t>
      </w: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169F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54749">
        <w:rPr>
          <w:rFonts w:ascii="Times New Roman" w:hAnsi="Times New Roman" w:cs="Times New Roman"/>
          <w:sz w:val="24"/>
          <w:szCs w:val="24"/>
          <w:lang w:eastAsia="sk-SK"/>
        </w:rPr>
        <w:t xml:space="preserve">Náklady v oblasti osobných výdavkov zohľadňujú navýšenie počtu zamestnancov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celkom 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>o </w:t>
      </w:r>
      <w:r>
        <w:rPr>
          <w:rFonts w:ascii="Times New Roman" w:hAnsi="Times New Roman" w:cs="Times New Roman"/>
          <w:sz w:val="24"/>
          <w:szCs w:val="24"/>
          <w:lang w:eastAsia="sk-SK"/>
        </w:rPr>
        <w:t>52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 xml:space="preserve">, z toho </w:t>
      </w:r>
      <w:r>
        <w:rPr>
          <w:rFonts w:ascii="Times New Roman" w:hAnsi="Times New Roman" w:cs="Times New Roman"/>
          <w:sz w:val="24"/>
          <w:szCs w:val="24"/>
          <w:lang w:eastAsia="sk-SK"/>
        </w:rPr>
        <w:t>v prvom roku o 26 zamestnancov, a to 2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 xml:space="preserve"> sudcov </w:t>
      </w:r>
      <w:r>
        <w:rPr>
          <w:rFonts w:ascii="Times New Roman" w:hAnsi="Times New Roman" w:cs="Times New Roman"/>
          <w:sz w:val="24"/>
          <w:szCs w:val="24"/>
          <w:lang w:eastAsia="sk-SK"/>
        </w:rPr>
        <w:t>a 24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 xml:space="preserve"> štátnych zamestnancov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patriacich pod </w:t>
      </w:r>
      <w:r w:rsidR="00E54749">
        <w:rPr>
          <w:rFonts w:ascii="Times New Roman" w:hAnsi="Times New Roman" w:cs="Times New Roman"/>
          <w:sz w:val="24"/>
          <w:szCs w:val="24"/>
          <w:lang w:eastAsia="sk-SK"/>
        </w:rPr>
        <w:t>aparát sudcu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(výkon súdnictva)</w:t>
      </w:r>
      <w:r w:rsidR="003B450D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sk-SK"/>
        </w:rPr>
        <w:t>v ďalšom roku opäť o 26 zamestnancov, a to 2 sudcov a 24 štátnych zamestnancov patriacich pod aparát sudcu (výkon súdnictva).</w:t>
      </w:r>
    </w:p>
    <w:p w:rsidR="00EF425C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F425C">
        <w:rPr>
          <w:rFonts w:ascii="Times New Roman" w:hAnsi="Times New Roman" w:cs="Times New Roman"/>
          <w:sz w:val="24"/>
          <w:szCs w:val="24"/>
          <w:lang w:eastAsia="sk-SK"/>
        </w:rPr>
        <w:t>Osobné výdavky sú počítané v prípade sudcov vrátane nároku na vyplatenie 13. a 14. platu, v prípade ostatných zamestnancov na základe zaradenia do príslušných tried, k tomu je počítané osobné ohodnotenie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>(v priemere cca 30 %) a príslušné odvody do poisťovní.</w:t>
      </w:r>
    </w:p>
    <w:p w:rsidR="009A26E9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F425C">
        <w:rPr>
          <w:rFonts w:ascii="Times New Roman" w:hAnsi="Times New Roman" w:cs="Times New Roman"/>
          <w:sz w:val="24"/>
          <w:szCs w:val="24"/>
          <w:lang w:eastAsia="sk-SK"/>
        </w:rPr>
        <w:t>V prípade ostatných bežných výdavkov, ktoré sú v</w:t>
      </w:r>
      <w:r w:rsidR="0084514D">
        <w:rPr>
          <w:rFonts w:ascii="Times New Roman" w:hAnsi="Times New Roman" w:cs="Times New Roman"/>
          <w:sz w:val="24"/>
          <w:szCs w:val="24"/>
          <w:lang w:eastAsia="sk-SK"/>
        </w:rPr>
        <w:t> prvých dvoch rokoch vyššie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 xml:space="preserve"> ide o výdavky na prvotné zariadenie </w:t>
      </w:r>
      <w:r w:rsidR="00224AD8">
        <w:rPr>
          <w:rFonts w:ascii="Times New Roman" w:hAnsi="Times New Roman" w:cs="Times New Roman"/>
          <w:sz w:val="24"/>
          <w:szCs w:val="24"/>
          <w:lang w:eastAsia="sk-SK"/>
        </w:rPr>
        <w:t>objektu a jeho prispôsobenie výkonu činnosti súdu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 xml:space="preserve"> vrátane prvotného </w:t>
      </w:r>
      <w:r w:rsidR="00224AD8">
        <w:rPr>
          <w:rFonts w:ascii="Times New Roman" w:hAnsi="Times New Roman" w:cs="Times New Roman"/>
          <w:sz w:val="24"/>
          <w:szCs w:val="24"/>
          <w:lang w:eastAsia="sk-SK"/>
        </w:rPr>
        <w:t>vybavenia</w:t>
      </w:r>
      <w:r w:rsidR="00EF425C">
        <w:rPr>
          <w:rFonts w:ascii="Times New Roman" w:hAnsi="Times New Roman" w:cs="Times New Roman"/>
          <w:sz w:val="24"/>
          <w:szCs w:val="24"/>
          <w:lang w:eastAsia="sk-SK"/>
        </w:rPr>
        <w:t xml:space="preserve"> pre zamestnancov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</w:t>
      </w:r>
      <w:r w:rsidR="0084514D">
        <w:rPr>
          <w:rFonts w:ascii="Times New Roman" w:hAnsi="Times New Roman" w:cs="Times New Roman"/>
          <w:sz w:val="24"/>
          <w:szCs w:val="24"/>
          <w:lang w:eastAsia="sk-SK"/>
        </w:rPr>
        <w:t>objekt</w:t>
      </w:r>
      <w:r w:rsidR="004169F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iba v roku 2017</w:t>
      </w:r>
      <w:r w:rsidR="004169F8">
        <w:rPr>
          <w:rFonts w:ascii="Times New Roman" w:hAnsi="Times New Roman" w:cs="Times New Roman"/>
          <w:sz w:val="24"/>
          <w:szCs w:val="24"/>
          <w:lang w:eastAsia="sk-SK"/>
        </w:rPr>
        <w:t>, zamestnanci aj v roku 2017 aj v roku 2018</w:t>
      </w:r>
      <w:r>
        <w:rPr>
          <w:rFonts w:ascii="Times New Roman" w:hAnsi="Times New Roman" w:cs="Times New Roman"/>
          <w:sz w:val="24"/>
          <w:szCs w:val="24"/>
          <w:lang w:eastAsia="sk-SK"/>
        </w:rPr>
        <w:t>) a</w:t>
      </w:r>
      <w:r w:rsidR="00176841">
        <w:rPr>
          <w:rFonts w:ascii="Times New Roman" w:hAnsi="Times New Roman" w:cs="Times New Roman"/>
          <w:sz w:val="24"/>
          <w:szCs w:val="24"/>
          <w:lang w:eastAsia="sk-SK"/>
        </w:rPr>
        <w:t xml:space="preserve"> bežné </w:t>
      </w:r>
      <w:r>
        <w:rPr>
          <w:rFonts w:ascii="Times New Roman" w:hAnsi="Times New Roman" w:cs="Times New Roman"/>
          <w:sz w:val="24"/>
          <w:szCs w:val="24"/>
          <w:lang w:eastAsia="sk-SK"/>
        </w:rPr>
        <w:t>prevádzkové výdavky na budovu</w:t>
      </w:r>
      <w:r w:rsidR="003131B1">
        <w:rPr>
          <w:rFonts w:ascii="Times New Roman" w:hAnsi="Times New Roman" w:cs="Times New Roman"/>
          <w:sz w:val="24"/>
          <w:szCs w:val="24"/>
          <w:lang w:eastAsia="sk-SK"/>
        </w:rPr>
        <w:t xml:space="preserve">, výkon činnosti útvaru </w:t>
      </w:r>
      <w:r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="00176841">
        <w:rPr>
          <w:rFonts w:ascii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>zamestnancov</w:t>
      </w:r>
      <w:r w:rsidR="00176841">
        <w:rPr>
          <w:rFonts w:ascii="Times New Roman" w:hAnsi="Times New Roman" w:cs="Times New Roman"/>
          <w:sz w:val="24"/>
          <w:szCs w:val="24"/>
          <w:lang w:eastAsia="sk-SK"/>
        </w:rPr>
        <w:t xml:space="preserve"> vrátane nákladov na hybridnú poštu</w:t>
      </w:r>
      <w:r>
        <w:rPr>
          <w:rFonts w:ascii="Times New Roman" w:hAnsi="Times New Roman" w:cs="Times New Roman"/>
          <w:sz w:val="24"/>
          <w:szCs w:val="24"/>
          <w:lang w:eastAsia="sk-SK"/>
        </w:rPr>
        <w:t>, ktoré sú uplatňované každoročne.</w:t>
      </w:r>
    </w:p>
    <w:p w:rsidR="00224AD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24AD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 prípade kapitálových výdavkov ide </w:t>
      </w:r>
      <w:r w:rsidR="003131B1">
        <w:rPr>
          <w:rFonts w:ascii="Times New Roman" w:hAnsi="Times New Roman" w:cs="Times New Roman"/>
          <w:sz w:val="24"/>
          <w:szCs w:val="24"/>
          <w:lang w:eastAsia="sk-SK"/>
        </w:rPr>
        <w:t xml:space="preserve">v prvom roku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o výdavky na softvér – úpravu </w:t>
      </w:r>
      <w:r w:rsidR="003131B1">
        <w:rPr>
          <w:rFonts w:ascii="Times New Roman" w:hAnsi="Times New Roman" w:cs="Times New Roman"/>
          <w:sz w:val="24"/>
          <w:szCs w:val="24"/>
          <w:lang w:eastAsia="sk-SK"/>
        </w:rPr>
        <w:t xml:space="preserve">príslušných </w:t>
      </w:r>
      <w:r>
        <w:rPr>
          <w:rFonts w:ascii="Times New Roman" w:hAnsi="Times New Roman" w:cs="Times New Roman"/>
          <w:sz w:val="24"/>
          <w:szCs w:val="24"/>
          <w:lang w:eastAsia="sk-SK"/>
        </w:rPr>
        <w:t>aplikácií</w:t>
      </w:r>
      <w:r w:rsidR="004169F8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hardvér a sieťové </w:t>
      </w:r>
      <w:r w:rsidR="003131B1">
        <w:rPr>
          <w:rFonts w:ascii="Times New Roman" w:hAnsi="Times New Roman" w:cs="Times New Roman"/>
          <w:sz w:val="24"/>
          <w:szCs w:val="24"/>
          <w:lang w:eastAsia="sk-SK"/>
        </w:rPr>
        <w:t>zariadenia. V ďalších rokoch ide o výdavky na softvér – úpravu príslušných aplikácií.</w:t>
      </w:r>
    </w:p>
    <w:p w:rsidR="005074D0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F66B3" w:rsidR="004F66B3">
        <w:rPr>
          <w:rFonts w:ascii="Times New Roman" w:hAnsi="Times New Roman" w:cs="Times New Roman"/>
          <w:sz w:val="24"/>
          <w:szCs w:val="24"/>
          <w:lang w:eastAsia="sk-SK"/>
        </w:rPr>
        <w:t>V prípade novej položky v oblasti súdnych poplatkov nie je možné</w:t>
      </w:r>
      <w:r w:rsidR="0005325F">
        <w:rPr>
          <w:rFonts w:ascii="Times New Roman" w:hAnsi="Times New Roman" w:cs="Times New Roman"/>
          <w:sz w:val="24"/>
          <w:szCs w:val="24"/>
          <w:lang w:eastAsia="sk-SK"/>
        </w:rPr>
        <w:t xml:space="preserve"> vplyv na rozpočet kvantifikovať</w:t>
      </w:r>
      <w:r w:rsidRPr="004F66B3" w:rsidR="004F66B3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B2B5F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E5474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B2B5F" w:rsidR="004B2B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A259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1 364 059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A259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1 751 936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A259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1 694 936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7D5748" w:rsidP="00C93F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56654C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361 560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56654C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723 120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56654C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723 120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654C" w:rsidRPr="007D5748" w:rsidP="00C93F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7D5748" w:rsidP="00C93F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56654C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124 908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56654C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249 816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6654C" w:rsidRPr="0056654C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249 816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6654C" w:rsidRPr="007D5748" w:rsidP="00C93F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6DFF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D6DFF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– 632, 633, 635,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877 591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779 000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1A6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722 000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8D339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Pr="008D339D" w:rsid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659 409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6DFF" w:rsidP="0056654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D6DFF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– 711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659 409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1A6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="0056654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70 000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93F4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A259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2 023 468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A259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1 818 936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BA259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1 764 936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762"/>
        <w:gridCol w:w="1275"/>
        <w:gridCol w:w="1276"/>
        <w:gridCol w:w="893"/>
        <w:gridCol w:w="383"/>
        <w:gridCol w:w="1315"/>
        <w:gridCol w:w="2352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4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4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A4CE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4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213FF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01D6C" w:rsidRPr="007D5748" w:rsidP="000A3CC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2+2 x sudca, 24+24 x ŠS, 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213FF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01D6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sudca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3 521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3 521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213FF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3 521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01D6C" w:rsidRPr="007D5748" w:rsidP="005454B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2+2 sudcovia (vrátane 13. a 14. platu)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3 521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3 521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213FF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3 521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01D6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5454B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štátny zamestnanec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A1545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A1545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A1545F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A1545F" w:rsidP="00213FF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01D6C" w:rsidRPr="007D5748" w:rsidP="005454B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24+24 štátnych zamestnancov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E547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1D6C" w:rsidRPr="007D5748" w:rsidP="00213FF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01D6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E5E64" w:rsidRPr="007D5748" w:rsidP="002A4CE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486 468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972 936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E5E64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972 936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853C6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361 560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723 120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723 120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361 560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723 120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723 120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124 908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249 816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249 816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124 908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E547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249 816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5E64" w:rsidRPr="007D5748" w:rsidP="00995E1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249 816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E5E64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7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4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4B2B5F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4B2B5F">
      <w:pPr>
        <w:bidi w:val="0"/>
        <w:spacing w:after="0" w:line="240" w:lineRule="auto"/>
        <w:jc w:val="center"/>
      </w:pPr>
    </w:p>
    <w:sectPr w:rsidSect="004B2B5F">
      <w:pgSz w:w="16838" w:h="11906" w:orient="landscape"/>
      <w:pgMar w:top="1418" w:right="1418" w:bottom="141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C618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E54749" w:rsidRPr="00EB59C8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54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RPr="000A15AE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5005EC"/>
    <w:rsid w:val="0001348B"/>
    <w:rsid w:val="00031A6E"/>
    <w:rsid w:val="00035EB6"/>
    <w:rsid w:val="0005325F"/>
    <w:rsid w:val="00057135"/>
    <w:rsid w:val="0008301C"/>
    <w:rsid w:val="000A15AE"/>
    <w:rsid w:val="000A3CC6"/>
    <w:rsid w:val="000C087A"/>
    <w:rsid w:val="000E389D"/>
    <w:rsid w:val="00102359"/>
    <w:rsid w:val="001127A8"/>
    <w:rsid w:val="00133C87"/>
    <w:rsid w:val="00167B93"/>
    <w:rsid w:val="00170D2B"/>
    <w:rsid w:val="00176841"/>
    <w:rsid w:val="001A7CB9"/>
    <w:rsid w:val="00200898"/>
    <w:rsid w:val="00212894"/>
    <w:rsid w:val="00213FFF"/>
    <w:rsid w:val="00224AD8"/>
    <w:rsid w:val="00226091"/>
    <w:rsid w:val="002923A9"/>
    <w:rsid w:val="002A4CEC"/>
    <w:rsid w:val="002C19C0"/>
    <w:rsid w:val="002E29B1"/>
    <w:rsid w:val="003131B1"/>
    <w:rsid w:val="00317B90"/>
    <w:rsid w:val="00354CEA"/>
    <w:rsid w:val="00384657"/>
    <w:rsid w:val="003B450D"/>
    <w:rsid w:val="003C7AD6"/>
    <w:rsid w:val="003F274A"/>
    <w:rsid w:val="004169F8"/>
    <w:rsid w:val="00455161"/>
    <w:rsid w:val="00487203"/>
    <w:rsid w:val="004B2B5F"/>
    <w:rsid w:val="004B3414"/>
    <w:rsid w:val="004F66B3"/>
    <w:rsid w:val="005005EC"/>
    <w:rsid w:val="005074D0"/>
    <w:rsid w:val="00535C0D"/>
    <w:rsid w:val="005454B9"/>
    <w:rsid w:val="0056654C"/>
    <w:rsid w:val="00616B63"/>
    <w:rsid w:val="0063488E"/>
    <w:rsid w:val="006863A5"/>
    <w:rsid w:val="006B2B54"/>
    <w:rsid w:val="006C097F"/>
    <w:rsid w:val="007246BD"/>
    <w:rsid w:val="007D35D5"/>
    <w:rsid w:val="007D5748"/>
    <w:rsid w:val="008161F1"/>
    <w:rsid w:val="00817A7C"/>
    <w:rsid w:val="0084514D"/>
    <w:rsid w:val="00853C66"/>
    <w:rsid w:val="0086579D"/>
    <w:rsid w:val="0089261E"/>
    <w:rsid w:val="00892DE4"/>
    <w:rsid w:val="008C0471"/>
    <w:rsid w:val="008C6185"/>
    <w:rsid w:val="008D339D"/>
    <w:rsid w:val="008E2736"/>
    <w:rsid w:val="00900C22"/>
    <w:rsid w:val="00903A67"/>
    <w:rsid w:val="00911AEB"/>
    <w:rsid w:val="00917B6B"/>
    <w:rsid w:val="00961105"/>
    <w:rsid w:val="009706B7"/>
    <w:rsid w:val="00995E12"/>
    <w:rsid w:val="009A26E9"/>
    <w:rsid w:val="009A6150"/>
    <w:rsid w:val="00A00EC3"/>
    <w:rsid w:val="00A1545F"/>
    <w:rsid w:val="00A34ACC"/>
    <w:rsid w:val="00B010A4"/>
    <w:rsid w:val="00B01D6C"/>
    <w:rsid w:val="00B5535C"/>
    <w:rsid w:val="00B85D08"/>
    <w:rsid w:val="00B87E89"/>
    <w:rsid w:val="00B92FA2"/>
    <w:rsid w:val="00BA259A"/>
    <w:rsid w:val="00BC1F7D"/>
    <w:rsid w:val="00C15212"/>
    <w:rsid w:val="00C51FD4"/>
    <w:rsid w:val="00C8218B"/>
    <w:rsid w:val="00C93F49"/>
    <w:rsid w:val="00CB3623"/>
    <w:rsid w:val="00CB6989"/>
    <w:rsid w:val="00CC559B"/>
    <w:rsid w:val="00CE299A"/>
    <w:rsid w:val="00CE7765"/>
    <w:rsid w:val="00D25446"/>
    <w:rsid w:val="00D528C9"/>
    <w:rsid w:val="00DB659A"/>
    <w:rsid w:val="00DD6DFF"/>
    <w:rsid w:val="00DE5BF1"/>
    <w:rsid w:val="00DE5E64"/>
    <w:rsid w:val="00E07CE9"/>
    <w:rsid w:val="00E11F8D"/>
    <w:rsid w:val="00E238E9"/>
    <w:rsid w:val="00E54749"/>
    <w:rsid w:val="00E61F1E"/>
    <w:rsid w:val="00E906F1"/>
    <w:rsid w:val="00E960F9"/>
    <w:rsid w:val="00E963A3"/>
    <w:rsid w:val="00EA1E90"/>
    <w:rsid w:val="00EB59C8"/>
    <w:rsid w:val="00ED70F8"/>
    <w:rsid w:val="00EF425C"/>
    <w:rsid w:val="00F25B94"/>
    <w:rsid w:val="00F40136"/>
    <w:rsid w:val="00F4791E"/>
    <w:rsid w:val="00F536CE"/>
    <w:rsid w:val="00FB0B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_vplyvy_rozpocet"/>
    <f:field ref="objsubject" par="" edit="true" text=""/>
    <f:field ref="objcreatedby" par="" text="Palúš, Juraj, JUDr."/>
    <f:field ref="objcreatedat" par="" text="30.6.2016 17:56:35"/>
    <f:field ref="objchangedby" par="" text="Administrator, System"/>
    <f:field ref="objmodifiedat" par="" text="30.6.2016 17:56:3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1159</Words>
  <Characters>6608</Characters>
  <Application>Microsoft Office Word</Application>
  <DocSecurity>0</DocSecurity>
  <Lines>0</Lines>
  <Paragraphs>0</Paragraphs>
  <ScaleCrop>false</ScaleCrop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2016-08-19T11:38:00Z</dcterms:created>
  <dcterms:modified xsi:type="dcterms:W3CDTF">2016-08-19T11:38:00Z</dcterms:modified>
</cp:coreProperties>
</file>