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729D" w:rsidRPr="004C135A" w:rsidP="004A729D">
      <w:pPr>
        <w:bidi w:val="0"/>
        <w:spacing w:after="0" w:line="240" w:lineRule="auto"/>
        <w:jc w:val="center"/>
        <w:rPr>
          <w:rFonts w:ascii="Times New Roman" w:hAnsi="Times New Roman"/>
          <w:spacing w:val="30"/>
          <w:sz w:val="24"/>
          <w:szCs w:val="24"/>
        </w:rPr>
      </w:pPr>
      <w:r w:rsidRPr="004C135A">
        <w:rPr>
          <w:rFonts w:ascii="Times New Roman" w:hAnsi="Times New Roman"/>
          <w:spacing w:val="30"/>
          <w:sz w:val="24"/>
          <w:szCs w:val="24"/>
        </w:rPr>
        <w:t>(Návrh)</w:t>
      </w:r>
    </w:p>
    <w:p w:rsidR="004A729D" w:rsidRPr="004C135A" w:rsidP="004A729D">
      <w:pPr>
        <w:bidi w:val="0"/>
        <w:spacing w:after="0" w:line="240" w:lineRule="auto"/>
        <w:jc w:val="center"/>
        <w:rPr>
          <w:rFonts w:ascii="Times New Roman" w:hAnsi="Times New Roman"/>
          <w:spacing w:val="30"/>
          <w:sz w:val="24"/>
          <w:szCs w:val="24"/>
        </w:rPr>
      </w:pPr>
    </w:p>
    <w:p w:rsidR="004A729D" w:rsidRPr="000A46CB" w:rsidP="004A729D">
      <w:pPr>
        <w:bidi w:val="0"/>
        <w:spacing w:after="0" w:line="240" w:lineRule="auto"/>
        <w:jc w:val="center"/>
        <w:rPr>
          <w:rFonts w:ascii="Times New Roman" w:hAnsi="Times New Roman"/>
          <w:b/>
          <w:caps/>
          <w:spacing w:val="30"/>
          <w:sz w:val="24"/>
          <w:szCs w:val="24"/>
        </w:rPr>
      </w:pPr>
      <w:r w:rsidRPr="000A46CB">
        <w:rPr>
          <w:rFonts w:ascii="Times New Roman" w:hAnsi="Times New Roman"/>
          <w:b/>
          <w:caps/>
          <w:spacing w:val="30"/>
          <w:sz w:val="24"/>
          <w:szCs w:val="24"/>
        </w:rPr>
        <w:t>vyhláška</w:t>
      </w:r>
    </w:p>
    <w:p w:rsidR="004A729D" w:rsidRPr="004C135A" w:rsidP="004A729D">
      <w:pPr>
        <w:bidi w:val="0"/>
        <w:spacing w:after="0" w:line="240" w:lineRule="auto"/>
        <w:jc w:val="center"/>
        <w:rPr>
          <w:rFonts w:ascii="Times New Roman" w:hAnsi="Times New Roman"/>
          <w:b/>
          <w:sz w:val="24"/>
          <w:szCs w:val="24"/>
        </w:rPr>
      </w:pPr>
      <w:r w:rsidRPr="004C135A">
        <w:rPr>
          <w:rFonts w:ascii="Times New Roman" w:hAnsi="Times New Roman"/>
          <w:b/>
          <w:sz w:val="24"/>
          <w:szCs w:val="24"/>
        </w:rPr>
        <w:t>Ministerstva spravodlivosti Slovenskej republiky</w:t>
      </w:r>
    </w:p>
    <w:p w:rsidR="004A729D" w:rsidRPr="004C135A" w:rsidP="004A729D">
      <w:pPr>
        <w:bidi w:val="0"/>
        <w:spacing w:after="0" w:line="240" w:lineRule="auto"/>
        <w:jc w:val="center"/>
        <w:rPr>
          <w:rFonts w:ascii="Times New Roman" w:hAnsi="Times New Roman"/>
          <w:sz w:val="24"/>
          <w:szCs w:val="24"/>
        </w:rPr>
      </w:pP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 xml:space="preserve">z </w:t>
      </w:r>
      <w:r>
        <w:rPr>
          <w:rFonts w:ascii="Times New Roman" w:hAnsi="Times New Roman"/>
          <w:sz w:val="24"/>
          <w:szCs w:val="24"/>
        </w:rPr>
        <w:t>... 2016</w:t>
      </w:r>
      <w:r w:rsidRPr="00973EE0">
        <w:rPr>
          <w:rFonts w:ascii="Times New Roman" w:hAnsi="Times New Roman"/>
          <w:sz w:val="24"/>
          <w:szCs w:val="24"/>
        </w:rPr>
        <w:t>,</w:t>
      </w:r>
    </w:p>
    <w:p w:rsidR="004A729D" w:rsidRPr="004C135A" w:rsidP="004A729D">
      <w:pPr>
        <w:bidi w:val="0"/>
        <w:spacing w:after="0" w:line="240" w:lineRule="auto"/>
        <w:jc w:val="center"/>
        <w:rPr>
          <w:rFonts w:ascii="Times New Roman" w:hAnsi="Times New Roman"/>
          <w:sz w:val="24"/>
          <w:szCs w:val="24"/>
        </w:rPr>
      </w:pPr>
    </w:p>
    <w:p w:rsidR="004A729D" w:rsidRPr="004C135A" w:rsidP="004A729D">
      <w:pPr>
        <w:bidi w:val="0"/>
        <w:spacing w:after="0" w:line="240" w:lineRule="auto"/>
        <w:jc w:val="center"/>
        <w:rPr>
          <w:rFonts w:ascii="Times New Roman" w:hAnsi="Times New Roman"/>
          <w:b/>
          <w:sz w:val="24"/>
          <w:szCs w:val="24"/>
        </w:rPr>
      </w:pPr>
      <w:r w:rsidR="00C02A6A">
        <w:rPr>
          <w:rFonts w:ascii="Times New Roman" w:hAnsi="Times New Roman"/>
          <w:b/>
          <w:sz w:val="24"/>
          <w:szCs w:val="24"/>
        </w:rPr>
        <w:t>ktorou</w:t>
      </w:r>
      <w:r w:rsidRPr="004C135A">
        <w:rPr>
          <w:rFonts w:ascii="Times New Roman" w:hAnsi="Times New Roman"/>
          <w:b/>
          <w:sz w:val="24"/>
          <w:szCs w:val="24"/>
        </w:rPr>
        <w:t xml:space="preserve"> sa ustanovujú </w:t>
      </w:r>
      <w:r w:rsidRPr="00973EE0">
        <w:rPr>
          <w:rFonts w:ascii="Times New Roman" w:hAnsi="Times New Roman"/>
          <w:b/>
          <w:sz w:val="24"/>
          <w:szCs w:val="24"/>
        </w:rPr>
        <w:t>podrobnosti o zložení, rozhodovaní, organizácii práce</w:t>
      </w:r>
      <w:r w:rsidR="00EF4E86">
        <w:rPr>
          <w:rFonts w:ascii="Times New Roman" w:hAnsi="Times New Roman"/>
          <w:b/>
          <w:sz w:val="24"/>
          <w:szCs w:val="24"/>
        </w:rPr>
        <w:t xml:space="preserve"> </w:t>
      </w:r>
      <w:r w:rsidR="000C5C7D">
        <w:rPr>
          <w:rFonts w:ascii="Times New Roman" w:hAnsi="Times New Roman"/>
          <w:b/>
          <w:sz w:val="24"/>
          <w:szCs w:val="24"/>
        </w:rPr>
        <w:t>a</w:t>
      </w:r>
      <w:r w:rsidRPr="00973EE0" w:rsidR="000C5C7D">
        <w:rPr>
          <w:rFonts w:ascii="Times New Roman" w:hAnsi="Times New Roman"/>
          <w:b/>
          <w:sz w:val="24"/>
          <w:szCs w:val="24"/>
        </w:rPr>
        <w:t xml:space="preserve"> </w:t>
      </w:r>
      <w:r w:rsidRPr="00973EE0">
        <w:rPr>
          <w:rFonts w:ascii="Times New Roman" w:hAnsi="Times New Roman"/>
          <w:b/>
          <w:sz w:val="24"/>
          <w:szCs w:val="24"/>
        </w:rPr>
        <w:t>postupe komisie pri vyhodnocovaní žiadostí o poskytnutie dotácie a</w:t>
      </w:r>
      <w:r w:rsidR="000C5C7D">
        <w:rPr>
          <w:rFonts w:ascii="Times New Roman" w:hAnsi="Times New Roman"/>
          <w:b/>
          <w:sz w:val="24"/>
          <w:szCs w:val="24"/>
        </w:rPr>
        <w:t xml:space="preserve"> o </w:t>
      </w:r>
      <w:r w:rsidRPr="00973EE0">
        <w:rPr>
          <w:rFonts w:ascii="Times New Roman" w:hAnsi="Times New Roman"/>
          <w:b/>
          <w:sz w:val="24"/>
          <w:szCs w:val="24"/>
        </w:rPr>
        <w:t>kritériá</w:t>
      </w:r>
      <w:r w:rsidR="00973EE0">
        <w:rPr>
          <w:rFonts w:ascii="Times New Roman" w:hAnsi="Times New Roman"/>
          <w:b/>
          <w:sz w:val="24"/>
          <w:szCs w:val="24"/>
        </w:rPr>
        <w:t>ch</w:t>
      </w:r>
      <w:r w:rsidRPr="00973EE0">
        <w:rPr>
          <w:rFonts w:ascii="Times New Roman" w:hAnsi="Times New Roman"/>
          <w:b/>
          <w:sz w:val="24"/>
          <w:szCs w:val="24"/>
        </w:rPr>
        <w:t xml:space="preserve"> pre vyhodnocovanie žiadostí o poskytnutie dotácie</w:t>
      </w:r>
    </w:p>
    <w:p w:rsidR="004A729D" w:rsidRPr="004C135A" w:rsidP="004A729D">
      <w:pPr>
        <w:bidi w:val="0"/>
        <w:spacing w:after="0" w:line="240" w:lineRule="auto"/>
        <w:jc w:val="center"/>
        <w:rPr>
          <w:rFonts w:ascii="Times New Roman" w:hAnsi="Times New Roman"/>
          <w:sz w:val="24"/>
          <w:szCs w:val="24"/>
        </w:rPr>
      </w:pP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 xml:space="preserve">Ministerstvo </w:t>
      </w:r>
      <w:r>
        <w:rPr>
          <w:rFonts w:ascii="Times New Roman" w:hAnsi="Times New Roman"/>
          <w:sz w:val="24"/>
          <w:szCs w:val="24"/>
        </w:rPr>
        <w:t xml:space="preserve">spravodlivosti </w:t>
      </w:r>
      <w:r w:rsidRPr="004C135A">
        <w:rPr>
          <w:rFonts w:ascii="Times New Roman" w:hAnsi="Times New Roman"/>
          <w:sz w:val="24"/>
          <w:szCs w:val="24"/>
        </w:rPr>
        <w:t xml:space="preserve">Slovenskej republiky (ďalej len </w:t>
      </w:r>
      <w:r>
        <w:rPr>
          <w:rFonts w:ascii="Times New Roman" w:hAnsi="Times New Roman"/>
          <w:sz w:val="24"/>
          <w:szCs w:val="24"/>
        </w:rPr>
        <w:t>„</w:t>
      </w:r>
      <w:r w:rsidRPr="004C135A">
        <w:rPr>
          <w:rFonts w:ascii="Times New Roman" w:hAnsi="Times New Roman"/>
          <w:sz w:val="24"/>
          <w:szCs w:val="24"/>
        </w:rPr>
        <w:t>ministerstvo</w:t>
      </w:r>
      <w:r>
        <w:rPr>
          <w:rFonts w:ascii="Times New Roman" w:hAnsi="Times New Roman"/>
          <w:sz w:val="24"/>
          <w:szCs w:val="24"/>
        </w:rPr>
        <w:t>“</w:t>
      </w:r>
      <w:r w:rsidRPr="004C135A">
        <w:rPr>
          <w:rFonts w:ascii="Times New Roman" w:hAnsi="Times New Roman"/>
          <w:sz w:val="24"/>
          <w:szCs w:val="24"/>
        </w:rPr>
        <w:t xml:space="preserve">) podľa § </w:t>
      </w:r>
      <w:r w:rsidR="00C02A6A">
        <w:rPr>
          <w:rFonts w:ascii="Times New Roman" w:hAnsi="Times New Roman"/>
          <w:sz w:val="24"/>
          <w:szCs w:val="24"/>
        </w:rPr>
        <w:t>6</w:t>
      </w:r>
      <w:r w:rsidRPr="004C135A">
        <w:rPr>
          <w:rFonts w:ascii="Times New Roman" w:hAnsi="Times New Roman"/>
          <w:sz w:val="24"/>
          <w:szCs w:val="24"/>
        </w:rPr>
        <w:t xml:space="preserve"> ods. </w:t>
      </w:r>
      <w:r w:rsidR="008E52E3">
        <w:rPr>
          <w:rFonts w:ascii="Times New Roman" w:hAnsi="Times New Roman"/>
          <w:sz w:val="24"/>
          <w:szCs w:val="24"/>
        </w:rPr>
        <w:t>5</w:t>
      </w:r>
      <w:r w:rsidRPr="004C135A" w:rsidR="008E52E3">
        <w:rPr>
          <w:rFonts w:ascii="Times New Roman" w:hAnsi="Times New Roman"/>
          <w:sz w:val="24"/>
          <w:szCs w:val="24"/>
        </w:rPr>
        <w:t xml:space="preserve"> </w:t>
      </w:r>
      <w:r w:rsidRPr="004C135A">
        <w:rPr>
          <w:rFonts w:ascii="Times New Roman" w:hAnsi="Times New Roman"/>
          <w:sz w:val="24"/>
          <w:szCs w:val="24"/>
        </w:rPr>
        <w:t xml:space="preserve">zákona č. </w:t>
      </w:r>
      <w:r w:rsidRPr="00973EE0">
        <w:rPr>
          <w:rFonts w:ascii="Times New Roman" w:hAnsi="Times New Roman"/>
          <w:sz w:val="24"/>
          <w:szCs w:val="24"/>
        </w:rPr>
        <w:t>.../</w:t>
      </w:r>
      <w:r w:rsidRPr="004C135A">
        <w:rPr>
          <w:rFonts w:ascii="Times New Roman" w:hAnsi="Times New Roman"/>
          <w:sz w:val="24"/>
          <w:szCs w:val="24"/>
        </w:rPr>
        <w:t>201</w:t>
      </w:r>
      <w:r>
        <w:rPr>
          <w:rFonts w:ascii="Times New Roman" w:hAnsi="Times New Roman"/>
          <w:sz w:val="24"/>
          <w:szCs w:val="24"/>
        </w:rPr>
        <w:t>6</w:t>
      </w:r>
      <w:r w:rsidRPr="004C135A">
        <w:rPr>
          <w:rFonts w:ascii="Times New Roman" w:hAnsi="Times New Roman"/>
          <w:sz w:val="24"/>
          <w:szCs w:val="24"/>
        </w:rPr>
        <w:t xml:space="preserve"> Z.</w:t>
      </w:r>
      <w:r>
        <w:rPr>
          <w:rFonts w:ascii="Times New Roman" w:hAnsi="Times New Roman"/>
          <w:sz w:val="24"/>
          <w:szCs w:val="24"/>
        </w:rPr>
        <w:t xml:space="preserve"> </w:t>
      </w:r>
      <w:r w:rsidRPr="004C135A">
        <w:rPr>
          <w:rFonts w:ascii="Times New Roman" w:hAnsi="Times New Roman"/>
          <w:sz w:val="24"/>
          <w:szCs w:val="24"/>
        </w:rPr>
        <w:t xml:space="preserve">z. </w:t>
      </w:r>
      <w:r w:rsidRPr="00C02A6A" w:rsidR="00C02A6A">
        <w:rPr>
          <w:rFonts w:ascii="Times New Roman" w:hAnsi="Times New Roman"/>
          <w:sz w:val="24"/>
          <w:szCs w:val="24"/>
        </w:rPr>
        <w:t xml:space="preserve">o poskytovaní dotácií v pôsobnosti Ministerstva spravodlivosti Slovenskej republiky a o zmene a doplnení zákona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v znení </w:t>
      </w:r>
      <w:r w:rsidR="008E52E3">
        <w:rPr>
          <w:rFonts w:ascii="Times New Roman" w:hAnsi="Times New Roman"/>
          <w:sz w:val="24"/>
          <w:szCs w:val="24"/>
        </w:rPr>
        <w:t>zákona č. 287/2012 Z. z.</w:t>
      </w:r>
      <w:r w:rsidRPr="00C02A6A" w:rsidR="00C02A6A">
        <w:rPr>
          <w:rFonts w:ascii="Times New Roman" w:hAnsi="Times New Roman"/>
          <w:sz w:val="24"/>
          <w:szCs w:val="24"/>
        </w:rPr>
        <w:t xml:space="preserve"> </w:t>
      </w:r>
      <w:r w:rsidRPr="004C135A">
        <w:rPr>
          <w:rFonts w:ascii="Times New Roman" w:hAnsi="Times New Roman"/>
          <w:sz w:val="24"/>
          <w:szCs w:val="24"/>
        </w:rPr>
        <w:t xml:space="preserve">(ďalej len </w:t>
      </w:r>
      <w:r>
        <w:rPr>
          <w:rFonts w:ascii="Times New Roman" w:hAnsi="Times New Roman"/>
          <w:sz w:val="24"/>
          <w:szCs w:val="24"/>
        </w:rPr>
        <w:t>„</w:t>
      </w:r>
      <w:r w:rsidRPr="004C135A">
        <w:rPr>
          <w:rFonts w:ascii="Times New Roman" w:hAnsi="Times New Roman"/>
          <w:sz w:val="24"/>
          <w:szCs w:val="24"/>
        </w:rPr>
        <w:t>zákon</w:t>
      </w:r>
      <w:r>
        <w:rPr>
          <w:rFonts w:ascii="Times New Roman" w:hAnsi="Times New Roman"/>
          <w:sz w:val="24"/>
          <w:szCs w:val="24"/>
        </w:rPr>
        <w:t>“</w:t>
      </w:r>
      <w:r w:rsidRPr="004C135A">
        <w:rPr>
          <w:rFonts w:ascii="Times New Roman" w:hAnsi="Times New Roman"/>
          <w:sz w:val="24"/>
          <w:szCs w:val="24"/>
        </w:rPr>
        <w:t>) ustanovuje:</w:t>
      </w:r>
    </w:p>
    <w:p w:rsidR="004A729D" w:rsidRPr="004C135A" w:rsidP="004A729D">
      <w:pPr>
        <w:bidi w:val="0"/>
        <w:spacing w:after="0" w:line="240" w:lineRule="auto"/>
        <w:jc w:val="both"/>
        <w:rPr>
          <w:rFonts w:ascii="Times New Roman" w:hAnsi="Times New Roman"/>
          <w:sz w:val="24"/>
          <w:szCs w:val="24"/>
        </w:rPr>
      </w:pP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 1</w:t>
      </w: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Predmet úpravy</w:t>
      </w:r>
    </w:p>
    <w:p w:rsidR="004A729D" w:rsidRPr="004C135A" w:rsidP="004A729D">
      <w:pPr>
        <w:bidi w:val="0"/>
        <w:spacing w:after="0" w:line="240" w:lineRule="auto"/>
        <w:jc w:val="both"/>
        <w:rPr>
          <w:rFonts w:ascii="Times New Roman" w:hAnsi="Times New Roman"/>
          <w:sz w:val="24"/>
          <w:szCs w:val="24"/>
        </w:rPr>
      </w:pPr>
    </w:p>
    <w:p w:rsidR="004A729D" w:rsidRPr="004C135A" w:rsidP="004A729D">
      <w:pPr>
        <w:bidi w:val="0"/>
        <w:spacing w:after="0" w:line="240" w:lineRule="auto"/>
        <w:ind w:firstLine="708"/>
        <w:jc w:val="both"/>
        <w:rPr>
          <w:rFonts w:ascii="Times New Roman" w:hAnsi="Times New Roman"/>
          <w:sz w:val="24"/>
          <w:szCs w:val="24"/>
        </w:rPr>
      </w:pPr>
      <w:r>
        <w:rPr>
          <w:rFonts w:ascii="Times New Roman" w:hAnsi="Times New Roman"/>
          <w:sz w:val="24"/>
          <w:szCs w:val="24"/>
        </w:rPr>
        <w:t>Táto vyhláška</w:t>
      </w:r>
      <w:r w:rsidRPr="004C135A">
        <w:rPr>
          <w:rFonts w:ascii="Times New Roman" w:hAnsi="Times New Roman"/>
          <w:sz w:val="24"/>
          <w:szCs w:val="24"/>
        </w:rPr>
        <w:t xml:space="preserve"> ustanovuje podrobnosti o zložení komisie na vyhodnocovanie žiadostí o poskytnutie dotácie (ďalej len </w:t>
      </w:r>
      <w:r>
        <w:rPr>
          <w:rFonts w:ascii="Times New Roman" w:hAnsi="Times New Roman"/>
          <w:sz w:val="24"/>
          <w:szCs w:val="24"/>
        </w:rPr>
        <w:t>„</w:t>
      </w:r>
      <w:r w:rsidRPr="004C135A">
        <w:rPr>
          <w:rFonts w:ascii="Times New Roman" w:hAnsi="Times New Roman"/>
          <w:sz w:val="24"/>
          <w:szCs w:val="24"/>
        </w:rPr>
        <w:t>komisia</w:t>
      </w:r>
      <w:r>
        <w:rPr>
          <w:rFonts w:ascii="Times New Roman" w:hAnsi="Times New Roman"/>
          <w:sz w:val="24"/>
          <w:szCs w:val="24"/>
        </w:rPr>
        <w:t>“</w:t>
      </w:r>
      <w:r w:rsidRPr="004C135A">
        <w:rPr>
          <w:rFonts w:ascii="Times New Roman" w:hAnsi="Times New Roman"/>
          <w:sz w:val="24"/>
          <w:szCs w:val="24"/>
        </w:rPr>
        <w:t xml:space="preserve">), rozhodovaní komisie, organizácii práce, postupe komisie pri vyhodnocovaní žiadostí o poskytnutie dotácie (ďalej len </w:t>
      </w:r>
      <w:r>
        <w:rPr>
          <w:rFonts w:ascii="Times New Roman" w:hAnsi="Times New Roman"/>
          <w:sz w:val="24"/>
          <w:szCs w:val="24"/>
        </w:rPr>
        <w:t>„</w:t>
      </w:r>
      <w:r w:rsidRPr="004C135A">
        <w:rPr>
          <w:rFonts w:ascii="Times New Roman" w:hAnsi="Times New Roman"/>
          <w:sz w:val="24"/>
          <w:szCs w:val="24"/>
        </w:rPr>
        <w:t>žiadosť</w:t>
      </w:r>
      <w:r>
        <w:rPr>
          <w:rFonts w:ascii="Times New Roman" w:hAnsi="Times New Roman"/>
          <w:sz w:val="24"/>
          <w:szCs w:val="24"/>
        </w:rPr>
        <w:t>“</w:t>
      </w:r>
      <w:r w:rsidRPr="004C135A">
        <w:rPr>
          <w:rFonts w:ascii="Times New Roman" w:hAnsi="Times New Roman"/>
          <w:sz w:val="24"/>
          <w:szCs w:val="24"/>
        </w:rPr>
        <w:t>) a</w:t>
      </w:r>
      <w:r w:rsidR="000C5C7D">
        <w:rPr>
          <w:rFonts w:ascii="Times New Roman" w:hAnsi="Times New Roman"/>
          <w:sz w:val="24"/>
          <w:szCs w:val="24"/>
        </w:rPr>
        <w:t xml:space="preserve"> o </w:t>
      </w:r>
      <w:r w:rsidRPr="00973EE0">
        <w:rPr>
          <w:rFonts w:ascii="Times New Roman" w:hAnsi="Times New Roman"/>
          <w:sz w:val="24"/>
          <w:szCs w:val="24"/>
        </w:rPr>
        <w:t>kritériá</w:t>
      </w:r>
      <w:r w:rsidR="00973EE0">
        <w:rPr>
          <w:rFonts w:ascii="Times New Roman" w:hAnsi="Times New Roman"/>
          <w:sz w:val="24"/>
          <w:szCs w:val="24"/>
        </w:rPr>
        <w:t>ch</w:t>
      </w:r>
      <w:r w:rsidRPr="004C135A">
        <w:rPr>
          <w:rFonts w:ascii="Times New Roman" w:hAnsi="Times New Roman"/>
          <w:sz w:val="24"/>
          <w:szCs w:val="24"/>
        </w:rPr>
        <w:t xml:space="preserve"> pre vyhodnocovanie žiadostí.</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 2</w:t>
      </w: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Komisia</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w:t>
      </w:r>
      <w:r>
        <w:rPr>
          <w:rFonts w:ascii="Times New Roman" w:hAnsi="Times New Roman"/>
          <w:sz w:val="24"/>
          <w:szCs w:val="24"/>
        </w:rPr>
        <w:t>1</w:t>
      </w:r>
      <w:r w:rsidRPr="004C135A">
        <w:rPr>
          <w:rFonts w:ascii="Times New Roman" w:hAnsi="Times New Roman"/>
          <w:sz w:val="24"/>
          <w:szCs w:val="24"/>
        </w:rPr>
        <w:t xml:space="preserve">) Komisia </w:t>
      </w:r>
      <w:r>
        <w:rPr>
          <w:rFonts w:ascii="Times New Roman" w:hAnsi="Times New Roman"/>
          <w:sz w:val="24"/>
          <w:szCs w:val="24"/>
        </w:rPr>
        <w:t xml:space="preserve">sa skladá </w:t>
      </w:r>
      <w:r w:rsidRPr="004C135A">
        <w:rPr>
          <w:rFonts w:ascii="Times New Roman" w:hAnsi="Times New Roman"/>
          <w:sz w:val="24"/>
          <w:szCs w:val="24"/>
        </w:rPr>
        <w:t xml:space="preserve">z predsedu komisie (ďalej len </w:t>
      </w:r>
      <w:r>
        <w:rPr>
          <w:rFonts w:ascii="Times New Roman" w:hAnsi="Times New Roman"/>
          <w:sz w:val="24"/>
          <w:szCs w:val="24"/>
        </w:rPr>
        <w:t>„</w:t>
      </w:r>
      <w:r w:rsidRPr="004C135A">
        <w:rPr>
          <w:rFonts w:ascii="Times New Roman" w:hAnsi="Times New Roman"/>
          <w:sz w:val="24"/>
          <w:szCs w:val="24"/>
        </w:rPr>
        <w:t>predseda</w:t>
      </w:r>
      <w:r>
        <w:rPr>
          <w:rFonts w:ascii="Times New Roman" w:hAnsi="Times New Roman"/>
          <w:sz w:val="24"/>
          <w:szCs w:val="24"/>
        </w:rPr>
        <w:t>“</w:t>
      </w:r>
      <w:r w:rsidRPr="004C135A">
        <w:rPr>
          <w:rFonts w:ascii="Times New Roman" w:hAnsi="Times New Roman"/>
          <w:sz w:val="24"/>
          <w:szCs w:val="24"/>
        </w:rPr>
        <w:t xml:space="preserve">), podpredsedu komisie (ďalej len </w:t>
      </w:r>
      <w:r>
        <w:rPr>
          <w:rFonts w:ascii="Times New Roman" w:hAnsi="Times New Roman"/>
          <w:sz w:val="24"/>
          <w:szCs w:val="24"/>
        </w:rPr>
        <w:t>„</w:t>
      </w:r>
      <w:r w:rsidRPr="004C135A">
        <w:rPr>
          <w:rFonts w:ascii="Times New Roman" w:hAnsi="Times New Roman"/>
          <w:sz w:val="24"/>
          <w:szCs w:val="24"/>
        </w:rPr>
        <w:t>podpredseda</w:t>
      </w:r>
      <w:r>
        <w:rPr>
          <w:rFonts w:ascii="Times New Roman" w:hAnsi="Times New Roman"/>
          <w:sz w:val="24"/>
          <w:szCs w:val="24"/>
        </w:rPr>
        <w:t>“</w:t>
      </w:r>
      <w:r w:rsidRPr="004C135A">
        <w:rPr>
          <w:rFonts w:ascii="Times New Roman" w:hAnsi="Times New Roman"/>
          <w:sz w:val="24"/>
          <w:szCs w:val="24"/>
        </w:rPr>
        <w:t xml:space="preserve">), ďalších členov komisie (ďalej len </w:t>
      </w:r>
      <w:r>
        <w:rPr>
          <w:rFonts w:ascii="Times New Roman" w:hAnsi="Times New Roman"/>
          <w:sz w:val="24"/>
          <w:szCs w:val="24"/>
        </w:rPr>
        <w:t>„</w:t>
      </w:r>
      <w:r w:rsidRPr="004C135A">
        <w:rPr>
          <w:rFonts w:ascii="Times New Roman" w:hAnsi="Times New Roman"/>
          <w:sz w:val="24"/>
          <w:szCs w:val="24"/>
        </w:rPr>
        <w:t>člen</w:t>
      </w:r>
      <w:r>
        <w:rPr>
          <w:rFonts w:ascii="Times New Roman" w:hAnsi="Times New Roman"/>
          <w:sz w:val="24"/>
          <w:szCs w:val="24"/>
        </w:rPr>
        <w:t>“</w:t>
      </w:r>
      <w:r w:rsidRPr="004C135A">
        <w:rPr>
          <w:rFonts w:ascii="Times New Roman" w:hAnsi="Times New Roman"/>
          <w:sz w:val="24"/>
          <w:szCs w:val="24"/>
        </w:rPr>
        <w:t xml:space="preserve">) a tajomníka komisie (ďalej len </w:t>
      </w:r>
      <w:r>
        <w:rPr>
          <w:rFonts w:ascii="Times New Roman" w:hAnsi="Times New Roman"/>
          <w:sz w:val="24"/>
          <w:szCs w:val="24"/>
        </w:rPr>
        <w:t>„</w:t>
      </w:r>
      <w:r w:rsidRPr="004C135A">
        <w:rPr>
          <w:rFonts w:ascii="Times New Roman" w:hAnsi="Times New Roman"/>
          <w:sz w:val="24"/>
          <w:szCs w:val="24"/>
        </w:rPr>
        <w:t>tajomník</w:t>
      </w:r>
      <w:r>
        <w:rPr>
          <w:rFonts w:ascii="Times New Roman" w:hAnsi="Times New Roman"/>
          <w:sz w:val="24"/>
          <w:szCs w:val="24"/>
        </w:rPr>
        <w:t>“</w:t>
      </w:r>
      <w:r w:rsidRPr="004C135A">
        <w:rPr>
          <w:rFonts w:ascii="Times New Roman" w:hAnsi="Times New Roman"/>
          <w:sz w:val="24"/>
          <w:szCs w:val="24"/>
        </w:rPr>
        <w:t xml:space="preserve">), ktorých vymenúva a odvoláva minister </w:t>
      </w:r>
      <w:r>
        <w:rPr>
          <w:rFonts w:ascii="Times New Roman" w:hAnsi="Times New Roman"/>
          <w:sz w:val="24"/>
          <w:szCs w:val="24"/>
        </w:rPr>
        <w:t xml:space="preserve">spravodlivosti </w:t>
      </w:r>
      <w:r w:rsidRPr="004C135A">
        <w:rPr>
          <w:rFonts w:ascii="Times New Roman" w:hAnsi="Times New Roman"/>
          <w:sz w:val="24"/>
          <w:szCs w:val="24"/>
        </w:rPr>
        <w:t xml:space="preserve">Slovenskej republiky (ďalej len </w:t>
      </w:r>
      <w:r>
        <w:rPr>
          <w:rFonts w:ascii="Times New Roman" w:hAnsi="Times New Roman"/>
          <w:sz w:val="24"/>
          <w:szCs w:val="24"/>
        </w:rPr>
        <w:t>„</w:t>
      </w:r>
      <w:r w:rsidRPr="004C135A">
        <w:rPr>
          <w:rFonts w:ascii="Times New Roman" w:hAnsi="Times New Roman"/>
          <w:sz w:val="24"/>
          <w:szCs w:val="24"/>
        </w:rPr>
        <w:t>minister</w:t>
      </w:r>
      <w:r>
        <w:rPr>
          <w:rFonts w:ascii="Times New Roman" w:hAnsi="Times New Roman"/>
          <w:sz w:val="24"/>
          <w:szCs w:val="24"/>
        </w:rPr>
        <w:t>“</w:t>
      </w:r>
      <w:r w:rsidRPr="004C135A">
        <w:rPr>
          <w:rFonts w:ascii="Times New Roman" w:hAnsi="Times New Roman"/>
          <w:sz w:val="24"/>
          <w:szCs w:val="24"/>
        </w:rPr>
        <w:t>) na návrh vedúceho služobného úradu ministerstva.</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w:t>
      </w:r>
      <w:r>
        <w:rPr>
          <w:rFonts w:ascii="Times New Roman" w:hAnsi="Times New Roman"/>
          <w:sz w:val="24"/>
          <w:szCs w:val="24"/>
        </w:rPr>
        <w:t>2</w:t>
      </w:r>
      <w:r w:rsidRPr="004C135A">
        <w:rPr>
          <w:rFonts w:ascii="Times New Roman" w:hAnsi="Times New Roman"/>
          <w:sz w:val="24"/>
          <w:szCs w:val="24"/>
        </w:rPr>
        <w:t>) Funkčné obdobie člena je spravidla jeden rok. Minister môže vymenovať člena opakovane alebo na dlhšie funkčné obdobie, avšak najviac na obdobie troch rokov.</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w:t>
      </w:r>
      <w:r>
        <w:rPr>
          <w:rFonts w:ascii="Times New Roman" w:hAnsi="Times New Roman"/>
          <w:sz w:val="24"/>
          <w:szCs w:val="24"/>
        </w:rPr>
        <w:t>3</w:t>
      </w:r>
      <w:r w:rsidRPr="004C135A">
        <w:rPr>
          <w:rFonts w:ascii="Times New Roman" w:hAnsi="Times New Roman"/>
          <w:sz w:val="24"/>
          <w:szCs w:val="24"/>
        </w:rPr>
        <w:t>) Pred uplynutím funkčného obdobia členstvo v komisii zaniká</w:t>
      </w:r>
    </w:p>
    <w:p w:rsidR="004A729D" w:rsidRPr="004C135A" w:rsidP="004A729D">
      <w:pPr>
        <w:pStyle w:val="ListParagraph"/>
        <w:numPr>
          <w:numId w:val="1"/>
        </w:numPr>
        <w:bidi w:val="0"/>
        <w:spacing w:after="0" w:line="240" w:lineRule="auto"/>
        <w:jc w:val="both"/>
        <w:rPr>
          <w:rFonts w:ascii="Times New Roman" w:hAnsi="Times New Roman"/>
          <w:sz w:val="24"/>
          <w:szCs w:val="24"/>
        </w:rPr>
      </w:pPr>
      <w:r w:rsidRPr="004C135A">
        <w:rPr>
          <w:rFonts w:ascii="Times New Roman" w:hAnsi="Times New Roman"/>
          <w:sz w:val="24"/>
          <w:szCs w:val="24"/>
        </w:rPr>
        <w:t>vzdaním sa členstva,</w:t>
      </w:r>
    </w:p>
    <w:p w:rsidR="004A729D" w:rsidP="004A729D">
      <w:pPr>
        <w:pStyle w:val="ListParagraph"/>
        <w:numPr>
          <w:numId w:val="1"/>
        </w:numPr>
        <w:bidi w:val="0"/>
        <w:spacing w:after="0" w:line="240" w:lineRule="auto"/>
        <w:jc w:val="both"/>
        <w:rPr>
          <w:rFonts w:ascii="Times New Roman" w:hAnsi="Times New Roman"/>
          <w:sz w:val="24"/>
          <w:szCs w:val="24"/>
        </w:rPr>
      </w:pPr>
      <w:r w:rsidRPr="004C135A">
        <w:rPr>
          <w:rFonts w:ascii="Times New Roman" w:hAnsi="Times New Roman"/>
          <w:sz w:val="24"/>
          <w:szCs w:val="24"/>
        </w:rPr>
        <w:t>odvolaním,</w:t>
      </w:r>
    </w:p>
    <w:p w:rsidR="00224C7C" w:rsidP="004A729D">
      <w:pPr>
        <w:pStyle w:val="ListParagraph"/>
        <w:numPr>
          <w:numId w:val="1"/>
        </w:numPr>
        <w:bidi w:val="0"/>
        <w:spacing w:after="0" w:line="240" w:lineRule="auto"/>
        <w:jc w:val="both"/>
        <w:rPr>
          <w:rFonts w:ascii="Times New Roman" w:hAnsi="Times New Roman"/>
          <w:sz w:val="24"/>
          <w:szCs w:val="24"/>
        </w:rPr>
      </w:pPr>
      <w:r w:rsidRPr="004C135A" w:rsidR="004A729D">
        <w:rPr>
          <w:rFonts w:ascii="Times New Roman" w:hAnsi="Times New Roman"/>
          <w:sz w:val="24"/>
          <w:szCs w:val="24"/>
        </w:rPr>
        <w:t>úmrtím alebo vyhlásením za mŕtveho</w:t>
      </w:r>
      <w:r w:rsidR="00A3361F">
        <w:rPr>
          <w:rFonts w:ascii="Times New Roman" w:hAnsi="Times New Roman"/>
          <w:sz w:val="24"/>
          <w:szCs w:val="24"/>
        </w:rPr>
        <w:t>,</w:t>
      </w:r>
    </w:p>
    <w:p w:rsidR="004A729D" w:rsidRPr="004C135A" w:rsidP="004A729D">
      <w:pPr>
        <w:pStyle w:val="ListParagraph"/>
        <w:numPr>
          <w:numId w:val="1"/>
        </w:numPr>
        <w:bidi w:val="0"/>
        <w:spacing w:after="0" w:line="240" w:lineRule="auto"/>
        <w:jc w:val="both"/>
        <w:rPr>
          <w:rFonts w:ascii="Times New Roman" w:hAnsi="Times New Roman"/>
          <w:sz w:val="24"/>
          <w:szCs w:val="24"/>
        </w:rPr>
      </w:pPr>
      <w:r w:rsidR="00224C7C">
        <w:rPr>
          <w:rFonts w:ascii="Times New Roman" w:hAnsi="Times New Roman"/>
          <w:sz w:val="24"/>
          <w:szCs w:val="24"/>
        </w:rPr>
        <w:t>skončením štátno-zamestnaneckého pomeru</w:t>
      </w:r>
      <w:r w:rsidR="00A3361F">
        <w:rPr>
          <w:rFonts w:ascii="Times New Roman" w:hAnsi="Times New Roman"/>
          <w:sz w:val="24"/>
          <w:szCs w:val="24"/>
        </w:rPr>
        <w:t xml:space="preserve"> člena na ministerstve.</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56052" w:rsidP="00456052">
      <w:pPr>
        <w:pStyle w:val="ListParagraph"/>
        <w:bidi w:val="0"/>
        <w:spacing w:after="0" w:line="240" w:lineRule="auto"/>
        <w:jc w:val="both"/>
        <w:rPr>
          <w:rFonts w:ascii="Times New Roman" w:hAnsi="Times New Roman"/>
          <w:sz w:val="24"/>
          <w:szCs w:val="24"/>
        </w:rPr>
      </w:pPr>
      <w:r w:rsidRPr="004C135A">
        <w:rPr>
          <w:rFonts w:ascii="Times New Roman" w:hAnsi="Times New Roman"/>
          <w:sz w:val="24"/>
          <w:szCs w:val="24"/>
        </w:rPr>
        <w:t>(</w:t>
      </w:r>
      <w:r>
        <w:rPr>
          <w:rFonts w:ascii="Times New Roman" w:hAnsi="Times New Roman"/>
          <w:sz w:val="24"/>
          <w:szCs w:val="24"/>
        </w:rPr>
        <w:t>4</w:t>
      </w:r>
      <w:r w:rsidRPr="004C135A">
        <w:rPr>
          <w:rFonts w:ascii="Times New Roman" w:hAnsi="Times New Roman"/>
          <w:sz w:val="24"/>
          <w:szCs w:val="24"/>
        </w:rPr>
        <w:t>) Odvolaním členstvo v komisii končí</w:t>
      </w:r>
      <w:r w:rsidR="00973EE0">
        <w:rPr>
          <w:rFonts w:ascii="Times New Roman" w:hAnsi="Times New Roman"/>
          <w:sz w:val="24"/>
          <w:szCs w:val="24"/>
        </w:rPr>
        <w:t xml:space="preserve"> </w:t>
      </w:r>
      <w:r w:rsidRPr="00456052">
        <w:rPr>
          <w:rFonts w:ascii="Times New Roman" w:hAnsi="Times New Roman"/>
          <w:sz w:val="24"/>
          <w:szCs w:val="24"/>
        </w:rPr>
        <w:t>pri opakovanej neúčasti člena na rokovaní komisie a práci komisie bez predloženia ospravedlnenia.</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w:t>
      </w:r>
      <w:r>
        <w:rPr>
          <w:rFonts w:ascii="Times New Roman" w:hAnsi="Times New Roman"/>
          <w:sz w:val="24"/>
          <w:szCs w:val="24"/>
        </w:rPr>
        <w:t>5</w:t>
      </w:r>
      <w:r w:rsidRPr="004C135A">
        <w:rPr>
          <w:rFonts w:ascii="Times New Roman" w:hAnsi="Times New Roman"/>
          <w:sz w:val="24"/>
          <w:szCs w:val="24"/>
        </w:rPr>
        <w:t xml:space="preserve">) Členmi komisie môžu byť zástupcovia kancelárie ministra, </w:t>
      </w:r>
      <w:r w:rsidRPr="00973EE0">
        <w:rPr>
          <w:rFonts w:ascii="Times New Roman" w:hAnsi="Times New Roman"/>
          <w:sz w:val="24"/>
          <w:szCs w:val="24"/>
        </w:rPr>
        <w:t>kancelárie štátneho tajomníka ministerstva, kancelárie vedúceho služobného úradu ministerstva, iní zamestnanci ministerstva a odborníci z oblasti súvisiacej s účelom, na ktorý má byť dotácia poskytnutá</w:t>
      </w:r>
      <w:r w:rsidRPr="004C135A">
        <w:rPr>
          <w:rFonts w:ascii="Times New Roman" w:hAnsi="Times New Roman"/>
          <w:sz w:val="24"/>
          <w:szCs w:val="24"/>
        </w:rPr>
        <w:t>.</w:t>
      </w:r>
      <w:r w:rsidR="00CB4843">
        <w:rPr>
          <w:rFonts w:ascii="Times New Roman" w:hAnsi="Times New Roman"/>
          <w:sz w:val="24"/>
          <w:szCs w:val="24"/>
        </w:rPr>
        <w:t xml:space="preserve"> Členstvo v komisii je nezastupiteľné.</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 3</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(1) Predseda</w:t>
      </w:r>
    </w:p>
    <w:p w:rsidR="004A729D" w:rsidRPr="004C135A" w:rsidP="004A729D">
      <w:pPr>
        <w:pStyle w:val="ListParagraph"/>
        <w:numPr>
          <w:numId w:val="3"/>
        </w:numPr>
        <w:bidi w:val="0"/>
        <w:spacing w:after="0" w:line="240" w:lineRule="auto"/>
        <w:jc w:val="both"/>
        <w:rPr>
          <w:rFonts w:ascii="Times New Roman" w:hAnsi="Times New Roman"/>
          <w:sz w:val="24"/>
          <w:szCs w:val="24"/>
        </w:rPr>
      </w:pPr>
      <w:r w:rsidRPr="004C135A">
        <w:rPr>
          <w:rFonts w:ascii="Times New Roman" w:hAnsi="Times New Roman"/>
          <w:sz w:val="24"/>
          <w:szCs w:val="24"/>
        </w:rPr>
        <w:t>vedie rokovanie komisie,</w:t>
      </w:r>
    </w:p>
    <w:p w:rsidR="004A729D" w:rsidP="004A729D">
      <w:pPr>
        <w:pStyle w:val="ListParagraph"/>
        <w:numPr>
          <w:numId w:val="3"/>
        </w:numPr>
        <w:bidi w:val="0"/>
        <w:spacing w:after="0" w:line="240" w:lineRule="auto"/>
        <w:jc w:val="both"/>
        <w:rPr>
          <w:rFonts w:ascii="Times New Roman" w:hAnsi="Times New Roman"/>
          <w:sz w:val="24"/>
          <w:szCs w:val="24"/>
        </w:rPr>
      </w:pPr>
      <w:r w:rsidRPr="004C135A">
        <w:rPr>
          <w:rFonts w:ascii="Times New Roman" w:hAnsi="Times New Roman"/>
          <w:sz w:val="24"/>
          <w:szCs w:val="24"/>
        </w:rPr>
        <w:t>zodpovedá za činnosť komisie,</w:t>
      </w:r>
    </w:p>
    <w:p w:rsidR="004A729D" w:rsidP="004A729D">
      <w:pPr>
        <w:pStyle w:val="ListParagraph"/>
        <w:numPr>
          <w:numId w:val="3"/>
        </w:num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schvaľuje písomný záznam z rokovania komisie a súhrnný protokol podľa § 4 ods. </w:t>
      </w:r>
      <w:r w:rsidR="00CB4843">
        <w:rPr>
          <w:rFonts w:ascii="Times New Roman" w:hAnsi="Times New Roman"/>
          <w:sz w:val="24"/>
          <w:szCs w:val="24"/>
        </w:rPr>
        <w:t xml:space="preserve">6 a </w:t>
      </w:r>
      <w:r w:rsidRPr="004C135A">
        <w:rPr>
          <w:rFonts w:ascii="Times New Roman" w:hAnsi="Times New Roman"/>
          <w:sz w:val="24"/>
          <w:szCs w:val="24"/>
        </w:rPr>
        <w:t>7,</w:t>
      </w:r>
    </w:p>
    <w:p w:rsidR="004A729D" w:rsidRPr="004C135A" w:rsidP="004A729D">
      <w:pPr>
        <w:pStyle w:val="ListParagraph"/>
        <w:numPr>
          <w:numId w:val="3"/>
        </w:numPr>
        <w:bidi w:val="0"/>
        <w:spacing w:after="0" w:line="240" w:lineRule="auto"/>
        <w:jc w:val="both"/>
        <w:rPr>
          <w:rFonts w:ascii="Times New Roman" w:hAnsi="Times New Roman"/>
          <w:sz w:val="24"/>
          <w:szCs w:val="24"/>
        </w:rPr>
      </w:pPr>
      <w:r w:rsidRPr="004C135A">
        <w:rPr>
          <w:rFonts w:ascii="Times New Roman" w:hAnsi="Times New Roman"/>
          <w:sz w:val="24"/>
          <w:szCs w:val="24"/>
        </w:rPr>
        <w:t>podľa potreby prizýva na rokovanie komisie aj ďalšieho odborníka z oblasti súvisiacej s účelom, na ktorý má byť dotácia poskytnutá; odborník má na rokovaní komisie poradný hlas, pričom jeho vyjadrenie nie je pre rozhodovanie komisie záväzné.</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(2) Podpredseda zastupuje predsedu počas jeho neprítomnosti v plnom rozsahu podľa ods</w:t>
      </w:r>
      <w:r>
        <w:rPr>
          <w:rFonts w:ascii="Times New Roman" w:hAnsi="Times New Roman"/>
          <w:sz w:val="24"/>
          <w:szCs w:val="24"/>
        </w:rPr>
        <w:t>eku</w:t>
      </w:r>
      <w:r w:rsidRPr="004C135A">
        <w:rPr>
          <w:rFonts w:ascii="Times New Roman" w:hAnsi="Times New Roman"/>
          <w:sz w:val="24"/>
          <w:szCs w:val="24"/>
        </w:rPr>
        <w:t xml:space="preserve"> 1.</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(3) Tajomník</w:t>
      </w:r>
    </w:p>
    <w:p w:rsidR="004A729D" w:rsidRPr="004C135A" w:rsidP="004A729D">
      <w:pPr>
        <w:pStyle w:val="ListParagraph"/>
        <w:numPr>
          <w:numId w:val="4"/>
        </w:numPr>
        <w:bidi w:val="0"/>
        <w:spacing w:after="0" w:line="240" w:lineRule="auto"/>
        <w:jc w:val="both"/>
        <w:rPr>
          <w:rFonts w:ascii="Times New Roman" w:hAnsi="Times New Roman"/>
          <w:sz w:val="24"/>
          <w:szCs w:val="24"/>
        </w:rPr>
      </w:pPr>
      <w:r w:rsidRPr="004C135A">
        <w:rPr>
          <w:rFonts w:ascii="Times New Roman" w:hAnsi="Times New Roman"/>
          <w:sz w:val="24"/>
          <w:szCs w:val="24"/>
        </w:rPr>
        <w:t>organizačne a administratívne zabezpečuje rokovanie komisie,</w:t>
      </w:r>
    </w:p>
    <w:p w:rsidR="004A729D" w:rsidP="004A729D">
      <w:pPr>
        <w:pStyle w:val="ListParagraph"/>
        <w:numPr>
          <w:numId w:val="4"/>
        </w:numPr>
        <w:bidi w:val="0"/>
        <w:spacing w:after="0" w:line="240" w:lineRule="auto"/>
        <w:jc w:val="both"/>
        <w:rPr>
          <w:rFonts w:ascii="Times New Roman" w:hAnsi="Times New Roman"/>
          <w:sz w:val="24"/>
          <w:szCs w:val="24"/>
        </w:rPr>
      </w:pPr>
      <w:r w:rsidRPr="004C135A">
        <w:rPr>
          <w:rFonts w:ascii="Times New Roman" w:hAnsi="Times New Roman"/>
          <w:sz w:val="24"/>
          <w:szCs w:val="24"/>
        </w:rPr>
        <w:t>predkladá žiadosti na rokovanie komisie,</w:t>
      </w:r>
    </w:p>
    <w:p w:rsidR="004A729D" w:rsidP="004A729D">
      <w:pPr>
        <w:pStyle w:val="ListParagraph"/>
        <w:numPr>
          <w:numId w:val="4"/>
        </w:num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vyhotovuje </w:t>
      </w:r>
      <w:r w:rsidR="008E52E3">
        <w:rPr>
          <w:rFonts w:ascii="Times New Roman" w:hAnsi="Times New Roman"/>
          <w:sz w:val="24"/>
          <w:szCs w:val="24"/>
        </w:rPr>
        <w:t xml:space="preserve">písomný </w:t>
      </w:r>
      <w:r w:rsidRPr="004C135A">
        <w:rPr>
          <w:rFonts w:ascii="Times New Roman" w:hAnsi="Times New Roman"/>
          <w:sz w:val="24"/>
          <w:szCs w:val="24"/>
        </w:rPr>
        <w:t xml:space="preserve">záznam z rokovania komisie a súhrnný protokol podľa § 4 ods. </w:t>
      </w:r>
      <w:r w:rsidR="00CB4843">
        <w:rPr>
          <w:rFonts w:ascii="Times New Roman" w:hAnsi="Times New Roman"/>
          <w:sz w:val="24"/>
          <w:szCs w:val="24"/>
        </w:rPr>
        <w:t xml:space="preserve">6 a </w:t>
      </w:r>
      <w:r w:rsidRPr="004C135A">
        <w:rPr>
          <w:rFonts w:ascii="Times New Roman" w:hAnsi="Times New Roman"/>
          <w:sz w:val="24"/>
          <w:szCs w:val="24"/>
        </w:rPr>
        <w:t>7,</w:t>
      </w:r>
    </w:p>
    <w:p w:rsidR="004A729D" w:rsidRPr="004C135A" w:rsidP="004A729D">
      <w:pPr>
        <w:pStyle w:val="ListParagraph"/>
        <w:numPr>
          <w:numId w:val="4"/>
        </w:numPr>
        <w:bidi w:val="0"/>
        <w:spacing w:after="0" w:line="240" w:lineRule="auto"/>
        <w:jc w:val="both"/>
        <w:rPr>
          <w:rFonts w:ascii="Times New Roman" w:hAnsi="Times New Roman"/>
          <w:sz w:val="24"/>
          <w:szCs w:val="24"/>
        </w:rPr>
      </w:pPr>
      <w:r w:rsidRPr="004C135A">
        <w:rPr>
          <w:rFonts w:ascii="Times New Roman" w:hAnsi="Times New Roman"/>
          <w:sz w:val="24"/>
          <w:szCs w:val="24"/>
        </w:rPr>
        <w:t>nemá právo hlasovať o predložených žiadostiach.</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P="004A729D">
      <w:pPr>
        <w:bidi w:val="0"/>
        <w:spacing w:after="0" w:line="240" w:lineRule="auto"/>
        <w:jc w:val="both"/>
        <w:rPr>
          <w:rFonts w:ascii="Times New Roman" w:hAnsi="Times New Roman"/>
          <w:sz w:val="24"/>
          <w:szCs w:val="24"/>
        </w:rPr>
      </w:pPr>
      <w:r>
        <w:rPr>
          <w:rFonts w:ascii="Times New Roman" w:hAnsi="Times New Roman"/>
          <w:sz w:val="24"/>
          <w:szCs w:val="24"/>
        </w:rPr>
        <w:tab/>
        <w:t>(4) Člen</w:t>
      </w:r>
    </w:p>
    <w:p w:rsidR="004A729D" w:rsidRPr="004C135A" w:rsidP="004A729D">
      <w:pPr>
        <w:pStyle w:val="ListParagraph"/>
        <w:numPr>
          <w:numId w:val="5"/>
        </w:numPr>
        <w:bidi w:val="0"/>
        <w:spacing w:after="0" w:line="240" w:lineRule="auto"/>
        <w:jc w:val="both"/>
        <w:rPr>
          <w:rFonts w:ascii="Times New Roman" w:hAnsi="Times New Roman"/>
          <w:sz w:val="24"/>
          <w:szCs w:val="24"/>
        </w:rPr>
      </w:pPr>
      <w:r w:rsidRPr="004C135A">
        <w:rPr>
          <w:rFonts w:ascii="Times New Roman" w:hAnsi="Times New Roman"/>
          <w:sz w:val="24"/>
          <w:szCs w:val="24"/>
        </w:rPr>
        <w:t>sa zúčastňuje na rokovaní komisie,</w:t>
      </w:r>
    </w:p>
    <w:p w:rsidR="004A729D" w:rsidP="004A729D">
      <w:pPr>
        <w:pStyle w:val="ListParagraph"/>
        <w:numPr>
          <w:numId w:val="5"/>
        </w:numPr>
        <w:bidi w:val="0"/>
        <w:spacing w:after="0" w:line="240" w:lineRule="auto"/>
        <w:jc w:val="both"/>
        <w:rPr>
          <w:rFonts w:ascii="Times New Roman" w:hAnsi="Times New Roman"/>
          <w:sz w:val="24"/>
          <w:szCs w:val="24"/>
        </w:rPr>
      </w:pPr>
      <w:r w:rsidRPr="004C135A">
        <w:rPr>
          <w:rFonts w:ascii="Times New Roman" w:hAnsi="Times New Roman"/>
          <w:sz w:val="24"/>
          <w:szCs w:val="24"/>
        </w:rPr>
        <w:t>vyjadruje sa k prerokovávaným bodom programu rokovania komisie,</w:t>
      </w:r>
    </w:p>
    <w:p w:rsidR="004A729D" w:rsidP="004A729D">
      <w:pPr>
        <w:pStyle w:val="ListParagraph"/>
        <w:numPr>
          <w:numId w:val="5"/>
        </w:numPr>
        <w:bidi w:val="0"/>
        <w:spacing w:after="0" w:line="240" w:lineRule="auto"/>
        <w:jc w:val="both"/>
        <w:rPr>
          <w:rFonts w:ascii="Times New Roman" w:hAnsi="Times New Roman"/>
          <w:sz w:val="24"/>
          <w:szCs w:val="24"/>
        </w:rPr>
      </w:pPr>
      <w:r w:rsidRPr="004C135A">
        <w:rPr>
          <w:rFonts w:ascii="Times New Roman" w:hAnsi="Times New Roman"/>
          <w:sz w:val="24"/>
          <w:szCs w:val="24"/>
        </w:rPr>
        <w:t>predkladá pripomienky, návrhy a podnety k prerokovávaným materiálom v rámci rokovania komisie a v súvislosti s prácou komisie,</w:t>
      </w:r>
    </w:p>
    <w:p w:rsidR="004A729D" w:rsidP="004A729D">
      <w:pPr>
        <w:pStyle w:val="ListParagraph"/>
        <w:numPr>
          <w:numId w:val="5"/>
        </w:numPr>
        <w:bidi w:val="0"/>
        <w:spacing w:after="0" w:line="240" w:lineRule="auto"/>
        <w:jc w:val="both"/>
        <w:rPr>
          <w:rFonts w:ascii="Times New Roman" w:hAnsi="Times New Roman"/>
          <w:sz w:val="24"/>
          <w:szCs w:val="24"/>
        </w:rPr>
      </w:pPr>
      <w:r w:rsidRPr="004C135A">
        <w:rPr>
          <w:rFonts w:ascii="Times New Roman" w:hAnsi="Times New Roman"/>
          <w:sz w:val="24"/>
          <w:szCs w:val="24"/>
        </w:rPr>
        <w:t>posudzuje predložené žiadosti,</w:t>
      </w:r>
    </w:p>
    <w:p w:rsidR="004A729D" w:rsidP="004A729D">
      <w:pPr>
        <w:pStyle w:val="ListParagraph"/>
        <w:numPr>
          <w:numId w:val="5"/>
        </w:numPr>
        <w:bidi w:val="0"/>
        <w:spacing w:after="0" w:line="240" w:lineRule="auto"/>
        <w:jc w:val="both"/>
        <w:rPr>
          <w:rFonts w:ascii="Times New Roman" w:hAnsi="Times New Roman"/>
          <w:sz w:val="24"/>
          <w:szCs w:val="24"/>
        </w:rPr>
      </w:pPr>
      <w:r w:rsidRPr="004C135A">
        <w:rPr>
          <w:rFonts w:ascii="Times New Roman" w:hAnsi="Times New Roman"/>
          <w:sz w:val="24"/>
          <w:szCs w:val="24"/>
        </w:rPr>
        <w:t>hlasuje o predloženej žiadosti,</w:t>
      </w:r>
    </w:p>
    <w:p w:rsidR="004A729D" w:rsidP="004A729D">
      <w:pPr>
        <w:pStyle w:val="ListParagraph"/>
        <w:numPr>
          <w:numId w:val="5"/>
        </w:numPr>
        <w:bidi w:val="0"/>
        <w:spacing w:after="0" w:line="240" w:lineRule="auto"/>
        <w:jc w:val="both"/>
        <w:rPr>
          <w:rFonts w:ascii="Times New Roman" w:hAnsi="Times New Roman"/>
          <w:sz w:val="24"/>
          <w:szCs w:val="24"/>
        </w:rPr>
      </w:pPr>
      <w:r w:rsidRPr="004C135A">
        <w:rPr>
          <w:rFonts w:ascii="Times New Roman" w:hAnsi="Times New Roman"/>
          <w:sz w:val="24"/>
          <w:szCs w:val="24"/>
        </w:rPr>
        <w:t>je povinný riadiť sa organizačnými pokynmi predsedu a ministra v súvislosti s prácou v komisii,</w:t>
      </w:r>
    </w:p>
    <w:p w:rsidR="004A729D" w:rsidRPr="004C135A" w:rsidP="004A729D">
      <w:pPr>
        <w:pStyle w:val="ListParagraph"/>
        <w:numPr>
          <w:numId w:val="5"/>
        </w:numPr>
        <w:bidi w:val="0"/>
        <w:spacing w:after="0" w:line="240" w:lineRule="auto"/>
        <w:jc w:val="both"/>
        <w:rPr>
          <w:rFonts w:ascii="Times New Roman" w:hAnsi="Times New Roman"/>
          <w:sz w:val="24"/>
          <w:szCs w:val="24"/>
        </w:rPr>
      </w:pPr>
      <w:r w:rsidRPr="004C135A">
        <w:rPr>
          <w:rFonts w:ascii="Times New Roman" w:hAnsi="Times New Roman"/>
          <w:sz w:val="24"/>
          <w:szCs w:val="24"/>
        </w:rPr>
        <w:t>zachováva mlčanlivosť o všetkých skutočnostiach, o ktorých sa dozvedel pri výkone funkcie člena alebo v súvislosti s ňou a ktoré v záujme činnosti komisie nemožno oznamovať iným osobám.</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 4</w:t>
      </w: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Rokovanie a rozhodovanie komisie</w:t>
      </w:r>
    </w:p>
    <w:p w:rsidR="004A729D" w:rsidRPr="004C135A" w:rsidP="004A729D">
      <w:pPr>
        <w:bidi w:val="0"/>
        <w:spacing w:after="0" w:line="240" w:lineRule="auto"/>
        <w:jc w:val="both"/>
        <w:rPr>
          <w:rFonts w:ascii="Times New Roman" w:hAnsi="Times New Roman"/>
          <w:sz w:val="24"/>
          <w:szCs w:val="24"/>
        </w:rPr>
      </w:pP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 xml:space="preserve">(1) Termín rokovania komisie stanovuje jej predseda. Rokovanie komisie sa uskutočňuje spravidla najneskôr dva mesiace po skončení termínu uvedeného vo výzve na predkladanie žiadostí (ďalej len </w:t>
      </w:r>
      <w:r>
        <w:rPr>
          <w:rFonts w:ascii="Times New Roman" w:hAnsi="Times New Roman"/>
          <w:sz w:val="24"/>
          <w:szCs w:val="24"/>
        </w:rPr>
        <w:t>„</w:t>
      </w:r>
      <w:r w:rsidRPr="004C135A">
        <w:rPr>
          <w:rFonts w:ascii="Times New Roman" w:hAnsi="Times New Roman"/>
          <w:sz w:val="24"/>
          <w:szCs w:val="24"/>
        </w:rPr>
        <w:t>výzva</w:t>
      </w:r>
      <w:r>
        <w:rPr>
          <w:rFonts w:ascii="Times New Roman" w:hAnsi="Times New Roman"/>
          <w:sz w:val="24"/>
          <w:szCs w:val="24"/>
        </w:rPr>
        <w:t>“</w:t>
      </w:r>
      <w:r w:rsidRPr="004C135A">
        <w:rPr>
          <w:rFonts w:ascii="Times New Roman" w:hAnsi="Times New Roman"/>
          <w:sz w:val="24"/>
          <w:szCs w:val="24"/>
        </w:rPr>
        <w:t>). O mieste, termíne a programe rokovania komisie sú členovia informovaní spravidla päť pracovných dní vopred.</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(2) Rokovanie komisie je neverejné.</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(3) Členovia sú povinní zachovávať nezávislosť a rozhodovať podľa kritérií pre vyhodnocovanie žiadostí, ktoré sú uvedené v prílohe.</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(4) Komisia rozhoduje hlasovaním. Komisia je uznášaniaschopná, ak je prítomná dvojtretinová väčšina všetkých členov vrátane predsedu alebo podpredsedu. Rozhodnutie schvaľuje komisia nadpolovičnou väčšinou hlasov prítomných členov. Pri rovnosti hlasov je rozhodujúci hlas predsedu.</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(5) Na rokovaní komisie predseda informuje členov o výške sumy z rozpočtu verejnej správy vyčlenenej na dotácie, počte prijatých žiadostí, celkovej sume dotácií požadovaných žiadateľmi, o splnení náležitostí žiadostí podľa zákona a o ďalších informáciách nevyhnutných pre riadne zasadnutie komisie.</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(6) Z priebehu rokovania komisie tajomník vyhotoví písomný záznam, ktorý podpisuje predseda. Písomný záznam obsahuje stručnú informáciu o priebehu rokovania komisie a prezenčnú listinu.</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(7) Z priebehu rokovania komisie tajomník vyhotoví tiež súhrnný protokol, ktorý obsahuje zoznam žiadostí odporúčaných na schválenie a zoznam žiadostí neodporúčaných na schválenie spolu s výškou odporúčanej dotácie a ďalšie informácie súvisiace s priebehom rokovania a rozhodovania komisie, najmä rozhodnutie komisie o zmene použitia požadovanej dotácie alebo výšky dotácie alebo zloženia rozpočtu, pri neodporúčaných žiadostiach dôvody jej neodporúčania.</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 5</w:t>
      </w: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Organizácia práce komisie</w:t>
      </w:r>
    </w:p>
    <w:p w:rsidR="004A729D" w:rsidRPr="004C135A" w:rsidP="004A729D">
      <w:pPr>
        <w:bidi w:val="0"/>
        <w:spacing w:after="0" w:line="240" w:lineRule="auto"/>
        <w:jc w:val="both"/>
        <w:rPr>
          <w:rFonts w:ascii="Times New Roman" w:hAnsi="Times New Roman"/>
          <w:sz w:val="24"/>
          <w:szCs w:val="24"/>
        </w:rPr>
      </w:pP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 xml:space="preserve">(1) Práce súvisiace s činnosťou komisie organizačne zabezpečuje jej tajomník, ktorý zabezpečuje aj zverejňovanie informácií podľa § </w:t>
      </w:r>
      <w:r w:rsidR="00CB4843">
        <w:rPr>
          <w:rFonts w:ascii="Times New Roman" w:hAnsi="Times New Roman"/>
          <w:sz w:val="24"/>
          <w:szCs w:val="24"/>
        </w:rPr>
        <w:t>7</w:t>
      </w:r>
      <w:r>
        <w:rPr>
          <w:rFonts w:ascii="Times New Roman" w:hAnsi="Times New Roman"/>
          <w:sz w:val="24"/>
          <w:szCs w:val="24"/>
        </w:rPr>
        <w:t xml:space="preserve"> </w:t>
      </w:r>
      <w:r w:rsidRPr="004C135A">
        <w:rPr>
          <w:rFonts w:ascii="Times New Roman" w:hAnsi="Times New Roman"/>
          <w:sz w:val="24"/>
          <w:szCs w:val="24"/>
        </w:rPr>
        <w:t>zákona.</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(2</w:t>
      </w:r>
      <w:r w:rsidRPr="00973EE0">
        <w:rPr>
          <w:rFonts w:ascii="Times New Roman" w:hAnsi="Times New Roman"/>
          <w:sz w:val="24"/>
          <w:szCs w:val="24"/>
        </w:rPr>
        <w:t xml:space="preserve">) Ministerstvo zaeviduje všetky žiadosti. Ak žiadosť nemá predpísané náležitosti uvedené v § </w:t>
      </w:r>
      <w:r w:rsidRPr="00973EE0" w:rsidR="00CB4843">
        <w:rPr>
          <w:rFonts w:ascii="Times New Roman" w:hAnsi="Times New Roman"/>
          <w:sz w:val="24"/>
          <w:szCs w:val="24"/>
        </w:rPr>
        <w:t>5</w:t>
      </w:r>
      <w:r w:rsidRPr="00973EE0">
        <w:rPr>
          <w:rFonts w:ascii="Times New Roman" w:hAnsi="Times New Roman"/>
          <w:sz w:val="24"/>
          <w:szCs w:val="24"/>
        </w:rPr>
        <w:t xml:space="preserve"> zákona, tajomník vyzve žiadateľa, aby v lehote do piatich pracovných dní od doručenia výzvy na odstránenie nedostatkov odstránil nedostatky alebo neúplnú žiadosť doplnil. Ak žiadateľ v určenej lehote neúplnú žiadosť nedoplní alebo neodstráni nedostatky, žiadosť nebude predložená na rokovanie komisie. Na rokovanie komisie nebude predložená ani žiadosť doručená po lehote uvedenej vo výzve.</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 xml:space="preserve">(3) </w:t>
      </w:r>
      <w:r w:rsidRPr="00973EE0">
        <w:rPr>
          <w:rFonts w:ascii="Times New Roman" w:hAnsi="Times New Roman"/>
          <w:sz w:val="24"/>
          <w:szCs w:val="24"/>
        </w:rPr>
        <w:t>Tajomník predkladá na rokovanie komisie žiadosti očíslované v poradí, v akom boli predložené v rámci výzvy</w:t>
      </w:r>
      <w:r w:rsidRPr="00973EE0" w:rsidR="00801EE3">
        <w:rPr>
          <w:rFonts w:ascii="Times New Roman" w:hAnsi="Times New Roman"/>
          <w:sz w:val="24"/>
          <w:szCs w:val="24"/>
        </w:rPr>
        <w:t>; osobné údaje žiadateľa podľa § 4 ods. 1 písm. m) zákona sa pri predložení jeho žiadosti komisii neuvádzajú</w:t>
      </w:r>
      <w:r>
        <w:rPr>
          <w:rStyle w:val="FootnoteReference"/>
          <w:rFonts w:ascii="Times New Roman" w:hAnsi="Times New Roman"/>
          <w:sz w:val="24"/>
          <w:szCs w:val="24"/>
          <w:rtl w:val="0"/>
        </w:rPr>
        <w:footnoteReference w:id="2"/>
      </w:r>
      <w:r w:rsidRPr="00973EE0" w:rsidR="00801EE3">
        <w:rPr>
          <w:rFonts w:ascii="Times New Roman" w:hAnsi="Times New Roman"/>
          <w:sz w:val="24"/>
          <w:szCs w:val="24"/>
        </w:rPr>
        <w:t>)</w:t>
      </w:r>
      <w:r w:rsidRPr="00973EE0">
        <w:rPr>
          <w:rFonts w:ascii="Times New Roman" w:hAnsi="Times New Roman"/>
          <w:sz w:val="24"/>
          <w:szCs w:val="24"/>
        </w:rPr>
        <w:t>.</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(4) Komisia vyhodnotí žiadosti na základe kritérií pre vyhodnocovanie žiadostí uvedených v prílohe. Na základe hodnotenia zostaví komisia poradie žiadostí. O odporučení poskytnúť dotáciu alebo neposkytnúť dotáciu rozhodne komisia záverečným hlasovaním.</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(5) Predseda na návrh tajomníka do desiatich pracovných dní po rokovaní komisie predloží ministrovi písomný záznam podľa § 4 ods. 6 a súhrnný protokol podľa § 4 ods. 7.</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sidRPr="004C135A">
        <w:rPr>
          <w:rFonts w:ascii="Times New Roman" w:hAnsi="Times New Roman"/>
          <w:sz w:val="24"/>
          <w:szCs w:val="24"/>
        </w:rPr>
        <w:t xml:space="preserve">(6) Tajomník bezodkladne, po rozhodnutí ministrom, zašle úspešnému žiadateľovi písomné oznámenie o schválení dotácie s uvedením jej výšky a vyzve ho na podpis zmluvy </w:t>
      </w:r>
      <w:r>
        <w:rPr>
          <w:rFonts w:ascii="Times New Roman" w:hAnsi="Times New Roman"/>
          <w:sz w:val="24"/>
          <w:szCs w:val="24"/>
        </w:rPr>
        <w:t>o poskytnutí dotácie</w:t>
      </w:r>
      <w:r w:rsidRPr="004C135A">
        <w:rPr>
          <w:rFonts w:ascii="Times New Roman" w:hAnsi="Times New Roman"/>
          <w:sz w:val="24"/>
          <w:szCs w:val="24"/>
        </w:rPr>
        <w:t xml:space="preserve">. </w:t>
      </w:r>
      <w:r w:rsidRPr="00973EE0">
        <w:rPr>
          <w:rFonts w:ascii="Times New Roman" w:hAnsi="Times New Roman"/>
          <w:sz w:val="24"/>
          <w:szCs w:val="24"/>
        </w:rPr>
        <w:t>Neúspešnému žiadateľovi tajomník zašle písomné oznámenie o zamietnutí žiadosti spolu s odôvodnením jej neschválenia.</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 6</w:t>
      </w:r>
    </w:p>
    <w:p w:rsidR="004A729D" w:rsidRPr="004C135A" w:rsidP="004A729D">
      <w:pPr>
        <w:bidi w:val="0"/>
        <w:spacing w:after="0" w:line="240" w:lineRule="auto"/>
        <w:jc w:val="center"/>
        <w:rPr>
          <w:rFonts w:ascii="Times New Roman" w:hAnsi="Times New Roman"/>
          <w:sz w:val="24"/>
          <w:szCs w:val="24"/>
        </w:rPr>
      </w:pPr>
      <w:r w:rsidRPr="004C135A">
        <w:rPr>
          <w:rFonts w:ascii="Times New Roman" w:hAnsi="Times New Roman"/>
          <w:sz w:val="24"/>
          <w:szCs w:val="24"/>
        </w:rPr>
        <w:t>Účinnosť</w:t>
      </w:r>
    </w:p>
    <w:p w:rsidR="004A729D" w:rsidRPr="004C135A" w:rsidP="004A729D">
      <w:pPr>
        <w:bidi w:val="0"/>
        <w:spacing w:after="0" w:line="240" w:lineRule="auto"/>
        <w:jc w:val="both"/>
        <w:rPr>
          <w:rFonts w:ascii="Times New Roman" w:hAnsi="Times New Roman"/>
          <w:sz w:val="24"/>
          <w:szCs w:val="24"/>
        </w:rPr>
      </w:pPr>
      <w:r w:rsidRPr="004C135A">
        <w:rPr>
          <w:rFonts w:ascii="Times New Roman" w:hAnsi="Times New Roman"/>
          <w:sz w:val="24"/>
          <w:szCs w:val="24"/>
        </w:rPr>
        <w:t xml:space="preserve"> </w:t>
      </w:r>
    </w:p>
    <w:p w:rsidR="004A729D" w:rsidRPr="004C135A" w:rsidP="004A729D">
      <w:pPr>
        <w:bidi w:val="0"/>
        <w:spacing w:after="0" w:line="240" w:lineRule="auto"/>
        <w:ind w:firstLine="708"/>
        <w:jc w:val="both"/>
        <w:rPr>
          <w:rFonts w:ascii="Times New Roman" w:hAnsi="Times New Roman"/>
          <w:sz w:val="24"/>
          <w:szCs w:val="24"/>
        </w:rPr>
      </w:pPr>
      <w:r>
        <w:rPr>
          <w:rFonts w:ascii="Times New Roman" w:hAnsi="Times New Roman"/>
          <w:sz w:val="24"/>
          <w:szCs w:val="24"/>
        </w:rPr>
        <w:t>Táto vyhláška</w:t>
      </w:r>
      <w:r w:rsidRPr="004C135A">
        <w:rPr>
          <w:rFonts w:ascii="Times New Roman" w:hAnsi="Times New Roman"/>
          <w:sz w:val="24"/>
          <w:szCs w:val="24"/>
        </w:rPr>
        <w:t xml:space="preserve"> nadobúda účinnosť 1. </w:t>
      </w:r>
      <w:r>
        <w:rPr>
          <w:rFonts w:ascii="Times New Roman" w:hAnsi="Times New Roman"/>
          <w:sz w:val="24"/>
          <w:szCs w:val="24"/>
        </w:rPr>
        <w:t xml:space="preserve">decembra </w:t>
      </w:r>
      <w:r w:rsidRPr="004C135A">
        <w:rPr>
          <w:rFonts w:ascii="Times New Roman" w:hAnsi="Times New Roman"/>
          <w:sz w:val="24"/>
          <w:szCs w:val="24"/>
        </w:rPr>
        <w:t>201</w:t>
      </w:r>
      <w:r>
        <w:rPr>
          <w:rFonts w:ascii="Times New Roman" w:hAnsi="Times New Roman"/>
          <w:sz w:val="24"/>
          <w:szCs w:val="24"/>
        </w:rPr>
        <w:t>6</w:t>
      </w:r>
      <w:r w:rsidRPr="004C135A">
        <w:rPr>
          <w:rFonts w:ascii="Times New Roman" w:hAnsi="Times New Roman"/>
          <w:sz w:val="24"/>
          <w:szCs w:val="24"/>
        </w:rPr>
        <w:t>.</w:t>
      </w:r>
    </w:p>
    <w:p w:rsidR="004A729D" w:rsidRPr="004C135A" w:rsidP="004A729D">
      <w:pPr>
        <w:bidi w:val="0"/>
        <w:spacing w:after="0" w:line="240" w:lineRule="auto"/>
        <w:jc w:val="both"/>
        <w:rPr>
          <w:rFonts w:ascii="Times New Roman" w:hAnsi="Times New Roman"/>
          <w:sz w:val="24"/>
          <w:szCs w:val="24"/>
        </w:rPr>
      </w:pPr>
    </w:p>
    <w:p w:rsidR="004A729D" w:rsidRPr="004C135A" w:rsidP="004A729D">
      <w:pPr>
        <w:bidi w:val="0"/>
        <w:spacing w:after="0" w:line="240" w:lineRule="auto"/>
        <w:jc w:val="both"/>
        <w:rPr>
          <w:rFonts w:ascii="Times New Roman" w:hAnsi="Times New Roman"/>
          <w:sz w:val="24"/>
          <w:szCs w:val="24"/>
        </w:rPr>
      </w:pPr>
    </w:p>
    <w:p w:rsidR="004A729D" w:rsidRPr="00BD0BA5" w:rsidP="004A729D">
      <w:pPr>
        <w:bidi w:val="0"/>
        <w:spacing w:after="0" w:line="240" w:lineRule="auto"/>
        <w:jc w:val="right"/>
        <w:rPr>
          <w:rFonts w:ascii="Times New Roman" w:hAnsi="Times New Roman"/>
          <w:b/>
          <w:sz w:val="24"/>
          <w:szCs w:val="24"/>
        </w:rPr>
      </w:pPr>
      <w:r w:rsidRPr="00BD0BA5">
        <w:rPr>
          <w:rFonts w:ascii="Times New Roman" w:hAnsi="Times New Roman"/>
          <w:b/>
          <w:sz w:val="24"/>
          <w:szCs w:val="24"/>
        </w:rPr>
        <w:t xml:space="preserve">Príloha </w:t>
      </w:r>
    </w:p>
    <w:p w:rsidR="004A729D" w:rsidRPr="00BD0BA5" w:rsidP="004A729D">
      <w:pPr>
        <w:bidi w:val="0"/>
        <w:spacing w:after="0" w:line="240" w:lineRule="auto"/>
        <w:jc w:val="right"/>
        <w:rPr>
          <w:rFonts w:ascii="Times New Roman" w:hAnsi="Times New Roman"/>
          <w:b/>
          <w:sz w:val="24"/>
          <w:szCs w:val="24"/>
        </w:rPr>
      </w:pPr>
      <w:r w:rsidRPr="00BD0BA5">
        <w:rPr>
          <w:rFonts w:ascii="Times New Roman" w:hAnsi="Times New Roman"/>
          <w:b/>
          <w:sz w:val="24"/>
          <w:szCs w:val="24"/>
        </w:rPr>
        <w:t>k v</w:t>
      </w:r>
      <w:r>
        <w:rPr>
          <w:rFonts w:ascii="Times New Roman" w:hAnsi="Times New Roman"/>
          <w:b/>
          <w:sz w:val="24"/>
          <w:szCs w:val="24"/>
        </w:rPr>
        <w:t>yhláške</w:t>
      </w:r>
      <w:r w:rsidRPr="00BD0BA5">
        <w:rPr>
          <w:rFonts w:ascii="Times New Roman" w:hAnsi="Times New Roman"/>
          <w:b/>
          <w:sz w:val="24"/>
          <w:szCs w:val="24"/>
        </w:rPr>
        <w:t xml:space="preserve"> č. .../</w:t>
      </w:r>
      <w:r>
        <w:rPr>
          <w:rFonts w:ascii="Times New Roman" w:hAnsi="Times New Roman"/>
          <w:b/>
          <w:sz w:val="24"/>
          <w:szCs w:val="24"/>
        </w:rPr>
        <w:t>2016</w:t>
      </w:r>
      <w:r w:rsidRPr="00BD0BA5">
        <w:rPr>
          <w:rFonts w:ascii="Times New Roman" w:hAnsi="Times New Roman"/>
          <w:b/>
          <w:sz w:val="24"/>
          <w:szCs w:val="24"/>
        </w:rPr>
        <w:t xml:space="preserve"> Z. z. </w:t>
      </w:r>
    </w:p>
    <w:p w:rsidR="004A729D" w:rsidP="004A729D">
      <w:pPr>
        <w:bidi w:val="0"/>
        <w:spacing w:after="0" w:line="240" w:lineRule="auto"/>
        <w:jc w:val="both"/>
        <w:rPr>
          <w:rFonts w:ascii="Times New Roman" w:hAnsi="Times New Roman"/>
          <w:sz w:val="24"/>
          <w:szCs w:val="24"/>
        </w:rPr>
      </w:pPr>
    </w:p>
    <w:p w:rsidR="004A729D" w:rsidP="004A729D">
      <w:pPr>
        <w:bidi w:val="0"/>
        <w:spacing w:after="0" w:line="240" w:lineRule="auto"/>
        <w:jc w:val="center"/>
        <w:rPr>
          <w:rFonts w:ascii="Times New Roman" w:hAnsi="Times New Roman"/>
          <w:b/>
          <w:caps/>
          <w:sz w:val="24"/>
          <w:szCs w:val="24"/>
        </w:rPr>
      </w:pPr>
      <w:r w:rsidRPr="00BD0BA5">
        <w:rPr>
          <w:rFonts w:ascii="Times New Roman" w:hAnsi="Times New Roman"/>
          <w:b/>
          <w:caps/>
          <w:sz w:val="24"/>
          <w:szCs w:val="24"/>
        </w:rPr>
        <w:t>KRITÉRIÁ PRE VYHODNOCOVANIE ŽIADOSTÍ</w:t>
      </w:r>
    </w:p>
    <w:p w:rsidR="004A729D" w:rsidRPr="00BD0BA5" w:rsidP="004A729D">
      <w:pPr>
        <w:bidi w:val="0"/>
        <w:spacing w:after="0" w:line="240" w:lineRule="auto"/>
        <w:jc w:val="center"/>
        <w:rPr>
          <w:rFonts w:ascii="Times New Roman" w:hAnsi="Times New Roman"/>
          <w:b/>
          <w:caps/>
          <w:sz w:val="24"/>
          <w:szCs w:val="24"/>
        </w:rPr>
      </w:pPr>
    </w:p>
    <w:tbl>
      <w:tblPr>
        <w:tblStyle w:val="TableNormal"/>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0"/>
        <w:gridCol w:w="1830"/>
      </w:tblGrid>
      <w:tr>
        <w:tblPrEx>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290" w:type="dxa"/>
            <w:tcBorders>
              <w:top w:val="single" w:sz="4" w:space="0" w:color="auto"/>
              <w:left w:val="single" w:sz="4" w:space="0" w:color="auto"/>
              <w:bottom w:val="single" w:sz="4" w:space="0" w:color="auto"/>
              <w:right w:val="single" w:sz="4" w:space="0" w:color="auto"/>
            </w:tcBorders>
            <w:shd w:val="clear" w:color="auto" w:fill="CCFFCC"/>
            <w:textDirection w:val="lrTb"/>
            <w:vAlign w:val="center"/>
          </w:tcPr>
          <w:p w:rsidR="004A729D" w:rsidRPr="00DF6DC8" w:rsidP="00CF7883">
            <w:pPr>
              <w:bidi w:val="0"/>
              <w:spacing w:after="0" w:line="240" w:lineRule="auto"/>
              <w:ind w:left="540" w:hanging="540"/>
              <w:rPr>
                <w:rFonts w:ascii="Times New Roman" w:hAnsi="Times New Roman"/>
                <w:b/>
                <w:i/>
                <w:sz w:val="24"/>
                <w:szCs w:val="24"/>
              </w:rPr>
            </w:pPr>
            <w:r w:rsidRPr="00DF6DC8">
              <w:rPr>
                <w:rFonts w:ascii="Times New Roman" w:hAnsi="Times New Roman"/>
                <w:b/>
                <w:i/>
                <w:sz w:val="24"/>
                <w:szCs w:val="24"/>
              </w:rPr>
              <w:t>HODNOTIACE KRITÉRIUM</w:t>
            </w:r>
          </w:p>
        </w:tc>
        <w:tc>
          <w:tcPr>
            <w:tcW w:w="1830" w:type="dxa"/>
            <w:tcBorders>
              <w:top w:val="single" w:sz="4" w:space="0" w:color="auto"/>
              <w:left w:val="single" w:sz="4" w:space="0" w:color="auto"/>
              <w:bottom w:val="single" w:sz="4" w:space="0" w:color="auto"/>
              <w:right w:val="single" w:sz="4" w:space="0" w:color="auto"/>
            </w:tcBorders>
            <w:shd w:val="clear" w:color="auto" w:fill="CCFFCC"/>
            <w:textDirection w:val="lrTb"/>
            <w:vAlign w:val="center"/>
          </w:tcPr>
          <w:p w:rsidR="004A729D" w:rsidRPr="00DF6DC8" w:rsidP="00CF7883">
            <w:pPr>
              <w:bidi w:val="0"/>
              <w:spacing w:after="0" w:line="240" w:lineRule="auto"/>
              <w:ind w:left="-78"/>
              <w:rPr>
                <w:rFonts w:ascii="Times New Roman" w:hAnsi="Times New Roman"/>
                <w:b/>
                <w:i/>
                <w:sz w:val="24"/>
                <w:szCs w:val="24"/>
              </w:rPr>
            </w:pPr>
            <w:r w:rsidRPr="00DF6DC8">
              <w:rPr>
                <w:rFonts w:ascii="Times New Roman" w:hAnsi="Times New Roman"/>
                <w:b/>
                <w:i/>
                <w:sz w:val="24"/>
                <w:szCs w:val="24"/>
              </w:rPr>
              <w:t>ROZPÄTIE BODOVÉHO HODNOTENIA</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shd w:val="clear" w:color="auto" w:fill="CCFFFF"/>
            <w:textDirection w:val="lrTb"/>
            <w:vAlign w:val="center"/>
          </w:tcPr>
          <w:p w:rsidR="004A729D" w:rsidRPr="00DF6DC8" w:rsidP="00CF7883">
            <w:pPr>
              <w:bidi w:val="0"/>
              <w:spacing w:after="0" w:line="240" w:lineRule="auto"/>
              <w:ind w:left="540" w:hanging="540"/>
              <w:rPr>
                <w:rFonts w:ascii="Times New Roman" w:hAnsi="Times New Roman"/>
                <w:sz w:val="24"/>
                <w:szCs w:val="24"/>
              </w:rPr>
            </w:pPr>
            <w:r w:rsidRPr="00DF6DC8">
              <w:rPr>
                <w:rFonts w:ascii="Times New Roman" w:hAnsi="Times New Roman"/>
                <w:b/>
                <w:sz w:val="24"/>
                <w:szCs w:val="24"/>
              </w:rPr>
              <w:t>1. Celková účelnosť, komplexnosť a kvalita projektu</w:t>
            </w:r>
          </w:p>
        </w:tc>
        <w:tc>
          <w:tcPr>
            <w:tcW w:w="1830" w:type="dxa"/>
            <w:tcBorders>
              <w:top w:val="single" w:sz="4" w:space="0" w:color="auto"/>
              <w:left w:val="single" w:sz="4" w:space="0" w:color="auto"/>
              <w:bottom w:val="single" w:sz="4" w:space="0" w:color="auto"/>
              <w:right w:val="single" w:sz="4" w:space="0" w:color="auto"/>
            </w:tcBorders>
            <w:shd w:val="clear" w:color="auto" w:fill="CCFFFF"/>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b/>
                <w:sz w:val="24"/>
                <w:szCs w:val="24"/>
              </w:rPr>
              <w:t>0 – 50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360" w:hanging="360"/>
              <w:rPr>
                <w:rFonts w:ascii="Times New Roman" w:hAnsi="Times New Roman"/>
                <w:sz w:val="24"/>
                <w:szCs w:val="24"/>
              </w:rPr>
            </w:pPr>
            <w:r w:rsidRPr="00DF6DC8">
              <w:rPr>
                <w:rFonts w:ascii="Times New Roman" w:hAnsi="Times New Roman"/>
                <w:sz w:val="24"/>
                <w:szCs w:val="24"/>
              </w:rPr>
              <w:t xml:space="preserve">1.1 Spoločenská významnosť hlavného cieľa projektu (širšieho zámeru) a čiastkových cieľov projektu vo vzťahu k zameraniu výzvy. </w:t>
            </w:r>
          </w:p>
        </w:tc>
        <w:tc>
          <w:tcPr>
            <w:tcW w:w="183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sz w:val="24"/>
                <w:szCs w:val="24"/>
              </w:rPr>
              <w:t>0 – 20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360" w:hanging="360"/>
              <w:rPr>
                <w:rFonts w:ascii="Times New Roman" w:hAnsi="Times New Roman"/>
                <w:sz w:val="24"/>
                <w:szCs w:val="24"/>
              </w:rPr>
            </w:pPr>
            <w:r w:rsidRPr="00DF6DC8">
              <w:rPr>
                <w:rFonts w:ascii="Times New Roman" w:hAnsi="Times New Roman"/>
                <w:sz w:val="24"/>
                <w:szCs w:val="24"/>
              </w:rPr>
              <w:t>1.2</w:t>
              <w:tab/>
              <w:t>Opodstatnenosť výstupov k napĺňaniu hlavného cieľa a čiastkových cieľov projektu.</w:t>
            </w:r>
          </w:p>
        </w:tc>
        <w:tc>
          <w:tcPr>
            <w:tcW w:w="183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sz w:val="24"/>
                <w:szCs w:val="24"/>
              </w:rPr>
              <w:t>0 – 10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360" w:hanging="360"/>
              <w:rPr>
                <w:rFonts w:ascii="Times New Roman" w:hAnsi="Times New Roman"/>
                <w:sz w:val="24"/>
                <w:szCs w:val="24"/>
              </w:rPr>
            </w:pPr>
            <w:r w:rsidRPr="00DF6DC8">
              <w:rPr>
                <w:rFonts w:ascii="Times New Roman" w:hAnsi="Times New Roman"/>
                <w:sz w:val="24"/>
                <w:szCs w:val="24"/>
              </w:rPr>
              <w:t>1.3 Vhodnosť zvolených postupov, metód a činností/aktivít na dosiahnutie hlavného a čiastkových cieľov.</w:t>
            </w:r>
          </w:p>
        </w:tc>
        <w:tc>
          <w:tcPr>
            <w:tcW w:w="183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sz w:val="24"/>
                <w:szCs w:val="24"/>
              </w:rPr>
              <w:t>0 – 10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360" w:hanging="360"/>
              <w:rPr>
                <w:rFonts w:ascii="Times New Roman" w:hAnsi="Times New Roman"/>
                <w:sz w:val="24"/>
                <w:szCs w:val="24"/>
              </w:rPr>
            </w:pPr>
            <w:r w:rsidRPr="00DF6DC8">
              <w:rPr>
                <w:rFonts w:ascii="Times New Roman" w:hAnsi="Times New Roman"/>
                <w:sz w:val="24"/>
                <w:szCs w:val="24"/>
              </w:rPr>
              <w:t>1.4 Miera odborných garancií pre realizáciu projektu</w:t>
            </w:r>
          </w:p>
        </w:tc>
        <w:tc>
          <w:tcPr>
            <w:tcW w:w="183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sz w:val="24"/>
                <w:szCs w:val="24"/>
              </w:rPr>
              <w:t>0 – 10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shd w:val="clear" w:color="auto" w:fill="CCFFFF"/>
            <w:textDirection w:val="lrTb"/>
            <w:vAlign w:val="center"/>
          </w:tcPr>
          <w:p w:rsidR="004A729D" w:rsidRPr="00DF6DC8" w:rsidP="00CF7883">
            <w:pPr>
              <w:bidi w:val="0"/>
              <w:spacing w:after="0" w:line="240" w:lineRule="auto"/>
              <w:ind w:left="540" w:hanging="540"/>
              <w:rPr>
                <w:rFonts w:ascii="Times New Roman" w:hAnsi="Times New Roman"/>
                <w:b/>
                <w:sz w:val="24"/>
                <w:szCs w:val="24"/>
              </w:rPr>
            </w:pPr>
            <w:r w:rsidRPr="00DF6DC8">
              <w:rPr>
                <w:rFonts w:ascii="Times New Roman" w:hAnsi="Times New Roman"/>
                <w:b/>
                <w:sz w:val="24"/>
                <w:szCs w:val="24"/>
              </w:rPr>
              <w:t>2. Cieľové skupiny a dosah na verejnosť</w:t>
            </w:r>
          </w:p>
        </w:tc>
        <w:tc>
          <w:tcPr>
            <w:tcW w:w="1830" w:type="dxa"/>
            <w:tcBorders>
              <w:top w:val="single" w:sz="4" w:space="0" w:color="auto"/>
              <w:left w:val="single" w:sz="4" w:space="0" w:color="auto"/>
              <w:bottom w:val="single" w:sz="4" w:space="0" w:color="auto"/>
              <w:right w:val="single" w:sz="4" w:space="0" w:color="auto"/>
            </w:tcBorders>
            <w:shd w:val="clear" w:color="auto" w:fill="CCFFFF"/>
            <w:textDirection w:val="lrTb"/>
            <w:vAlign w:val="center"/>
          </w:tcPr>
          <w:p w:rsidR="004A729D" w:rsidRPr="00DF6DC8" w:rsidP="00CF7883">
            <w:pPr>
              <w:bidi w:val="0"/>
              <w:spacing w:after="0" w:line="240" w:lineRule="auto"/>
              <w:ind w:left="540" w:hanging="540"/>
              <w:jc w:val="center"/>
              <w:rPr>
                <w:rFonts w:ascii="Times New Roman" w:hAnsi="Times New Roman"/>
                <w:b/>
                <w:sz w:val="24"/>
                <w:szCs w:val="24"/>
              </w:rPr>
            </w:pPr>
            <w:r w:rsidRPr="00DF6DC8">
              <w:rPr>
                <w:rFonts w:ascii="Times New Roman" w:hAnsi="Times New Roman"/>
                <w:b/>
                <w:sz w:val="24"/>
                <w:szCs w:val="24"/>
              </w:rPr>
              <w:t>0 – 20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rPr>
                <w:rFonts w:ascii="Times New Roman" w:hAnsi="Times New Roman"/>
                <w:sz w:val="24"/>
                <w:szCs w:val="24"/>
              </w:rPr>
            </w:pPr>
            <w:r w:rsidRPr="00DF6DC8">
              <w:rPr>
                <w:rFonts w:ascii="Times New Roman" w:hAnsi="Times New Roman"/>
                <w:sz w:val="24"/>
                <w:szCs w:val="24"/>
              </w:rPr>
              <w:t xml:space="preserve">2.1 Jasnosť a relevantnosť určenia cieľovej skupiny/cieľových skupín </w:t>
            </w:r>
          </w:p>
        </w:tc>
        <w:tc>
          <w:tcPr>
            <w:tcW w:w="183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sz w:val="24"/>
                <w:szCs w:val="24"/>
              </w:rPr>
              <w:t>0 – 10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372" w:hanging="372"/>
              <w:rPr>
                <w:rFonts w:ascii="Times New Roman" w:hAnsi="Times New Roman"/>
                <w:sz w:val="24"/>
                <w:szCs w:val="24"/>
              </w:rPr>
            </w:pPr>
            <w:r w:rsidRPr="00DF6DC8">
              <w:rPr>
                <w:rFonts w:ascii="Times New Roman" w:hAnsi="Times New Roman"/>
                <w:sz w:val="24"/>
                <w:szCs w:val="24"/>
              </w:rPr>
              <w:t xml:space="preserve">2.2 Miera aktívneho zapojenia cieľovej skupiny/cieľových skupín do realizácie projektu, pozitívny dopad na cieľovú skupinu </w:t>
            </w:r>
          </w:p>
        </w:tc>
        <w:tc>
          <w:tcPr>
            <w:tcW w:w="183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sz w:val="24"/>
                <w:szCs w:val="24"/>
              </w:rPr>
              <w:t>0 – 10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shd w:val="clear" w:color="auto" w:fill="CCFFFF"/>
            <w:textDirection w:val="lrTb"/>
            <w:vAlign w:val="center"/>
          </w:tcPr>
          <w:p w:rsidR="004A729D" w:rsidRPr="00DF6DC8" w:rsidP="00CF7883">
            <w:pPr>
              <w:bidi w:val="0"/>
              <w:spacing w:after="0" w:line="240" w:lineRule="auto"/>
              <w:ind w:left="540" w:hanging="540"/>
              <w:rPr>
                <w:rFonts w:ascii="Times New Roman" w:hAnsi="Times New Roman"/>
                <w:sz w:val="24"/>
                <w:szCs w:val="24"/>
              </w:rPr>
            </w:pPr>
            <w:r w:rsidRPr="00DF6DC8">
              <w:rPr>
                <w:rFonts w:ascii="Times New Roman" w:hAnsi="Times New Roman"/>
                <w:b/>
                <w:sz w:val="24"/>
                <w:szCs w:val="24"/>
              </w:rPr>
              <w:t>3. Realizácia projektu, udržateľnosť a publicita</w:t>
            </w:r>
          </w:p>
        </w:tc>
        <w:tc>
          <w:tcPr>
            <w:tcW w:w="1830" w:type="dxa"/>
            <w:tcBorders>
              <w:top w:val="single" w:sz="4" w:space="0" w:color="auto"/>
              <w:left w:val="single" w:sz="4" w:space="0" w:color="auto"/>
              <w:bottom w:val="single" w:sz="4" w:space="0" w:color="auto"/>
              <w:right w:val="single" w:sz="4" w:space="0" w:color="auto"/>
            </w:tcBorders>
            <w:shd w:val="clear" w:color="auto" w:fill="CCFFFF"/>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b/>
                <w:sz w:val="24"/>
                <w:szCs w:val="24"/>
              </w:rPr>
              <w:t>0 – 20 b</w:t>
            </w:r>
          </w:p>
        </w:tc>
      </w:tr>
      <w:tr>
        <w:tblPrEx>
          <w:tblW w:w="9120" w:type="dxa"/>
          <w:tblInd w:w="108" w:type="dxa"/>
          <w:tblLook w:val="01E0"/>
        </w:tblPrEx>
        <w:trPr>
          <w:trHeight w:val="321"/>
        </w:trPr>
        <w:tc>
          <w:tcPr>
            <w:tcW w:w="729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357" w:hanging="357"/>
              <w:rPr>
                <w:rFonts w:ascii="Times New Roman" w:hAnsi="Times New Roman"/>
                <w:sz w:val="24"/>
                <w:szCs w:val="24"/>
              </w:rPr>
            </w:pPr>
            <w:r w:rsidRPr="00DF6DC8">
              <w:rPr>
                <w:rFonts w:ascii="Times New Roman" w:hAnsi="Times New Roman"/>
                <w:sz w:val="24"/>
                <w:szCs w:val="24"/>
              </w:rPr>
              <w:t xml:space="preserve">3.1 Udržateľnosť aktivít projektu v období po skončení projektu </w:t>
            </w:r>
          </w:p>
        </w:tc>
        <w:tc>
          <w:tcPr>
            <w:tcW w:w="183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sz w:val="24"/>
                <w:szCs w:val="24"/>
              </w:rPr>
              <w:t>0 – 15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rPr>
                <w:rFonts w:ascii="Times New Roman" w:hAnsi="Times New Roman"/>
                <w:sz w:val="24"/>
                <w:szCs w:val="24"/>
              </w:rPr>
            </w:pPr>
            <w:r w:rsidRPr="00DF6DC8">
              <w:rPr>
                <w:rFonts w:ascii="Times New Roman" w:hAnsi="Times New Roman"/>
                <w:sz w:val="24"/>
                <w:szCs w:val="24"/>
              </w:rPr>
              <w:t>3.2 Publicita projektu</w:t>
            </w:r>
            <w:r w:rsidRPr="00DF6DC8">
              <w:rPr>
                <w:rFonts w:ascii="Times New Roman" w:hAnsi="Times New Roman"/>
                <w:sz w:val="24"/>
                <w:szCs w:val="24"/>
              </w:rPr>
              <w:t xml:space="preserve"> </w:t>
            </w:r>
          </w:p>
        </w:tc>
        <w:tc>
          <w:tcPr>
            <w:tcW w:w="183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sz w:val="24"/>
                <w:szCs w:val="24"/>
              </w:rPr>
              <w:t>0 – 5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shd w:val="clear" w:color="auto" w:fill="CCFFFF"/>
            <w:textDirection w:val="lrTb"/>
            <w:vAlign w:val="center"/>
          </w:tcPr>
          <w:p w:rsidR="004A729D" w:rsidRPr="00DF6DC8" w:rsidP="00CF7883">
            <w:pPr>
              <w:bidi w:val="0"/>
              <w:spacing w:after="0" w:line="240" w:lineRule="auto"/>
              <w:ind w:left="540" w:hanging="540"/>
              <w:rPr>
                <w:rFonts w:ascii="Times New Roman" w:hAnsi="Times New Roman"/>
                <w:b/>
                <w:sz w:val="24"/>
                <w:szCs w:val="24"/>
              </w:rPr>
            </w:pPr>
            <w:r w:rsidRPr="00DF6DC8">
              <w:rPr>
                <w:rFonts w:ascii="Times New Roman" w:hAnsi="Times New Roman"/>
                <w:b/>
                <w:sz w:val="24"/>
                <w:szCs w:val="24"/>
              </w:rPr>
              <w:t>4. Rozpočet a efektívnosť</w:t>
            </w:r>
          </w:p>
        </w:tc>
        <w:tc>
          <w:tcPr>
            <w:tcW w:w="1830" w:type="dxa"/>
            <w:tcBorders>
              <w:top w:val="single" w:sz="4" w:space="0" w:color="auto"/>
              <w:left w:val="single" w:sz="4" w:space="0" w:color="auto"/>
              <w:bottom w:val="single" w:sz="4" w:space="0" w:color="auto"/>
              <w:right w:val="single" w:sz="4" w:space="0" w:color="auto"/>
            </w:tcBorders>
            <w:shd w:val="clear" w:color="auto" w:fill="CCFFFF"/>
            <w:textDirection w:val="lrTb"/>
            <w:vAlign w:val="center"/>
          </w:tcPr>
          <w:p w:rsidR="004A729D" w:rsidRPr="00DF6DC8" w:rsidP="00CF7883">
            <w:pPr>
              <w:bidi w:val="0"/>
              <w:spacing w:after="0" w:line="240" w:lineRule="auto"/>
              <w:ind w:left="540" w:hanging="540"/>
              <w:jc w:val="center"/>
              <w:rPr>
                <w:rFonts w:ascii="Times New Roman" w:hAnsi="Times New Roman"/>
                <w:b/>
                <w:sz w:val="24"/>
                <w:szCs w:val="24"/>
              </w:rPr>
            </w:pPr>
            <w:r w:rsidRPr="00DF6DC8">
              <w:rPr>
                <w:rFonts w:ascii="Times New Roman" w:hAnsi="Times New Roman"/>
                <w:b/>
                <w:sz w:val="24"/>
                <w:szCs w:val="24"/>
              </w:rPr>
              <w:t>0 – 10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372" w:hanging="372"/>
              <w:rPr>
                <w:rFonts w:ascii="Times New Roman" w:hAnsi="Times New Roman"/>
                <w:sz w:val="24"/>
                <w:szCs w:val="24"/>
              </w:rPr>
            </w:pPr>
            <w:r w:rsidRPr="00DF6DC8">
              <w:rPr>
                <w:rFonts w:ascii="Times New Roman" w:hAnsi="Times New Roman"/>
                <w:sz w:val="24"/>
                <w:szCs w:val="24"/>
              </w:rPr>
              <w:t xml:space="preserve">4.1 Primeranosť, reálnosť, nevyhnutnosť výdavkov a efektívnosť výdavkov vo vzťahu k stanoveným cieľom </w:t>
            </w:r>
          </w:p>
        </w:tc>
        <w:tc>
          <w:tcPr>
            <w:tcW w:w="1830" w:type="dxa"/>
            <w:tcBorders>
              <w:top w:val="single" w:sz="4" w:space="0" w:color="auto"/>
              <w:left w:val="single" w:sz="4" w:space="0" w:color="auto"/>
              <w:bottom w:val="single" w:sz="4" w:space="0" w:color="auto"/>
              <w:right w:val="single" w:sz="4" w:space="0" w:color="auto"/>
            </w:tcBorders>
            <w:textDirection w:val="lrTb"/>
            <w:vAlign w:val="center"/>
          </w:tcPr>
          <w:p w:rsidR="004A729D" w:rsidRPr="00DF6DC8" w:rsidP="00CF7883">
            <w:pPr>
              <w:bidi w:val="0"/>
              <w:spacing w:after="0" w:line="240" w:lineRule="auto"/>
              <w:ind w:left="540" w:hanging="540"/>
              <w:jc w:val="center"/>
              <w:rPr>
                <w:rFonts w:ascii="Times New Roman" w:hAnsi="Times New Roman"/>
                <w:sz w:val="24"/>
                <w:szCs w:val="24"/>
              </w:rPr>
            </w:pPr>
            <w:r w:rsidRPr="00DF6DC8">
              <w:rPr>
                <w:rFonts w:ascii="Times New Roman" w:hAnsi="Times New Roman"/>
                <w:sz w:val="24"/>
                <w:szCs w:val="24"/>
              </w:rPr>
              <w:t>0 –10 b</w:t>
            </w:r>
          </w:p>
        </w:tc>
      </w:tr>
      <w:tr>
        <w:tblPrEx>
          <w:tblW w:w="9120" w:type="dxa"/>
          <w:tblInd w:w="108" w:type="dxa"/>
          <w:tblLook w:val="01E0"/>
        </w:tblPrEx>
        <w:tc>
          <w:tcPr>
            <w:tcW w:w="7290" w:type="dxa"/>
            <w:tcBorders>
              <w:top w:val="single" w:sz="4" w:space="0" w:color="auto"/>
              <w:left w:val="single" w:sz="4" w:space="0" w:color="auto"/>
              <w:bottom w:val="single" w:sz="4" w:space="0" w:color="auto"/>
              <w:right w:val="single" w:sz="4" w:space="0" w:color="auto"/>
            </w:tcBorders>
            <w:shd w:val="clear" w:color="auto" w:fill="CCFFFF"/>
            <w:textDirection w:val="lrTb"/>
            <w:vAlign w:val="center"/>
          </w:tcPr>
          <w:p w:rsidR="004A729D" w:rsidRPr="00DF6DC8" w:rsidP="00CF7883">
            <w:pPr>
              <w:bidi w:val="0"/>
              <w:spacing w:after="0" w:line="240" w:lineRule="auto"/>
              <w:ind w:left="540" w:hanging="540"/>
              <w:rPr>
                <w:rFonts w:ascii="Times New Roman" w:hAnsi="Times New Roman"/>
                <w:b/>
                <w:i/>
                <w:sz w:val="24"/>
                <w:szCs w:val="24"/>
              </w:rPr>
            </w:pPr>
            <w:r w:rsidRPr="00DF6DC8">
              <w:rPr>
                <w:rFonts w:ascii="Times New Roman" w:hAnsi="Times New Roman"/>
                <w:b/>
                <w:i/>
                <w:sz w:val="24"/>
                <w:szCs w:val="24"/>
              </w:rPr>
              <w:t>POČET ZÍSKANÝCH BODOV CELKOM</w:t>
            </w:r>
          </w:p>
        </w:tc>
        <w:tc>
          <w:tcPr>
            <w:tcW w:w="1830" w:type="dxa"/>
            <w:tcBorders>
              <w:top w:val="single" w:sz="4" w:space="0" w:color="auto"/>
              <w:left w:val="single" w:sz="4" w:space="0" w:color="auto"/>
              <w:bottom w:val="single" w:sz="4" w:space="0" w:color="auto"/>
              <w:right w:val="single" w:sz="4" w:space="0" w:color="auto"/>
            </w:tcBorders>
            <w:shd w:val="clear" w:color="auto" w:fill="CCFFFF"/>
            <w:textDirection w:val="lrTb"/>
            <w:vAlign w:val="center"/>
          </w:tcPr>
          <w:p w:rsidR="004A729D" w:rsidRPr="00DF6DC8" w:rsidP="00CF7883">
            <w:pPr>
              <w:bidi w:val="0"/>
              <w:spacing w:after="0" w:line="240" w:lineRule="auto"/>
              <w:ind w:left="540" w:hanging="540"/>
              <w:jc w:val="center"/>
              <w:rPr>
                <w:rFonts w:ascii="Times New Roman" w:hAnsi="Times New Roman"/>
                <w:b/>
                <w:i/>
                <w:sz w:val="24"/>
                <w:szCs w:val="24"/>
              </w:rPr>
            </w:pPr>
            <w:r w:rsidRPr="00DF6DC8">
              <w:rPr>
                <w:rFonts w:ascii="Times New Roman" w:hAnsi="Times New Roman"/>
                <w:b/>
                <w:i/>
                <w:sz w:val="24"/>
                <w:szCs w:val="24"/>
              </w:rPr>
              <w:t>0 – 100 b</w:t>
            </w:r>
          </w:p>
        </w:tc>
      </w:tr>
    </w:tbl>
    <w:p w:rsidR="004A729D" w:rsidRPr="004C135A" w:rsidP="004A729D">
      <w:pPr>
        <w:bidi w:val="0"/>
        <w:spacing w:after="0" w:line="240" w:lineRule="auto"/>
        <w:jc w:val="both"/>
        <w:rPr>
          <w:rFonts w:ascii="Times New Roman" w:hAnsi="Times New Roman"/>
          <w:sz w:val="24"/>
          <w:szCs w:val="24"/>
        </w:rPr>
      </w:pPr>
    </w:p>
    <w:p w:rsidR="00D44A76">
      <w:pPr>
        <w:bidi w:val="0"/>
      </w:pPr>
    </w:p>
    <w:sectPr w:rsidSect="00BD0BA5">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A5" w:rsidRPr="00BD0BA5">
    <w:pPr>
      <w:pStyle w:val="Footer"/>
      <w:bidi w:val="0"/>
      <w:jc w:val="center"/>
      <w:rPr>
        <w:rFonts w:ascii="Times New Roman" w:hAnsi="Times New Roman"/>
        <w:sz w:val="24"/>
      </w:rPr>
    </w:pPr>
    <w:r w:rsidRPr="00BD0BA5" w:rsidR="0043550B">
      <w:rPr>
        <w:rFonts w:ascii="Times New Roman" w:hAnsi="Times New Roman"/>
        <w:sz w:val="24"/>
      </w:rPr>
      <w:fldChar w:fldCharType="begin"/>
    </w:r>
    <w:r w:rsidRPr="00BD0BA5" w:rsidR="0043550B">
      <w:rPr>
        <w:rFonts w:ascii="Times New Roman" w:hAnsi="Times New Roman"/>
        <w:sz w:val="24"/>
      </w:rPr>
      <w:instrText>PAGE   \* MERGEFORMAT</w:instrText>
    </w:r>
    <w:r w:rsidRPr="00BD0BA5" w:rsidR="0043550B">
      <w:rPr>
        <w:rFonts w:ascii="Times New Roman" w:hAnsi="Times New Roman"/>
        <w:sz w:val="24"/>
      </w:rPr>
      <w:fldChar w:fldCharType="separate"/>
    </w:r>
    <w:r w:rsidR="00F069EB">
      <w:rPr>
        <w:rFonts w:ascii="Times New Roman" w:hAnsi="Times New Roman"/>
        <w:noProof/>
        <w:sz w:val="24"/>
      </w:rPr>
      <w:t>4</w:t>
    </w:r>
    <w:r w:rsidRPr="00BD0BA5" w:rsidR="0043550B">
      <w:rPr>
        <w:rFonts w:ascii="Times New Roman" w:hAnsi="Times New Roman"/>
        <w:sz w:val="24"/>
      </w:rPr>
      <w:fldChar w:fldCharType="end"/>
    </w:r>
  </w:p>
  <w:p w:rsidR="00BD0BA5" w:rsidRPr="00BD0BA5">
    <w:pPr>
      <w:pStyle w:val="Footer"/>
      <w:bidi w:val="0"/>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38D">
      <w:pPr>
        <w:bidi w:val="0"/>
        <w:spacing w:after="0" w:line="240" w:lineRule="auto"/>
      </w:pPr>
      <w:r>
        <w:separator/>
      </w:r>
    </w:p>
  </w:footnote>
  <w:footnote w:type="continuationSeparator" w:id="1">
    <w:p w:rsidR="0001438D">
      <w:pPr>
        <w:bidi w:val="0"/>
        <w:spacing w:after="0" w:line="240" w:lineRule="auto"/>
      </w:pPr>
      <w:r>
        <w:continuationSeparator/>
      </w:r>
    </w:p>
  </w:footnote>
  <w:footnote w:id="2">
    <w:p w:rsidR="00801EE3" w:rsidRPr="00393DA2" w:rsidP="00801EE3">
      <w:pPr>
        <w:pStyle w:val="FootnoteText"/>
        <w:bidi w:val="0"/>
        <w:jc w:val="both"/>
        <w:rPr>
          <w:rFonts w:ascii="Times New Roman" w:hAnsi="Times New Roman"/>
        </w:rPr>
      </w:pPr>
      <w:r w:rsidRPr="00393DA2">
        <w:rPr>
          <w:rStyle w:val="FootnoteReference"/>
          <w:rFonts w:ascii="Times New Roman" w:hAnsi="Times New Roman"/>
        </w:rPr>
        <w:footnoteRef/>
      </w:r>
      <w:r w:rsidRPr="00393DA2">
        <w:rPr>
          <w:rFonts w:ascii="Times New Roman" w:hAnsi="Times New Roman"/>
        </w:rPr>
        <w:t>) Zákon č. 122/2013 Z. z. o ochrane osobných údajov a o zmene a doplnení niektorých zákonov</w:t>
      </w:r>
    </w:p>
    <w:p w:rsidP="00801EE3">
      <w:pPr>
        <w:pStyle w:val="FootnoteText"/>
        <w:bidi w:val="0"/>
        <w:jc w:val="both"/>
      </w:pPr>
      <w:r w:rsidRPr="00393DA2" w:rsidR="00801EE3">
        <w:rPr>
          <w:rFonts w:ascii="Times New Roman" w:hAnsi="Times New Roman"/>
        </w:rPr>
        <w:t>v znení zákona č. 84/2014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E51C5"/>
    <w:multiLevelType w:val="hybridMultilevel"/>
    <w:tmpl w:val="FBF6D2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1DE6F3B"/>
    <w:multiLevelType w:val="hybridMultilevel"/>
    <w:tmpl w:val="03C4AD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A3A59BE"/>
    <w:multiLevelType w:val="hybridMultilevel"/>
    <w:tmpl w:val="6C78D7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E153B00"/>
    <w:multiLevelType w:val="hybridMultilevel"/>
    <w:tmpl w:val="8EF6FE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F6A53A8"/>
    <w:multiLevelType w:val="hybridMultilevel"/>
    <w:tmpl w:val="9280BC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compat/>
  <w:rsids>
    <w:rsidRoot w:val="00E83879"/>
    <w:rsid w:val="0001438D"/>
    <w:rsid w:val="00081698"/>
    <w:rsid w:val="000A46CB"/>
    <w:rsid w:val="000C5C7D"/>
    <w:rsid w:val="000F63F3"/>
    <w:rsid w:val="00224C7C"/>
    <w:rsid w:val="002600DC"/>
    <w:rsid w:val="00393DA2"/>
    <w:rsid w:val="00402C1C"/>
    <w:rsid w:val="0043550B"/>
    <w:rsid w:val="00456052"/>
    <w:rsid w:val="004A729D"/>
    <w:rsid w:val="004C135A"/>
    <w:rsid w:val="005843C2"/>
    <w:rsid w:val="00713D79"/>
    <w:rsid w:val="007455BA"/>
    <w:rsid w:val="007F090F"/>
    <w:rsid w:val="00801EE3"/>
    <w:rsid w:val="00842DAC"/>
    <w:rsid w:val="008D5287"/>
    <w:rsid w:val="008E52E3"/>
    <w:rsid w:val="008E714A"/>
    <w:rsid w:val="00946BD2"/>
    <w:rsid w:val="00951140"/>
    <w:rsid w:val="00973EE0"/>
    <w:rsid w:val="009E6C3E"/>
    <w:rsid w:val="00A3361F"/>
    <w:rsid w:val="00A44CA9"/>
    <w:rsid w:val="00A65B3B"/>
    <w:rsid w:val="00BD0BA5"/>
    <w:rsid w:val="00C0115E"/>
    <w:rsid w:val="00C02A6A"/>
    <w:rsid w:val="00C219E0"/>
    <w:rsid w:val="00CB4843"/>
    <w:rsid w:val="00CF7883"/>
    <w:rsid w:val="00D44A76"/>
    <w:rsid w:val="00DF6DC8"/>
    <w:rsid w:val="00E83879"/>
    <w:rsid w:val="00EF4E86"/>
    <w:rsid w:val="00F069E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9D"/>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A729D"/>
    <w:pPr>
      <w:ind w:left="720"/>
      <w:contextualSpacing/>
      <w:jc w:val="left"/>
    </w:pPr>
  </w:style>
  <w:style w:type="paragraph" w:styleId="Footer">
    <w:name w:val="footer"/>
    <w:basedOn w:val="Normal"/>
    <w:link w:val="FooterChar"/>
    <w:uiPriority w:val="99"/>
    <w:unhideWhenUsed/>
    <w:rsid w:val="004A729D"/>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4A729D"/>
    <w:rPr>
      <w:rFonts w:eastAsia="Times New Roman" w:cs="Times New Roman"/>
      <w:rtl w:val="0"/>
      <w:cs w:val="0"/>
    </w:rPr>
  </w:style>
  <w:style w:type="character" w:styleId="CommentReference">
    <w:name w:val="annotation reference"/>
    <w:basedOn w:val="DefaultParagraphFont"/>
    <w:uiPriority w:val="99"/>
    <w:semiHidden/>
    <w:unhideWhenUsed/>
    <w:rsid w:val="00801EE3"/>
    <w:rPr>
      <w:rFonts w:cs="Times New Roman"/>
      <w:sz w:val="16"/>
      <w:szCs w:val="16"/>
      <w:rtl w:val="0"/>
      <w:cs w:val="0"/>
    </w:rPr>
  </w:style>
  <w:style w:type="paragraph" w:styleId="CommentText">
    <w:name w:val="annotation text"/>
    <w:basedOn w:val="Normal"/>
    <w:link w:val="CommentTextChar"/>
    <w:uiPriority w:val="99"/>
    <w:semiHidden/>
    <w:unhideWhenUsed/>
    <w:rsid w:val="00801EE3"/>
    <w:pPr>
      <w:spacing w:line="240" w:lineRule="auto"/>
      <w:jc w:val="left"/>
    </w:pPr>
    <w:rPr>
      <w:sz w:val="20"/>
      <w:szCs w:val="20"/>
    </w:rPr>
  </w:style>
  <w:style w:type="character" w:customStyle="1" w:styleId="CommentTextChar">
    <w:name w:val="Comment Text Char"/>
    <w:basedOn w:val="DefaultParagraphFont"/>
    <w:link w:val="CommentText"/>
    <w:uiPriority w:val="99"/>
    <w:semiHidden/>
    <w:locked/>
    <w:rsid w:val="00801EE3"/>
    <w:rPr>
      <w:rFonts w:eastAsia="Times New Roman" w:cs="Times New Roman"/>
      <w:sz w:val="20"/>
      <w:szCs w:val="20"/>
      <w:rtl w:val="0"/>
      <w:cs w:val="0"/>
    </w:rPr>
  </w:style>
  <w:style w:type="paragraph" w:styleId="CommentSubject">
    <w:name w:val="annotation subject"/>
    <w:basedOn w:val="CommentText"/>
    <w:next w:val="CommentText"/>
    <w:link w:val="CommentSubjectChar"/>
    <w:uiPriority w:val="99"/>
    <w:semiHidden/>
    <w:unhideWhenUsed/>
    <w:rsid w:val="00801EE3"/>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801EE3"/>
    <w:rPr>
      <w:b/>
      <w:bCs/>
    </w:rPr>
  </w:style>
  <w:style w:type="paragraph" w:styleId="BalloonText">
    <w:name w:val="Balloon Text"/>
    <w:basedOn w:val="Normal"/>
    <w:link w:val="BalloonTextChar"/>
    <w:uiPriority w:val="99"/>
    <w:semiHidden/>
    <w:unhideWhenUsed/>
    <w:rsid w:val="00801EE3"/>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1EE3"/>
    <w:rPr>
      <w:rFonts w:ascii="Tahoma" w:hAnsi="Tahoma" w:cs="Tahoma"/>
      <w:sz w:val="16"/>
      <w:szCs w:val="16"/>
      <w:rtl w:val="0"/>
      <w:cs w:val="0"/>
    </w:rPr>
  </w:style>
  <w:style w:type="paragraph" w:styleId="FootnoteText">
    <w:name w:val="footnote text"/>
    <w:basedOn w:val="Normal"/>
    <w:link w:val="FootnoteTextChar"/>
    <w:uiPriority w:val="99"/>
    <w:unhideWhenUsed/>
    <w:rsid w:val="00801EE3"/>
    <w:pPr>
      <w:spacing w:after="0" w:line="240" w:lineRule="auto"/>
      <w:jc w:val="left"/>
    </w:pPr>
    <w:rPr>
      <w:rFonts w:ascii="Calibri" w:hAnsi="Calibri"/>
      <w:sz w:val="20"/>
      <w:szCs w:val="20"/>
    </w:rPr>
  </w:style>
  <w:style w:type="character" w:customStyle="1" w:styleId="FootnoteTextChar">
    <w:name w:val="Footnote Text Char"/>
    <w:basedOn w:val="DefaultParagraphFont"/>
    <w:link w:val="FootnoteText"/>
    <w:uiPriority w:val="99"/>
    <w:locked/>
    <w:rsid w:val="00801EE3"/>
    <w:rPr>
      <w:rFonts w:ascii="Calibri" w:hAnsi="Calibri" w:cs="Times New Roman"/>
      <w:sz w:val="20"/>
      <w:szCs w:val="20"/>
      <w:rtl w:val="0"/>
      <w:cs w:val="0"/>
    </w:rPr>
  </w:style>
  <w:style w:type="character" w:styleId="FootnoteReference">
    <w:name w:val="footnote reference"/>
    <w:basedOn w:val="DefaultParagraphFont"/>
    <w:uiPriority w:val="99"/>
    <w:semiHidden/>
    <w:unhideWhenUsed/>
    <w:rsid w:val="00801EE3"/>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1250</Words>
  <Characters>7131</Characters>
  <Application>Microsoft Office Word</Application>
  <DocSecurity>0</DocSecurity>
  <Lines>0</Lines>
  <Paragraphs>0</Paragraphs>
  <ScaleCrop>false</ScaleCrop>
  <Company>Hewlett-Packard Company</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URBANOVA Jana</dc:creator>
  <cp:lastModifiedBy>Gašparíková, Jarmila</cp:lastModifiedBy>
  <cp:revision>2</cp:revision>
  <cp:lastPrinted>2016-08-17T12:42:00Z</cp:lastPrinted>
  <dcterms:created xsi:type="dcterms:W3CDTF">2016-08-19T11:19:00Z</dcterms:created>
  <dcterms:modified xsi:type="dcterms:W3CDTF">2016-08-19T11:19:00Z</dcterms:modified>
</cp:coreProperties>
</file>