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41A7" w:rsidP="00B641A7">
      <w:pPr>
        <w:bidi w:val="0"/>
        <w:spacing w:after="0" w:line="36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Národná rada Slovenskej republiky</w:t>
      </w:r>
    </w:p>
    <w:p w:rsidR="00B641A7" w:rsidP="00B641A7">
      <w:pPr>
        <w:bidi w:val="0"/>
        <w:spacing w:after="0" w:line="360" w:lineRule="auto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VII. volebné obdobie</w:t>
      </w:r>
    </w:p>
    <w:p w:rsidR="00B641A7" w:rsidP="00B641A7">
      <w:pPr>
        <w:bidi w:val="0"/>
        <w:spacing w:after="0" w:line="360" w:lineRule="auto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lang w:eastAsia="sk-SK"/>
        </w:rPr>
        <w:t>_______________________________________________________________________ </w:t>
      </w:r>
    </w:p>
    <w:p w:rsidR="00B641A7" w:rsidP="00B641A7">
      <w:pPr>
        <w:bidi w:val="0"/>
        <w:spacing w:after="0" w:line="360" w:lineRule="auto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:rsidR="00B641A7" w:rsidP="00B641A7">
      <w:pPr>
        <w:bidi w:val="0"/>
        <w:spacing w:after="0" w:line="360" w:lineRule="auto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B641A7" w:rsidP="00B641A7">
      <w:pPr>
        <w:bidi w:val="0"/>
        <w:spacing w:after="0" w:line="360" w:lineRule="auto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 ......... 2016,</w:t>
      </w:r>
    </w:p>
    <w:p w:rsidR="00B641A7" w:rsidP="00B641A7">
      <w:pPr>
        <w:bidi w:val="0"/>
        <w:spacing w:after="0" w:line="360" w:lineRule="auto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 ochrane  pred neprispôsobivou osobou a o zmene a doplnení niektorých zákonov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B641A7">
      <w:pPr>
        <w:bidi w:val="0"/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Čl. I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§ 1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Predmet zákona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Predmetom tohto zákona je posilnenie ochrany osôb majúcich trvalý pobyt alebo prechodný pobyt v Slovenskej republike (ďalej len „obyvateľ“)  a ich majetku a majetku obce pred neprispôsobivými  osobami.  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§ 2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Neprispôsobivá osoba 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shd w:val="clear" w:color="auto" w:fill="FFFFFF"/>
        <w:bidi w:val="0"/>
        <w:spacing w:after="0" w:line="360" w:lineRule="auto"/>
        <w:jc w:val="both"/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</w:pPr>
      <w:r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Neprispôsobivou osobou je fyzická osoba schopná práce, ktorá dlhodobo nepracuje alebo je viac ako tri roky nezamestnaná,  nemá príjem zo závislej činnosti alebo z podnikania a nemá iný zdroj príjmov okrem sociálnych dávok,  nepripravuje sa na budúce povolanie, prijala z verejných zdrojov viac finančných prostriedkov vo forme sociálnych dávok, ako do verejných zdrojov prispela vo forme odvodov a daní a v  období posledných  piatich rokov opakovane spáchala trestný čin ublíženia na zdraví, lúpeže, krádeže, neoprávneného zásahu do práva k domu, bytu alebo k nebytovému priestoru alebo trestný čin poškodzovania cudzej veci, ktorého poškodeným je občan alebo jeho majetok alebo spáchala niektorý z týchto trestných činov voči majetku obce v mieste jej trvalého pobytu alebo prechodného pobytu alebo v posledných piatich rokoch opakovane spáchala priestupok proti verejnému poriadku alebo priestupok proti občianskemu spolunažívaniu, za ktorý jej bola opakovane uložená sankcia a neviedlo to k náprave.</w:t>
      </w:r>
    </w:p>
    <w:p w:rsidR="00B641A7" w:rsidP="00B641A7">
      <w:pPr>
        <w:shd w:val="clear" w:color="auto" w:fill="FFFFFF"/>
        <w:bidi w:val="0"/>
        <w:spacing w:after="0" w:line="240" w:lineRule="auto"/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</w:pPr>
      <w:r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  <w:t> </w:t>
      </w:r>
    </w:p>
    <w:p w:rsidR="00B641A7" w:rsidP="00B641A7">
      <w:pPr>
        <w:shd w:val="clear" w:color="auto" w:fill="FFFFFF"/>
        <w:bidi w:val="0"/>
        <w:spacing w:after="0" w:line="360" w:lineRule="auto"/>
        <w:jc w:val="center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§ 3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Opatrenie na ochranu pred neprispôsobivou osobou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pStyle w:val="ListParagraph"/>
        <w:numPr>
          <w:numId w:val="1"/>
        </w:numPr>
        <w:bidi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Ak neprispôsobivá osoba hrozí spáchaním alebo spáchala trestný čin alebo priestupok podľa § 2 tohto zákona voči  majetku obce alebo obyvateľovi alebo jeho majetku, môže obec požiadať Policajný zbor o  vykázanie neprispôsobivej osoby podľa osobitného predpisu.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 </w:t>
      </w:r>
    </w:p>
    <w:p w:rsidR="00B641A7" w:rsidP="00B641A7">
      <w:pPr>
        <w:pStyle w:val="ListParagraph"/>
        <w:numPr>
          <w:numId w:val="1"/>
        </w:numPr>
        <w:bidi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Obec preukazuje Policajnému zboru dôvody na vykázanie neprispôsobivej osoby.</w:t>
      </w:r>
    </w:p>
    <w:p w:rsidR="00B641A7" w:rsidP="00B641A7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(3) Evidenciu o  trestných  činov spáchaných neprispôsobivou osobou vedie Policajný zbor. Evidenciu o spáchaných priestupkoch neprispôsobivej osoby vedie príslušný orgán podľa osobitného predpisu.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)</w:t>
      </w:r>
    </w:p>
    <w:p w:rsidR="00B641A7" w:rsidP="00B641A7">
      <w:pPr>
        <w:pStyle w:val="ListParagraph"/>
        <w:bidi w:val="0"/>
        <w:spacing w:after="0" w:line="360" w:lineRule="auto"/>
        <w:ind w:left="66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Poznámky pod čiarou k odkazom 1 a 2 znejú: 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) § 27b zákona Národnej rady Slovenskej republiky č. 171/1993 Z</w:t>
      </w:r>
      <w:r w:rsidR="00B66461">
        <w:rPr>
          <w:rFonts w:ascii="Times New Roman" w:hAnsi="Times New Roman" w:cs="Times New Roman"/>
          <w:bCs/>
          <w:sz w:val="24"/>
          <w:szCs w:val="24"/>
          <w:lang w:eastAsia="sk-SK"/>
        </w:rPr>
        <w:t>.z.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 Policajnom zbore v znení neskorších predpisov.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) Z</w:t>
      </w:r>
      <w:r>
        <w:rPr>
          <w:rFonts w:ascii="Times New Roman" w:hAnsi="Times New Roman" w:cs="Times New Roman"/>
          <w:sz w:val="24"/>
          <w:szCs w:val="24"/>
        </w:rPr>
        <w:t>ákon Slovenskej národnej rady č. 372/1990 Zb.</w:t>
      </w:r>
      <w:r>
        <w:rPr>
          <w:rStyle w:val="h1a2"/>
          <w:rFonts w:ascii="Times New Roman" w:hAnsi="Times New Roman"/>
          <w:webHidden w:val="0"/>
        </w:rPr>
        <w:t xml:space="preserve"> o priestupkoch v znení neskorších predpisov.“.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Čl. II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Zákon Slovenskej národnej rady  č</w:t>
      </w:r>
      <w:r w:rsidRPr="006A1A2F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. </w:t>
      </w:r>
      <w:hyperlink r:id="rId4" w:tgtFrame="_blank" w:history="1">
        <w:r w:rsidRPr="006A1A2F">
          <w:rPr>
            <w:rStyle w:val="Hyperlink"/>
            <w:rFonts w:ascii="Times New Roman" w:hAnsi="Times New Roman"/>
            <w:bCs/>
            <w:color w:val="000000" w:themeColor="tx1" w:themeShade="FF"/>
            <w:sz w:val="24"/>
            <w:szCs w:val="24"/>
            <w:u w:val="none"/>
            <w:lang w:eastAsia="sk-SK"/>
          </w:rPr>
          <w:t>369/1990 Zb.</w:t>
        </w:r>
      </w:hyperlink>
      <w:r w:rsidRPr="006A1A2F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o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zákona č. 125/2015 Z. z., zákona č. 447/2015 Z. z. a zákona č. 125/2016 Z. z. sa mení  takto: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</w:t>
      </w:r>
    </w:p>
    <w:p w:rsidR="00B641A7" w:rsidP="00B641A7">
      <w:pPr>
        <w:bidi w:val="0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V § 4 sa za odsek 4 vkladá nový odsek  5, ktorý znie: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„(5) Obec pri zabezpečovaní verejného poriadku v obci a ochrany jej obyvateľov a ich majetku alebo ochrany majetku obce pred neprispôsobivou osobou, môže požiadať Policajný zbor o vykázanie  neprispôsobivej osoby podľa osobitného predpisu.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6c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)“. 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Doterajší odsek 5 sa označuje ako odsek 6. 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k odkazu 6c znie: 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6c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) § 27b zákona Národnej rady Slo</w:t>
      </w:r>
      <w:r w:rsidR="00B66461">
        <w:rPr>
          <w:rFonts w:ascii="Times New Roman" w:hAnsi="Times New Roman" w:cs="Times New Roman"/>
          <w:bCs/>
          <w:sz w:val="24"/>
          <w:szCs w:val="24"/>
          <w:lang w:eastAsia="sk-SK"/>
        </w:rPr>
        <w:t>venskej republiky č. 171/1993 Z.z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. o Policajnom zbore v znení neskorších predpisov.“.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 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Čl. III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 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Zákon Národnej rady Slovenskej republiky č. </w:t>
      </w:r>
      <w:hyperlink r:id="rId5" w:tgtFrame="_blank" w:history="1">
        <w:r w:rsidRPr="006A1A2F">
          <w:rPr>
            <w:rStyle w:val="Hyperlink"/>
            <w:rFonts w:ascii="Times New Roman" w:hAnsi="Times New Roman"/>
            <w:bCs/>
            <w:color w:val="000000" w:themeColor="tx1" w:themeShade="FF"/>
            <w:sz w:val="24"/>
            <w:szCs w:val="24"/>
            <w:u w:val="none"/>
            <w:lang w:eastAsia="sk-SK"/>
          </w:rPr>
          <w:t>171/1993 Z. z.</w:t>
        </w:r>
      </w:hyperlink>
      <w:r w:rsidRPr="006A1A2F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Policajnom zbore v znení zákona Národnej rady Slovenskej republiky č. 251/1994 Z. z., zákona Národnej rady Slovenskej republiky č. 233/1995 Z. z., zákona Národnej rady Slovenskej republiky č. 315/1996 Z. z., zákona č. 353/1997 Z. z., zákona č. 12/1998 Z. z., zákona č. 73/1998 Z. z., zákona č. 256/1998 Z. z., zákona č. 116/2000 Z. z., zákona č. 323/2000 Z. z., zákona č. 367/2000 Z. z., zákona č. 490/2001 Z. z., zákona č. 48/2002 Z. z., zákona č. 182/2002 Z. z., zákona č. 422/2002 Z. z., zákona č. 155/2003 Z. z., zákona č. 166/2003 Z. z., zákona č. 458/2003 Z. z., zákona 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č. 594/2009 Z. z., zákona č. 547/2010 Z. z., zákona č. 192/2011 Z. z., zákona č. 345/2012 Z. z., zákona č. 75/2013 Z. z., zákona č. 307/2014 Z. z., nálezu Ústavného súdu Slovenskej republiky č. 139/2015 Z. z., zákona č. 397/2015 Z. z., zákona č. 444/2015 Z. z. a zákona č. 125/2016 Z. z. sa dopĺňa takto: 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 Za § 27a sa vkladá § 27b, ktorý vrátane nadpisu znie: 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„§ 27b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Oprávnenie vykázať neprispôsobivú osobu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(1) Policajt je oprávnený vykázať neprispôsobivú osobu z domu, bytu, pozemku alebo iného miesta, ktorý užíva alebo v ktorom sa zdržiava a ktorý sa nachádza v mieste trvalého bydliska ohrozenej alebo poškodenej osoby alebo majetku obce, ak ohrozeným alebo poškodeným je majetok obce, za podmienok ustanovených osobitným predpisom,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11bj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 a to do doby pokiaľ nepominú dôvody, pre ktoré bola vykázaná alebo do doby určenej súdom. 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Počas vykázania je neprispôsobivá osoba povinná nepribližovať sa k ohrozenej alebo poškodenej osobe a jej majetku alebo majetku obce, ak ohrozeným alebo poškodeným je majetok obce, na vzdialenosť menšiu ako sto  metrov.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(3) Na vykázanie neprispôsobivej osoby sa primerane vzťahujú ustanovenia  § 29a.“ . 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Poznámka pod čiarok k odkazu 11bj znie:</w:t>
      </w:r>
    </w:p>
    <w:p w:rsidR="00B641A7" w:rsidP="00B641A7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„11bj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 § 3 ods. 1 zákona č ..../2016 Z. z. o ochrane pred neprispôsobivou osobou a o zmene a doplnení niektorých zákonov.“. 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</w:t>
      </w: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Čl. IV</w:t>
      </w:r>
    </w:p>
    <w:p w:rsidR="00B641A7" w:rsidP="00B641A7">
      <w:pPr>
        <w:bidi w:val="0"/>
        <w:spacing w:after="0" w:line="360" w:lineRule="auto"/>
        <w:ind w:right="465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B641A7">
      <w:pPr>
        <w:bidi w:val="0"/>
        <w:spacing w:after="0" w:line="360" w:lineRule="auto"/>
        <w:ind w:right="465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Zákon č. 160/2015 Z. z. Civilný sporový poriadok sa dopĺňa takto: </w:t>
      </w:r>
    </w:p>
    <w:p w:rsidR="00B641A7" w:rsidP="00B641A7">
      <w:pPr>
        <w:bidi w:val="0"/>
        <w:spacing w:after="0" w:line="360" w:lineRule="auto"/>
        <w:ind w:right="465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 </w:t>
      </w:r>
    </w:p>
    <w:p w:rsidR="00B641A7" w:rsidP="00B641A7">
      <w:pPr>
        <w:bidi w:val="0"/>
        <w:spacing w:after="0" w:line="360" w:lineRule="auto"/>
        <w:ind w:right="465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V § 325 ods. 2 sa za písmeno f) vkladá nové  písmeno g), ktoré znie:  </w:t>
      </w:r>
    </w:p>
    <w:p w:rsidR="00B641A7" w:rsidP="00B641A7">
      <w:pPr>
        <w:bidi w:val="0"/>
        <w:spacing w:after="0" w:line="360" w:lineRule="auto"/>
        <w:ind w:right="465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B641A7">
      <w:pPr>
        <w:bidi w:val="0"/>
        <w:spacing w:after="0" w:line="360" w:lineRule="auto"/>
        <w:ind w:right="465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„g) nevstupovala dočasne do domu, bytu, na pozemok alebo na iné miesto, ktoré užíva alebo v ktorom sa zdržiava a ktoré sa nachádza v mieste trvalého bydliska osoby alebo jej majetku, ku ktorej je dôvodne podozrivá zo spáchania trestného činu ublíženia na zdraví, lúpeže, krádeže, neoprávneného zásahu do práva k domu, bytu alebo k nebytovému priestoru alebo trestného činu poškodzovania cudzej veci a hrozí jej ďalší útok alebo voči nej alebo jej majetku spáchala priestupok proti verejnému poriadku alebo priestupok proti občianskemu spolunažívaniu, za ktorý jej bola obcou opakovane uložená sankcia a neviedlo to k náprave,“.  </w:t>
      </w:r>
    </w:p>
    <w:p w:rsidR="00B641A7" w:rsidP="00B641A7">
      <w:pPr>
        <w:bidi w:val="0"/>
        <w:spacing w:after="0" w:line="360" w:lineRule="auto"/>
        <w:ind w:right="465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B641A7">
      <w:pPr>
        <w:bidi w:val="0"/>
        <w:spacing w:after="0" w:line="360" w:lineRule="auto"/>
        <w:ind w:right="465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Doterajšie písmená g) a h) sa označujú ako h) a i). 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Čl. V</w:t>
      </w: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B641A7">
      <w:pPr>
        <w:bidi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Tento zákon nadobúda účinnosť  1. januára 2017.</w:t>
      </w:r>
      <w:bookmarkStart w:id="0" w:name="m_-8876518732182288317__msocom_1"/>
      <w:bookmarkStart w:id="1" w:name="m_-8876518732182288317__msocom_2"/>
      <w:bookmarkEnd w:id="0"/>
      <w:bookmarkEnd w:id="1"/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B641A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597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457"/>
    <w:multiLevelType w:val="hybridMultilevel"/>
    <w:tmpl w:val="762E2824"/>
    <w:lvl w:ilvl="0">
      <w:start w:val="1"/>
      <w:numFmt w:val="decimal"/>
      <w:lvlText w:val="(%1)"/>
      <w:lvlJc w:val="left"/>
      <w:pPr>
        <w:ind w:left="6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hyphenationZone w:val="425"/>
  <w:characterSpacingControl w:val="doNotCompress"/>
  <w:compat/>
  <w:rsids>
    <w:rsidRoot w:val="00B641A7"/>
    <w:rsid w:val="004627C5"/>
    <w:rsid w:val="006A1A2F"/>
    <w:rsid w:val="009B5972"/>
    <w:rsid w:val="00B641A7"/>
    <w:rsid w:val="00B66461"/>
    <w:rsid w:val="00EC3D0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A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1A7"/>
    <w:pPr>
      <w:ind w:left="720"/>
      <w:contextualSpacing/>
      <w:jc w:val="left"/>
    </w:pPr>
  </w:style>
  <w:style w:type="character" w:customStyle="1" w:styleId="h1a2">
    <w:name w:val="h1a2"/>
    <w:basedOn w:val="DefaultParagraphFont"/>
    <w:rsid w:val="00B641A7"/>
    <w:rPr>
      <w:rFonts w:cs="Times New Roman"/>
      <w:vanish/>
      <w:webHidden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B641A7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6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46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1990/369/" TargetMode="External" /><Relationship Id="rId5" Type="http://schemas.openxmlformats.org/officeDocument/2006/relationships/hyperlink" Target="https://www.slov-lex.sk/pravne-predpisy/SK/ZZ/1993/171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1190</Words>
  <Characters>6788</Characters>
  <Application>Microsoft Office Word</Application>
  <DocSecurity>0</DocSecurity>
  <Lines>0</Lines>
  <Paragraphs>0</Paragraphs>
  <ScaleCrop>false</ScaleCrop>
  <Company>Kancelaria NR SR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2016-08-08T12:04:00Z</cp:lastPrinted>
  <dcterms:created xsi:type="dcterms:W3CDTF">2016-08-18T13:28:00Z</dcterms:created>
  <dcterms:modified xsi:type="dcterms:W3CDTF">2016-08-18T13:28:00Z</dcterms:modified>
</cp:coreProperties>
</file>