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044D" w:rsidRPr="006D0299" w:rsidP="0044044D">
      <w:pPr>
        <w:bidi w:val="0"/>
        <w:jc w:val="center"/>
        <w:rPr>
          <w:rFonts w:ascii="Times New Roman" w:hAnsi="Times New Roman"/>
        </w:rPr>
      </w:pPr>
      <w:r w:rsidRPr="006D0299">
        <w:rPr>
          <w:rFonts w:ascii="Times New Roman" w:hAnsi="Times New Roman"/>
          <w:b/>
          <w:bCs/>
        </w:rPr>
        <w:t>Dôvodová správa</w:t>
      </w:r>
    </w:p>
    <w:p w:rsidR="0044044D" w:rsidRPr="006D0299" w:rsidP="0044044D">
      <w:pPr>
        <w:bidi w:val="0"/>
        <w:jc w:val="both"/>
        <w:rPr>
          <w:rFonts w:ascii="Times New Roman" w:hAnsi="Times New Roman"/>
        </w:rPr>
      </w:pPr>
    </w:p>
    <w:p w:rsidR="0044044D" w:rsidRPr="006D0299" w:rsidP="0044044D">
      <w:pPr>
        <w:bidi w:val="0"/>
        <w:jc w:val="both"/>
        <w:rPr>
          <w:rFonts w:ascii="Times New Roman" w:hAnsi="Times New Roman"/>
          <w:b/>
          <w:bCs/>
          <w:color w:val="auto"/>
        </w:rPr>
      </w:pPr>
      <w:r w:rsidRPr="006D0299">
        <w:rPr>
          <w:rFonts w:ascii="Times New Roman" w:hAnsi="Times New Roman"/>
          <w:b/>
          <w:bCs/>
          <w:color w:val="auto"/>
        </w:rPr>
        <w:t>Všeobecná časť</w:t>
      </w:r>
    </w:p>
    <w:p w:rsidR="0044044D" w:rsidRPr="006D0299" w:rsidP="0044044D">
      <w:pPr>
        <w:bidi w:val="0"/>
        <w:ind w:firstLine="709"/>
        <w:jc w:val="both"/>
        <w:rPr>
          <w:rFonts w:ascii="Times New Roman" w:hAnsi="Times New Roman"/>
          <w:color w:val="auto"/>
        </w:rPr>
      </w:pPr>
    </w:p>
    <w:p w:rsidR="0044044D" w:rsidRPr="006D0299" w:rsidP="0044044D">
      <w:pPr>
        <w:bidi w:val="0"/>
        <w:ind w:firstLine="709"/>
        <w:jc w:val="both"/>
        <w:rPr>
          <w:rFonts w:ascii="Times New Roman" w:hAnsi="Times New Roman"/>
          <w:color w:val="auto"/>
        </w:rPr>
      </w:pPr>
      <w:r w:rsidRPr="006D0299">
        <w:rPr>
          <w:rFonts w:ascii="Times New Roman" w:hAnsi="Times New Roman"/>
          <w:color w:val="auto"/>
        </w:rPr>
        <w:t xml:space="preserve">Ministerstvo financií Slovenskej republiky v spolupráci s Národnou bankou Slovenska pripravilo návrh zákona, ktorým sa mení a dopĺňa zákon č. 371/2014 Z. z. o riešení krízových situácií na finančnom trhu a o zmene a doplnení niektorých zákonov v znení neskorších predpisov a ktorým sa menia a dopĺňajú niektoré zákony  (ďalej len „návrh zákona“), ktorým sa v roku 2015 do slovenského právneho poriadku zaviedol nový rámec prevencie a riešenia krízových situácií na finančnom trhu. </w:t>
      </w:r>
    </w:p>
    <w:p w:rsidR="0044044D" w:rsidRPr="006D0299" w:rsidP="0044044D">
      <w:pPr>
        <w:bidi w:val="0"/>
        <w:ind w:firstLine="709"/>
        <w:jc w:val="both"/>
        <w:rPr>
          <w:rFonts w:ascii="Times New Roman" w:hAnsi="Times New Roman"/>
          <w:color w:val="auto"/>
        </w:rPr>
      </w:pPr>
    </w:p>
    <w:p w:rsidR="0044044D" w:rsidRPr="006D0299" w:rsidP="0044044D">
      <w:pPr>
        <w:bidi w:val="0"/>
        <w:spacing w:after="100" w:afterAutospacing="1"/>
        <w:ind w:firstLine="709"/>
        <w:jc w:val="both"/>
        <w:rPr>
          <w:rFonts w:ascii="Times New Roman" w:hAnsi="Times New Roman"/>
        </w:rPr>
      </w:pPr>
      <w:r w:rsidRPr="006D0299">
        <w:rPr>
          <w:rFonts w:ascii="Times New Roman" w:hAnsi="Times New Roman"/>
          <w:color w:val="auto"/>
        </w:rPr>
        <w:t xml:space="preserve">Hlavným dôvodom novely zákona je zavedenie možnosti podpisu dohody o preklenovacom financovaní </w:t>
      </w:r>
      <w:r w:rsidRPr="006D0299">
        <w:rPr>
          <w:rFonts w:ascii="Times New Roman" w:hAnsi="Times New Roman"/>
        </w:rPr>
        <w:t>vo forme úverovej linky, resp. dohody o úverovom mechanizme, ktorú bude môcť podpísať vláda SR s Jednotnou radou pre riešenie krízových situácií. Úverový mechanizmus bude slúžiť pre potreby riešenia krízovej situácie úverovej inštitúcie so sídlom na území Slovenskej republiky. Novelou sa zároveň zosúlaďujú právomoci Protimonopolného úradu Slovenskej republiky pri riešení krízových situácií na základe konzultácií s Európskou komisiou v oblasti ochrany hospodárskej súťaže. Novela tiež spresňuje znenie zákona najmä s ohľadom na stále prebiehajúci vývoj pri výkone činnosti Jednotnej rady pre riešenie krízových situácií na európskej úrovni a Rady pre riešenie krízových situácií na úrovni Slovenskej republiky a z toho vyplývajúce interakcie a prieniky ich činností.</w:t>
      </w:r>
    </w:p>
    <w:p w:rsidR="0044044D" w:rsidRPr="006D0299" w:rsidP="0044044D">
      <w:pPr>
        <w:bidi w:val="0"/>
        <w:spacing w:after="100" w:afterAutospacing="1"/>
        <w:ind w:firstLine="709"/>
        <w:jc w:val="both"/>
        <w:rPr>
          <w:rFonts w:ascii="Times New Roman" w:hAnsi="Times New Roman"/>
          <w:color w:val="auto"/>
        </w:rPr>
      </w:pPr>
      <w:r w:rsidRPr="006D0299">
        <w:rPr>
          <w:rFonts w:ascii="Times New Roman" w:hAnsi="Times New Roman"/>
        </w:rPr>
        <w:t xml:space="preserve">Novela zároveň rieši niektoré </w:t>
      </w:r>
      <w:r w:rsidRPr="006D0299">
        <w:rPr>
          <w:rFonts w:ascii="Times New Roman" w:hAnsi="Times New Roman"/>
          <w:color w:val="auto"/>
        </w:rPr>
        <w:t xml:space="preserve">legislatívno-technické </w:t>
      </w:r>
      <w:r w:rsidRPr="006D0299">
        <w:rPr>
          <w:rFonts w:ascii="Times New Roman" w:hAnsi="Times New Roman"/>
        </w:rPr>
        <w:t>podnety vyžadujúce spresnenie</w:t>
      </w:r>
      <w:r w:rsidRPr="006D0299">
        <w:rPr>
          <w:rFonts w:ascii="Times New Roman" w:hAnsi="Times New Roman"/>
          <w:color w:val="auto"/>
        </w:rPr>
        <w:t xml:space="preserve"> textu zákona v súvislosti s</w:t>
      </w:r>
      <w:r w:rsidRPr="006D0299">
        <w:rPr>
          <w:rFonts w:ascii="Times New Roman" w:hAnsi="Times New Roman"/>
        </w:rPr>
        <w:t xml:space="preserve"> </w:t>
      </w:r>
      <w:r w:rsidRPr="006D0299">
        <w:rPr>
          <w:rFonts w:ascii="Times New Roman" w:hAnsi="Times New Roman"/>
          <w:color w:val="auto"/>
        </w:rPr>
        <w:t>vývojom transpozičného procesu smernice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12.6.2014) (ďalej len „smernica“)</w:t>
      </w:r>
      <w:r w:rsidRPr="006D0299">
        <w:rPr>
          <w:rFonts w:ascii="Times New Roman" w:hAnsi="Times New Roman"/>
        </w:rPr>
        <w:t xml:space="preserve"> </w:t>
      </w:r>
      <w:r w:rsidRPr="006D0299">
        <w:rPr>
          <w:rFonts w:ascii="Times New Roman" w:hAnsi="Times New Roman"/>
          <w:color w:val="auto"/>
        </w:rPr>
        <w:t xml:space="preserve">a s tým súvisiacimi diskusiami k výkladu a uplatňovaniu ustanovení smernice zo strany Európskej komisie a Európskeho orgánu pre dohľad nad bankovníctvom (ďalej len „EBA“). </w:t>
      </w:r>
    </w:p>
    <w:p w:rsidR="0044044D" w:rsidRPr="006D0299" w:rsidP="0044044D">
      <w:pPr>
        <w:bidi w:val="0"/>
        <w:ind w:firstLine="708"/>
        <w:jc w:val="both"/>
        <w:rPr>
          <w:rFonts w:ascii="Times New Roman" w:hAnsi="Times New Roman"/>
          <w:color w:themeColor="tx1" w:themeShade="FF"/>
        </w:rPr>
      </w:pPr>
      <w:r w:rsidRPr="006D0299">
        <w:rPr>
          <w:rFonts w:ascii="Times New Roman" w:hAnsi="Times New Roman"/>
          <w:color w:themeColor="tx1" w:themeShade="FF"/>
        </w:rPr>
        <w:t>Návrhom zákona sa upravujú aj niektoré iné zákony, konkrétne zákon Národnej rady Slovenskej republiky č. 118/1996 Z. z. o ochrane vkladov a o zmene a doplnení niektorých zákonov v znení zákona č. 125/2016 Z.z.,  zákon č. 7/2005 Z. z. o konkurze a reštrukturalizácii a o zmene a doplnení niektorých zákonov v znení zákona č. 125/2016 Z. z..</w:t>
      </w:r>
    </w:p>
    <w:p w:rsidR="0044044D" w:rsidRPr="006D0299" w:rsidP="0044044D">
      <w:pPr>
        <w:bidi w:val="0"/>
        <w:jc w:val="both"/>
        <w:rPr>
          <w:rFonts w:ascii="Times New Roman" w:hAnsi="Times New Roman"/>
          <w:color w:val="auto"/>
        </w:rPr>
      </w:pPr>
    </w:p>
    <w:p w:rsidR="0044044D" w:rsidRPr="006D0299" w:rsidP="0044044D">
      <w:pPr>
        <w:bidi w:val="0"/>
        <w:ind w:firstLine="709"/>
        <w:jc w:val="both"/>
        <w:rPr>
          <w:rFonts w:ascii="Times New Roman" w:hAnsi="Times New Roman"/>
          <w:color w:val="auto"/>
        </w:rPr>
      </w:pPr>
      <w:r w:rsidRPr="006D0299">
        <w:rPr>
          <w:rFonts w:ascii="Times New Roman" w:hAnsi="Times New Roman"/>
          <w:color w:val="auto"/>
        </w:rPr>
        <w:t>Ministerstvo financií Slovenskej republiky a Národná banka Slovenska považujú za potrebné zabezpečiť úpravu zákona č. 371/2014 Z. z. v znení neskorších predpisov tak, aby ustanovoval plnohodnotný právny rámec pre riešenie krízových situácií s prihliadnutím na posledné výsledky práce Európskej komisie a EBA. Docieli sa tým právna istota, ktorá vedie k efektívnemu riešeniu možných krízových situácií na finančnom trhu a k dôslednému uplatňovaniu jednotlivých opatrení v súlade so zákonom a európskym právnym rámcom pre riešenie krízových situácií.</w:t>
      </w:r>
    </w:p>
    <w:p w:rsidR="0044044D" w:rsidRPr="006D0299" w:rsidP="0044044D">
      <w:pPr>
        <w:bidi w:val="0"/>
        <w:jc w:val="both"/>
        <w:rPr>
          <w:rFonts w:ascii="Times New Roman" w:hAnsi="Times New Roman"/>
          <w:color w:val="auto"/>
        </w:rPr>
      </w:pPr>
    </w:p>
    <w:p w:rsidR="0044044D" w:rsidRPr="006D0299" w:rsidP="0044044D">
      <w:pPr>
        <w:bidi w:val="0"/>
        <w:ind w:firstLine="708"/>
        <w:jc w:val="both"/>
        <w:rPr>
          <w:rFonts w:ascii="Times New Roman" w:hAnsi="Times New Roman"/>
        </w:rPr>
      </w:pPr>
      <w:r w:rsidRPr="006D0299">
        <w:rPr>
          <w:rFonts w:ascii="Times New Roman" w:hAnsi="Times New Roman"/>
        </w:rPr>
        <w:t xml:space="preserve">Očakávame pozitívny vplyv na podnikateľské prostredie zabezpečením vyššej stability bankového sektora najmä s ohľadom na možnosť preklenovacieho financovania riešenia krízových situácií úverových inštitúcií so sídlom na území Slovenskej republiky. </w:t>
      </w:r>
    </w:p>
    <w:p w:rsidR="0044044D" w:rsidRPr="006D0299" w:rsidP="0044044D">
      <w:pPr>
        <w:bidi w:val="0"/>
        <w:ind w:firstLine="708"/>
        <w:jc w:val="both"/>
        <w:rPr>
          <w:rFonts w:ascii="Times New Roman" w:hAnsi="Times New Roman"/>
        </w:rPr>
      </w:pPr>
      <w:r w:rsidRPr="006D0299">
        <w:rPr>
          <w:rFonts w:ascii="Times New Roman" w:hAnsi="Times New Roman"/>
        </w:rPr>
        <w:t>Prijatie navrhovaného zákona nebude mať vplyv na verejné financie. Nebude mať vplyv na informatizáciu, na životné prostredie, žiadne vplyvy na služby verejnej správy pre občana ani sociálne vplyvy.</w:t>
      </w:r>
    </w:p>
    <w:p w:rsidR="0044044D" w:rsidRPr="006D0299" w:rsidP="0044044D">
      <w:pPr>
        <w:bidi w:val="0"/>
        <w:ind w:firstLine="708"/>
        <w:jc w:val="both"/>
        <w:rPr>
          <w:rFonts w:ascii="Times New Roman" w:hAnsi="Times New Roman"/>
        </w:rPr>
      </w:pPr>
    </w:p>
    <w:p w:rsidR="0044044D" w:rsidRPr="006D0299" w:rsidP="0044044D">
      <w:pPr>
        <w:bidi w:val="0"/>
        <w:ind w:firstLine="708"/>
        <w:jc w:val="both"/>
        <w:rPr>
          <w:rFonts w:ascii="Times New Roman" w:hAnsi="Times New Roman"/>
        </w:rPr>
      </w:pPr>
      <w:r w:rsidRPr="006D0299">
        <w:rPr>
          <w:rFonts w:ascii="Times New Roman" w:hAnsi="Times New Roman"/>
        </w:rPr>
        <w:t xml:space="preserve">Návrh zákona bude predložený na vnútrokomunitárne pripomienkovanie Európskej centrálnej banke podľa čl. 15 ods. 1 Legislatívnych pravidiel vlády Slovenskej republiky a podľa rozhodnutia Rady o poradení sa s Európskou centrálnou bankou vnútroštátnymi orgánmi ohľadom návrhu právnych predpisov (98/415/ES) (Mimoriadne vydanie Ú. v. EÚ, kap. 01/zv. 01). </w:t>
      </w:r>
    </w:p>
    <w:p w:rsidR="0044044D" w:rsidRPr="006D0299" w:rsidP="0044044D">
      <w:pPr>
        <w:bidi w:val="0"/>
        <w:jc w:val="both"/>
        <w:rPr>
          <w:rFonts w:ascii="Times New Roman" w:hAnsi="Times New Roman"/>
          <w:color w:val="auto"/>
        </w:rPr>
      </w:pPr>
    </w:p>
    <w:p w:rsidR="0044044D" w:rsidRPr="006D0299" w:rsidP="0044044D">
      <w:pPr>
        <w:bidi w:val="0"/>
        <w:ind w:firstLine="709"/>
        <w:jc w:val="both"/>
        <w:rPr>
          <w:rFonts w:ascii="Times New Roman" w:hAnsi="Times New Roman"/>
          <w:color w:val="auto"/>
        </w:rPr>
      </w:pPr>
      <w:r w:rsidRPr="006D0299">
        <w:rPr>
          <w:rFonts w:ascii="Times New Roman" w:hAnsi="Times New Roman"/>
          <w:color w:val="auto"/>
        </w:rPr>
        <w:t xml:space="preserve">Návrh zákona je v súlade s Ústavou Slovenskej republiky, zákonmi a ostatnými všeobecne záväznými právnymi predpismi, ako aj s medzinárodnými zmluvami, ktorými je Slovenská republika viazaná a aj s právom Európskej únie. </w:t>
      </w:r>
    </w:p>
    <w:p w:rsidR="0044044D" w:rsidRPr="006D0299" w:rsidP="0044044D">
      <w:pPr>
        <w:bidi w:val="0"/>
        <w:rPr>
          <w:rFonts w:ascii="Times New Roman" w:hAnsi="Times New Roman"/>
          <w:color w:val="auto"/>
        </w:rPr>
      </w:pPr>
    </w:p>
    <w:p w:rsidR="0044044D" w:rsidRPr="006D0299" w:rsidP="0044044D">
      <w:pPr>
        <w:bidi w:val="0"/>
        <w:jc w:val="both"/>
        <w:rPr>
          <w:rFonts w:ascii="Times New Roman" w:hAnsi="Times New Roman"/>
        </w:rPr>
      </w:pPr>
      <w:r w:rsidRPr="006D0299">
        <w:rPr>
          <w:rFonts w:ascii="Times New Roman" w:hAnsi="Times New Roman"/>
        </w:rPr>
        <w:t xml:space="preserve">Navrhuje sa, aby zákon nadobudol účinnosť 15. novembra 2016. </w:t>
      </w:r>
    </w:p>
    <w:p w:rsidR="0044044D" w:rsidRPr="006D0299" w:rsidP="0044044D">
      <w:pPr>
        <w:bidi w:val="0"/>
        <w:jc w:val="both"/>
        <w:rPr>
          <w:rFonts w:ascii="Times New Roman" w:hAnsi="Times New Roman"/>
        </w:rPr>
      </w:pPr>
    </w:p>
    <w:p w:rsidR="0044044D" w:rsidRPr="006D0299" w:rsidP="0044044D">
      <w:pPr>
        <w:bidi w:val="0"/>
        <w:jc w:val="both"/>
        <w:rPr>
          <w:rFonts w:ascii="Times New Roman" w:hAnsi="Times New Roman"/>
        </w:rPr>
      </w:pPr>
    </w:p>
    <w:p w:rsidR="0044044D" w:rsidRPr="006D0299" w:rsidP="0044044D">
      <w:pPr>
        <w:bidi w:val="0"/>
        <w:jc w:val="both"/>
        <w:rPr>
          <w:rFonts w:ascii="Times New Roman" w:hAnsi="Times New Roman"/>
        </w:rPr>
      </w:pPr>
    </w:p>
    <w:p w:rsidR="0044044D" w:rsidRPr="006D0299" w:rsidP="0044044D">
      <w:pPr>
        <w:bidi w:val="0"/>
        <w:jc w:val="both"/>
        <w:rPr>
          <w:rFonts w:ascii="Times New Roman" w:hAnsi="Times New Roman"/>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C838BA" w:rsidRPr="006D0299" w:rsidP="00C838BA">
      <w:pPr>
        <w:bidi w:val="0"/>
        <w:jc w:val="center"/>
        <w:rPr>
          <w:rFonts w:ascii="Times New Roman" w:hAnsi="Times New Roman"/>
          <w:b/>
          <w:bCs/>
        </w:rPr>
      </w:pPr>
    </w:p>
    <w:p w:rsidR="008B76F2" w:rsidRPr="006D0299" w:rsidP="00C838BA">
      <w:pPr>
        <w:bidi w:val="0"/>
        <w:jc w:val="center"/>
        <w:rPr>
          <w:rFonts w:ascii="Times New Roman" w:hAnsi="Times New Roman"/>
          <w:b/>
          <w:bCs/>
        </w:rPr>
      </w:pPr>
    </w:p>
    <w:p w:rsidR="008B76F2" w:rsidRPr="006D0299" w:rsidP="00C838BA">
      <w:pPr>
        <w:bidi w:val="0"/>
        <w:jc w:val="center"/>
        <w:rPr>
          <w:rFonts w:ascii="Times New Roman" w:hAnsi="Times New Roman"/>
          <w:b/>
          <w:bCs/>
        </w:rPr>
      </w:pPr>
    </w:p>
    <w:p w:rsidR="008B76F2" w:rsidRPr="006D0299" w:rsidP="00C838BA">
      <w:pPr>
        <w:bidi w:val="0"/>
        <w:jc w:val="center"/>
        <w:rPr>
          <w:rFonts w:ascii="Times New Roman" w:hAnsi="Times New Roman"/>
          <w:b/>
          <w:bCs/>
        </w:rPr>
      </w:pPr>
    </w:p>
    <w:p w:rsidR="00644B1B" w:rsidRPr="006D0299" w:rsidP="00644B1B">
      <w:pPr>
        <w:bidi w:val="0"/>
        <w:rPr>
          <w:rFonts w:ascii="Times New Roman" w:hAnsi="Times New Roman"/>
          <w:b/>
          <w:bCs/>
        </w:rPr>
      </w:pPr>
    </w:p>
    <w:p w:rsidR="00C838BA" w:rsidRPr="006D0299" w:rsidP="00644B1B">
      <w:pPr>
        <w:bidi w:val="0"/>
        <w:jc w:val="center"/>
        <w:rPr>
          <w:rFonts w:ascii="Times New Roman" w:hAnsi="Times New Roman"/>
          <w:b/>
          <w:bCs/>
        </w:rPr>
      </w:pPr>
      <w:r w:rsidRPr="006D0299">
        <w:rPr>
          <w:rFonts w:ascii="Times New Roman" w:hAnsi="Times New Roman"/>
          <w:b/>
          <w:bCs/>
        </w:rPr>
        <w:t>Doložka vybraných vplyvov</w:t>
      </w:r>
    </w:p>
    <w:p w:rsidR="00C838BA" w:rsidRPr="006D0299" w:rsidP="00C838BA">
      <w:pPr>
        <w:pStyle w:val="ListParagraph"/>
        <w:bidi w:val="0"/>
        <w:ind w:left="426"/>
        <w:rPr>
          <w:rFonts w:ascii="Times New Roman" w:hAnsi="Times New Roman"/>
          <w:b/>
          <w:sz w:val="24"/>
          <w:szCs w:val="24"/>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bidi w:val="0"/>
              <w:ind w:left="142"/>
              <w:rPr>
                <w:rFonts w:ascii="Times New Roman" w:hAnsi="Times New Roman"/>
                <w:b/>
                <w:sz w:val="24"/>
                <w:szCs w:val="24"/>
              </w:rPr>
            </w:pPr>
            <w:r w:rsidRPr="006D0299">
              <w:rPr>
                <w:rFonts w:ascii="Times New Roman" w:hAnsi="Times New Roman"/>
                <w:b/>
                <w:sz w:val="24"/>
                <w:szCs w:val="24"/>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C838BA" w:rsidRPr="006D0299" w:rsidP="0060698B">
            <w:pPr>
              <w:pStyle w:val="BodyText"/>
              <w:tabs>
                <w:tab w:val="left" w:pos="426"/>
              </w:tabs>
              <w:bidi w:val="0"/>
              <w:spacing w:before="120"/>
              <w:jc w:val="both"/>
              <w:rPr>
                <w:rFonts w:ascii="Times New Roman" w:hAnsi="Times New Roman"/>
                <w:sz w:val="22"/>
                <w:szCs w:val="22"/>
              </w:rPr>
            </w:pPr>
            <w:r w:rsidRPr="006D0299">
              <w:rPr>
                <w:rFonts w:ascii="Times New Roman" w:hAnsi="Times New Roman"/>
                <w:sz w:val="22"/>
                <w:szCs w:val="22"/>
              </w:rPr>
              <w:t xml:space="preserve">Návrh zákona, ktorým </w:t>
            </w:r>
            <w:r w:rsidRPr="006D0299">
              <w:rPr>
                <w:rFonts w:ascii="Times New Roman" w:hAnsi="Times New Roman"/>
                <w:bCs/>
                <w:sz w:val="22"/>
                <w:szCs w:val="22"/>
              </w:rPr>
              <w:t xml:space="preserve">sa mení a dopĺňa </w:t>
            </w:r>
            <w:r w:rsidRPr="006D0299">
              <w:rPr>
                <w:rFonts w:ascii="Times New Roman" w:hAnsi="Times New Roman"/>
                <w:sz w:val="22"/>
                <w:szCs w:val="22"/>
              </w:rPr>
              <w:t>zákon č. 371/2014 Z. z. o riešení krízových situácií na finančnom trhu a o zmene a doplnení niektorých zákonov v znení neskorších predpisov a ktorým sa menia a dopĺňajú niektoré zákony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bidi w:val="0"/>
              <w:ind w:left="142"/>
              <w:rPr>
                <w:rFonts w:ascii="Times New Roman" w:hAnsi="Times New Roman"/>
                <w:b/>
                <w:sz w:val="24"/>
                <w:szCs w:val="24"/>
              </w:rPr>
            </w:pPr>
            <w:r w:rsidRPr="006D0299">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Ministerstvo financií SR</w:t>
            </w:r>
          </w:p>
          <w:p w:rsidR="00C838BA" w:rsidRPr="006D0299" w:rsidP="0060698B">
            <w:pPr>
              <w:bidi w:val="0"/>
              <w:rPr>
                <w:rFonts w:ascii="Times New Roman" w:hAnsi="Times New Roman"/>
                <w:sz w:val="22"/>
                <w:szCs w:val="22"/>
              </w:rPr>
            </w:pPr>
          </w:p>
          <w:p w:rsidR="00C838BA" w:rsidRPr="006D0299" w:rsidP="0060698B">
            <w:pPr>
              <w:bidi w:val="0"/>
              <w:rPr>
                <w:rFonts w:ascii="Times New Roman" w:hAnsi="Times New Roman"/>
                <w:sz w:val="22"/>
                <w:szCs w:val="22"/>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C838BA" w:rsidRPr="006D0299" w:rsidP="0060698B">
            <w:pPr>
              <w:pStyle w:val="ListParagraph"/>
              <w:bidi w:val="0"/>
              <w:ind w:left="142"/>
              <w:rPr>
                <w:rFonts w:ascii="Times New Roman" w:hAnsi="Times New Roman"/>
                <w:b/>
                <w:sz w:val="24"/>
                <w:szCs w:val="24"/>
              </w:rPr>
            </w:pPr>
            <w:r w:rsidRPr="006D0299">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Mincho" w:hAnsi="Segoe UI Symbol" w:cs="Segoe UI Symbol" w:hint="default"/>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Gothic" w:hAnsi="Segoe UI Symbol" w:cs="Segoe UI Symbol" w:hint="default"/>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838BA" w:rsidRPr="006D0299" w:rsidP="0060698B">
            <w:pPr>
              <w:bidi w:val="0"/>
              <w:ind w:left="175" w:hanging="175"/>
              <w:rPr>
                <w:rFonts w:ascii="Times New Roman" w:hAnsi="Times New Roman"/>
                <w:sz w:val="22"/>
                <w:szCs w:val="22"/>
              </w:rPr>
            </w:pPr>
            <w:r w:rsidRPr="006D0299">
              <w:rPr>
                <w:rFonts w:ascii="Times New Roman" w:hAnsi="Times New Roman"/>
                <w:sz w:val="22"/>
                <w:szCs w:val="22"/>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C838BA" w:rsidRPr="006D0299" w:rsidP="0060698B">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Gothic" w:hAnsi="Segoe UI Symbol" w:cs="Segoe UI Symbol" w:hint="default"/>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p>
          <w:p w:rsidR="00C838BA" w:rsidRPr="006D0299" w:rsidP="0060698B">
            <w:pPr>
              <w:bidi w:val="0"/>
              <w:rPr>
                <w:rFonts w:ascii="Times New Roman" w:hAnsi="Times New Roman"/>
                <w:sz w:val="22"/>
                <w:szCs w:val="22"/>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bidi w:val="0"/>
              <w:ind w:left="142"/>
              <w:rPr>
                <w:rFonts w:ascii="Times New Roman" w:hAnsi="Times New Roman"/>
                <w:b/>
                <w:sz w:val="24"/>
                <w:szCs w:val="24"/>
              </w:rPr>
            </w:pPr>
            <w:r w:rsidRPr="006D0299">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C838BA" w:rsidRPr="006D0299" w:rsidP="0060698B">
            <w:pPr>
              <w:bidi w:val="0"/>
              <w:rPr>
                <w:rFonts w:ascii="Times New Roman" w:hAnsi="Times New Roman"/>
                <w:i/>
                <w:sz w:val="22"/>
                <w:szCs w:val="22"/>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bidi w:val="0"/>
              <w:ind w:left="142"/>
              <w:rPr>
                <w:rFonts w:ascii="Times New Roman" w:hAnsi="Times New Roman"/>
                <w:b/>
                <w:sz w:val="24"/>
                <w:szCs w:val="24"/>
              </w:rPr>
            </w:pPr>
            <w:r w:rsidRPr="006D0299">
              <w:rPr>
                <w:rFonts w:ascii="Times New Roman" w:hAnsi="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04.07.2016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bidi w:val="0"/>
              <w:ind w:left="142"/>
              <w:rPr>
                <w:rFonts w:ascii="Times New Roman" w:hAnsi="Times New Roman"/>
                <w:b/>
                <w:sz w:val="24"/>
                <w:szCs w:val="24"/>
              </w:rPr>
            </w:pPr>
            <w:r w:rsidRPr="006D0299">
              <w:rPr>
                <w:rFonts w:ascii="Times New Roman" w:hAnsi="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19.08.2016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C838BA" w:rsidRPr="006D0299" w:rsidP="0060698B">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838BA" w:rsidRPr="006D0299" w:rsidP="0060698B">
            <w:pPr>
              <w:pStyle w:val="Default"/>
              <w:bidi w:val="0"/>
              <w:ind w:firstLine="708"/>
              <w:jc w:val="both"/>
              <w:rPr>
                <w:rFonts w:ascii="Times New Roman" w:hAnsi="Times New Roman"/>
                <w:color w:val="auto"/>
                <w:sz w:val="22"/>
                <w:szCs w:val="22"/>
              </w:rPr>
            </w:pPr>
            <w:r w:rsidRPr="006D0299">
              <w:rPr>
                <w:rFonts w:ascii="Times New Roman" w:hAnsi="Times New Roman"/>
                <w:color w:val="auto"/>
                <w:sz w:val="22"/>
                <w:szCs w:val="22"/>
              </w:rPr>
              <w:t xml:space="preserve">Na základe záväzku členských štátov Európskej únie z decembra 2013 sa členské štáty zaviazali vytvoriť dočasný premosťovací systém financovania Jednotného fondu, ktorý vznikol na základe nariadenia Európskeho parlamentu a Rady (EÚ) č. 806/2014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 v. L 225, 30.7.2014)“ (ďalej len „Nariadenie“), prostredníctvom poskytnutia finančných prostriedkov formou Loan Facility Agreement (ďalej len „LFA“) uzavretej medzi členským štátom a Jednotnou radou pre riešenie krízových situácií (hlavný rozhodovací orgán druhého piliera bankovej únie). </w:t>
            </w:r>
          </w:p>
          <w:p w:rsidR="00C838BA" w:rsidRPr="006D0299" w:rsidP="0060698B">
            <w:pPr>
              <w:pStyle w:val="Default"/>
              <w:bidi w:val="0"/>
              <w:ind w:firstLine="708"/>
              <w:jc w:val="both"/>
              <w:rPr>
                <w:rFonts w:ascii="Times New Roman" w:hAnsi="Times New Roman"/>
                <w:color w:val="auto"/>
                <w:sz w:val="22"/>
                <w:szCs w:val="22"/>
              </w:rPr>
            </w:pPr>
          </w:p>
          <w:p w:rsidR="00C838BA" w:rsidRPr="006D0299" w:rsidP="0060698B">
            <w:pPr>
              <w:pStyle w:val="Default"/>
              <w:bidi w:val="0"/>
              <w:ind w:firstLine="708"/>
              <w:jc w:val="both"/>
              <w:rPr>
                <w:rFonts w:ascii="Times New Roman" w:hAnsi="Times New Roman"/>
                <w:color w:val="auto"/>
                <w:sz w:val="22"/>
                <w:szCs w:val="22"/>
              </w:rPr>
            </w:pPr>
            <w:r w:rsidRPr="006D0299">
              <w:rPr>
                <w:rFonts w:ascii="Times New Roman" w:hAnsi="Times New Roman"/>
                <w:color w:val="auto"/>
                <w:sz w:val="22"/>
                <w:szCs w:val="22"/>
              </w:rPr>
              <w:t>Vláda Slovenskej republiky sa v svojom programovom vyhlásení zaviazala podporovať dobudovanie plne funkčnej a akcieschopnej bankovej únie. Zabezpečenie možnosti podpisu LFA je neoddeliteľnou súčasťou pre efektívne fungovanie druhého piliera bankovej únie. Účelom je posilnenie dôveryhodnosti a stability druhého piliera bankovej únie a tým aj bankového sektora SR. Nakoľko Jednotný fond dosiahne plnú kapacitu 55 mld. EUR až v roku 2024, je potrebné zabezpečiť dočasné financovanie riešenia krízových situácií zo strany členských štátov. Prostriedky sa budú poskytovať práve na základe LFA. Ich poskytnutie bude limitované len na prípady vyžiadania zo strany Jednotnej rady a len pre potreby riešenia krízovej situácie slovenskej banky. Počiatočný záväzok vo výške 110 mil. EUR sa bude v čase znižovať úmerne k výške príspevkov slovenských bánk do Jednotného fondu.</w:t>
            </w:r>
          </w:p>
          <w:p w:rsidR="00C838BA" w:rsidRPr="006D0299" w:rsidP="0060698B">
            <w:pPr>
              <w:pStyle w:val="BodyText"/>
              <w:bidi w:val="0"/>
              <w:ind w:firstLine="708"/>
              <w:jc w:val="both"/>
              <w:rPr>
                <w:rFonts w:ascii="Times New Roman" w:hAnsi="Times New Roman"/>
                <w:sz w:val="22"/>
                <w:szCs w:val="22"/>
              </w:rPr>
            </w:pPr>
          </w:p>
          <w:p w:rsidR="00C838BA" w:rsidRPr="006D0299" w:rsidP="0060698B">
            <w:pPr>
              <w:pStyle w:val="BodyText"/>
              <w:bidi w:val="0"/>
              <w:ind w:firstLine="708"/>
              <w:jc w:val="both"/>
              <w:rPr>
                <w:rFonts w:ascii="Times New Roman" w:hAnsi="Times New Roman"/>
                <w:sz w:val="22"/>
                <w:szCs w:val="22"/>
              </w:rPr>
            </w:pPr>
            <w:r w:rsidRPr="006D0299">
              <w:rPr>
                <w:rFonts w:ascii="Times New Roman" w:hAnsi="Times New Roman"/>
                <w:sz w:val="22"/>
                <w:szCs w:val="22"/>
              </w:rPr>
              <w:t xml:space="preserve">Návrh novely zákona upravuje aj niektoré kompetencie Protimonopolného úradu Slovenskej republiky („PMÚ“) v konaní o riešení krízovej situácie s ohľadom na ochranu hospodárskej súťaže. Je potrebné zosúladiť kompetenciu PMÚ posudzovať koncentráciu v prípade </w:t>
            </w:r>
            <w:r w:rsidRPr="006D0299">
              <w:rPr>
                <w:rFonts w:ascii="Times New Roman" w:hAnsi="Times New Roman"/>
                <w:color w:val="auto"/>
                <w:sz w:val="22"/>
                <w:szCs w:val="22"/>
              </w:rPr>
              <w:t>prevodu majetku, využitia preklenovacej inštitúcie a opatrenia odpredaja aktív</w:t>
            </w:r>
            <w:r w:rsidRPr="006D0299">
              <w:rPr>
                <w:rFonts w:ascii="Times New Roman" w:hAnsi="Times New Roman"/>
                <w:sz w:val="22"/>
                <w:szCs w:val="22"/>
              </w:rPr>
              <w:t xml:space="preserve"> banky, ktorej krízová situácia sa rieši tak, aby nedochádzalo k ohrozeniu alebo obmedzeniu hospodárskej súťaže. Táto úprava vyplynula s diskusií s PMÚ ako aj diskusií s Európskou Komisiou (DG Competition a DG FISMA).</w:t>
            </w:r>
          </w:p>
          <w:p w:rsidR="00C838BA" w:rsidRPr="006D0299" w:rsidP="0060698B">
            <w:pPr>
              <w:pStyle w:val="BodyText"/>
              <w:bidi w:val="0"/>
              <w:ind w:firstLine="708"/>
              <w:jc w:val="both"/>
              <w:rPr>
                <w:rFonts w:ascii="Times New Roman" w:hAnsi="Times New Roman"/>
                <w:sz w:val="22"/>
                <w:szCs w:val="22"/>
              </w:rPr>
            </w:pPr>
          </w:p>
          <w:p w:rsidR="00C838BA" w:rsidRPr="006D0299" w:rsidP="0060698B">
            <w:pPr>
              <w:bidi w:val="0"/>
              <w:rPr>
                <w:rFonts w:ascii="Times New Roman" w:hAnsi="Times New Roman"/>
                <w:b/>
                <w:sz w:val="22"/>
                <w:szCs w:val="22"/>
              </w:rPr>
            </w:pPr>
            <w:r w:rsidRPr="006D0299">
              <w:rPr>
                <w:rFonts w:ascii="Times New Roman" w:hAnsi="Times New Roman"/>
                <w:sz w:val="22"/>
                <w:szCs w:val="22"/>
              </w:rPr>
              <w:t>Aplikačná prax, vychádzajúc najmä s činnosti Jednotnej rezolučnej rady, ale aj národnej Rady pre riešenie krízových situácií, si vyžaduje menšie úpravy v zákone s ohľadom na zosúladenie praxe so zákonnou úpravou tak, aby zákon a pravidlá pre riešenie krízových situácií na európskej úrovni stanovené Nariadením vytvárali čo najefektívnejší rámec pre riešenie prípadných kríz na finančnom trhu.</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838BA" w:rsidRPr="006D0299" w:rsidP="0060698B">
            <w:pPr>
              <w:pStyle w:val="BodyText"/>
              <w:bidi w:val="0"/>
              <w:jc w:val="both"/>
              <w:rPr>
                <w:rFonts w:ascii="Times New Roman" w:hAnsi="Times New Roman"/>
                <w:sz w:val="22"/>
                <w:szCs w:val="22"/>
              </w:rPr>
            </w:pPr>
            <w:r w:rsidRPr="006D0299">
              <w:rPr>
                <w:rFonts w:ascii="Times New Roman" w:hAnsi="Times New Roman"/>
                <w:sz w:val="22"/>
                <w:szCs w:val="22"/>
              </w:rPr>
              <w:t xml:space="preserve">Cieľom navrhovaného zákona je </w:t>
            </w:r>
          </w:p>
          <w:p w:rsidR="00C838BA" w:rsidRPr="006D0299" w:rsidP="0060698B">
            <w:pPr>
              <w:pStyle w:val="BodyText"/>
              <w:numPr>
                <w:numId w:val="2"/>
              </w:numPr>
              <w:bidi w:val="0"/>
              <w:ind w:left="454"/>
              <w:jc w:val="both"/>
              <w:rPr>
                <w:rFonts w:ascii="Times New Roman" w:hAnsi="Times New Roman"/>
                <w:color w:val="auto"/>
                <w:sz w:val="22"/>
                <w:szCs w:val="22"/>
              </w:rPr>
            </w:pPr>
            <w:r w:rsidRPr="006D0299">
              <w:rPr>
                <w:rFonts w:ascii="Times New Roman" w:hAnsi="Times New Roman"/>
                <w:color w:val="auto"/>
                <w:sz w:val="22"/>
                <w:szCs w:val="22"/>
              </w:rPr>
              <w:t>vykonať doplnenie národnej úpravy procesu riešenia krízových situácií na finančnom trhu, najmä s ohľadom na potrebu zabezpečenia možnosti poskytnutia premosťovacieho financovania pre slovenské úverové inštitúcie v prípade riešenia ich krízovej situácie ak prostriedky Jednotného fondu pre riešenie krízových situácií (ďalej len „Jednotný fond“) na základe Nariadenia, nebudú pre jej riešenie postačujúce,</w:t>
            </w:r>
          </w:p>
          <w:p w:rsidR="00C838BA" w:rsidRPr="006D0299" w:rsidP="0060698B">
            <w:pPr>
              <w:pStyle w:val="BodyText"/>
              <w:numPr>
                <w:numId w:val="2"/>
              </w:numPr>
              <w:bidi w:val="0"/>
              <w:ind w:left="454"/>
              <w:jc w:val="both"/>
              <w:rPr>
                <w:rFonts w:ascii="Times New Roman" w:hAnsi="Times New Roman"/>
                <w:color w:val="auto"/>
                <w:sz w:val="22"/>
                <w:szCs w:val="22"/>
              </w:rPr>
            </w:pPr>
            <w:r w:rsidRPr="006D0299">
              <w:rPr>
                <w:rFonts w:ascii="Times New Roman" w:hAnsi="Times New Roman"/>
                <w:color w:val="auto"/>
                <w:sz w:val="22"/>
                <w:szCs w:val="22"/>
              </w:rPr>
              <w:t>doplniť a zosúladiť právomoc PMÚ posudzovať riziko koncentrácie v procese riešenia krízovej situácie využitím jednotlivých opatrení pre riešenie krízovej situácie s ohľadom na predchádzanie riziku koncentrácie a to najmä pre opatrenie prevodu majetku, opatrenie využitia preklenovacej inštitúcie a opatrenie odpredaja aktív,</w:t>
            </w:r>
          </w:p>
          <w:p w:rsidR="00C838BA" w:rsidRPr="006D0299" w:rsidP="0060698B">
            <w:pPr>
              <w:pStyle w:val="BodyText"/>
              <w:numPr>
                <w:numId w:val="2"/>
              </w:numPr>
              <w:bidi w:val="0"/>
              <w:ind w:left="454"/>
              <w:jc w:val="both"/>
              <w:rPr>
                <w:rFonts w:ascii="Times New Roman" w:hAnsi="Times New Roman"/>
                <w:color w:val="auto"/>
                <w:sz w:val="22"/>
                <w:szCs w:val="22"/>
              </w:rPr>
            </w:pPr>
            <w:r w:rsidRPr="006D0299">
              <w:rPr>
                <w:rFonts w:ascii="Times New Roman" w:hAnsi="Times New Roman"/>
                <w:color w:val="auto"/>
                <w:sz w:val="22"/>
                <w:szCs w:val="22"/>
              </w:rPr>
              <w:t>riešenie podnetov z aplikačnej praxe, najmä pokiaľ ide o riešenie kompetencie Jednotnej rady pre riešenie krízových situácií a Rady pre riešenie krízových situácií na národnej úrovni a iné otázky fungovania Rady pre riešenie krízových situácií na národnej úrovni.</w:t>
            </w:r>
          </w:p>
          <w:p w:rsidR="00C838BA" w:rsidRPr="006D0299" w:rsidP="0060698B">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Tuzemské a zahraničné banky a pobočky zahraničných bánk a vybraný obchodníci s cennými papiermi.</w:t>
            </w:r>
          </w:p>
          <w:p w:rsidR="00C838BA" w:rsidRPr="006D0299" w:rsidP="0060698B">
            <w:pPr>
              <w:bidi w:val="0"/>
              <w:rPr>
                <w:rFonts w:ascii="Times New Roman" w:hAnsi="Times New Roman"/>
                <w:i/>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N/A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C838BA" w:rsidRPr="006D0299" w:rsidP="0060698B">
            <w:pPr>
              <w:bidi w:val="0"/>
              <w:rPr>
                <w:rFonts w:ascii="Times New Roman" w:hAnsi="Times New Roman"/>
                <w:i/>
                <w:sz w:val="22"/>
                <w:szCs w:val="22"/>
              </w:rPr>
            </w:pPr>
            <w:r w:rsidRPr="006D0299">
              <w:rPr>
                <w:rFonts w:ascii="Times New Roman" w:hAnsi="Times New Roman"/>
                <w:i/>
                <w:sz w:val="22"/>
                <w:szCs w:val="22"/>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Gothic" w:hAnsi="Segoe UI Symbol" w:cs="Segoe UI Symbol" w:hint="default"/>
                <w:sz w:val="22"/>
                <w:szCs w:val="22"/>
              </w:rPr>
              <w:t>☐</w:t>
            </w:r>
            <w:r w:rsidRPr="006D0299">
              <w:rPr>
                <w:rFonts w:ascii="Times New Roman" w:hAnsi="Times New Roman"/>
                <w:sz w:val="22"/>
                <w:szCs w:val="22"/>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Gothic" w:hAnsi="Segoe UI Symbol" w:cs="Segoe UI Symbol" w:hint="default"/>
                <w:sz w:val="22"/>
                <w:szCs w:val="22"/>
              </w:rPr>
              <w:t>☒</w:t>
            </w:r>
            <w:r w:rsidRPr="006D0299">
              <w:rPr>
                <w:rFonts w:ascii="Times New Roman" w:hAnsi="Times New Roman"/>
                <w:sz w:val="22"/>
                <w:szCs w:val="22"/>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i/>
                <w:sz w:val="22"/>
                <w:szCs w:val="22"/>
              </w:rPr>
            </w:pPr>
            <w:r w:rsidRPr="006D0299">
              <w:rPr>
                <w:rFonts w:ascii="Times New Roman" w:hAnsi="Times New Roman"/>
                <w:i/>
                <w:sz w:val="22"/>
                <w:szCs w:val="22"/>
              </w:rPr>
              <w:t>Ak áno, uveďte ktoré oblasti budú nimi upravené, resp. ktorých vykonávacích predpisov sa zmena dotkne:</w:t>
            </w:r>
          </w:p>
          <w:p w:rsidR="00C838BA" w:rsidRPr="006D0299" w:rsidP="0060698B">
            <w:pPr>
              <w:bidi w:val="0"/>
              <w:rPr>
                <w:rFonts w:ascii="Times New Roman" w:hAnsi="Times New Roman"/>
                <w:sz w:val="22"/>
                <w:szCs w:val="22"/>
              </w:rPr>
            </w:pPr>
          </w:p>
        </w:tc>
      </w:tr>
      <w:tr>
        <w:tblPrEx>
          <w:tblW w:w="9180" w:type="dxa"/>
          <w:tblLayout w:type="fixed"/>
          <w:tblLook w:val="04A0"/>
        </w:tblPrEx>
        <w:trPr>
          <w:trHeight w:val="291"/>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Nie</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C838BA" w:rsidRPr="006D0299" w:rsidP="0060698B">
            <w:pPr>
              <w:bidi w:val="0"/>
              <w:jc w:val="center"/>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i/>
                <w:sz w:val="22"/>
                <w:szCs w:val="22"/>
              </w:rPr>
            </w:pPr>
            <w:r w:rsidRPr="006D0299">
              <w:rPr>
                <w:rFonts w:ascii="Times New Roman" w:hAnsi="Times New Roman"/>
                <w:i/>
                <w:sz w:val="22"/>
                <w:szCs w:val="22"/>
              </w:rPr>
              <w:t>Uveďte termín, kedy by malo dôjsť k preskúmaniu účinnosti a účelnosti navrhovaného predpisu.</w:t>
            </w:r>
          </w:p>
          <w:p w:rsidR="00C838BA" w:rsidRPr="006D0299" w:rsidP="0060698B">
            <w:pPr>
              <w:bidi w:val="0"/>
              <w:rPr>
                <w:rFonts w:ascii="Times New Roman" w:hAnsi="Times New Roman"/>
                <w:i/>
                <w:sz w:val="22"/>
                <w:szCs w:val="22"/>
              </w:rPr>
            </w:pPr>
            <w:r w:rsidRPr="006D0299">
              <w:rPr>
                <w:rFonts w:ascii="Times New Roman" w:hAnsi="Times New Roman"/>
                <w:i/>
                <w:sz w:val="22"/>
                <w:szCs w:val="22"/>
              </w:rPr>
              <w:t>Uveďte kritériá, na základe ktorých bude preskúmanie vykonané.</w:t>
            </w:r>
          </w:p>
          <w:p w:rsidR="00C838BA" w:rsidRPr="006D0299" w:rsidP="0060698B">
            <w:pPr>
              <w:bidi w:val="0"/>
              <w:rPr>
                <w:rFonts w:ascii="Times New Roman" w:hAnsi="Times New Roman"/>
                <w:i/>
                <w:sz w:val="22"/>
                <w:szCs w:val="22"/>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C838BA" w:rsidRPr="006D0299" w:rsidP="006D0299">
            <w:pPr>
              <w:bidi w:val="0"/>
              <w:rPr>
                <w:rFonts w:ascii="Times New Roman" w:hAnsi="Times New Roman"/>
                <w:sz w:val="22"/>
                <w:szCs w:val="22"/>
              </w:rPr>
            </w:pPr>
            <w:r w:rsidRPr="006D0299">
              <w:rPr>
                <w:rFonts w:ascii="Times New Roman" w:hAnsi="Times New Roman"/>
                <w:sz w:val="22"/>
                <w:szCs w:val="22"/>
              </w:rPr>
              <w:t xml:space="preserve">* vyplniť iba v prípade, ak materiál nie je zahrnutý do Plánu práce vlády Slovenskej republiky alebo Plánu        legislatívnych úloh vlády Slovenskej republiky. </w:t>
            </w:r>
          </w:p>
          <w:p w:rsidR="00C838BA" w:rsidRPr="006D0299" w:rsidP="0060698B">
            <w:pPr>
              <w:bidi w:val="0"/>
              <w:rPr>
                <w:rFonts w:ascii="Times New Roman" w:hAnsi="Times New Roman"/>
                <w:sz w:val="22"/>
                <w:szCs w:val="22"/>
              </w:rPr>
            </w:pPr>
            <w:r w:rsidRPr="006D0299">
              <w:rPr>
                <w:rFonts w:ascii="Times New Roman" w:hAnsi="Times New Roman"/>
                <w:sz w:val="22"/>
                <w:szCs w:val="22"/>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C838BA" w:rsidRPr="006D0299" w:rsidP="0060698B">
            <w:pPr>
              <w:bidi w:val="0"/>
              <w:rPr>
                <w:rFonts w:ascii="Times New Roman" w:hAnsi="Times New Roman"/>
                <w:b/>
                <w:sz w:val="22"/>
                <w:szCs w:val="22"/>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Gothic" w:hAnsi="Segoe UI Symbol" w:cs="Segoe UI Symbol" w:hint="default"/>
                <w:b/>
                <w:sz w:val="22"/>
                <w:szCs w:val="22"/>
              </w:rPr>
              <w:t>☒</w:t>
            </w:r>
          </w:p>
        </w:tc>
        <w:tc>
          <w:tcPr>
            <w:tcW w:w="1133" w:type="dxa"/>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C838BA" w:rsidRPr="006D0299" w:rsidP="0060698B">
            <w:pPr>
              <w:bidi w:val="0"/>
              <w:ind w:left="-107" w:right="-108"/>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C838BA" w:rsidRPr="006D0299" w:rsidP="0060698B">
            <w:pPr>
              <w:bidi w:val="0"/>
              <w:ind w:left="34"/>
              <w:rPr>
                <w:rFonts w:ascii="Times New Roman" w:hAnsi="Times New Roman"/>
                <w:b/>
                <w:sz w:val="22"/>
                <w:szCs w:val="22"/>
              </w:rPr>
            </w:pPr>
            <w:r w:rsidRPr="006D0299">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Mincho" w:hAnsi="Segoe UI Symbol" w:cs="Segoe UI Symbol" w:hint="default"/>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Áno</w:t>
            </w:r>
          </w:p>
        </w:tc>
        <w:tc>
          <w:tcPr>
            <w:tcW w:w="569" w:type="dxa"/>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Mincho" w:hAnsi="Segoe UI Symbol" w:cs="Segoe UI Symbol" w:hint="default"/>
                <w:sz w:val="22"/>
                <w:szCs w:val="22"/>
              </w:rPr>
              <w:t>☐</w:t>
            </w:r>
          </w:p>
        </w:tc>
        <w:tc>
          <w:tcPr>
            <w:tcW w:w="1133" w:type="dxa"/>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Nie</w:t>
            </w:r>
          </w:p>
        </w:tc>
        <w:tc>
          <w:tcPr>
            <w:tcW w:w="547" w:type="dxa"/>
            <w:gridSpan w:val="2"/>
            <w:tcBorders>
              <w:top w:val="single" w:sz="4" w:space="0" w:color="auto"/>
              <w:left w:val="nil"/>
              <w:bottom w:val="single" w:sz="4" w:space="0" w:color="auto"/>
              <w:right w:val="nil"/>
            </w:tcBorders>
            <w:textDirection w:val="lrTb"/>
            <w:vAlign w:val="top"/>
          </w:tcPr>
          <w:p w:rsidR="00C838BA" w:rsidRPr="006D0299" w:rsidP="0060698B">
            <w:pPr>
              <w:bidi w:val="0"/>
              <w:ind w:left="-107" w:right="-108"/>
              <w:jc w:val="center"/>
              <w:rPr>
                <w:rFonts w:ascii="Times New Roman" w:hAnsi="Times New Roman"/>
                <w:sz w:val="22"/>
                <w:szCs w:val="22"/>
              </w:rPr>
            </w:pPr>
            <w:r w:rsidRPr="006D0299">
              <w:rPr>
                <w:rFonts w:ascii="Segoe UI Symbol" w:eastAsia="MS Mincho" w:hAnsi="Segoe UI Symbol" w:cs="Segoe UI Symbol" w:hint="default"/>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C838BA" w:rsidRPr="006D0299" w:rsidP="0060698B">
            <w:pPr>
              <w:bidi w:val="0"/>
              <w:ind w:left="34"/>
              <w:rPr>
                <w:rFonts w:ascii="Times New Roman" w:hAnsi="Times New Roman"/>
                <w:sz w:val="22"/>
                <w:szCs w:val="22"/>
              </w:rPr>
            </w:pPr>
            <w:r w:rsidRPr="006D0299">
              <w:rPr>
                <w:rFonts w:ascii="Times New Roman" w:hAnsi="Times New Roman"/>
                <w:sz w:val="22"/>
                <w:szCs w:val="22"/>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Gothic" w:hAnsi="Segoe UI Symbol" w:cs="Segoe UI Symbol" w:hint="default"/>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C838BA" w:rsidRPr="006D0299" w:rsidP="0060698B">
            <w:pPr>
              <w:bidi w:val="0"/>
              <w:ind w:right="-108"/>
              <w:rPr>
                <w:rFonts w:ascii="Times New Roman" w:hAnsi="Times New Roman"/>
                <w:b/>
                <w:sz w:val="22"/>
                <w:szCs w:val="22"/>
              </w:rPr>
            </w:pPr>
            <w:r w:rsidRPr="006D0299">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Gothic" w:hAnsi="Segoe UI Symbol" w:cs="Segoe UI Symbol" w:hint="default"/>
                <w:b/>
                <w:sz w:val="22"/>
                <w:szCs w:val="22"/>
              </w:rPr>
              <w:t>☐</w:t>
            </w:r>
          </w:p>
        </w:tc>
        <w:tc>
          <w:tcPr>
            <w:tcW w:w="1133" w:type="dxa"/>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C838BA" w:rsidRPr="006D0299" w:rsidP="0060698B">
            <w:pPr>
              <w:bidi w:val="0"/>
              <w:ind w:left="54"/>
              <w:rPr>
                <w:rFonts w:ascii="Times New Roman" w:hAnsi="Times New Roman"/>
                <w:b/>
                <w:sz w:val="22"/>
                <w:szCs w:val="22"/>
              </w:rPr>
            </w:pPr>
            <w:r w:rsidRPr="006D0299">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Mincho" w:hAnsi="Segoe UI Symbol" w:cs="Segoe UI Symbol" w:hint="default"/>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C838BA" w:rsidRPr="006D0299" w:rsidP="0060698B">
            <w:pPr>
              <w:bidi w:val="0"/>
              <w:ind w:right="-108"/>
              <w:rPr>
                <w:rFonts w:ascii="Times New Roman" w:hAnsi="Times New Roman"/>
                <w:sz w:val="22"/>
                <w:szCs w:val="22"/>
              </w:rPr>
            </w:pPr>
            <w:r w:rsidRPr="006D0299">
              <w:rPr>
                <w:rFonts w:ascii="Times New Roman" w:hAnsi="Times New Roman"/>
                <w:sz w:val="22"/>
                <w:szCs w:val="22"/>
              </w:rPr>
              <w:t>Pozitívne</w:t>
            </w:r>
          </w:p>
        </w:tc>
        <w:tc>
          <w:tcPr>
            <w:tcW w:w="569" w:type="dxa"/>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Gothic" w:hAnsi="Segoe UI Symbol" w:cs="Segoe UI Symbol" w:hint="default"/>
                <w:sz w:val="22"/>
                <w:szCs w:val="22"/>
              </w:rPr>
              <w:t>☒</w:t>
            </w:r>
          </w:p>
        </w:tc>
        <w:tc>
          <w:tcPr>
            <w:tcW w:w="1133" w:type="dxa"/>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sz w:val="22"/>
                <w:szCs w:val="22"/>
              </w:rPr>
            </w:pPr>
            <w:r w:rsidRPr="006D0299">
              <w:rPr>
                <w:rFonts w:ascii="Segoe UI Symbol" w:eastAsia="MS Mincho" w:hAnsi="Segoe UI Symbol" w:cs="Segoe UI Symbol" w:hint="default"/>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C838BA" w:rsidRPr="006D0299" w:rsidP="0060698B">
            <w:pPr>
              <w:bidi w:val="0"/>
              <w:ind w:left="54"/>
              <w:rPr>
                <w:rFonts w:ascii="Times New Roman" w:hAnsi="Times New Roman"/>
                <w:sz w:val="22"/>
                <w:szCs w:val="22"/>
              </w:rPr>
            </w:pPr>
            <w:r w:rsidRPr="006D0299">
              <w:rPr>
                <w:rFonts w:ascii="Times New Roman" w:hAnsi="Times New Roman"/>
                <w:sz w:val="22"/>
                <w:szCs w:val="22"/>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C838BA" w:rsidRPr="006D0299" w:rsidP="0060698B">
            <w:pPr>
              <w:bidi w:val="0"/>
              <w:ind w:right="-108"/>
              <w:rPr>
                <w:rFonts w:ascii="Times New Roman" w:hAnsi="Times New Roman"/>
                <w:b/>
                <w:sz w:val="22"/>
                <w:szCs w:val="22"/>
              </w:rPr>
            </w:pPr>
            <w:r w:rsidRPr="006D0299">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Gothic" w:hAnsi="Segoe UI Symbol" w:cs="Segoe UI Symbol" w:hint="default"/>
                <w:b/>
                <w:sz w:val="22"/>
                <w:szCs w:val="22"/>
              </w:rPr>
              <w:t>☒</w:t>
            </w:r>
          </w:p>
        </w:tc>
        <w:tc>
          <w:tcPr>
            <w:tcW w:w="1133" w:type="dxa"/>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C838BA" w:rsidRPr="006D0299" w:rsidP="0060698B">
            <w:pPr>
              <w:bidi w:val="0"/>
              <w:ind w:left="54"/>
              <w:rPr>
                <w:rFonts w:ascii="Times New Roman" w:hAnsi="Times New Roman"/>
                <w:b/>
                <w:sz w:val="22"/>
                <w:szCs w:val="22"/>
              </w:rPr>
            </w:pPr>
            <w:r w:rsidRPr="006D0299">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C838BA" w:rsidRPr="006D0299" w:rsidP="0060698B">
            <w:pPr>
              <w:bidi w:val="0"/>
              <w:ind w:right="-108"/>
              <w:rPr>
                <w:rFonts w:ascii="Times New Roman" w:hAnsi="Times New Roman"/>
                <w:b/>
                <w:sz w:val="22"/>
                <w:szCs w:val="22"/>
              </w:rPr>
            </w:pPr>
            <w:r w:rsidRPr="006D0299">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Gothic" w:hAnsi="Segoe UI Symbol" w:cs="Segoe UI Symbol" w:hint="default"/>
                <w:b/>
                <w:sz w:val="22"/>
                <w:szCs w:val="22"/>
              </w:rPr>
              <w:t>☒</w:t>
            </w:r>
          </w:p>
        </w:tc>
        <w:tc>
          <w:tcPr>
            <w:tcW w:w="1133" w:type="dxa"/>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C838BA" w:rsidRPr="006D0299" w:rsidP="0060698B">
            <w:pPr>
              <w:bidi w:val="0"/>
              <w:ind w:left="54"/>
              <w:rPr>
                <w:rFonts w:ascii="Times New Roman" w:hAnsi="Times New Roman"/>
                <w:b/>
                <w:sz w:val="22"/>
                <w:szCs w:val="22"/>
              </w:rPr>
            </w:pPr>
            <w:r w:rsidRPr="006D0299">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Gothic" w:hAnsi="Segoe UI Symbol" w:cs="Segoe UI Symbol" w:hint="default"/>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C838BA" w:rsidRPr="006D0299" w:rsidP="0060698B">
            <w:pPr>
              <w:bidi w:val="0"/>
              <w:ind w:right="-108"/>
              <w:rPr>
                <w:rFonts w:ascii="Times New Roman" w:hAnsi="Times New Roman"/>
                <w:b/>
                <w:sz w:val="22"/>
                <w:szCs w:val="22"/>
              </w:rPr>
            </w:pPr>
            <w:r w:rsidRPr="006D0299">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Gothic" w:hAnsi="Segoe UI Symbol" w:cs="Segoe UI Symbol" w:hint="default"/>
                <w:b/>
                <w:sz w:val="22"/>
                <w:szCs w:val="22"/>
              </w:rPr>
              <w:t>☒</w:t>
            </w:r>
          </w:p>
        </w:tc>
        <w:tc>
          <w:tcPr>
            <w:tcW w:w="1133" w:type="dxa"/>
            <w:tcBorders>
              <w:top w:val="single" w:sz="4" w:space="0" w:color="auto"/>
              <w:left w:val="nil"/>
              <w:bottom w:val="single" w:sz="4" w:space="0" w:color="auto"/>
              <w:right w:val="nil"/>
            </w:tcBorders>
            <w:textDirection w:val="lrTb"/>
            <w:vAlign w:val="top"/>
          </w:tcPr>
          <w:p w:rsidR="00C838BA" w:rsidRPr="006D0299" w:rsidP="0060698B">
            <w:pPr>
              <w:bidi w:val="0"/>
              <w:rPr>
                <w:rFonts w:ascii="Times New Roman" w:hAnsi="Times New Roman"/>
                <w:b/>
                <w:sz w:val="22"/>
                <w:szCs w:val="22"/>
              </w:rPr>
            </w:pPr>
            <w:r w:rsidRPr="006D0299">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C838BA" w:rsidRPr="006D0299" w:rsidP="0060698B">
            <w:pPr>
              <w:bidi w:val="0"/>
              <w:jc w:val="center"/>
              <w:rPr>
                <w:rFonts w:ascii="Times New Roman" w:hAnsi="Times New Roman"/>
                <w:b/>
                <w:sz w:val="22"/>
                <w:szCs w:val="22"/>
              </w:rPr>
            </w:pPr>
            <w:r w:rsidRPr="006D0299">
              <w:rPr>
                <w:rFonts w:ascii="Segoe UI Symbol" w:eastAsia="MS Mincho" w:hAnsi="Segoe UI Symbol" w:cs="Segoe UI Symbol" w:hint="default"/>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C838BA" w:rsidRPr="006D0299" w:rsidP="0060698B">
            <w:pPr>
              <w:bidi w:val="0"/>
              <w:ind w:left="54"/>
              <w:rPr>
                <w:rFonts w:ascii="Times New Roman" w:hAnsi="Times New Roman"/>
                <w:b/>
                <w:sz w:val="22"/>
                <w:szCs w:val="22"/>
              </w:rPr>
            </w:pPr>
            <w:r w:rsidRPr="006D0299">
              <w:rPr>
                <w:rFonts w:ascii="Times New Roman" w:hAnsi="Times New Roman"/>
                <w:b/>
                <w:sz w:val="22"/>
                <w:szCs w:val="22"/>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C838BA" w:rsidRPr="006D0299" w:rsidP="0060698B">
            <w:pPr>
              <w:bidi w:val="0"/>
              <w:spacing w:after="0" w:line="240" w:lineRule="auto"/>
              <w:rPr>
                <w:rFonts w:ascii="Times New Roman" w:hAnsi="Times New Roman"/>
                <w:b/>
              </w:rPr>
            </w:pPr>
            <w:r w:rsidRPr="006D0299">
              <w:rPr>
                <w:rFonts w:ascii="Times New Roman" w:hAnsi="Times New Roman"/>
                <w:b/>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C838BA" w:rsidRPr="006D0299" w:rsidP="0060698B">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C838BA" w:rsidRPr="006D0299" w:rsidP="0060698B">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C838BA" w:rsidRPr="006D0299" w:rsidP="0060698B">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C838BA" w:rsidRPr="006D0299" w:rsidP="0060698B">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C838BA" w:rsidRPr="006D0299" w:rsidP="0060698B">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C838BA" w:rsidRPr="006D0299" w:rsidP="0060698B">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C838BA" w:rsidRPr="006D0299" w:rsidP="0060698B">
            <w:pPr>
              <w:bidi w:val="0"/>
              <w:spacing w:after="0" w:line="240" w:lineRule="auto"/>
              <w:ind w:left="196" w:hanging="196"/>
              <w:rPr>
                <w:rFonts w:ascii="Times New Roman" w:hAnsi="Times New Roman"/>
                <w:b/>
                <w:lang w:eastAsia="en-US"/>
              </w:rPr>
            </w:pPr>
            <w:r w:rsidRPr="006D0299">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C838BA" w:rsidRPr="006D0299" w:rsidP="0060698B">
            <w:pPr>
              <w:bidi w:val="0"/>
              <w:spacing w:after="0" w:line="240" w:lineRule="auto"/>
              <w:jc w:val="center"/>
              <w:rPr>
                <w:rFonts w:ascii="Times New Roman" w:hAnsi="Times New Roman"/>
                <w:b/>
              </w:rPr>
            </w:pPr>
            <w:r w:rsidRPr="006D0299">
              <w:rPr>
                <w:rFonts w:ascii="Segoe UI Symbol" w:eastAsia="MS Gothic" w:hAnsi="Segoe UI Symbol" w:cs="Segoe UI Symbol" w:hint="default"/>
                <w:b/>
              </w:rPr>
              <w:t>☐</w:t>
            </w:r>
          </w:p>
        </w:tc>
        <w:tc>
          <w:tcPr>
            <w:tcW w:w="1281" w:type="dxa"/>
            <w:tcBorders>
              <w:top w:val="nil"/>
              <w:left w:val="nil"/>
              <w:bottom w:val="nil"/>
              <w:right w:val="nil"/>
            </w:tcBorders>
            <w:textDirection w:val="lrTb"/>
            <w:vAlign w:val="top"/>
          </w:tcPr>
          <w:p w:rsidR="00C838BA" w:rsidRPr="006D0299" w:rsidP="0060698B">
            <w:pPr>
              <w:bidi w:val="0"/>
              <w:spacing w:after="0" w:line="240" w:lineRule="auto"/>
              <w:ind w:right="-108"/>
              <w:rPr>
                <w:rFonts w:ascii="Times New Roman" w:hAnsi="Times New Roman"/>
                <w:b/>
              </w:rPr>
            </w:pPr>
            <w:r w:rsidRPr="006D0299">
              <w:rPr>
                <w:rFonts w:ascii="Times New Roman" w:hAnsi="Times New Roman"/>
                <w:b/>
              </w:rPr>
              <w:t>Pozitívne</w:t>
            </w:r>
          </w:p>
        </w:tc>
        <w:tc>
          <w:tcPr>
            <w:tcW w:w="569" w:type="dxa"/>
            <w:tcBorders>
              <w:top w:val="nil"/>
              <w:left w:val="nil"/>
              <w:bottom w:val="nil"/>
              <w:right w:val="nil"/>
            </w:tcBorders>
            <w:textDirection w:val="lrTb"/>
            <w:vAlign w:val="top"/>
          </w:tcPr>
          <w:p w:rsidR="00C838BA" w:rsidRPr="006D0299" w:rsidP="0060698B">
            <w:pPr>
              <w:bidi w:val="0"/>
              <w:spacing w:after="0" w:line="240" w:lineRule="auto"/>
              <w:jc w:val="center"/>
              <w:rPr>
                <w:rFonts w:ascii="Times New Roman" w:hAnsi="Times New Roman"/>
                <w:b/>
              </w:rPr>
            </w:pPr>
            <w:r w:rsidRPr="006D0299">
              <w:rPr>
                <w:rFonts w:ascii="Segoe UI Symbol" w:eastAsia="MS Gothic" w:hAnsi="Segoe UI Symbol" w:cs="Segoe UI Symbol" w:hint="default"/>
                <w:b/>
              </w:rPr>
              <w:t>☒</w:t>
            </w:r>
          </w:p>
        </w:tc>
        <w:tc>
          <w:tcPr>
            <w:tcW w:w="1133" w:type="dxa"/>
            <w:tcBorders>
              <w:top w:val="nil"/>
              <w:left w:val="nil"/>
              <w:bottom w:val="nil"/>
              <w:right w:val="nil"/>
            </w:tcBorders>
            <w:textDirection w:val="lrTb"/>
            <w:vAlign w:val="top"/>
          </w:tcPr>
          <w:p w:rsidR="00C838BA" w:rsidRPr="006D0299" w:rsidP="0060698B">
            <w:pPr>
              <w:bidi w:val="0"/>
              <w:spacing w:after="0" w:line="240" w:lineRule="auto"/>
              <w:rPr>
                <w:rFonts w:ascii="Times New Roman" w:hAnsi="Times New Roman"/>
                <w:b/>
              </w:rPr>
            </w:pPr>
            <w:r w:rsidRPr="006D0299">
              <w:rPr>
                <w:rFonts w:ascii="Times New Roman" w:hAnsi="Times New Roman"/>
                <w:b/>
              </w:rPr>
              <w:t>Žiadne</w:t>
            </w:r>
          </w:p>
        </w:tc>
        <w:tc>
          <w:tcPr>
            <w:tcW w:w="547" w:type="dxa"/>
            <w:tcBorders>
              <w:top w:val="nil"/>
              <w:left w:val="nil"/>
              <w:bottom w:val="nil"/>
              <w:right w:val="nil"/>
            </w:tcBorders>
            <w:textDirection w:val="lrTb"/>
            <w:vAlign w:val="top"/>
          </w:tcPr>
          <w:p w:rsidR="00C838BA" w:rsidRPr="006D0299" w:rsidP="0060698B">
            <w:pPr>
              <w:bidi w:val="0"/>
              <w:spacing w:after="0" w:line="240" w:lineRule="auto"/>
              <w:jc w:val="center"/>
              <w:rPr>
                <w:rFonts w:ascii="Times New Roman" w:hAnsi="Times New Roman"/>
                <w:b/>
              </w:rPr>
            </w:pPr>
            <w:r w:rsidRPr="006D0299">
              <w:rPr>
                <w:rFonts w:ascii="Segoe UI Symbol" w:eastAsia="MS Mincho" w:hAnsi="Segoe UI Symbol" w:cs="Segoe UI Symbol" w:hint="default"/>
                <w:b/>
              </w:rPr>
              <w:t>☐</w:t>
            </w:r>
          </w:p>
        </w:tc>
        <w:tc>
          <w:tcPr>
            <w:tcW w:w="1297" w:type="dxa"/>
            <w:tcBorders>
              <w:top w:val="nil"/>
              <w:left w:val="nil"/>
              <w:bottom w:val="nil"/>
              <w:right w:val="single" w:sz="4" w:space="0" w:color="auto"/>
            </w:tcBorders>
            <w:textDirection w:val="lrTb"/>
            <w:vAlign w:val="top"/>
          </w:tcPr>
          <w:p w:rsidR="00C838BA" w:rsidRPr="006D0299" w:rsidP="0060698B">
            <w:pPr>
              <w:bidi w:val="0"/>
              <w:spacing w:after="0" w:line="240" w:lineRule="auto"/>
              <w:ind w:left="54"/>
              <w:rPr>
                <w:rFonts w:ascii="Times New Roman" w:hAnsi="Times New Roman"/>
                <w:b/>
              </w:rPr>
            </w:pPr>
            <w:r w:rsidRPr="006D0299">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C838BA" w:rsidRPr="006D0299" w:rsidP="0060698B">
            <w:pPr>
              <w:bidi w:val="0"/>
              <w:spacing w:after="0" w:line="240" w:lineRule="auto"/>
              <w:ind w:left="168" w:hanging="168"/>
              <w:rPr>
                <w:rFonts w:ascii="Times New Roman" w:hAnsi="Times New Roman"/>
                <w:b/>
                <w:lang w:eastAsia="en-US"/>
              </w:rPr>
            </w:pPr>
            <w:r w:rsidRPr="006D0299">
              <w:rPr>
                <w:rFonts w:ascii="Times New Roman" w:hAnsi="Times New Roman"/>
                <w:b/>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C838BA" w:rsidRPr="006D0299" w:rsidP="0060698B">
            <w:pPr>
              <w:bidi w:val="0"/>
              <w:spacing w:after="0" w:line="240" w:lineRule="auto"/>
              <w:jc w:val="center"/>
              <w:rPr>
                <w:rFonts w:ascii="Times New Roman" w:hAnsi="Times New Roman"/>
                <w:b/>
              </w:rPr>
            </w:pPr>
            <w:r w:rsidRPr="006D0299">
              <w:rPr>
                <w:rFonts w:ascii="Segoe UI Symbol" w:eastAsia="MS Mincho" w:hAnsi="Segoe UI Symbol" w:cs="Segoe UI Symbol" w:hint="default"/>
                <w:b/>
              </w:rPr>
              <w:t>☐</w:t>
            </w:r>
          </w:p>
        </w:tc>
        <w:tc>
          <w:tcPr>
            <w:tcW w:w="1281" w:type="dxa"/>
            <w:tcBorders>
              <w:top w:val="nil"/>
              <w:left w:val="nil"/>
              <w:bottom w:val="single" w:sz="4" w:space="0" w:color="auto"/>
              <w:right w:val="nil"/>
            </w:tcBorders>
            <w:textDirection w:val="lrTb"/>
            <w:vAlign w:val="top"/>
          </w:tcPr>
          <w:p w:rsidR="00C838BA" w:rsidRPr="006D0299" w:rsidP="0060698B">
            <w:pPr>
              <w:bidi w:val="0"/>
              <w:spacing w:after="0" w:line="240" w:lineRule="auto"/>
              <w:ind w:right="-108"/>
              <w:rPr>
                <w:rFonts w:ascii="Times New Roman" w:hAnsi="Times New Roman"/>
                <w:b/>
              </w:rPr>
            </w:pPr>
            <w:r w:rsidRPr="006D0299">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C838BA" w:rsidRPr="006D0299" w:rsidP="0060698B">
            <w:pPr>
              <w:bidi w:val="0"/>
              <w:spacing w:after="0" w:line="240" w:lineRule="auto"/>
              <w:jc w:val="center"/>
              <w:rPr>
                <w:rFonts w:ascii="Times New Roman" w:hAnsi="Times New Roman"/>
                <w:b/>
              </w:rPr>
            </w:pPr>
            <w:r w:rsidRPr="006D0299">
              <w:rPr>
                <w:rFonts w:ascii="Segoe UI Symbol" w:eastAsia="MS Gothic" w:hAnsi="Segoe UI Symbol" w:cs="Segoe UI Symbol" w:hint="default"/>
                <w:b/>
              </w:rPr>
              <w:t>☒</w:t>
            </w:r>
          </w:p>
        </w:tc>
        <w:tc>
          <w:tcPr>
            <w:tcW w:w="1133" w:type="dxa"/>
            <w:tcBorders>
              <w:top w:val="nil"/>
              <w:left w:val="nil"/>
              <w:bottom w:val="single" w:sz="4" w:space="0" w:color="auto"/>
              <w:right w:val="nil"/>
            </w:tcBorders>
            <w:textDirection w:val="lrTb"/>
            <w:vAlign w:val="top"/>
          </w:tcPr>
          <w:p w:rsidR="00C838BA" w:rsidRPr="006D0299" w:rsidP="0060698B">
            <w:pPr>
              <w:bidi w:val="0"/>
              <w:spacing w:after="0" w:line="240" w:lineRule="auto"/>
              <w:rPr>
                <w:rFonts w:ascii="Times New Roman" w:hAnsi="Times New Roman"/>
                <w:b/>
              </w:rPr>
            </w:pPr>
            <w:r w:rsidRPr="006D0299">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C838BA" w:rsidRPr="006D0299" w:rsidP="0060698B">
            <w:pPr>
              <w:bidi w:val="0"/>
              <w:spacing w:after="0" w:line="240" w:lineRule="auto"/>
              <w:jc w:val="center"/>
              <w:rPr>
                <w:rFonts w:ascii="Times New Roman" w:hAnsi="Times New Roman"/>
                <w:b/>
              </w:rPr>
            </w:pPr>
            <w:r w:rsidRPr="006D0299">
              <w:rPr>
                <w:rFonts w:ascii="Segoe UI Symbol" w:eastAsia="MS Mincho" w:hAnsi="Segoe UI Symbol" w:cs="Segoe UI Symbol" w:hint="default"/>
                <w:b/>
              </w:rPr>
              <w:t>☐</w:t>
            </w:r>
          </w:p>
        </w:tc>
        <w:tc>
          <w:tcPr>
            <w:tcW w:w="1297" w:type="dxa"/>
            <w:tcBorders>
              <w:top w:val="nil"/>
              <w:left w:val="nil"/>
              <w:bottom w:val="single" w:sz="4" w:space="0" w:color="auto"/>
              <w:right w:val="single" w:sz="4" w:space="0" w:color="auto"/>
            </w:tcBorders>
            <w:textDirection w:val="lrTb"/>
            <w:vAlign w:val="top"/>
          </w:tcPr>
          <w:p w:rsidR="00C838BA" w:rsidRPr="006D0299" w:rsidP="0060698B">
            <w:pPr>
              <w:bidi w:val="0"/>
              <w:spacing w:after="0" w:line="240" w:lineRule="auto"/>
              <w:ind w:left="54"/>
              <w:rPr>
                <w:rFonts w:ascii="Times New Roman" w:hAnsi="Times New Roman"/>
                <w:b/>
              </w:rPr>
            </w:pPr>
            <w:r w:rsidRPr="006D0299">
              <w:rPr>
                <w:rFonts w:ascii="Times New Roman" w:hAnsi="Times New Roman"/>
                <w:b/>
              </w:rPr>
              <w:t>Negatívne</w:t>
            </w:r>
          </w:p>
        </w:tc>
      </w:tr>
    </w:tbl>
    <w:p w:rsidR="00C838BA" w:rsidRPr="006D0299" w:rsidP="00C838BA">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C838BA" w:rsidRPr="006D0299" w:rsidP="0060698B">
            <w:pPr>
              <w:bidi w:val="0"/>
              <w:rPr>
                <w:rFonts w:ascii="Times New Roman" w:hAnsi="Times New Roman"/>
                <w:i/>
                <w:sz w:val="22"/>
                <w:szCs w:val="22"/>
              </w:rPr>
            </w:pPr>
            <w:r w:rsidRPr="006D0299">
              <w:rPr>
                <w:rFonts w:ascii="Times New Roman" w:hAnsi="Times New Roman"/>
                <w:i/>
                <w:sz w:val="22"/>
                <w:szCs w:val="22"/>
              </w:rPr>
              <w:t>V prípade potreby uveďte doplňujúce informácie k návrhu.</w:t>
            </w:r>
          </w:p>
          <w:p w:rsidR="00C838BA" w:rsidRPr="006D0299" w:rsidP="0060698B">
            <w:pPr>
              <w:bidi w:val="0"/>
              <w:rPr>
                <w:rFonts w:ascii="Times New Roman" w:hAnsi="Times New Roman"/>
                <w:i/>
                <w:sz w:val="22"/>
                <w:szCs w:val="22"/>
              </w:rPr>
            </w:pPr>
          </w:p>
          <w:p w:rsidR="00C838BA" w:rsidRPr="006D0299" w:rsidP="0060698B">
            <w:pPr>
              <w:numPr>
                <w:numId w:val="4"/>
              </w:numPr>
              <w:bidi w:val="0"/>
              <w:spacing w:after="200" w:line="276" w:lineRule="auto"/>
              <w:contextualSpacing/>
              <w:jc w:val="both"/>
              <w:rPr>
                <w:rFonts w:ascii="Times New Roman" w:hAnsi="Times New Roman"/>
                <w:color w:themeColor="tx1" w:themeShade="FF"/>
                <w:sz w:val="22"/>
                <w:szCs w:val="22"/>
                <w:lang w:eastAsia="en-US"/>
              </w:rPr>
            </w:pPr>
            <w:r w:rsidRPr="006D0299">
              <w:rPr>
                <w:rFonts w:ascii="Times New Roman" w:hAnsi="Times New Roman"/>
                <w:color w:themeColor="tx1" w:themeShade="FF"/>
                <w:sz w:val="22"/>
                <w:szCs w:val="22"/>
                <w:lang w:eastAsia="en-US"/>
              </w:rPr>
              <w:t>Úprava kompetencií PMÚ nemá vplyv na rozpočet PMÚ ani vplyv na verejné financie.</w:t>
            </w:r>
          </w:p>
          <w:p w:rsidR="00C838BA" w:rsidRPr="006D0299" w:rsidP="0060698B">
            <w:pPr>
              <w:widowControl w:val="0"/>
              <w:bidi w:val="0"/>
              <w:jc w:val="both"/>
              <w:rPr>
                <w:rFonts w:ascii="Times New Roman" w:hAnsi="Times New Roman"/>
                <w:sz w:val="22"/>
                <w:szCs w:val="22"/>
                <w:lang w:eastAsia="en-US"/>
              </w:rPr>
            </w:pPr>
          </w:p>
          <w:p w:rsidR="00C838BA" w:rsidRPr="006D0299" w:rsidP="0060698B">
            <w:pPr>
              <w:numPr>
                <w:numId w:val="4"/>
              </w:numPr>
              <w:bidi w:val="0"/>
              <w:spacing w:after="200" w:line="276" w:lineRule="auto"/>
              <w:contextualSpacing/>
              <w:jc w:val="both"/>
              <w:rPr>
                <w:rFonts w:ascii="Times New Roman" w:hAnsi="Times New Roman"/>
                <w:sz w:val="22"/>
                <w:szCs w:val="22"/>
              </w:rPr>
            </w:pPr>
            <w:r w:rsidRPr="006D0299">
              <w:rPr>
                <w:rFonts w:ascii="Times New Roman" w:hAnsi="Times New Roman"/>
                <w:bCs/>
                <w:sz w:val="22"/>
                <w:szCs w:val="22"/>
                <w:lang w:eastAsia="en-US"/>
              </w:rPr>
              <w:t>Konzultácie s podnikateľskými subjektmi, k návrhu zákona,</w:t>
            </w:r>
            <w:r w:rsidRPr="006D0299">
              <w:rPr>
                <w:rFonts w:ascii="Times New Roman" w:hAnsi="Times New Roman"/>
                <w:sz w:val="22"/>
                <w:szCs w:val="22"/>
                <w:lang w:eastAsia="en-US"/>
              </w:rPr>
              <w:t xml:space="preserve"> ktorým </w:t>
            </w:r>
            <w:r w:rsidRPr="006D0299">
              <w:rPr>
                <w:rFonts w:ascii="Times New Roman" w:hAnsi="Times New Roman"/>
                <w:bCs/>
                <w:sz w:val="22"/>
                <w:szCs w:val="22"/>
                <w:lang w:eastAsia="en-US"/>
              </w:rPr>
              <w:t xml:space="preserve">sa mení a dopĺňa </w:t>
            </w:r>
            <w:r w:rsidRPr="006D0299">
              <w:rPr>
                <w:rFonts w:ascii="Times New Roman" w:hAnsi="Times New Roman"/>
                <w:sz w:val="22"/>
                <w:szCs w:val="22"/>
                <w:lang w:eastAsia="en-US"/>
              </w:rPr>
              <w:t xml:space="preserve">zákon č. 371/2014 Z. z. o riešení krízových situácií na finančnom trhu a o zmene a doplnení niektorých zákonov v znení neskorších predpisov, a ktorým sa menia a dopĺňajú niektoré zákony („návrh zákona“), </w:t>
            </w:r>
            <w:r w:rsidRPr="006D0299">
              <w:rPr>
                <w:rFonts w:ascii="Times New Roman" w:hAnsi="Times New Roman"/>
                <w:bCs/>
                <w:sz w:val="22"/>
                <w:szCs w:val="22"/>
                <w:lang w:eastAsia="en-US"/>
              </w:rPr>
              <w:t xml:space="preserve">ktorí prejavili záujem (Asociácia priemyselných zväzov) sa neuskutočnilo, vzhľadom na nedostatok času pre obdržanie pripomienok k návrhu zákona od členských subjektov z priemyselnej a výrobnej praxe. </w:t>
            </w:r>
            <w:r w:rsidRPr="006D0299">
              <w:rPr>
                <w:rFonts w:ascii="Times New Roman" w:hAnsi="Times New Roman"/>
                <w:sz w:val="22"/>
                <w:szCs w:val="22"/>
                <w:lang w:eastAsia="en-US"/>
              </w:rPr>
              <w:t xml:space="preserve">Pôsobiaci experti na dotknutú oblasť nemajú reálnu možnosť predložený návrh zákona preštudovať a podnetne komentovať v určených lehotách a termínoch procesov orgánov štátnej správy. Sú to odborníci, ktorí sa legislatívnemu procesu venujú popri výkone svojej profesie a realita výrobnej priemyselnej praxe neumožňuje prispôsobovať sa operatívnym termínom legislatívneho procesu orgánov štátnej správy. </w:t>
            </w:r>
            <w:r w:rsidRPr="006D0299">
              <w:rPr>
                <w:rFonts w:ascii="Times New Roman" w:hAnsi="Times New Roman"/>
                <w:bCs/>
                <w:sz w:val="22"/>
                <w:szCs w:val="22"/>
                <w:lang w:eastAsia="en-US"/>
              </w:rPr>
              <w:t xml:space="preserve">Z tohto dôvodu boli predmetné konzultácie uzatvorené bez pripomienok a akýchkoľvek vonkajších vstupov. </w:t>
            </w:r>
          </w:p>
          <w:p w:rsidR="00C838BA" w:rsidRPr="006D0299" w:rsidP="0060698B">
            <w:pPr>
              <w:bidi w:val="0"/>
              <w:rPr>
                <w:rFonts w:ascii="Times New Roman" w:hAnsi="Times New Roman"/>
                <w:bCs/>
                <w:sz w:val="22"/>
                <w:szCs w:val="22"/>
              </w:rPr>
            </w:pPr>
          </w:p>
          <w:p w:rsidR="00C838BA" w:rsidRPr="006D0299" w:rsidP="0060698B">
            <w:pPr>
              <w:numPr>
                <w:numId w:val="4"/>
              </w:numPr>
              <w:bidi w:val="0"/>
              <w:spacing w:after="200" w:line="276" w:lineRule="auto"/>
              <w:contextualSpacing/>
              <w:jc w:val="both"/>
              <w:rPr>
                <w:rFonts w:ascii="Times New Roman" w:hAnsi="Times New Roman"/>
                <w:sz w:val="22"/>
                <w:szCs w:val="22"/>
              </w:rPr>
            </w:pPr>
            <w:r w:rsidRPr="006D0299">
              <w:rPr>
                <w:rFonts w:ascii="Times New Roman" w:hAnsi="Times New Roman"/>
                <w:bCs/>
                <w:sz w:val="22"/>
                <w:szCs w:val="22"/>
                <w:lang w:eastAsia="en-US"/>
              </w:rPr>
              <w:t>N</w:t>
            </w:r>
            <w:r w:rsidRPr="006D0299">
              <w:rPr>
                <w:rFonts w:ascii="Times New Roman" w:hAnsi="Times New Roman"/>
                <w:bCs/>
                <w:sz w:val="22"/>
                <w:szCs w:val="22"/>
              </w:rPr>
              <w:t xml:space="preserve">ávrh zákona bude mať predpokladané všeobecné vplyvy na podnikateľské prostredie, a to najmä na </w:t>
            </w:r>
          </w:p>
          <w:p w:rsidR="00C838BA" w:rsidRPr="006D0299" w:rsidP="0060698B">
            <w:pPr>
              <w:bidi w:val="0"/>
              <w:jc w:val="both"/>
              <w:rPr>
                <w:rFonts w:ascii="Times New Roman" w:hAnsi="Times New Roman"/>
                <w:sz w:val="22"/>
                <w:szCs w:val="22"/>
              </w:rPr>
            </w:pPr>
            <w:r w:rsidRPr="006D0299">
              <w:rPr>
                <w:rFonts w:ascii="Times New Roman" w:hAnsi="Times New Roman"/>
                <w:sz w:val="22"/>
                <w:szCs w:val="22"/>
              </w:rPr>
              <w:t>tuzemské a zahraničné banky a pobočky zahraničných bánk a vybraných obchodníkov s cennými papiermi:</w:t>
            </w:r>
          </w:p>
          <w:p w:rsidR="00C838BA" w:rsidRPr="006D0299" w:rsidP="0060698B">
            <w:pPr>
              <w:bidi w:val="0"/>
              <w:jc w:val="both"/>
              <w:rPr>
                <w:rFonts w:ascii="Times New Roman" w:hAnsi="Times New Roman"/>
                <w:sz w:val="22"/>
                <w:szCs w:val="22"/>
              </w:rPr>
            </w:pPr>
          </w:p>
          <w:p w:rsidR="00C838BA" w:rsidRPr="006D0299" w:rsidP="0060698B">
            <w:pPr>
              <w:widowControl w:val="0"/>
              <w:numPr>
                <w:numId w:val="3"/>
              </w:numPr>
              <w:bidi w:val="0"/>
              <w:contextualSpacing/>
              <w:jc w:val="both"/>
              <w:rPr>
                <w:rFonts w:ascii="Times New Roman" w:hAnsi="Times New Roman"/>
                <w:sz w:val="22"/>
                <w:szCs w:val="22"/>
              </w:rPr>
            </w:pPr>
            <w:r w:rsidRPr="006D0299">
              <w:rPr>
                <w:rFonts w:ascii="Times New Roman" w:hAnsi="Times New Roman"/>
                <w:sz w:val="22"/>
                <w:szCs w:val="22"/>
              </w:rPr>
              <w:t>novelou zákona č. 371/2014 Z.z. o riešení krízových situácií sa nezavádzajú poplatkové alebo administratívne povinnosti účastníkov finančného trhu, a tým sa nezvyšuje administratívne zaťaženie úverových inštitúcií,</w:t>
            </w:r>
          </w:p>
          <w:p w:rsidR="00C838BA" w:rsidRPr="006D0299" w:rsidP="0060698B">
            <w:pPr>
              <w:widowControl w:val="0"/>
              <w:bidi w:val="0"/>
              <w:jc w:val="both"/>
              <w:rPr>
                <w:rFonts w:ascii="Times New Roman" w:hAnsi="Times New Roman"/>
                <w:sz w:val="22"/>
                <w:szCs w:val="22"/>
              </w:rPr>
            </w:pPr>
          </w:p>
          <w:p w:rsidR="00C838BA" w:rsidRPr="006D0299" w:rsidP="0060698B">
            <w:pPr>
              <w:widowControl w:val="0"/>
              <w:numPr>
                <w:numId w:val="3"/>
              </w:numPr>
              <w:bidi w:val="0"/>
              <w:contextualSpacing/>
              <w:jc w:val="both"/>
              <w:rPr>
                <w:rFonts w:ascii="Times New Roman" w:hAnsi="Times New Roman"/>
                <w:sz w:val="22"/>
                <w:szCs w:val="22"/>
              </w:rPr>
            </w:pPr>
            <w:r w:rsidRPr="006D0299">
              <w:rPr>
                <w:rFonts w:ascii="Times New Roman" w:hAnsi="Times New Roman"/>
                <w:sz w:val="22"/>
                <w:szCs w:val="22"/>
              </w:rPr>
              <w:t>novelou zákona č. 371/2014 Z.z. o riešení krízových situácií sa rušia vládne stabilizačné opatrenia na pomoc bankám v krízovej situácii,</w:t>
            </w:r>
          </w:p>
          <w:p w:rsidR="00C838BA" w:rsidRPr="006D0299" w:rsidP="0060698B">
            <w:pPr>
              <w:widowControl w:val="0"/>
              <w:bidi w:val="0"/>
              <w:jc w:val="both"/>
              <w:rPr>
                <w:rFonts w:ascii="Times New Roman" w:hAnsi="Times New Roman"/>
                <w:sz w:val="22"/>
                <w:szCs w:val="22"/>
              </w:rPr>
            </w:pPr>
          </w:p>
          <w:p w:rsidR="00C838BA" w:rsidRPr="006D0299" w:rsidP="0060698B">
            <w:pPr>
              <w:widowControl w:val="0"/>
              <w:numPr>
                <w:numId w:val="3"/>
              </w:numPr>
              <w:bidi w:val="0"/>
              <w:contextualSpacing/>
              <w:jc w:val="both"/>
              <w:rPr>
                <w:rFonts w:ascii="Times New Roman" w:hAnsi="Times New Roman"/>
                <w:sz w:val="22"/>
                <w:szCs w:val="22"/>
              </w:rPr>
            </w:pPr>
            <w:r w:rsidRPr="006D0299">
              <w:rPr>
                <w:rFonts w:ascii="Times New Roman" w:hAnsi="Times New Roman"/>
                <w:sz w:val="22"/>
                <w:szCs w:val="22"/>
              </w:rPr>
              <w:t>zavádza sa preklenovacie financovanie riešenia krízových situácií, ktoré jednoduchším spôsobom sprístupňuje dodatočné financovanie riešenia krízovej situácie úverových inštitúcií na bankovom trhu Slovenskej republiky, a tým prispieva k väčšej stabilite bankového sektora Slovenskej republiky a nezvyšuje administratívne zaťaženie úverových inštitúcií.</w:t>
            </w:r>
          </w:p>
          <w:p w:rsidR="00C838BA" w:rsidRPr="006D0299" w:rsidP="0060698B">
            <w:pPr>
              <w:widowControl w:val="0"/>
              <w:bidi w:val="0"/>
              <w:jc w:val="both"/>
              <w:rPr>
                <w:rFonts w:ascii="Times New Roman" w:hAnsi="Times New Roman"/>
                <w:sz w:val="22"/>
                <w:szCs w:val="22"/>
              </w:rPr>
            </w:pPr>
          </w:p>
          <w:p w:rsidR="00C838BA" w:rsidRPr="006D0299" w:rsidP="0060698B">
            <w:pPr>
              <w:bidi w:val="0"/>
              <w:spacing w:before="120"/>
              <w:jc w:val="both"/>
              <w:rPr>
                <w:rFonts w:ascii="Times New Roman" w:hAnsi="Times New Roman"/>
                <w:b/>
                <w:sz w:val="22"/>
                <w:szCs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sz w:val="22"/>
                <w:szCs w:val="22"/>
              </w:rPr>
            </w:pPr>
            <w:r w:rsidRPr="006D0299">
              <w:rPr>
                <w:rFonts w:ascii="Times New Roman" w:hAnsi="Times New Roman"/>
                <w:sz w:val="22"/>
                <w:szCs w:val="22"/>
              </w:rPr>
              <w:t xml:space="preserve">Ing. Lucia Ciráková, </w:t>
            </w:r>
          </w:p>
          <w:p w:rsidR="00C838BA" w:rsidRPr="006D0299" w:rsidP="0060698B">
            <w:pPr>
              <w:bidi w:val="0"/>
              <w:rPr>
                <w:rFonts w:ascii="Times New Roman" w:hAnsi="Times New Roman"/>
                <w:i/>
                <w:sz w:val="22"/>
                <w:szCs w:val="22"/>
              </w:rPr>
            </w:pPr>
            <w:hyperlink r:id="rId4" w:history="1">
              <w:r w:rsidRPr="006D0299">
                <w:rPr>
                  <w:rStyle w:val="Hyperlink"/>
                  <w:rFonts w:ascii="Times New Roman" w:hAnsi="Times New Roman"/>
                  <w:sz w:val="22"/>
                  <w:szCs w:val="22"/>
                </w:rPr>
                <w:t>lucia.cirakova@mfsr.sk</w:t>
              </w:r>
            </w:hyperlink>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i/>
                <w:sz w:val="22"/>
                <w:szCs w:val="22"/>
              </w:rPr>
            </w:pPr>
            <w:r w:rsidRPr="006D0299">
              <w:rPr>
                <w:rFonts w:ascii="Times New Roman" w:hAnsi="Times New Roman"/>
                <w:i/>
                <w:sz w:val="22"/>
                <w:szCs w:val="22"/>
              </w:rPr>
              <w:t>Uveďte zdroje (štatistiky, prieskumy, spoluprácu s odborníkmi a iné), z ktorých ste pri vypracovávaní doložky, príp. analýz vplyvov vychádzali.</w:t>
            </w:r>
          </w:p>
          <w:p w:rsidR="00C838BA" w:rsidRPr="006D0299" w:rsidP="0060698B">
            <w:pPr>
              <w:bidi w:val="0"/>
              <w:rPr>
                <w:rFonts w:ascii="Times New Roman" w:hAnsi="Times New Roman"/>
                <w:i/>
                <w:sz w:val="22"/>
                <w:szCs w:val="22"/>
              </w:rPr>
            </w:pPr>
          </w:p>
          <w:p w:rsidR="00C838BA" w:rsidRPr="006D0299" w:rsidP="0060698B">
            <w:pPr>
              <w:bidi w:val="0"/>
              <w:rPr>
                <w:rFonts w:ascii="Times New Roman" w:hAnsi="Times New Roman"/>
                <w:b/>
                <w:sz w:val="22"/>
                <w:szCs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838BA" w:rsidRPr="006D0299" w:rsidP="0060698B">
            <w:pPr>
              <w:pStyle w:val="ListParagraph"/>
              <w:numPr>
                <w:numId w:val="1"/>
              </w:numPr>
              <w:bidi w:val="0"/>
              <w:spacing w:after="0" w:line="240" w:lineRule="auto"/>
              <w:ind w:left="426"/>
              <w:rPr>
                <w:rFonts w:ascii="Times New Roman" w:hAnsi="Times New Roman"/>
                <w:b/>
                <w:sz w:val="24"/>
                <w:szCs w:val="24"/>
              </w:rPr>
            </w:pPr>
            <w:r w:rsidRPr="006D0299">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838BA" w:rsidRPr="006D0299" w:rsidP="0060698B">
            <w:pPr>
              <w:bidi w:val="0"/>
              <w:rPr>
                <w:rFonts w:ascii="Times New Roman" w:hAnsi="Times New Roman"/>
                <w:i/>
                <w:sz w:val="22"/>
                <w:szCs w:val="22"/>
              </w:rPr>
            </w:pPr>
            <w:r w:rsidRPr="006D0299">
              <w:rPr>
                <w:rFonts w:ascii="Times New Roman" w:hAnsi="Times New Roman"/>
                <w:i/>
                <w:sz w:val="22"/>
                <w:szCs w:val="22"/>
              </w:rPr>
              <w:t>Uveďte stanovisko Komisie pre posudzovanie vybraných vplyvov, ktoré Vám bolo zaslané v rámci predbežného pripomienkového konania</w:t>
            </w:r>
          </w:p>
          <w:p w:rsidR="00C838BA" w:rsidRPr="006D0299" w:rsidP="0060698B">
            <w:pPr>
              <w:bidi w:val="0"/>
              <w:rPr>
                <w:rFonts w:ascii="Times New Roman" w:hAnsi="Times New Roman"/>
                <w:b/>
                <w:sz w:val="22"/>
                <w:szCs w:val="22"/>
              </w:rPr>
            </w:pPr>
          </w:p>
          <w:p w:rsidR="00C838BA" w:rsidRPr="006D0299" w:rsidP="0060698B">
            <w:pPr>
              <w:tabs>
                <w:tab w:val="center" w:pos="6379"/>
              </w:tabs>
              <w:bidi w:val="0"/>
              <w:ind w:right="-2"/>
              <w:jc w:val="both"/>
              <w:rPr>
                <w:rFonts w:ascii="Times New Roman" w:hAnsi="Times New Roman"/>
                <w:bCs/>
                <w:color w:themeColor="tx1" w:themeShade="FF"/>
                <w:sz w:val="22"/>
                <w:szCs w:val="22"/>
                <w:lang w:eastAsia="ar-SA"/>
              </w:rPr>
            </w:pPr>
            <w:r w:rsidRPr="006D0299">
              <w:rPr>
                <w:rFonts w:ascii="Times New Roman" w:hAnsi="Times New Roman"/>
                <w:bCs/>
                <w:color w:themeColor="tx1" w:themeShade="FF"/>
                <w:sz w:val="22"/>
                <w:szCs w:val="22"/>
                <w:lang w:eastAsia="ar-SA"/>
              </w:rPr>
              <w:t xml:space="preserve">Stála pracovná komisia na posudzovanie vybraných vplyvov vyjadrila </w:t>
            </w:r>
            <w:r w:rsidRPr="006D0299">
              <w:rPr>
                <w:rFonts w:ascii="Times New Roman" w:hAnsi="Times New Roman"/>
                <w:b/>
                <w:bCs/>
                <w:color w:themeColor="tx1" w:themeShade="FF"/>
                <w:sz w:val="22"/>
                <w:szCs w:val="22"/>
                <w:lang w:eastAsia="ar-SA"/>
              </w:rPr>
              <w:t>súhlasné stanovisko</w:t>
            </w:r>
            <w:r w:rsidRPr="006D0299">
              <w:rPr>
                <w:rFonts w:ascii="Times New Roman" w:hAnsi="Times New Roman"/>
                <w:bCs/>
                <w:color w:themeColor="tx1" w:themeShade="FF"/>
                <w:sz w:val="22"/>
                <w:szCs w:val="22"/>
                <w:lang w:eastAsia="ar-SA"/>
              </w:rPr>
              <w:t xml:space="preserve"> s materiálom predloženým na predbežné pripomienkové konanie a neuplatnila k materiálu žiadne pripomienky a odporúčania.</w:t>
            </w:r>
          </w:p>
          <w:p w:rsidR="00C838BA" w:rsidRPr="006D0299" w:rsidP="0060698B">
            <w:pPr>
              <w:tabs>
                <w:tab w:val="center" w:pos="6379"/>
              </w:tabs>
              <w:bidi w:val="0"/>
              <w:ind w:right="-2"/>
              <w:jc w:val="both"/>
              <w:rPr>
                <w:rFonts w:ascii="Times New Roman" w:hAnsi="Times New Roman"/>
                <w:bCs/>
                <w:color w:themeColor="tx1" w:themeShade="FF"/>
                <w:sz w:val="22"/>
                <w:szCs w:val="22"/>
                <w:lang w:eastAsia="ar-SA"/>
              </w:rPr>
            </w:pPr>
          </w:p>
          <w:p w:rsidR="00C838BA" w:rsidRPr="006D0299" w:rsidP="0060698B">
            <w:pPr>
              <w:tabs>
                <w:tab w:val="center" w:pos="6379"/>
              </w:tabs>
              <w:suppressAutoHyphens/>
              <w:bidi w:val="0"/>
              <w:spacing w:line="100" w:lineRule="atLeast"/>
              <w:ind w:right="-2"/>
              <w:jc w:val="both"/>
              <w:rPr>
                <w:rFonts w:ascii="Times New Roman" w:hAnsi="Times New Roman"/>
                <w:bCs/>
                <w:color w:themeColor="tx1" w:themeShade="FF"/>
                <w:sz w:val="22"/>
                <w:szCs w:val="22"/>
                <w:lang w:eastAsia="ar-SA"/>
              </w:rPr>
            </w:pPr>
          </w:p>
          <w:p w:rsidR="00C838BA" w:rsidRPr="006D0299" w:rsidP="0060698B">
            <w:pPr>
              <w:bidi w:val="0"/>
              <w:rPr>
                <w:rFonts w:ascii="Times New Roman" w:hAnsi="Times New Roman"/>
                <w:b/>
                <w:sz w:val="22"/>
                <w:szCs w:val="22"/>
              </w:rPr>
            </w:pPr>
          </w:p>
          <w:p w:rsidR="00C838BA" w:rsidRPr="006D0299" w:rsidP="0060698B">
            <w:pPr>
              <w:bidi w:val="0"/>
              <w:rPr>
                <w:rFonts w:ascii="Times New Roman" w:hAnsi="Times New Roman"/>
                <w:b/>
                <w:sz w:val="22"/>
                <w:szCs w:val="22"/>
              </w:rPr>
            </w:pPr>
          </w:p>
        </w:tc>
      </w:tr>
    </w:tbl>
    <w:p w:rsidR="00C838BA" w:rsidRPr="006D0299" w:rsidP="00C838BA">
      <w:pPr>
        <w:bidi w:val="0"/>
        <w:rPr>
          <w:rFonts w:ascii="Times New Roman" w:hAnsi="Times New Roman"/>
          <w:b/>
        </w:rPr>
      </w:pPr>
    </w:p>
    <w:p w:rsidR="00C838BA" w:rsidRPr="006D0299" w:rsidP="00C838BA">
      <w:pPr>
        <w:bidi w:val="0"/>
        <w:rPr>
          <w:rFonts w:ascii="Times New Roman" w:hAnsi="Times New Roman"/>
          <w:b/>
        </w:rPr>
      </w:pPr>
    </w:p>
    <w:p w:rsidR="00C838BA" w:rsidRPr="006D0299" w:rsidP="00C838BA">
      <w:pPr>
        <w:bidi w:val="0"/>
        <w:rPr>
          <w:rFonts w:ascii="Times New Roman" w:hAnsi="Times New Roman"/>
        </w:rPr>
      </w:pPr>
    </w:p>
    <w:p w:rsidR="00233B13" w:rsidRPr="006D0299">
      <w:pPr>
        <w:bidi w:val="0"/>
        <w:rPr>
          <w:rFonts w:ascii="Times New Roman" w:hAnsi="Times New Roman"/>
        </w:rPr>
      </w:pPr>
    </w:p>
    <w:p w:rsidR="00B12274" w:rsidRPr="006D0299">
      <w:pPr>
        <w:bidi w:val="0"/>
        <w:rPr>
          <w:rFonts w:ascii="Times New Roman" w:hAnsi="Times New Roman"/>
        </w:rPr>
      </w:pPr>
    </w:p>
    <w:p w:rsidR="00B12274" w:rsidRPr="006D0299">
      <w:pPr>
        <w:bidi w:val="0"/>
        <w:rPr>
          <w:rFonts w:ascii="Times New Roman" w:hAnsi="Times New Roman"/>
        </w:rPr>
      </w:pPr>
    </w:p>
    <w:p w:rsidR="00B12274" w:rsidRPr="006D0299">
      <w:pPr>
        <w:bidi w:val="0"/>
        <w:rPr>
          <w:rFonts w:ascii="Times New Roman" w:hAnsi="Times New Roman"/>
        </w:rPr>
      </w:pPr>
    </w:p>
    <w:p w:rsidR="00B12274" w:rsidRPr="006D0299">
      <w:pPr>
        <w:bidi w:val="0"/>
        <w:rPr>
          <w:rFonts w:ascii="Times New Roman" w:hAnsi="Times New Roman"/>
        </w:rPr>
      </w:pPr>
    </w:p>
    <w:p w:rsidR="00B12274" w:rsidRPr="006D0299" w:rsidP="00B12274">
      <w:pPr>
        <w:pStyle w:val="Title"/>
        <w:bidi w:val="0"/>
        <w:rPr>
          <w:rFonts w:ascii="Times New Roman" w:hAnsi="Times New Roman"/>
        </w:rPr>
      </w:pPr>
    </w:p>
    <w:p w:rsidR="00B12274" w:rsidRPr="006D0299" w:rsidP="00B12274">
      <w:pPr>
        <w:pStyle w:val="Title"/>
        <w:bidi w:val="0"/>
        <w:rPr>
          <w:rFonts w:ascii="Times New Roman" w:hAnsi="Times New Roman"/>
        </w:rPr>
      </w:pPr>
    </w:p>
    <w:p w:rsidR="00B12274" w:rsidRPr="006D0299" w:rsidP="00B12274">
      <w:pPr>
        <w:pStyle w:val="Title"/>
        <w:bidi w:val="0"/>
        <w:rPr>
          <w:rFonts w:ascii="Times New Roman" w:hAnsi="Times New Roman"/>
        </w:rPr>
      </w:pPr>
    </w:p>
    <w:p w:rsidR="00B12274" w:rsidRPr="006D0299" w:rsidP="00B12274">
      <w:pPr>
        <w:pStyle w:val="Title"/>
        <w:bidi w:val="0"/>
        <w:rPr>
          <w:rFonts w:ascii="Times New Roman" w:hAnsi="Times New Roman"/>
        </w:rPr>
      </w:pPr>
    </w:p>
    <w:p w:rsidR="00644B1B" w:rsidRPr="006D0299" w:rsidP="00644B1B">
      <w:pPr>
        <w:pStyle w:val="Title"/>
        <w:bidi w:val="0"/>
        <w:jc w:val="left"/>
        <w:rPr>
          <w:rFonts w:ascii="Times New Roman" w:hAnsi="Times New Roman"/>
        </w:rPr>
      </w:pPr>
    </w:p>
    <w:p w:rsidR="006D0299" w:rsidP="00644B1B">
      <w:pPr>
        <w:pStyle w:val="Title"/>
        <w:bidi w:val="0"/>
        <w:rPr>
          <w:rFonts w:ascii="Times New Roman" w:hAnsi="Times New Roman"/>
        </w:rPr>
      </w:pPr>
    </w:p>
    <w:p w:rsidR="006D0299" w:rsidP="00644B1B">
      <w:pPr>
        <w:pStyle w:val="Title"/>
        <w:bidi w:val="0"/>
        <w:rPr>
          <w:rFonts w:ascii="Times New Roman" w:hAnsi="Times New Roman"/>
        </w:rPr>
      </w:pPr>
    </w:p>
    <w:p w:rsidR="006D0299" w:rsidP="00644B1B">
      <w:pPr>
        <w:pStyle w:val="Title"/>
        <w:bidi w:val="0"/>
        <w:rPr>
          <w:rFonts w:ascii="Times New Roman" w:hAnsi="Times New Roman"/>
        </w:rPr>
      </w:pPr>
    </w:p>
    <w:p w:rsidR="00B12274" w:rsidRPr="006D0299" w:rsidP="00644B1B">
      <w:pPr>
        <w:pStyle w:val="Title"/>
        <w:bidi w:val="0"/>
        <w:rPr>
          <w:rFonts w:ascii="Times New Roman" w:hAnsi="Times New Roman"/>
        </w:rPr>
      </w:pPr>
      <w:r w:rsidRPr="006D0299">
        <w:rPr>
          <w:rFonts w:ascii="Times New Roman" w:hAnsi="Times New Roman"/>
        </w:rPr>
        <w:t>DOLOŽKA ZLUČITEĽNOSTI</w:t>
      </w:r>
    </w:p>
    <w:p w:rsidR="00B12274" w:rsidRPr="006D0299" w:rsidP="00644B1B">
      <w:pPr>
        <w:pBdr>
          <w:bottom w:val="single" w:sz="4" w:space="1" w:color="auto"/>
        </w:pBdr>
        <w:bidi w:val="0"/>
        <w:jc w:val="center"/>
        <w:rPr>
          <w:rFonts w:ascii="Times New Roman" w:hAnsi="Times New Roman"/>
          <w:b/>
          <w:bCs/>
        </w:rPr>
      </w:pPr>
      <w:r w:rsidRPr="006D0299">
        <w:rPr>
          <w:rFonts w:ascii="Times New Roman" w:hAnsi="Times New Roman"/>
          <w:b/>
        </w:rPr>
        <w:t>návrh zákona, ktorým sa mení a dopĺňa zákon  č. 371/2014 Z. z. o riešení krízových situácií na finančnom trhu a o zmene a doplnení niektorých zákonov</w:t>
      </w:r>
      <w:r w:rsidRPr="006D0299">
        <w:rPr>
          <w:rFonts w:ascii="Times New Roman" w:hAnsi="Times New Roman"/>
          <w:b/>
          <w:bCs/>
        </w:rPr>
        <w:t xml:space="preserve"> v znení neskorších predpisov </w:t>
      </w:r>
      <w:r w:rsidRPr="006D0299">
        <w:rPr>
          <w:rFonts w:ascii="Times New Roman" w:hAnsi="Times New Roman"/>
          <w:b/>
        </w:rPr>
        <w:t>a ktorým sa menia a dopĺňajú niektoré zákony</w:t>
      </w:r>
      <w:r w:rsidRPr="006D0299">
        <w:rPr>
          <w:rFonts w:ascii="Times New Roman" w:hAnsi="Times New Roman"/>
          <w:b/>
          <w:bCs/>
        </w:rPr>
        <w:t xml:space="preserve"> s právom Európskej únie</w:t>
      </w:r>
    </w:p>
    <w:p w:rsidR="00B12274" w:rsidRPr="006D0299" w:rsidP="00644B1B">
      <w:pPr>
        <w:bidi w:val="0"/>
        <w:jc w:val="center"/>
        <w:rPr>
          <w:rFonts w:ascii="Times New Roman" w:hAnsi="Times New Roman"/>
          <w:bCs/>
        </w:rPr>
      </w:pPr>
    </w:p>
    <w:p w:rsidR="00B12274" w:rsidRPr="006D0299" w:rsidP="00B12274">
      <w:pPr>
        <w:bidi w:val="0"/>
        <w:jc w:val="center"/>
        <w:rPr>
          <w:rFonts w:ascii="Times New Roman" w:hAnsi="Times New Roman"/>
          <w:b/>
          <w:bCs/>
        </w:rPr>
      </w:pPr>
    </w:p>
    <w:p w:rsidR="00B12274" w:rsidRPr="006D0299" w:rsidP="00B12274">
      <w:pPr>
        <w:numPr>
          <w:numId w:val="5"/>
        </w:numPr>
        <w:bidi w:val="0"/>
        <w:spacing w:after="120"/>
        <w:jc w:val="both"/>
        <w:rPr>
          <w:rFonts w:ascii="Times New Roman" w:hAnsi="Times New Roman"/>
        </w:rPr>
      </w:pPr>
      <w:r w:rsidRPr="006D0299">
        <w:rPr>
          <w:rFonts w:ascii="Times New Roman" w:hAnsi="Times New Roman"/>
          <w:b/>
          <w:bCs/>
        </w:rPr>
        <w:t>Predkladateľ zákona:</w:t>
      </w:r>
    </w:p>
    <w:p w:rsidR="00B12274" w:rsidRPr="006D0299" w:rsidP="00B12274">
      <w:pPr>
        <w:bidi w:val="0"/>
        <w:ind w:firstLine="425"/>
        <w:jc w:val="both"/>
        <w:rPr>
          <w:rFonts w:ascii="Times New Roman" w:hAnsi="Times New Roman"/>
        </w:rPr>
      </w:pPr>
      <w:r w:rsidRPr="006D0299">
        <w:rPr>
          <w:rFonts w:ascii="Times New Roman" w:hAnsi="Times New Roman"/>
        </w:rPr>
        <w:t>Vláda Slovenskej republiky.</w:t>
      </w:r>
    </w:p>
    <w:p w:rsidR="00B12274" w:rsidRPr="006D0299" w:rsidP="00B12274">
      <w:pPr>
        <w:bidi w:val="0"/>
        <w:jc w:val="both"/>
        <w:rPr>
          <w:rFonts w:ascii="Times New Roman" w:hAnsi="Times New Roman"/>
          <w:bCs/>
        </w:rPr>
      </w:pPr>
    </w:p>
    <w:p w:rsidR="00B12274" w:rsidRPr="006D0299" w:rsidP="00B12274">
      <w:pPr>
        <w:numPr>
          <w:numId w:val="5"/>
        </w:numPr>
        <w:bidi w:val="0"/>
        <w:spacing w:after="120"/>
        <w:jc w:val="both"/>
        <w:rPr>
          <w:rFonts w:ascii="Times New Roman" w:hAnsi="Times New Roman"/>
          <w:b/>
          <w:bCs/>
        </w:rPr>
      </w:pPr>
      <w:r w:rsidRPr="006D0299">
        <w:rPr>
          <w:rFonts w:ascii="Times New Roman" w:hAnsi="Times New Roman"/>
          <w:b/>
          <w:bCs/>
        </w:rPr>
        <w:t>Názov návrhu zákona:</w:t>
      </w:r>
    </w:p>
    <w:p w:rsidR="00B12274" w:rsidRPr="006D0299" w:rsidP="00B12274">
      <w:pPr>
        <w:tabs>
          <w:tab w:val="left" w:pos="426"/>
        </w:tabs>
        <w:autoSpaceDE w:val="0"/>
        <w:bidi w:val="0"/>
        <w:ind w:left="426"/>
        <w:rPr>
          <w:rFonts w:ascii="Times New Roman" w:hAnsi="Times New Roman"/>
          <w:bCs/>
        </w:rPr>
      </w:pPr>
      <w:r w:rsidRPr="006D0299">
        <w:rPr>
          <w:rFonts w:ascii="Times New Roman" w:hAnsi="Times New Roman"/>
        </w:rPr>
        <w:t xml:space="preserve">Návrh zákona, ktorým sa mení a dopĺňa zákon  č. 371/2014 Z. z. o riešení krízových situácií na finančnom trhu a o zmene a doplnení niektorých zákonov </w:t>
      </w:r>
      <w:r w:rsidRPr="006D0299">
        <w:rPr>
          <w:rFonts w:ascii="Times New Roman" w:hAnsi="Times New Roman"/>
          <w:bCs/>
        </w:rPr>
        <w:t>v znení neskorších predpisov a ktorým sa menia a dopĺňajú niektoré zákony</w:t>
      </w:r>
      <w:r w:rsidRPr="006D0299">
        <w:rPr>
          <w:rFonts w:ascii="Times New Roman" w:hAnsi="Times New Roman"/>
        </w:rPr>
        <w:t>.</w:t>
      </w:r>
    </w:p>
    <w:p w:rsidR="00B12274" w:rsidRPr="006D0299" w:rsidP="00B12274">
      <w:pPr>
        <w:tabs>
          <w:tab w:val="left" w:pos="426"/>
        </w:tabs>
        <w:autoSpaceDE w:val="0"/>
        <w:bidi w:val="0"/>
        <w:ind w:left="426"/>
        <w:rPr>
          <w:rFonts w:ascii="Times New Roman" w:hAnsi="Times New Roman"/>
        </w:rPr>
      </w:pPr>
    </w:p>
    <w:p w:rsidR="00B12274" w:rsidRPr="006D0299" w:rsidP="00B12274">
      <w:pPr>
        <w:numPr>
          <w:numId w:val="5"/>
        </w:numPr>
        <w:bidi w:val="0"/>
        <w:spacing w:after="120"/>
        <w:jc w:val="both"/>
        <w:rPr>
          <w:rFonts w:ascii="Times New Roman" w:hAnsi="Times New Roman"/>
          <w:b/>
          <w:bCs/>
        </w:rPr>
      </w:pPr>
      <w:r w:rsidRPr="006D0299">
        <w:rPr>
          <w:rFonts w:ascii="Times New Roman" w:hAnsi="Times New Roman"/>
          <w:b/>
          <w:bCs/>
        </w:rPr>
        <w:t xml:space="preserve">Problematika návrhu zákona: </w:t>
      </w:r>
    </w:p>
    <w:p w:rsidR="00B12274" w:rsidRPr="006D0299" w:rsidP="00B12274">
      <w:pPr>
        <w:pStyle w:val="BodyText"/>
        <w:widowControl/>
        <w:numPr>
          <w:ilvl w:val="1"/>
          <w:numId w:val="5"/>
        </w:numPr>
        <w:bidi w:val="0"/>
        <w:spacing w:after="240"/>
        <w:rPr>
          <w:rFonts w:ascii="Times New Roman" w:hAnsi="Times New Roman"/>
        </w:rPr>
      </w:pPr>
      <w:r w:rsidRPr="006D0299">
        <w:rPr>
          <w:rFonts w:ascii="Times New Roman" w:hAnsi="Times New Roman"/>
        </w:rPr>
        <w:t>je upravená v práve Európskej únie:</w:t>
      </w:r>
    </w:p>
    <w:p w:rsidR="00B12274" w:rsidRPr="006D0299" w:rsidP="00B12274">
      <w:pPr>
        <w:pStyle w:val="BodyTextIndent"/>
        <w:bidi w:val="0"/>
        <w:spacing w:before="60" w:after="60" w:line="276" w:lineRule="auto"/>
        <w:rPr>
          <w:rFonts w:ascii="Times New Roman" w:hAnsi="Times New Roman"/>
          <w:b/>
          <w:bCs/>
          <w:i/>
          <w:iCs/>
        </w:rPr>
      </w:pPr>
      <w:r w:rsidRPr="006D0299">
        <w:rPr>
          <w:rFonts w:ascii="Times New Roman" w:hAnsi="Times New Roman"/>
          <w:b/>
          <w:bCs/>
          <w:i/>
          <w:iCs/>
        </w:rPr>
        <w:t xml:space="preserve">        Primárne právo:</w:t>
      </w:r>
    </w:p>
    <w:p w:rsidR="00B12274" w:rsidRPr="006D0299" w:rsidP="00B12274">
      <w:pPr>
        <w:pStyle w:val="BodyTextIndent"/>
        <w:numPr>
          <w:numId w:val="6"/>
        </w:numPr>
        <w:autoSpaceDE w:val="0"/>
        <w:autoSpaceDN w:val="0"/>
        <w:bidi w:val="0"/>
        <w:adjustRightInd w:val="0"/>
        <w:spacing w:after="240" w:line="276" w:lineRule="auto"/>
        <w:ind w:left="425" w:firstLine="0"/>
        <w:jc w:val="both"/>
        <w:rPr>
          <w:rFonts w:ascii="Times New Roman" w:hAnsi="Times New Roman"/>
        </w:rPr>
      </w:pPr>
      <w:r w:rsidRPr="006D0299">
        <w:rPr>
          <w:rFonts w:ascii="Times New Roman" w:hAnsi="Times New Roman"/>
        </w:rPr>
        <w:t xml:space="preserve">čl. 4, čl. 26 ods. 2, čl. 56 až 66, čl. 107 až 109, čl. 114 Zmluvy o fungovaní Európskej únie </w:t>
      </w:r>
    </w:p>
    <w:p w:rsidR="00B12274" w:rsidRPr="006D0299" w:rsidP="00B12274">
      <w:pPr>
        <w:pStyle w:val="BodyTextIndent"/>
        <w:autoSpaceDE w:val="0"/>
        <w:autoSpaceDN w:val="0"/>
        <w:bidi w:val="0"/>
        <w:adjustRightInd w:val="0"/>
        <w:spacing w:after="240" w:line="276" w:lineRule="auto"/>
        <w:ind w:left="425"/>
        <w:rPr>
          <w:rFonts w:ascii="Times New Roman" w:hAnsi="Times New Roman"/>
        </w:rPr>
      </w:pPr>
      <w:r w:rsidRPr="006D0299">
        <w:rPr>
          <w:rFonts w:ascii="Times New Roman" w:hAnsi="Times New Roman"/>
          <w:b/>
          <w:bCs/>
          <w:i/>
          <w:iCs/>
        </w:rPr>
        <w:t xml:space="preserve">Sekundárne právo </w:t>
      </w:r>
      <w:r w:rsidRPr="006D0299">
        <w:rPr>
          <w:rFonts w:ascii="Times New Roman" w:hAnsi="Times New Roman"/>
        </w:rPr>
        <w:t>(prijaté po nadobudnutí platnosti Lisabonskej zmluvy, ktorou sa mení a dopĺňa Zmluva o Európskej únii a Zmluva o založení Európskeho spoločenstva - po 30. novembri 2009):</w:t>
      </w:r>
    </w:p>
    <w:p w:rsidR="00B12274" w:rsidRPr="006D0299" w:rsidP="00B12274">
      <w:pPr>
        <w:numPr>
          <w:numId w:val="7"/>
        </w:numPr>
        <w:tabs>
          <w:tab w:val="left" w:pos="993"/>
        </w:tabs>
        <w:autoSpaceDE w:val="0"/>
        <w:autoSpaceDN w:val="0"/>
        <w:bidi w:val="0"/>
        <w:adjustRightInd w:val="0"/>
        <w:spacing w:before="120"/>
        <w:ind w:hanging="153"/>
        <w:jc w:val="both"/>
        <w:rPr>
          <w:rFonts w:ascii="Times New Roman" w:hAnsi="Times New Roman"/>
          <w:bCs/>
          <w:iCs/>
          <w:u w:val="single"/>
        </w:rPr>
      </w:pPr>
      <w:r w:rsidRPr="006D0299">
        <w:rPr>
          <w:rFonts w:ascii="Times New Roman" w:hAnsi="Times New Roman"/>
          <w:bCs/>
          <w:iCs/>
          <w:u w:val="single"/>
        </w:rPr>
        <w:t>legislatívne akty:</w:t>
      </w:r>
    </w:p>
    <w:p w:rsidR="00B12274" w:rsidRPr="006D0299" w:rsidP="00B12274">
      <w:pPr>
        <w:pStyle w:val="ListParagraph"/>
        <w:bidi w:val="0"/>
        <w:ind w:left="709"/>
        <w:jc w:val="both"/>
        <w:rPr>
          <w:rFonts w:ascii="Times New Roman" w:hAnsi="Times New Roman"/>
          <w:sz w:val="24"/>
          <w:szCs w:val="24"/>
        </w:rPr>
      </w:pPr>
    </w:p>
    <w:p w:rsidR="00B12274" w:rsidRPr="006D0299" w:rsidP="00B12274">
      <w:pPr>
        <w:pStyle w:val="ListParagraph"/>
        <w:numPr>
          <w:numId w:val="6"/>
        </w:numPr>
        <w:tabs>
          <w:tab w:val="num" w:pos="709"/>
          <w:tab w:val="clear" w:pos="900"/>
        </w:tabs>
        <w:bidi w:val="0"/>
        <w:spacing w:after="120" w:line="240" w:lineRule="auto"/>
        <w:ind w:left="709" w:hanging="284"/>
        <w:contextualSpacing w:val="0"/>
        <w:jc w:val="both"/>
        <w:rPr>
          <w:rFonts w:ascii="Times New Roman" w:hAnsi="Times New Roman"/>
          <w:sz w:val="24"/>
          <w:szCs w:val="24"/>
        </w:rPr>
      </w:pPr>
      <w:r w:rsidRPr="006D0299">
        <w:rPr>
          <w:rFonts w:ascii="Times New Roman" w:hAnsi="Times New Roman"/>
          <w:sz w:val="24"/>
          <w:szCs w:val="24"/>
        </w:rPr>
        <w:t xml:space="preserve">smernica </w:t>
      </w:r>
      <w:r w:rsidRPr="006D0299">
        <w:rPr>
          <w:rFonts w:ascii="Times New Roman" w:hAnsi="Times New Roman"/>
          <w:bCs/>
          <w:sz w:val="24"/>
          <w:szCs w:val="24"/>
        </w:rPr>
        <w:t xml:space="preserve">Európskeho parlamentu a Rady </w:t>
      </w:r>
      <w:r w:rsidRPr="006D0299">
        <w:rPr>
          <w:rFonts w:ascii="Times New Roman" w:hAnsi="Times New Roman"/>
          <w:bCs/>
          <w:sz w:val="24"/>
          <w:szCs w:val="24"/>
          <w:u w:val="single"/>
        </w:rPr>
        <w:t>2014/59/EÚ</w:t>
      </w:r>
      <w:r w:rsidRPr="006D0299">
        <w:rPr>
          <w:rFonts w:ascii="Times New Roman" w:hAnsi="Times New Roman"/>
          <w:bCs/>
          <w:sz w:val="24"/>
          <w:szCs w:val="24"/>
        </w:rPr>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w:t>
      </w:r>
      <w:r w:rsidRPr="006D0299">
        <w:rPr>
          <w:rFonts w:ascii="Times New Roman" w:hAnsi="Times New Roman"/>
          <w:bCs/>
          <w:iCs/>
          <w:sz w:val="24"/>
          <w:szCs w:val="24"/>
        </w:rPr>
        <w:t>Ú. v. EÚ L 173, 12.6.2014),</w:t>
      </w:r>
    </w:p>
    <w:p w:rsidR="00B12274" w:rsidRPr="006D0299" w:rsidP="00B12274">
      <w:pPr>
        <w:pStyle w:val="ListParagraph"/>
        <w:numPr>
          <w:numId w:val="6"/>
        </w:numPr>
        <w:tabs>
          <w:tab w:val="num" w:pos="709"/>
          <w:tab w:val="clear" w:pos="900"/>
        </w:tabs>
        <w:bidi w:val="0"/>
        <w:spacing w:after="120" w:line="240" w:lineRule="auto"/>
        <w:ind w:left="709" w:hanging="284"/>
        <w:contextualSpacing w:val="0"/>
        <w:jc w:val="both"/>
        <w:rPr>
          <w:rFonts w:ascii="Times New Roman" w:hAnsi="Times New Roman"/>
          <w:sz w:val="24"/>
          <w:szCs w:val="24"/>
        </w:rPr>
      </w:pPr>
      <w:r w:rsidRPr="006D0299">
        <w:rPr>
          <w:rFonts w:ascii="Times New Roman" w:hAnsi="Times New Roman"/>
          <w:bCs/>
          <w:iCs/>
          <w:sz w:val="24"/>
          <w:szCs w:val="24"/>
        </w:rPr>
        <w:t xml:space="preserve">smernica </w:t>
      </w:r>
      <w:r w:rsidRPr="006D0299">
        <w:rPr>
          <w:rFonts w:ascii="Times New Roman" w:hAnsi="Times New Roman"/>
          <w:sz w:val="24"/>
          <w:szCs w:val="24"/>
        </w:rPr>
        <w:t xml:space="preserve">Európskeho parlamentu a Rady (EÚ) 2014/49/EÚ z 16. apríla 2014 o systémoch ochrany vkladov (prepracované znenie) (Ú.v. EÚ L 173, 12.6.2014), </w:t>
      </w:r>
    </w:p>
    <w:p w:rsidR="00B12274" w:rsidRPr="006D0299" w:rsidP="00B12274">
      <w:pPr>
        <w:tabs>
          <w:tab w:val="left" w:pos="709"/>
        </w:tabs>
        <w:autoSpaceDE w:val="0"/>
        <w:autoSpaceDN w:val="0"/>
        <w:bidi w:val="0"/>
        <w:spacing w:after="120"/>
        <w:ind w:left="709" w:hanging="284"/>
        <w:jc w:val="both"/>
        <w:rPr>
          <w:rFonts w:ascii="Times New Roman" w:hAnsi="Times New Roman"/>
          <w:iCs/>
        </w:rPr>
      </w:pPr>
      <w:r w:rsidRPr="006D0299">
        <w:rPr>
          <w:rFonts w:ascii="Times New Roman" w:hAnsi="Times New Roman"/>
          <w:bCs/>
          <w:iCs/>
        </w:rPr>
        <w:t xml:space="preserve">- </w:t>
        <w:tab/>
        <w:t xml:space="preserve">nariadenie </w:t>
      </w:r>
      <w:r w:rsidRPr="006D0299">
        <w:rPr>
          <w:rFonts w:ascii="Times New Roman" w:hAnsi="Times New Roman"/>
        </w:rPr>
        <w:t xml:space="preserve">Európskeho parlamentu a Rady (EÚ) č. </w:t>
      </w:r>
      <w:r w:rsidRPr="006D0299">
        <w:rPr>
          <w:rFonts w:ascii="Times New Roman" w:hAnsi="Times New Roman"/>
          <w:u w:val="single"/>
        </w:rPr>
        <w:t>1092/2010</w:t>
      </w:r>
      <w:r w:rsidRPr="006D0299">
        <w:rPr>
          <w:rFonts w:ascii="Times New Roman" w:hAnsi="Times New Roman"/>
        </w:rPr>
        <w:t xml:space="preserve"> z  24. novembra 2010 o makroprudenciálnom dohľade Európskej únie nad finančným systémom a o zriadení Európskeho výboru pre systémové riziká (</w:t>
      </w:r>
      <w:r w:rsidRPr="006D0299">
        <w:rPr>
          <w:rFonts w:ascii="Times New Roman" w:hAnsi="Times New Roman"/>
          <w:iCs/>
        </w:rPr>
        <w:t>Ú. v. EÚ L 331, 15.12.2010),</w:t>
      </w:r>
    </w:p>
    <w:p w:rsidR="00B12274" w:rsidRPr="006D0299" w:rsidP="00B12274">
      <w:pPr>
        <w:autoSpaceDE w:val="0"/>
        <w:autoSpaceDN w:val="0"/>
        <w:bidi w:val="0"/>
        <w:spacing w:after="120"/>
        <w:ind w:left="709" w:hanging="283"/>
        <w:jc w:val="both"/>
        <w:rPr>
          <w:rFonts w:ascii="Times New Roman" w:hAnsi="Times New Roman"/>
          <w:iCs/>
        </w:rPr>
      </w:pPr>
      <w:r w:rsidRPr="006D0299">
        <w:rPr>
          <w:rFonts w:ascii="Times New Roman" w:hAnsi="Times New Roman"/>
          <w:iCs/>
        </w:rPr>
        <w:t xml:space="preserve">- </w:t>
        <w:tab/>
        <w:t xml:space="preserve">nariadenie </w:t>
      </w:r>
      <w:r w:rsidRPr="006D0299">
        <w:rPr>
          <w:rFonts w:ascii="Times New Roman" w:hAnsi="Times New Roman"/>
        </w:rPr>
        <w:t xml:space="preserve">Európskeho parlamentu a Rady (EÚ) č. </w:t>
      </w:r>
      <w:r w:rsidRPr="006D0299">
        <w:rPr>
          <w:rFonts w:ascii="Times New Roman" w:hAnsi="Times New Roman"/>
          <w:u w:val="single"/>
        </w:rPr>
        <w:t>1093/2010</w:t>
      </w:r>
      <w:r w:rsidRPr="006D0299">
        <w:rPr>
          <w:rFonts w:ascii="Times New Roman" w:hAnsi="Times New Roman"/>
        </w:rPr>
        <w:t xml:space="preserve"> z  24. novembra 2010, ktorým sa zriaďuje Európsky orgán dohľadu (Európsky orgán pre bankovníctvo) a ktorým sa mení a dopĺňa rozhodnutie č. 716/2009/ES a zrušuje rozhodnutie Komisie 2009/78/ES (</w:t>
      </w:r>
      <w:r w:rsidRPr="006D0299">
        <w:rPr>
          <w:rFonts w:ascii="Times New Roman" w:hAnsi="Times New Roman"/>
          <w:iCs/>
        </w:rPr>
        <w:t>Ú. v. EÚ L 331, 15.12.2010) v platnom znení,</w:t>
      </w:r>
    </w:p>
    <w:p w:rsidR="00B12274" w:rsidRPr="006D0299" w:rsidP="00B12274">
      <w:pPr>
        <w:autoSpaceDE w:val="0"/>
        <w:autoSpaceDN w:val="0"/>
        <w:bidi w:val="0"/>
        <w:spacing w:after="120"/>
        <w:ind w:left="709" w:hanging="283"/>
        <w:jc w:val="both"/>
        <w:rPr>
          <w:rFonts w:ascii="Times New Roman" w:hAnsi="Times New Roman"/>
          <w:iCs/>
        </w:rPr>
      </w:pPr>
      <w:r w:rsidRPr="006D0299">
        <w:rPr>
          <w:rFonts w:ascii="Times New Roman" w:hAnsi="Times New Roman"/>
          <w:iCs/>
        </w:rPr>
        <w:t xml:space="preserve">- </w:t>
        <w:tab/>
        <w:t xml:space="preserve">nariadenie </w:t>
      </w:r>
      <w:r w:rsidRPr="006D0299">
        <w:rPr>
          <w:rFonts w:ascii="Times New Roman" w:hAnsi="Times New Roman"/>
        </w:rPr>
        <w:t xml:space="preserve">Európskeho parlamentu a Rady (EÚ) č. </w:t>
      </w:r>
      <w:r w:rsidRPr="006D0299">
        <w:rPr>
          <w:rFonts w:ascii="Times New Roman" w:hAnsi="Times New Roman"/>
          <w:u w:val="single"/>
        </w:rPr>
        <w:t>1094/2010</w:t>
      </w:r>
      <w:r w:rsidRPr="006D0299">
        <w:rPr>
          <w:rFonts w:ascii="Times New Roman" w:hAnsi="Times New Roman"/>
        </w:rPr>
        <w:t xml:space="preserve"> z  24. novembra 2010, ktorým sa zriaďuje Európsky orgán dohľadu (Európsky orgán pre poisťovníctvo a dôchodkové poistenie zamestnancov), a ktorým sa mení a dopĺňa rozhodnutie č. 716/2009/ES a zrušuje rozhodnutie Komisie 2009/79/ES (</w:t>
      </w:r>
      <w:r w:rsidRPr="006D0299">
        <w:rPr>
          <w:rFonts w:ascii="Times New Roman" w:hAnsi="Times New Roman"/>
          <w:iCs/>
        </w:rPr>
        <w:t>Ú. v. EÚ L 331, 15.12.2010) v platnom znení,</w:t>
      </w:r>
    </w:p>
    <w:p w:rsidR="00B12274" w:rsidRPr="006D0299" w:rsidP="00B12274">
      <w:pPr>
        <w:autoSpaceDE w:val="0"/>
        <w:autoSpaceDN w:val="0"/>
        <w:bidi w:val="0"/>
        <w:spacing w:after="120"/>
        <w:ind w:left="709" w:hanging="284"/>
        <w:jc w:val="both"/>
        <w:rPr>
          <w:rFonts w:ascii="Times New Roman" w:hAnsi="Times New Roman"/>
          <w:iCs/>
        </w:rPr>
      </w:pPr>
      <w:r w:rsidRPr="006D0299">
        <w:rPr>
          <w:rFonts w:ascii="Times New Roman" w:hAnsi="Times New Roman"/>
          <w:iCs/>
        </w:rPr>
        <w:t xml:space="preserve">- </w:t>
        <w:tab/>
        <w:t xml:space="preserve">nariadenie </w:t>
      </w:r>
      <w:r w:rsidRPr="006D0299">
        <w:rPr>
          <w:rFonts w:ascii="Times New Roman" w:hAnsi="Times New Roman"/>
          <w:bCs/>
        </w:rPr>
        <w:t xml:space="preserve">Európskeho parlamentu a Rady (EÚ) č. </w:t>
      </w:r>
      <w:r w:rsidRPr="006D0299">
        <w:rPr>
          <w:rFonts w:ascii="Times New Roman" w:hAnsi="Times New Roman"/>
          <w:bCs/>
          <w:u w:val="single"/>
        </w:rPr>
        <w:t>1095/2010</w:t>
      </w:r>
      <w:r w:rsidRPr="006D0299">
        <w:rPr>
          <w:rFonts w:ascii="Times New Roman" w:hAnsi="Times New Roman"/>
          <w:bCs/>
        </w:rPr>
        <w:t xml:space="preserve"> z  24. novembra 2010, ktorým sa zriaďuje Európsky orgán dohľadu (Európsky orgán pre cenné papiere a trhy) a ktorým sa mení a dopĺňa rozhodnutie č. 716/2009/ES a zrušuje rozhodnutie Komisie 2009/77/ES (</w:t>
      </w:r>
      <w:r w:rsidRPr="006D0299">
        <w:rPr>
          <w:rFonts w:ascii="Times New Roman" w:hAnsi="Times New Roman"/>
          <w:iCs/>
        </w:rPr>
        <w:t>Ú. v. EÚ L 331, 15.12.2010) v platnom znení,</w:t>
      </w:r>
    </w:p>
    <w:p w:rsidR="00B12274" w:rsidRPr="006D0299" w:rsidP="00B12274">
      <w:pPr>
        <w:autoSpaceDE w:val="0"/>
        <w:autoSpaceDN w:val="0"/>
        <w:bidi w:val="0"/>
        <w:spacing w:before="120" w:after="120"/>
        <w:ind w:left="709" w:hanging="284"/>
        <w:jc w:val="both"/>
        <w:rPr>
          <w:rFonts w:ascii="Times New Roman" w:hAnsi="Times New Roman"/>
          <w:bCs/>
          <w:iCs/>
        </w:rPr>
      </w:pPr>
      <w:r w:rsidRPr="006D0299">
        <w:rPr>
          <w:rFonts w:ascii="Times New Roman" w:hAnsi="Times New Roman"/>
          <w:iCs/>
        </w:rPr>
        <w:t xml:space="preserve">- </w:t>
        <w:tab/>
        <w:t xml:space="preserve">nariadenie </w:t>
      </w:r>
      <w:r w:rsidRPr="006D0299">
        <w:rPr>
          <w:rFonts w:ascii="Times New Roman" w:hAnsi="Times New Roman"/>
          <w:bCs/>
          <w:iCs/>
        </w:rPr>
        <w:t xml:space="preserve">Európskeho parlamentu a Rady (EÚ) č. </w:t>
      </w:r>
      <w:r w:rsidRPr="006D0299">
        <w:rPr>
          <w:rFonts w:ascii="Times New Roman" w:hAnsi="Times New Roman"/>
          <w:bCs/>
          <w:iCs/>
          <w:u w:val="single"/>
        </w:rPr>
        <w:t>648/2012</w:t>
      </w:r>
      <w:r w:rsidRPr="006D0299">
        <w:rPr>
          <w:rFonts w:ascii="Times New Roman" w:hAnsi="Times New Roman"/>
          <w:bCs/>
          <w:iCs/>
        </w:rPr>
        <w:t xml:space="preserve"> zo 4. júla 2012 o mimoburzových derivátoch, centrálnych protistranách a archívoch obchodných údajov (Ú. v. EÚ L 201, 27.7.2012) v platnom znení,</w:t>
      </w:r>
    </w:p>
    <w:p w:rsidR="00B12274" w:rsidRPr="006D0299" w:rsidP="00B12274">
      <w:pPr>
        <w:pStyle w:val="ListParagraph"/>
        <w:numPr>
          <w:numId w:val="8"/>
        </w:numPr>
        <w:bidi w:val="0"/>
        <w:spacing w:after="0" w:line="240" w:lineRule="auto"/>
        <w:ind w:left="709" w:hanging="283"/>
        <w:jc w:val="both"/>
        <w:rPr>
          <w:rFonts w:ascii="Times New Roman" w:hAnsi="Times New Roman"/>
          <w:sz w:val="24"/>
          <w:szCs w:val="24"/>
        </w:rPr>
      </w:pPr>
      <w:r w:rsidRPr="006D0299">
        <w:rPr>
          <w:rFonts w:ascii="Times New Roman" w:hAnsi="Times New Roman"/>
          <w:sz w:val="24"/>
          <w:szCs w:val="24"/>
        </w:rPr>
        <w:t xml:space="preserve">nariadenie Európskeho parlamentu a Rady (EÚ) č. </w:t>
      </w:r>
      <w:r w:rsidRPr="006D0299">
        <w:rPr>
          <w:rFonts w:ascii="Times New Roman" w:hAnsi="Times New Roman"/>
          <w:sz w:val="24"/>
          <w:szCs w:val="24"/>
          <w:u w:val="single"/>
        </w:rPr>
        <w:t>575/2013</w:t>
      </w:r>
      <w:r w:rsidRPr="006D0299">
        <w:rPr>
          <w:rFonts w:ascii="Times New Roman" w:hAnsi="Times New Roman"/>
          <w:sz w:val="24"/>
          <w:szCs w:val="24"/>
        </w:rPr>
        <w:t xml:space="preserve"> z 26. júna 2013 o prudenciálnych požiadavkách na úverové inštitúcie a investičné spoločnosti a o zmene nariadenia (EÚ) č. 648/2012 (</w:t>
      </w:r>
      <w:r w:rsidRPr="006D0299">
        <w:rPr>
          <w:rFonts w:ascii="Times New Roman" w:hAnsi="Times New Roman"/>
          <w:iCs/>
          <w:sz w:val="24"/>
          <w:szCs w:val="24"/>
        </w:rPr>
        <w:t>Ú. v. EÚ L 176, 27.6.2013) v platnom znení,</w:t>
      </w:r>
    </w:p>
    <w:p w:rsidR="00B12274" w:rsidRPr="006D0299" w:rsidP="00B12274">
      <w:pPr>
        <w:pStyle w:val="ListParagraph"/>
        <w:bidi w:val="0"/>
        <w:ind w:left="709"/>
        <w:jc w:val="both"/>
        <w:rPr>
          <w:rFonts w:ascii="Times New Roman" w:hAnsi="Times New Roman"/>
          <w:sz w:val="24"/>
          <w:szCs w:val="24"/>
        </w:rPr>
      </w:pPr>
    </w:p>
    <w:p w:rsidR="00B12274" w:rsidRPr="006D0299" w:rsidP="00B12274">
      <w:pPr>
        <w:pStyle w:val="ListParagraph"/>
        <w:numPr>
          <w:numId w:val="8"/>
        </w:numPr>
        <w:bidi w:val="0"/>
        <w:spacing w:after="0" w:line="240" w:lineRule="auto"/>
        <w:ind w:left="709" w:hanging="283"/>
        <w:jc w:val="both"/>
        <w:rPr>
          <w:rFonts w:ascii="Times New Roman" w:hAnsi="Times New Roman"/>
          <w:sz w:val="24"/>
          <w:szCs w:val="24"/>
        </w:rPr>
      </w:pPr>
      <w:r w:rsidRPr="006D0299">
        <w:rPr>
          <w:rFonts w:ascii="Times New Roman" w:hAnsi="Times New Roman"/>
          <w:color w:val="444444"/>
          <w:sz w:val="24"/>
          <w:szCs w:val="24"/>
        </w:rPr>
        <w:t>n</w:t>
      </w:r>
      <w:hyperlink r:id="rId5" w:history="1">
        <w:r w:rsidRPr="006D0299">
          <w:rPr>
            <w:rFonts w:ascii="Times New Roman" w:hAnsi="Times New Roman"/>
            <w:color w:val="000000"/>
            <w:sz w:val="24"/>
            <w:szCs w:val="24"/>
          </w:rPr>
          <w:t>ariadenie Európskeho parlamentu a Rady (EÚ) č. 806/2014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w:t>
        </w:r>
      </w:hyperlink>
      <w:r w:rsidRPr="006D0299">
        <w:rPr>
          <w:rFonts w:ascii="Times New Roman" w:hAnsi="Times New Roman"/>
          <w:color w:val="444444"/>
          <w:sz w:val="24"/>
          <w:szCs w:val="24"/>
        </w:rPr>
        <w:t xml:space="preserve"> (Ú. v. EÚ L 225, 30.7.2014),</w:t>
      </w:r>
    </w:p>
    <w:p w:rsidR="00B12274" w:rsidRPr="006D0299" w:rsidP="00B12274">
      <w:pPr>
        <w:pStyle w:val="ListParagraph"/>
        <w:bidi w:val="0"/>
        <w:ind w:left="0"/>
        <w:jc w:val="both"/>
        <w:rPr>
          <w:rFonts w:ascii="Times New Roman" w:hAnsi="Times New Roman"/>
          <w:sz w:val="24"/>
          <w:szCs w:val="24"/>
        </w:rPr>
      </w:pPr>
    </w:p>
    <w:p w:rsidR="00B12274" w:rsidRPr="006D0299" w:rsidP="00B12274">
      <w:pPr>
        <w:pStyle w:val="ListParagraph"/>
        <w:numPr>
          <w:numId w:val="8"/>
        </w:numPr>
        <w:bidi w:val="0"/>
        <w:spacing w:after="0" w:line="240" w:lineRule="auto"/>
        <w:ind w:left="709" w:hanging="283"/>
        <w:jc w:val="both"/>
        <w:rPr>
          <w:rFonts w:ascii="Times New Roman" w:hAnsi="Times New Roman"/>
          <w:sz w:val="24"/>
          <w:szCs w:val="24"/>
        </w:rPr>
      </w:pPr>
      <w:r w:rsidRPr="006D0299">
        <w:rPr>
          <w:rFonts w:ascii="Times New Roman" w:hAnsi="Times New Roman"/>
          <w:iCs/>
          <w:sz w:val="24"/>
          <w:szCs w:val="24"/>
        </w:rPr>
        <w:t xml:space="preserve">nariadenie </w:t>
      </w:r>
      <w:r w:rsidRPr="006D0299">
        <w:rPr>
          <w:rFonts w:ascii="Times New Roman" w:hAnsi="Times New Roman"/>
          <w:bCs/>
          <w:iCs/>
          <w:sz w:val="24"/>
          <w:szCs w:val="24"/>
        </w:rPr>
        <w:t>Rady (EÚ) č. </w:t>
      </w:r>
      <w:r w:rsidRPr="006D0299">
        <w:rPr>
          <w:rFonts w:ascii="Times New Roman" w:hAnsi="Times New Roman"/>
          <w:bCs/>
          <w:iCs/>
          <w:sz w:val="24"/>
          <w:szCs w:val="24"/>
          <w:u w:val="single"/>
        </w:rPr>
        <w:t>1024/2013</w:t>
      </w:r>
      <w:r w:rsidRPr="006D0299">
        <w:rPr>
          <w:rFonts w:ascii="Times New Roman" w:hAnsi="Times New Roman"/>
          <w:bCs/>
          <w:iCs/>
          <w:sz w:val="24"/>
          <w:szCs w:val="24"/>
        </w:rPr>
        <w:t xml:space="preserve"> z  15. októbra 2013, ktorým sa Európska centrálna banka poveruje osobitnými úlohami, pokiaľ ide o politiky týkajúce sa prudenciálneho dohľadu nad úverovými inštitúciami (Ú. v. EÚ L 287, 29.10.2013),</w:t>
      </w:r>
    </w:p>
    <w:p w:rsidR="00B12274" w:rsidRPr="006D0299" w:rsidP="00B12274">
      <w:pPr>
        <w:pStyle w:val="ListParagraph"/>
        <w:bidi w:val="0"/>
        <w:spacing w:after="120"/>
        <w:ind w:left="0"/>
        <w:jc w:val="both"/>
        <w:rPr>
          <w:rFonts w:ascii="Times New Roman" w:hAnsi="Times New Roman"/>
          <w:iCs/>
          <w:sz w:val="24"/>
          <w:szCs w:val="24"/>
        </w:rPr>
      </w:pPr>
    </w:p>
    <w:p w:rsidR="00B12274" w:rsidRPr="006D0299" w:rsidP="00B12274">
      <w:pPr>
        <w:numPr>
          <w:numId w:val="7"/>
        </w:numPr>
        <w:tabs>
          <w:tab w:val="left" w:pos="993"/>
        </w:tabs>
        <w:autoSpaceDE w:val="0"/>
        <w:autoSpaceDN w:val="0"/>
        <w:bidi w:val="0"/>
        <w:adjustRightInd w:val="0"/>
        <w:spacing w:before="120"/>
        <w:ind w:hanging="153"/>
        <w:jc w:val="both"/>
        <w:rPr>
          <w:rFonts w:ascii="Times New Roman" w:hAnsi="Times New Roman"/>
          <w:bCs/>
          <w:iCs/>
          <w:u w:val="single"/>
        </w:rPr>
      </w:pPr>
      <w:r w:rsidRPr="006D0299">
        <w:rPr>
          <w:rFonts w:ascii="Times New Roman" w:hAnsi="Times New Roman"/>
          <w:bCs/>
          <w:iCs/>
          <w:u w:val="single"/>
        </w:rPr>
        <w:t>nelegislatívne akty:</w:t>
      </w:r>
    </w:p>
    <w:p w:rsidR="00B12274" w:rsidRPr="006D0299" w:rsidP="00B12274">
      <w:pPr>
        <w:tabs>
          <w:tab w:val="left" w:pos="993"/>
        </w:tabs>
        <w:autoSpaceDE w:val="0"/>
        <w:autoSpaceDN w:val="0"/>
        <w:bidi w:val="0"/>
        <w:adjustRightInd w:val="0"/>
        <w:spacing w:before="120"/>
        <w:ind w:left="720"/>
        <w:jc w:val="both"/>
        <w:rPr>
          <w:rFonts w:ascii="Times New Roman" w:hAnsi="Times New Roman"/>
          <w:bCs/>
          <w:iCs/>
          <w:u w:val="single"/>
        </w:rPr>
      </w:pPr>
    </w:p>
    <w:p w:rsidR="00B12274" w:rsidRPr="006D0299" w:rsidP="00B12274">
      <w:pPr>
        <w:pStyle w:val="ListParagraph"/>
        <w:numPr>
          <w:numId w:val="8"/>
        </w:numPr>
        <w:bidi w:val="0"/>
        <w:spacing w:after="120" w:line="240" w:lineRule="auto"/>
        <w:contextualSpacing w:val="0"/>
        <w:jc w:val="both"/>
        <w:rPr>
          <w:rFonts w:ascii="Times New Roman" w:hAnsi="Times New Roman"/>
          <w:sz w:val="24"/>
          <w:szCs w:val="24"/>
        </w:rPr>
      </w:pPr>
      <w:r w:rsidRPr="006D0299">
        <w:rPr>
          <w:rFonts w:ascii="Times New Roman" w:hAnsi="Times New Roman"/>
          <w:bCs/>
          <w:sz w:val="24"/>
          <w:szCs w:val="24"/>
          <w:bdr w:val="nil"/>
          <w:shd w:val="clear" w:color="auto" w:fill="FFFFFF"/>
        </w:rPr>
        <w:t xml:space="preserve">delegované nariadenie Komisie (EÚ) </w:t>
      </w:r>
      <w:r w:rsidRPr="006D0299">
        <w:rPr>
          <w:rFonts w:ascii="Times New Roman" w:hAnsi="Times New Roman"/>
          <w:bCs/>
          <w:sz w:val="24"/>
          <w:szCs w:val="24"/>
          <w:u w:val="single"/>
          <w:bdr w:val="nil"/>
          <w:shd w:val="clear" w:color="auto" w:fill="FFFFFF"/>
        </w:rPr>
        <w:t>2016/778</w:t>
      </w:r>
      <w:r w:rsidRPr="006D0299">
        <w:rPr>
          <w:rFonts w:ascii="Times New Roman" w:hAnsi="Times New Roman"/>
          <w:bCs/>
          <w:sz w:val="24"/>
          <w:szCs w:val="24"/>
          <w:bdr w:val="nil"/>
          <w:shd w:val="clear" w:color="auto" w:fill="FFFFFF"/>
        </w:rPr>
        <w:t xml:space="preserve"> z 2. februára 2016, ktorým sa dopĺňa smernica Európskeho parlamentu a Rady 2014/59/EÚ so zreteľom na okolnosti a podmienky, za ktorých sa platba mimoriadnych príspevkov ex post môže čiastočne alebo úplne odložiť, a o kritériách na určenie činností, služieb a operácií so zreteľom na zásadné funkcie a na určenie oblastí obchodnej činnosti a súvisiacich služieb so zreteľom na hlavné oblasti obchodnej činnosti (Text s významom pre EHP) (</w:t>
      </w:r>
      <w:r w:rsidRPr="006D0299">
        <w:rPr>
          <w:rFonts w:ascii="Times New Roman" w:hAnsi="Times New Roman"/>
          <w:iCs/>
          <w:sz w:val="24"/>
          <w:szCs w:val="24"/>
        </w:rPr>
        <w:t>Ú. v. EÚ L 131, 20.5.2016)</w:t>
      </w:r>
      <w:r w:rsidRPr="006D0299">
        <w:rPr>
          <w:rFonts w:ascii="Times New Roman" w:hAnsi="Times New Roman"/>
          <w:sz w:val="24"/>
          <w:szCs w:val="24"/>
        </w:rPr>
        <w:t>,</w:t>
      </w:r>
    </w:p>
    <w:p w:rsidR="00B12274" w:rsidRPr="006D0299" w:rsidP="00B12274">
      <w:pPr>
        <w:pStyle w:val="ListParagraph"/>
        <w:numPr>
          <w:numId w:val="8"/>
        </w:numPr>
        <w:bidi w:val="0"/>
        <w:spacing w:after="120" w:line="240" w:lineRule="auto"/>
        <w:ind w:left="709" w:hanging="283"/>
        <w:jc w:val="both"/>
        <w:rPr>
          <w:rFonts w:ascii="Times New Roman" w:hAnsi="Times New Roman"/>
          <w:sz w:val="24"/>
          <w:szCs w:val="24"/>
        </w:rPr>
      </w:pPr>
      <w:r w:rsidRPr="006D0299">
        <w:rPr>
          <w:rFonts w:ascii="Times New Roman" w:hAnsi="Times New Roman"/>
          <w:bCs/>
          <w:iCs/>
          <w:sz w:val="24"/>
          <w:szCs w:val="24"/>
        </w:rPr>
        <w:t xml:space="preserve">delegované nariadenie Komisie (EÚ) č. </w:t>
      </w:r>
      <w:r w:rsidRPr="006D0299">
        <w:rPr>
          <w:rFonts w:ascii="Times New Roman" w:hAnsi="Times New Roman"/>
          <w:bCs/>
          <w:iCs/>
          <w:sz w:val="24"/>
          <w:szCs w:val="24"/>
          <w:u w:val="single"/>
        </w:rPr>
        <w:t>604/2014</w:t>
      </w:r>
      <w:r w:rsidRPr="006D0299">
        <w:rPr>
          <w:rFonts w:ascii="Times New Roman" w:hAnsi="Times New Roman"/>
          <w:bCs/>
          <w:iCs/>
          <w:sz w:val="24"/>
          <w:szCs w:val="24"/>
        </w:rPr>
        <w:t xml:space="preserve"> zo 4. marca 2014, ktorým sa dopĺňa smernica </w:t>
      </w:r>
      <w:r w:rsidRPr="006D0299">
        <w:rPr>
          <w:rFonts w:ascii="Times New Roman" w:hAnsi="Times New Roman"/>
          <w:sz w:val="24"/>
          <w:szCs w:val="24"/>
        </w:rPr>
        <w:t>Európskeho parlamentu a Rady 2013/36/EÚ, pokiaľ ide o regulačné technické predpisy so zreteľom na kvalitatívne a kvantitatívne kritériá na vymedzenie kategórií pracovníkov, ktorých profesionálne činnosti majú významný vplyv na rizikový profil inštitúcie ( Ú.v. EÚ L 167, 6.6.2014),</w:t>
      </w:r>
    </w:p>
    <w:p w:rsidR="00B12274" w:rsidRPr="006D0299" w:rsidP="00B12274">
      <w:pPr>
        <w:pStyle w:val="ListParagraph"/>
        <w:bidi w:val="0"/>
        <w:spacing w:after="120"/>
        <w:ind w:left="709"/>
        <w:jc w:val="both"/>
        <w:rPr>
          <w:rFonts w:ascii="Times New Roman" w:hAnsi="Times New Roman"/>
          <w:sz w:val="24"/>
          <w:szCs w:val="24"/>
        </w:rPr>
      </w:pPr>
    </w:p>
    <w:p w:rsidR="00B12274" w:rsidRPr="006D0299" w:rsidP="00B12274">
      <w:pPr>
        <w:pStyle w:val="ListParagraph"/>
        <w:numPr>
          <w:numId w:val="8"/>
        </w:numPr>
        <w:bidi w:val="0"/>
        <w:spacing w:after="120" w:line="240" w:lineRule="auto"/>
        <w:ind w:left="709" w:hanging="283"/>
        <w:jc w:val="both"/>
        <w:rPr>
          <w:rFonts w:ascii="Times New Roman" w:hAnsi="Times New Roman"/>
          <w:sz w:val="24"/>
          <w:szCs w:val="24"/>
        </w:rPr>
      </w:pPr>
      <w:r w:rsidRPr="006D0299">
        <w:rPr>
          <w:rFonts w:ascii="Times New Roman" w:hAnsi="Times New Roman"/>
          <w:sz w:val="24"/>
          <w:szCs w:val="24"/>
        </w:rPr>
        <w:t>nariadenie Rady (</w:t>
      </w:r>
      <w:r w:rsidRPr="006D0299">
        <w:rPr>
          <w:rFonts w:ascii="Times New Roman" w:hAnsi="Times New Roman"/>
          <w:bCs/>
          <w:sz w:val="24"/>
          <w:szCs w:val="24"/>
        </w:rPr>
        <w:t xml:space="preserve">EÚ) č. </w:t>
      </w:r>
      <w:r w:rsidRPr="006D0299">
        <w:rPr>
          <w:rFonts w:ascii="Times New Roman" w:hAnsi="Times New Roman"/>
          <w:bCs/>
          <w:sz w:val="24"/>
          <w:szCs w:val="24"/>
          <w:u w:val="single"/>
        </w:rPr>
        <w:t>1096/2010</w:t>
      </w:r>
      <w:r w:rsidRPr="006D0299">
        <w:rPr>
          <w:rFonts w:ascii="Times New Roman" w:hAnsi="Times New Roman"/>
          <w:bCs/>
          <w:sz w:val="24"/>
          <w:szCs w:val="24"/>
        </w:rPr>
        <w:t xml:space="preserve"> zo 17. novembra 2010, ktorým sa Európskej centrálnej banke udeľujú osobitné úlohy týkajúce sa fungovania Európskeho výboru pre systémové riziká (</w:t>
      </w:r>
      <w:r w:rsidRPr="006D0299">
        <w:rPr>
          <w:rFonts w:ascii="Times New Roman" w:hAnsi="Times New Roman"/>
          <w:bCs/>
          <w:iCs/>
          <w:sz w:val="24"/>
          <w:szCs w:val="24"/>
        </w:rPr>
        <w:t>Ú. v. EÚ L 331, 15.12.2010).</w:t>
      </w:r>
    </w:p>
    <w:p w:rsidR="00B12274" w:rsidRPr="006D0299" w:rsidP="00B12274">
      <w:pPr>
        <w:pStyle w:val="ListParagraph"/>
        <w:bidi w:val="0"/>
        <w:spacing w:after="120"/>
        <w:ind w:left="0"/>
        <w:jc w:val="both"/>
        <w:rPr>
          <w:rFonts w:ascii="Times New Roman" w:hAnsi="Times New Roman"/>
          <w:iCs/>
          <w:sz w:val="24"/>
          <w:szCs w:val="24"/>
        </w:rPr>
      </w:pPr>
    </w:p>
    <w:p w:rsidR="00B12274" w:rsidRPr="006D0299" w:rsidP="00B12274">
      <w:pPr>
        <w:pStyle w:val="BodyText"/>
        <w:widowControl/>
        <w:numPr>
          <w:ilvl w:val="1"/>
          <w:numId w:val="5"/>
        </w:numPr>
        <w:bidi w:val="0"/>
        <w:spacing w:after="120"/>
        <w:jc w:val="both"/>
        <w:rPr>
          <w:rFonts w:ascii="Times New Roman" w:hAnsi="Times New Roman"/>
        </w:rPr>
      </w:pPr>
      <w:r w:rsidRPr="006D0299">
        <w:rPr>
          <w:rFonts w:ascii="Times New Roman" w:hAnsi="Times New Roman"/>
        </w:rPr>
        <w:t>nie je obsiahnutá v judikatúre Súdneho dvora Európskej únie.</w:t>
      </w:r>
    </w:p>
    <w:p w:rsidR="00B12274" w:rsidRPr="006D0299" w:rsidP="00B12274">
      <w:pPr>
        <w:numPr>
          <w:numId w:val="5"/>
        </w:numPr>
        <w:tabs>
          <w:tab w:val="left" w:pos="340"/>
        </w:tabs>
        <w:bidi w:val="0"/>
        <w:spacing w:after="360"/>
        <w:jc w:val="both"/>
        <w:rPr>
          <w:rFonts w:ascii="Times New Roman" w:hAnsi="Times New Roman"/>
          <w:b/>
          <w:bCs/>
        </w:rPr>
      </w:pPr>
      <w:r w:rsidRPr="006D0299">
        <w:rPr>
          <w:rFonts w:ascii="Times New Roman" w:hAnsi="Times New Roman"/>
          <w:b/>
          <w:bCs/>
        </w:rPr>
        <w:t>Záväzky Slovenskej republiky vo vzťahu k Európskej únii:</w:t>
      </w:r>
    </w:p>
    <w:p w:rsidR="00B12274" w:rsidRPr="006D0299" w:rsidP="00B12274">
      <w:pPr>
        <w:pStyle w:val="BodyText"/>
        <w:widowControl/>
        <w:numPr>
          <w:ilvl w:val="1"/>
          <w:numId w:val="5"/>
        </w:numPr>
        <w:tabs>
          <w:tab w:val="left" w:pos="360"/>
        </w:tabs>
        <w:bidi w:val="0"/>
        <w:spacing w:after="120"/>
        <w:jc w:val="both"/>
        <w:rPr>
          <w:rFonts w:ascii="Times New Roman" w:hAnsi="Times New Roman"/>
        </w:rPr>
      </w:pPr>
      <w:r w:rsidRPr="006D0299">
        <w:rPr>
          <w:rFonts w:ascii="Times New Roman" w:hAnsi="Times New Roman"/>
        </w:rPr>
        <w:t xml:space="preserve">Lehota na prebratie smernice 2014/49/EÚ bola stanovená do 31.5. 2016 a lehota na prebratie smernice 2014/59/EÚ bola stanovená do 31.12. 2014. </w:t>
      </w:r>
    </w:p>
    <w:p w:rsidR="00B12274" w:rsidRPr="006D0299" w:rsidP="00B12274">
      <w:pPr>
        <w:pStyle w:val="BodyText"/>
        <w:widowControl/>
        <w:numPr>
          <w:ilvl w:val="1"/>
          <w:numId w:val="5"/>
        </w:numPr>
        <w:tabs>
          <w:tab w:val="left" w:pos="360"/>
        </w:tabs>
        <w:bidi w:val="0"/>
        <w:spacing w:after="120"/>
        <w:jc w:val="both"/>
        <w:rPr>
          <w:rFonts w:ascii="Times New Roman" w:hAnsi="Times New Roman"/>
        </w:rPr>
      </w:pPr>
      <w:r w:rsidRPr="006D0299">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2014/59/EÚ nebola zatiaľ stanovená.</w:t>
      </w:r>
    </w:p>
    <w:p w:rsidR="00B12274" w:rsidRPr="006D0299" w:rsidP="00B12274">
      <w:pPr>
        <w:pStyle w:val="BodyText"/>
        <w:widowControl/>
        <w:numPr>
          <w:ilvl w:val="1"/>
          <w:numId w:val="5"/>
        </w:numPr>
        <w:tabs>
          <w:tab w:val="left" w:pos="360"/>
        </w:tabs>
        <w:bidi w:val="0"/>
        <w:spacing w:after="120"/>
        <w:jc w:val="both"/>
        <w:rPr>
          <w:rFonts w:ascii="Times New Roman" w:hAnsi="Times New Roman"/>
        </w:rPr>
      </w:pPr>
      <w:r w:rsidRPr="006D0299">
        <w:rPr>
          <w:rFonts w:ascii="Times New Roman" w:hAnsi="Times New Roman"/>
        </w:rPr>
        <w:t>Proti SR nebolo začaté konanie o porušení Zmluvy o fungovaní Európskej únie podľa čl. 258 až 260.</w:t>
      </w:r>
    </w:p>
    <w:p w:rsidR="00B12274" w:rsidRPr="006D0299" w:rsidP="00B12274">
      <w:pPr>
        <w:pStyle w:val="BodyText"/>
        <w:widowControl/>
        <w:numPr>
          <w:ilvl w:val="1"/>
          <w:numId w:val="5"/>
        </w:numPr>
        <w:tabs>
          <w:tab w:val="left" w:pos="360"/>
        </w:tabs>
        <w:bidi w:val="0"/>
        <w:spacing w:after="240"/>
        <w:jc w:val="both"/>
        <w:rPr>
          <w:rFonts w:ascii="Times New Roman" w:hAnsi="Times New Roman"/>
        </w:rPr>
      </w:pPr>
      <w:r w:rsidRPr="006D0299">
        <w:rPr>
          <w:rFonts w:ascii="Times New Roman" w:hAnsi="Times New Roman"/>
        </w:rPr>
        <w:t xml:space="preserve"> Smernica 2014/49/EÚ bola prebratá do zákona Národnej rady Slovenskej republiky č. 118/1996 Z. z. o ochrane vkladov a o zmene a doplnení niektorých zákonov v znení neskorších predpisov, zákona č. 483/2001 Z. z. o bankách a o zmene a doplnení niektorých zákonov v znení neskorších predpisov, zákona č. 384/2011 Z. z. o osobitnom odvode vybraných finančných inštitúcií a o doplnení niektorých zákonov v znení zákona č. 233/2012 Z. z. a smernica 2014/59/EÚ bola prebratá do zákona č. 483/2001 Z. z. o bankách a o zmene a doplnení niektorých zákonov v znení neskorších predpisov, zákona č. 566/2001 Z. z. o cenných papieroch a investičných službách a o zmene a doplnení niektorých zákonov (zákon o cenných papieroch) v znení neskorších predpisov a zákona Národnej rady Slovenskej republiky č. 118/1996 Z. z. o ochrane vkladov a o zmene a doplnení niektorých zákonov v znení neskorších predpisov.</w:t>
      </w:r>
    </w:p>
    <w:p w:rsidR="00B12274" w:rsidRPr="006D0299" w:rsidP="00B12274">
      <w:pPr>
        <w:numPr>
          <w:numId w:val="5"/>
        </w:numPr>
        <w:bidi w:val="0"/>
        <w:spacing w:after="120"/>
        <w:jc w:val="both"/>
        <w:rPr>
          <w:rFonts w:ascii="Times New Roman" w:hAnsi="Times New Roman"/>
          <w:b/>
          <w:bCs/>
        </w:rPr>
      </w:pPr>
      <w:r w:rsidRPr="006D0299">
        <w:rPr>
          <w:rFonts w:ascii="Times New Roman" w:hAnsi="Times New Roman"/>
          <w:b/>
          <w:bCs/>
        </w:rPr>
        <w:t>Stupeň zlučiteľnosti návrhu zákona s právom Európskej únie:</w:t>
      </w:r>
    </w:p>
    <w:p w:rsidR="00B12274" w:rsidRPr="006D0299" w:rsidP="00B12274">
      <w:pPr>
        <w:bidi w:val="0"/>
        <w:spacing w:after="120"/>
        <w:ind w:left="425"/>
        <w:jc w:val="both"/>
        <w:rPr>
          <w:rFonts w:ascii="Times New Roman" w:hAnsi="Times New Roman"/>
        </w:rPr>
      </w:pPr>
      <w:r w:rsidRPr="006D0299">
        <w:rPr>
          <w:rFonts w:ascii="Times New Roman" w:hAnsi="Times New Roman"/>
        </w:rPr>
        <w:t>Úplný.</w:t>
      </w:r>
    </w:p>
    <w:p w:rsidR="00B12274" w:rsidRPr="006D0299" w:rsidP="00B12274">
      <w:pPr>
        <w:bidi w:val="0"/>
        <w:ind w:left="357"/>
        <w:jc w:val="both"/>
        <w:rPr>
          <w:rFonts w:ascii="Times New Roman" w:hAnsi="Times New Roman"/>
          <w:bCs/>
        </w:rPr>
      </w:pPr>
    </w:p>
    <w:p w:rsidR="00B12274" w:rsidRPr="006D0299" w:rsidP="00B12274">
      <w:pPr>
        <w:numPr>
          <w:numId w:val="5"/>
        </w:numPr>
        <w:bidi w:val="0"/>
        <w:spacing w:after="120"/>
        <w:jc w:val="both"/>
        <w:rPr>
          <w:rFonts w:ascii="Times New Roman" w:hAnsi="Times New Roman"/>
          <w:b/>
          <w:bCs/>
        </w:rPr>
      </w:pPr>
      <w:r w:rsidRPr="006D0299">
        <w:rPr>
          <w:rFonts w:ascii="Times New Roman" w:hAnsi="Times New Roman"/>
          <w:b/>
          <w:bCs/>
        </w:rPr>
        <w:t xml:space="preserve">Gestor a spolupracujúce rezorty: </w:t>
      </w:r>
    </w:p>
    <w:p w:rsidR="00B12274" w:rsidRPr="006D0299" w:rsidP="00B12274">
      <w:pPr>
        <w:bidi w:val="0"/>
        <w:spacing w:after="120"/>
        <w:ind w:left="360"/>
        <w:jc w:val="both"/>
        <w:rPr>
          <w:rFonts w:ascii="Times New Roman" w:hAnsi="Times New Roman"/>
        </w:rPr>
      </w:pPr>
      <w:r w:rsidRPr="006D0299">
        <w:rPr>
          <w:rFonts w:ascii="Times New Roman" w:hAnsi="Times New Roman"/>
        </w:rPr>
        <w:t xml:space="preserve"> Ministerstvo financií Slovenskej republiky (gestor) a Národná banka Slovenska (spolupracujúci orgán). </w:t>
      </w:r>
    </w:p>
    <w:p w:rsidR="00B12274" w:rsidRPr="006D0299" w:rsidP="00B12274">
      <w:pPr>
        <w:bidi w:val="0"/>
        <w:spacing w:after="120"/>
        <w:ind w:left="360"/>
        <w:jc w:val="both"/>
        <w:rPr>
          <w:rFonts w:ascii="Times New Roman" w:hAnsi="Times New Roman"/>
        </w:rPr>
      </w:pPr>
    </w:p>
    <w:p w:rsidR="00B12274"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644B1B" w:rsidRPr="006D0299" w:rsidP="00483802">
      <w:pPr>
        <w:bidi w:val="0"/>
        <w:jc w:val="both"/>
        <w:rPr>
          <w:rFonts w:ascii="Times New Roman" w:hAnsi="Times New Roman"/>
        </w:rPr>
      </w:pPr>
    </w:p>
    <w:p w:rsidR="00483802" w:rsidRPr="006D0299" w:rsidP="00483802">
      <w:pPr>
        <w:bidi w:val="0"/>
        <w:jc w:val="both"/>
        <w:rPr>
          <w:rFonts w:ascii="Times New Roman" w:hAnsi="Times New Roman"/>
          <w:b/>
        </w:rPr>
      </w:pPr>
      <w:r w:rsidRPr="006D0299">
        <w:rPr>
          <w:rFonts w:ascii="Times New Roman" w:hAnsi="Times New Roman"/>
          <w:b/>
        </w:rPr>
        <w:t xml:space="preserve">Osobitná časť </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b/>
        </w:rPr>
      </w:pPr>
      <w:r w:rsidRPr="006D0299">
        <w:rPr>
          <w:rFonts w:ascii="Times New Roman" w:hAnsi="Times New Roman"/>
          <w:b/>
        </w:rPr>
        <w:t>Čl. I</w:t>
      </w:r>
    </w:p>
    <w:p w:rsidR="00483802" w:rsidRPr="006D0299" w:rsidP="00483802">
      <w:pPr>
        <w:bidi w:val="0"/>
        <w:jc w:val="both"/>
        <w:rPr>
          <w:rFonts w:ascii="Times New Roman" w:hAnsi="Times New Roman"/>
          <w:u w:val="single"/>
        </w:rPr>
      </w:pPr>
      <w:r w:rsidRPr="006D0299">
        <w:rPr>
          <w:rFonts w:ascii="Times New Roman" w:hAnsi="Times New Roman"/>
          <w:u w:val="single"/>
        </w:rPr>
        <w:t>K bodu 1</w:t>
      </w:r>
    </w:p>
    <w:p w:rsidR="00483802" w:rsidRPr="006D0299" w:rsidP="00483802">
      <w:pPr>
        <w:bidi w:val="0"/>
        <w:jc w:val="both"/>
        <w:rPr>
          <w:rFonts w:ascii="Times New Roman" w:hAnsi="Times New Roman"/>
        </w:rPr>
      </w:pPr>
      <w:r w:rsidRPr="006D0299">
        <w:rPr>
          <w:rFonts w:ascii="Times New Roman" w:hAnsi="Times New Roman"/>
        </w:rPr>
        <w:t>Novelizačný bod spresňuje definíciu krízovej situácie, ktorou je aj situácia, pri ktorej sú splnené osobitné podmienky na začatie rezolučného konania podľa § 48 pri finančnej inštitúcií a holdingovej spoločnosti, riešenie krízovej situácie ktorých sa rovnako novelizuje týmto návrhom.</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2</w:t>
      </w:r>
    </w:p>
    <w:p w:rsidR="00483802" w:rsidRPr="006D0299" w:rsidP="00483802">
      <w:pPr>
        <w:bidi w:val="0"/>
        <w:jc w:val="both"/>
        <w:rPr>
          <w:rFonts w:ascii="Times New Roman" w:hAnsi="Times New Roman"/>
        </w:rPr>
      </w:pPr>
      <w:r w:rsidRPr="006D0299">
        <w:rPr>
          <w:rFonts w:ascii="Times New Roman" w:hAnsi="Times New Roman"/>
        </w:rPr>
        <w:t xml:space="preserve">Návrh spresňuje text zákona zadefinovaním nového pojmu „predpokladané straty Fondu ochrany vkladov“ v nadväznosti na pojem „net losses” uvedenom v článku 109 ods. 1 smernice. Pôvodne používaný pojem „suma strát“ v texte zákona predstavuje nepresný termín, ktorý je nie len potrebné zmeniť, ale tiež zadefinovať jeho význam. Pojem „predpokladané straty Fondu ochrany vkladov“ presnejšie zodpovedá požiadavkám článku 109 ods. 1 smernice.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3</w:t>
      </w:r>
    </w:p>
    <w:p w:rsidR="00483802" w:rsidRPr="006D0299" w:rsidP="00483802">
      <w:pPr>
        <w:bidi w:val="0"/>
        <w:jc w:val="both"/>
        <w:rPr>
          <w:rFonts w:ascii="Times New Roman" w:hAnsi="Times New Roman"/>
        </w:rPr>
      </w:pPr>
      <w:r w:rsidRPr="006D0299">
        <w:rPr>
          <w:rFonts w:ascii="Times New Roman" w:hAnsi="Times New Roman"/>
        </w:rPr>
        <w:t>Ide o doplnenie a spresnenie dôvodov zániku členstva v rade a zároveň reakciu na požiadavky praxe. Podmienkou členstva, z dôvodu dôvernosti skutočností, ktoré môžu tvoriť predmet rokovaní rady, je osvedčenie na oboznamovanie sa s utajovanými skutočnosťami minimálne v režime „dôverné“. Doplnené ustanovenie rieši praktické situácie, ktoré môžu počas činnosti rady vzniknúť a ustanovujú možnosť člena, v prípade vypršania platnosti osvedčenia vykonávať svoju činnosť až do vydania nového osvedčenia bez prerušenia členstva v rámci lehoty šiestich mesiacov tak, aby nebola obmedzená alebo zastavená činnosť rady pri riešení krízových situácií. Platí pritom, že táto osoba je naďalej dôveryhodnou a spĺňa podmienky na vykonávanie funkcie člena rady.</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4</w:t>
      </w:r>
    </w:p>
    <w:p w:rsidR="00483802" w:rsidRPr="006D0299" w:rsidP="00483802">
      <w:pPr>
        <w:bidi w:val="0"/>
        <w:jc w:val="both"/>
        <w:rPr>
          <w:rFonts w:ascii="Times New Roman" w:hAnsi="Times New Roman"/>
        </w:rPr>
      </w:pPr>
      <w:r w:rsidRPr="006D0299">
        <w:rPr>
          <w:rFonts w:ascii="Times New Roman" w:hAnsi="Times New Roman"/>
        </w:rPr>
        <w:t>Jedná sa o legislatívno-technickú zmenu poznámky pod čiarou. Odkaz na zákon o konkurze je nahradený odkazom na zákon o ochrane vkladov, nakoľko chránené vklady nie sú definované v zákone o konkurze, ale v zákone o ochrane vkladov.</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5</w:t>
      </w:r>
    </w:p>
    <w:p w:rsidR="00483802" w:rsidRPr="006D0299" w:rsidP="00483802">
      <w:pPr>
        <w:bidi w:val="0"/>
        <w:jc w:val="both"/>
        <w:rPr>
          <w:rFonts w:ascii="Times New Roman" w:hAnsi="Times New Roman"/>
        </w:rPr>
      </w:pPr>
      <w:r w:rsidRPr="006D0299">
        <w:rPr>
          <w:rFonts w:ascii="Times New Roman" w:hAnsi="Times New Roman"/>
        </w:rPr>
        <w:t>Ide o spresnenie znenia transpozície článku 96 ods. 3 písm. b) smernice.</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6</w:t>
      </w:r>
    </w:p>
    <w:p w:rsidR="00483802" w:rsidRPr="006D0299" w:rsidP="00483802">
      <w:pPr>
        <w:bidi w:val="0"/>
        <w:jc w:val="both"/>
        <w:rPr>
          <w:rFonts w:ascii="Times New Roman" w:hAnsi="Times New Roman"/>
        </w:rPr>
      </w:pPr>
      <w:r w:rsidRPr="006D0299">
        <w:rPr>
          <w:rFonts w:ascii="Times New Roman" w:hAnsi="Times New Roman"/>
        </w:rPr>
        <w:t xml:space="preserve">Navrhuje sa úprava § 26 odseku 3, ktorá vyplýva z článku 12 ods. 1 smernice, ktorá spresňuje požiadavky na obsah plánu riešenia krízových situácií na úrovni skupiny. Pre prehľadnosť zákona je explicitne uvedená potreba zahrnúť do plánu aj osoby podľa § 1 ods. 3 písm. c) a d).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7</w:t>
      </w:r>
    </w:p>
    <w:p w:rsidR="00483802" w:rsidRPr="006D0299" w:rsidP="00483802">
      <w:pPr>
        <w:bidi w:val="0"/>
        <w:jc w:val="both"/>
        <w:rPr>
          <w:rFonts w:ascii="Times New Roman" w:hAnsi="Times New Roman"/>
        </w:rPr>
      </w:pPr>
      <w:r w:rsidRPr="006D0299">
        <w:rPr>
          <w:rFonts w:ascii="Times New Roman" w:hAnsi="Times New Roman"/>
        </w:rPr>
        <w:t xml:space="preserve">Návrh spresňuje text zákona v súvislosti s európskou legislatívou - Oznámením Komisie o uplatňovaní pravidiel štátnej pomoci na podporné opatrenia v prospech bánk v súvislosti s finančnou krízou od  1. augusta 2013 („Oznámenie o bankovníctve“) (2013/C 216/01) (Ú. v. EÚ C 216, 30.7.2013).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8</w:t>
      </w:r>
    </w:p>
    <w:p w:rsidR="00483802" w:rsidRPr="006D0299" w:rsidP="00483802">
      <w:pPr>
        <w:bidi w:val="0"/>
        <w:jc w:val="both"/>
        <w:rPr>
          <w:rFonts w:ascii="Times New Roman" w:hAnsi="Times New Roman"/>
        </w:rPr>
      </w:pPr>
      <w:r w:rsidRPr="006D0299">
        <w:rPr>
          <w:rFonts w:ascii="Times New Roman" w:hAnsi="Times New Roman"/>
        </w:rPr>
        <w:t>Ide o spresnenie podmienok na začatie rezolučného konania. Rezolučné konanie môže začať aj ak sú splnené osobitné podmienky podľa § 48 pri finančnej inštitúcií a holdingovej spoločnosti.</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9</w:t>
      </w:r>
    </w:p>
    <w:p w:rsidR="00483802" w:rsidRPr="006D0299" w:rsidP="00483802">
      <w:pPr>
        <w:bidi w:val="0"/>
        <w:jc w:val="both"/>
        <w:rPr>
          <w:rFonts w:ascii="Times New Roman" w:hAnsi="Times New Roman"/>
        </w:rPr>
      </w:pPr>
      <w:r w:rsidRPr="006D0299">
        <w:rPr>
          <w:rFonts w:ascii="Times New Roman" w:hAnsi="Times New Roman"/>
        </w:rPr>
        <w:t>Navrhované znenie je spresnením znenia transpozície článku 33 smernice, ktorý upravuje podmienky na riešenie krízových situácií finančnej inštitúcie a holdingovej spoločnosti. Úprava bola potrebná vzhľadom na potrebu presného definovania podmienok riešenia krízovej situácie takýchto inštitúcií a vzťahov medzi osobami podľa § 1 ods. 3 písm. c) a d) a ich dcérskymi spoločnosťami.</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10</w:t>
      </w:r>
    </w:p>
    <w:p w:rsidR="00483802" w:rsidRPr="006D0299" w:rsidP="00483802">
      <w:pPr>
        <w:bidi w:val="0"/>
        <w:jc w:val="both"/>
        <w:rPr>
          <w:rFonts w:ascii="Times New Roman" w:hAnsi="Times New Roman"/>
        </w:rPr>
      </w:pPr>
      <w:r w:rsidRPr="006D0299">
        <w:rPr>
          <w:rFonts w:ascii="Times New Roman" w:hAnsi="Times New Roman"/>
        </w:rPr>
        <w:t>V súvislosti s navrhovanými zmenami spresňujúcimi režim riešenia krízovej situácie finančných inštitúcií a holdingových spoločností bolo potrebné v súlade so znení smernice upraviť aj znenie zákona tak, aby bol prehľadný pre potreby určenia podmienok rezolučného konania voči týmto subjektom. Hoci sa jedná o legislatívno-technickú úpravu textu má táto vecný význam práve v sprehľadnení zákona vo vzťahu k subjektom podľa §1 ods. 3 písm. c) a d).</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 xml:space="preserve">K bodom 11 až 13 </w:t>
      </w:r>
    </w:p>
    <w:p w:rsidR="00483802" w:rsidRPr="006D0299" w:rsidP="00483802">
      <w:pPr>
        <w:bidi w:val="0"/>
        <w:jc w:val="both"/>
        <w:rPr>
          <w:rFonts w:ascii="Times New Roman" w:hAnsi="Times New Roman"/>
        </w:rPr>
      </w:pPr>
      <w:r w:rsidRPr="006D0299">
        <w:rPr>
          <w:rFonts w:ascii="Times New Roman" w:hAnsi="Times New Roman"/>
        </w:rPr>
        <w:t xml:space="preserve">Navrhované znenie spresňuje úprava oceňovania podľa § 51 pričom sa okrem spresnenia textu zavádza povinnosť zohľadniť oceňovanie v účtovnej závierke, ktorá tvorí jeho súčasť a možnosť rady rozhodnúť na základe oceňovania o uložení opatrenia na riešenie znenie krízovej situácie vrátane prevzatia kontroly aj voči osobe podľa § 1 ods. 3 písm. c) a d).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14</w:t>
      </w:r>
    </w:p>
    <w:p w:rsidR="00483802" w:rsidRPr="006D0299" w:rsidP="00483802">
      <w:pPr>
        <w:bidi w:val="0"/>
        <w:jc w:val="both"/>
        <w:rPr>
          <w:rFonts w:ascii="Times New Roman" w:hAnsi="Times New Roman"/>
        </w:rPr>
      </w:pPr>
      <w:r w:rsidRPr="006D0299">
        <w:rPr>
          <w:rFonts w:ascii="Times New Roman" w:hAnsi="Times New Roman"/>
        </w:rPr>
        <w:t>Novelizácia rieši zosúladenie právomoci Protimonopolného úradu Slovenskej republiky (Protimonopolný úrad SR) v procese riešenia krízovej situácie a to na základe diskusií s Protimonopolným úradom SR ako aj s Európskou Komisiou v oblasti ochrany hospodárskej súťaže pri vykonávaní opatrenia riešenia krízových situácií. Protimonopolný úrad SR získava explicitnú právomoc posúdiť dopad výkonu opatrenia prevodu majetku na hospodársku súťaž a to tak, aby nedochádzalo k jej ohrozeniu a zároveň v režime, ktorý umožní rozhodnutie v krátkom čase niekoľkých dní, neohrozujúc tak priebeh riešenia krízovej situácie banky, ktorej sa opatrenie prevodu majetku týka.</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15</w:t>
      </w:r>
    </w:p>
    <w:p w:rsidR="00483802" w:rsidRPr="006D0299" w:rsidP="00483802">
      <w:pPr>
        <w:bidi w:val="0"/>
        <w:jc w:val="both"/>
        <w:rPr>
          <w:rFonts w:ascii="Times New Roman" w:hAnsi="Times New Roman"/>
        </w:rPr>
      </w:pPr>
      <w:r w:rsidRPr="006D0299">
        <w:rPr>
          <w:rFonts w:ascii="Times New Roman" w:hAnsi="Times New Roman"/>
        </w:rPr>
        <w:t>Ide o spresnenie znenia transpozície článku 44 ods. 2  smernice a s tým súvisiace legislatívno-technické doplnenie poznámky pod čiarou. Opatrenie kapitalizácie sa nevzťahuje na záväzky z držby peňažných prostriedkov klientov alebo iných aktív vrátane aktív alebo finančných prostriedkov, ktoré sú v držbe fondu, pre ktorý je vybraná inštitúcia alebo osoba podľa § 1 ods. 3 písm. b) až d), ktorej krízová situácia sa rieši, depozitárom a zároveň tieto prostriedky sú považované za klientsky majetok podľa zákona č. 566/2001 Z. z. o cenných papieroch a investičných službách a o zmene a doplnení niektorých zákonov do výšky náhrady 50 000 eur.</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16</w:t>
      </w:r>
    </w:p>
    <w:p w:rsidR="00483802" w:rsidRPr="006D0299" w:rsidP="00483802">
      <w:pPr>
        <w:bidi w:val="0"/>
        <w:jc w:val="both"/>
        <w:rPr>
          <w:rFonts w:ascii="Times New Roman" w:hAnsi="Times New Roman"/>
        </w:rPr>
      </w:pPr>
      <w:r w:rsidRPr="006D0299">
        <w:rPr>
          <w:rFonts w:ascii="Times New Roman" w:hAnsi="Times New Roman"/>
        </w:rPr>
        <w:t>Návrh ustanovenia spresňuje znenie § 59 a dopĺňa poznámku pod čiarou. Opatrenie kapitalizácie sa nevzťahuje na splatnú mzdu alebo akýkoľvek iný pevný pracovnoprávny nárok zamestnanca voči zamestnávateľovi vrátane variabilnej zložky odmeňovania, ak je upravená v rámci kolektívneho vyjednávania. Výnimkou sú zamestnanci, ktorých profesionálna činnosť ma významný vplyv na rizikový profil inštitúcie, ktorí sú bližšie vymedzení v delegovanom nariadení Komisie (EÚ) č. 604/2014 zo 4. marca 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Variabilná zložka odmeňovania týchto zamestnancov nie je za žiadnych okolností vyňatá z opatrenia kapitalizácie, ani v prípade, že je upravená v rámci kolektívneho vyjednávania.</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17</w:t>
      </w:r>
    </w:p>
    <w:p w:rsidR="00483802" w:rsidRPr="006D0299" w:rsidP="00483802">
      <w:pPr>
        <w:bidi w:val="0"/>
        <w:jc w:val="both"/>
        <w:rPr>
          <w:rFonts w:ascii="Times New Roman" w:hAnsi="Times New Roman"/>
        </w:rPr>
      </w:pPr>
      <w:r w:rsidRPr="006D0299">
        <w:rPr>
          <w:rFonts w:ascii="Times New Roman" w:hAnsi="Times New Roman"/>
        </w:rPr>
        <w:t>Návrh spresňuje formulácie § 59 ods. 2. Rada môže vylúčiť z opatrenia kapitalizácie, iba niektoré oprávnené záväzky, tak ako sú definované v § 2 písm. y) zákona.</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18</w:t>
      </w:r>
    </w:p>
    <w:p w:rsidR="00483802" w:rsidRPr="006D0299" w:rsidP="00483802">
      <w:pPr>
        <w:bidi w:val="0"/>
        <w:jc w:val="both"/>
        <w:rPr>
          <w:rFonts w:ascii="Times New Roman" w:hAnsi="Times New Roman"/>
        </w:rPr>
      </w:pPr>
      <w:r w:rsidRPr="006D0299">
        <w:rPr>
          <w:rFonts w:ascii="Times New Roman" w:hAnsi="Times New Roman"/>
        </w:rPr>
        <w:t xml:space="preserve">Ide o spresnenie textu zákona v súvislosti s transpozíciou článku 48 ods. 1 písm. b) a c) smernice. Ak celková suma zníženia podľa § 62 ods. 1 písm. a) je nižšia ako je potrebné  znížiť podľa § 61 ods. 4 písm. b) a c), zníži sa suma istiny nástrojov dodatočného kapitálu Tier 1 v požadovanom rozsahu alebo do výšky kapacity, v závislosti od toho, ktorá suma je nižšia. Ak ani takéto zníženie stále nie je dostatočné, zníži sa aj sumy istiny nástrojov kapitálu Tier 2, opäť buď v požadovanom rozsahu alebo do výšky kapacity, podľa toho, ktorá suma je nižšia.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19</w:t>
      </w:r>
    </w:p>
    <w:p w:rsidR="00483802" w:rsidRPr="006D0299" w:rsidP="00483802">
      <w:pPr>
        <w:bidi w:val="0"/>
        <w:jc w:val="both"/>
        <w:rPr>
          <w:rFonts w:ascii="Times New Roman" w:hAnsi="Times New Roman"/>
        </w:rPr>
      </w:pPr>
      <w:r w:rsidRPr="006D0299">
        <w:rPr>
          <w:rFonts w:ascii="Times New Roman" w:hAnsi="Times New Roman"/>
        </w:rPr>
        <w:t>Z dôvodu právnej istoty je všeobecný pojem „hodnota“ spresnený a nahradený presnejším pojmom „hodnota zistená v súlade s ocenením podľa § 51“.</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20</w:t>
      </w:r>
    </w:p>
    <w:p w:rsidR="00483802" w:rsidRPr="006D0299" w:rsidP="00483802">
      <w:pPr>
        <w:bidi w:val="0"/>
        <w:jc w:val="both"/>
        <w:rPr>
          <w:rFonts w:ascii="Times New Roman" w:hAnsi="Times New Roman"/>
        </w:rPr>
      </w:pPr>
      <w:r w:rsidRPr="006D0299">
        <w:rPr>
          <w:rFonts w:ascii="Times New Roman" w:hAnsi="Times New Roman"/>
        </w:rPr>
        <w:t xml:space="preserve">Úprava súvisí so spresnením znenia transpozície článku 48 ods. 5 smernice. Pojem „v podstatnej výške“ je nahradený vhodnejším pojmom „plne“.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21</w:t>
      </w:r>
    </w:p>
    <w:p w:rsidR="00483802" w:rsidRPr="006D0299" w:rsidP="00483802">
      <w:pPr>
        <w:bidi w:val="0"/>
        <w:jc w:val="both"/>
        <w:rPr>
          <w:rFonts w:ascii="Times New Roman" w:hAnsi="Times New Roman"/>
        </w:rPr>
      </w:pPr>
      <w:r w:rsidRPr="006D0299">
        <w:rPr>
          <w:rFonts w:ascii="Times New Roman" w:hAnsi="Times New Roman"/>
        </w:rPr>
        <w:t xml:space="preserve">Ide o spresnenie textu zákona v súvislosti s transpozíciou článkov 52 ods. 7 a 8 smernice. Iba prerokovanie reorganizácie obchodnej činnosti s Národnou bankou Slovenska nie je dostatočné. Rada musí zohľadniť názor Národnej banky Slovenska vzhľadom na primárnu zodpovednosť Národnej banky Slovenska za stabilitu BS a získať jej súhlas.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bodom 22 a 23</w:t>
      </w:r>
    </w:p>
    <w:p w:rsidR="00483802" w:rsidRPr="006D0299" w:rsidP="00483802">
      <w:pPr>
        <w:bidi w:val="0"/>
        <w:jc w:val="both"/>
        <w:rPr>
          <w:rFonts w:ascii="Times New Roman" w:hAnsi="Times New Roman"/>
          <w:u w:val="single"/>
        </w:rPr>
      </w:pPr>
      <w:r w:rsidRPr="006D0299">
        <w:rPr>
          <w:rFonts w:ascii="Times New Roman" w:hAnsi="Times New Roman"/>
        </w:rPr>
        <w:t>Úprava súvisí so spresnením znenia transpozície článku 54 smernice. Rada môže odstrániť procesné prekážky pri kapitalizácii aj pre osoby podľa § 1 ods. 3 písm. b) až d).</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K bodom 24 a 25</w:t>
      </w:r>
    </w:p>
    <w:p w:rsidR="00483802" w:rsidRPr="006D0299" w:rsidP="00483802">
      <w:pPr>
        <w:bidi w:val="0"/>
        <w:jc w:val="both"/>
        <w:rPr>
          <w:rFonts w:ascii="Times New Roman" w:hAnsi="Times New Roman"/>
        </w:rPr>
      </w:pPr>
      <w:r w:rsidRPr="006D0299">
        <w:rPr>
          <w:rFonts w:ascii="Times New Roman" w:hAnsi="Times New Roman"/>
        </w:rPr>
        <w:t>Ide o spresnenie znenia transpozície článku 59 smernice a článku 60 ods. 3 smernice. Rada môže rozhodnúť o odpísaní a konverzií kapitálových nástrojov aj vzhľadom na osobu podľa  § 1 ods. 3 písm. b) až d).</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26</w:t>
      </w:r>
    </w:p>
    <w:p w:rsidR="00483802" w:rsidRPr="006D0299" w:rsidP="00483802">
      <w:pPr>
        <w:bidi w:val="0"/>
        <w:jc w:val="both"/>
        <w:rPr>
          <w:rFonts w:ascii="Times New Roman" w:hAnsi="Times New Roman"/>
        </w:rPr>
      </w:pPr>
      <w:r w:rsidRPr="006D0299">
        <w:rPr>
          <w:rFonts w:ascii="Times New Roman" w:hAnsi="Times New Roman"/>
        </w:rPr>
        <w:t>Ide o spresnenie transpozície transpozíciu článku 60 ods. 3 smernice. Návrh zavádza právomoc rady uložiť povinnosť vydať príslušné kapitálové nástroje aj osobe podľa § 1 ods. 3 písm. b) až d).</w:t>
      </w:r>
    </w:p>
    <w:p w:rsidR="00483802" w:rsidRPr="006D0299" w:rsidP="00483802">
      <w:pPr>
        <w:bidi w:val="0"/>
        <w:jc w:val="both"/>
        <w:rPr>
          <w:rFonts w:ascii="Times New Roman" w:hAnsi="Times New Roman"/>
        </w:rPr>
      </w:pPr>
      <w:r w:rsidRPr="006D0299">
        <w:rPr>
          <w:rFonts w:ascii="Times New Roman" w:hAnsi="Times New Roman"/>
        </w:rPr>
        <w:t xml:space="preserve"> </w:t>
      </w:r>
    </w:p>
    <w:p w:rsidR="00483802" w:rsidRPr="006D0299" w:rsidP="00483802">
      <w:pPr>
        <w:bidi w:val="0"/>
        <w:jc w:val="both"/>
        <w:rPr>
          <w:rFonts w:ascii="Times New Roman" w:hAnsi="Times New Roman"/>
          <w:u w:val="single"/>
        </w:rPr>
      </w:pPr>
      <w:r w:rsidRPr="006D0299">
        <w:rPr>
          <w:rFonts w:ascii="Times New Roman" w:hAnsi="Times New Roman"/>
          <w:u w:val="single"/>
        </w:rPr>
        <w:t xml:space="preserve">K bodu 27 </w:t>
      </w:r>
    </w:p>
    <w:p w:rsidR="00483802" w:rsidRPr="006D0299" w:rsidP="00483802">
      <w:pPr>
        <w:bidi w:val="0"/>
        <w:jc w:val="both"/>
        <w:rPr>
          <w:rFonts w:ascii="Times New Roman" w:hAnsi="Times New Roman"/>
          <w:color w:val="auto"/>
        </w:rPr>
      </w:pPr>
      <w:r w:rsidRPr="006D0299">
        <w:rPr>
          <w:rFonts w:ascii="Times New Roman" w:hAnsi="Times New Roman"/>
        </w:rPr>
        <w:t>Nariadenie Európskeho parlamentu a Rady (EÚ) č. 806/2014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(ďalej len „nariadenie“) neupravuje oblasť vládnych stabilizačných nástrojov upravených v doterajšej deviatej časti zákona. Nakoľko nariadenie má prednosť pred slovenskou úpravou a vládne stabilizačné opatrenie nepozná a z konzultácií s Komisiou vyplýva, že štáty Bankovej únie nemajú používať vládne stabilizačné opatrenia je potrebné túto časť zákona vypustiť. Vypustenie nemá vplyv na nevyhnutné transpozičné opatrenia vo vzťahu k smernici alebo výkonu ustanovení nariadenia alebo zákona.</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bodom 28 až 32</w:t>
      </w:r>
    </w:p>
    <w:p w:rsidR="00483802" w:rsidRPr="006D0299" w:rsidP="00483802">
      <w:pPr>
        <w:bidi w:val="0"/>
        <w:jc w:val="both"/>
        <w:rPr>
          <w:rFonts w:ascii="Times New Roman" w:hAnsi="Times New Roman"/>
        </w:rPr>
      </w:pPr>
      <w:r w:rsidRPr="006D0299">
        <w:rPr>
          <w:rFonts w:ascii="Times New Roman" w:hAnsi="Times New Roman"/>
        </w:rPr>
        <w:t xml:space="preserve">Ide o vecnú zmenu ocenenia rozdielneho zaobchádzania. To sa musí vykonať aj vzhľadom na každú jednu osobu v skupine, ktorej sa týkalo rezolučné konanie. V § 78 ide o  legislatívno-technickú zmenu vnútorného odkazu v zákone.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33</w:t>
      </w:r>
    </w:p>
    <w:p w:rsidR="00483802" w:rsidRPr="006D0299" w:rsidP="00483802">
      <w:pPr>
        <w:bidi w:val="0"/>
        <w:jc w:val="both"/>
        <w:rPr>
          <w:rFonts w:ascii="Times New Roman" w:hAnsi="Times New Roman"/>
        </w:rPr>
      </w:pPr>
      <w:r w:rsidRPr="006D0299">
        <w:rPr>
          <w:rFonts w:ascii="Times New Roman" w:hAnsi="Times New Roman"/>
        </w:rPr>
        <w:t>Ide o zosúladenie režimu zákona s režimom smernice a režimom nariadenia, kedy pre vybrané inštitúcie podľa nariadenia stanovuje výšku ročných príspevkov Jednotná rada pre riešenie krízových situácií a nie rada, ako tomu bolo doteraz. Potreba doplnenia vyplynula najmä z aplikačnej praxe Jednotnej rady pre riešenie krízových situácií.</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color w:themeColor="tx1" w:themeShade="FF"/>
          <w:u w:val="single"/>
        </w:rPr>
      </w:pPr>
      <w:r w:rsidRPr="006D0299">
        <w:rPr>
          <w:rFonts w:ascii="Times New Roman" w:hAnsi="Times New Roman"/>
          <w:color w:themeColor="tx1" w:themeShade="FF"/>
          <w:u w:val="single"/>
        </w:rPr>
        <w:t>K bodom 34, 35 a 37</w:t>
      </w:r>
    </w:p>
    <w:p w:rsidR="00483802" w:rsidRPr="006D0299" w:rsidP="00483802">
      <w:pPr>
        <w:bidi w:val="0"/>
        <w:jc w:val="both"/>
        <w:rPr>
          <w:rFonts w:ascii="Times New Roman" w:hAnsi="Times New Roman"/>
        </w:rPr>
      </w:pPr>
      <w:r w:rsidRPr="006D0299">
        <w:rPr>
          <w:rFonts w:ascii="Times New Roman" w:hAnsi="Times New Roman"/>
        </w:rPr>
        <w:t xml:space="preserve">Navrhnutými úpravami § 91 ods. 1 a § 92 ods. 7 zákona č. 371/2014 Z. z. sa do § 91 odseku 1 dopĺňa písmeno h) a dopĺňa sa § 92 ods. 7 tak, že jednak medzi prostriedky do národného fondu (zriadeného podľa § 87 ods. 2) môžu patriť aj ďalšie príjmy podľa osobitných predpisov a že jednak prostriedky z národného fondu môžu byť použité aj na úhradu ďalších výdavkov podľa osobitných predpisov, čím sa bez potreby opätovného novelizovania reflektuje relevantná súvisiaca legislatíva, napríklad ustanovenia § 711 ods. 1 a § 714 Obchodného zákonníka. Na základe tejto súvisiacej legislatívy prostriedky národného fondu uložené na bankových účtoch sa úročia (teda kladné úroky patria medzi prostriedky plynúce do národného fondu), ale taktiež prostriedky národného fondu uložené na bankových účtoch sa v zmysle zákona používajú na úhrady nákladov spojených s vykonaním prevodov (platieb) peňažných prostriedkov z bankových účtov, na ktorých sú uložené prostriedky národného fondu, a to na základe § 711 ods. 1 a § 714 Obchodného zákonníka (zákona č. 513/1991 Zb. v znení neskorších predpisov). Okrem toho úroky a iné výnosy plynúce z prostriedkov národného fondu, ktoré sú uložené na bankových účtoch, podliehajú zrážkovej dani z príjmov v zmysle § 43 ods. 3 písm. a) zákona č. 595/2003 Z. z. o dani z príjmov v znení neskorších predpisov.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 xml:space="preserve">K bodu 36 </w:t>
      </w:r>
    </w:p>
    <w:p w:rsidR="00483802" w:rsidRPr="006D0299" w:rsidP="00483802">
      <w:pPr>
        <w:bidi w:val="0"/>
        <w:jc w:val="both"/>
        <w:rPr>
          <w:rFonts w:ascii="Times New Roman" w:hAnsi="Times New Roman"/>
        </w:rPr>
      </w:pPr>
      <w:r w:rsidRPr="006D0299">
        <w:rPr>
          <w:rFonts w:ascii="Times New Roman" w:hAnsi="Times New Roman"/>
        </w:rPr>
        <w:t xml:space="preserve">Ide o legislatívno-technickú úpravu znenia ustanovenia v súvislosti so zmenou navrhovanou v bode 2. Pojem „suma strát“ nahrádza pojem „predpokladané straty Fondu ochrany vkladov“. </w:t>
      </w:r>
    </w:p>
    <w:p w:rsidR="00483802" w:rsidRPr="006D0299" w:rsidP="00483802">
      <w:pPr>
        <w:bidi w:val="0"/>
        <w:jc w:val="both"/>
        <w:rPr>
          <w:rFonts w:ascii="Times New Roman" w:hAnsi="Times New Roman"/>
          <w:u w:val="single"/>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38</w:t>
      </w:r>
    </w:p>
    <w:p w:rsidR="00483802" w:rsidRPr="006D0299" w:rsidP="00483802">
      <w:pPr>
        <w:bidi w:val="0"/>
        <w:jc w:val="both"/>
        <w:rPr>
          <w:rFonts w:ascii="Times New Roman" w:hAnsi="Times New Roman"/>
        </w:rPr>
      </w:pPr>
      <w:r w:rsidRPr="006D0299">
        <w:rPr>
          <w:rFonts w:ascii="Times New Roman" w:hAnsi="Times New Roman"/>
        </w:rPr>
        <w:t>Zmenou ustanovenia § 93 sa do právneho poriadku zavádza možnosť pre vládu SR uzavrieť s Jednotnou radou pre riešenie krízových situácií dohodu o poskytnutí preklenovacieho financovania (bridge financing) vo forme úverovej linky, resp. dohody o úverovom mechanizme, k vytvoreniu ktorého sa zaviazali predstavitelia členských štátov Európskej únie v decembri 2013 a rovnako vláda SR vo svojom programovom vyhlásení. Dohoda bude vytvárať právny rámec na poskytnutie prostriedkov pre potreby riešenia krízovej situácie úverovej inštitúcie so sídlom na území Slovenskej republiky.</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u w:val="single"/>
        </w:rPr>
      </w:pPr>
      <w:r w:rsidRPr="006D0299">
        <w:rPr>
          <w:rFonts w:ascii="Times New Roman" w:hAnsi="Times New Roman"/>
          <w:u w:val="single"/>
        </w:rPr>
        <w:t>K bodu 39</w:t>
      </w:r>
    </w:p>
    <w:p w:rsidR="00483802" w:rsidRPr="006D0299" w:rsidP="00483802">
      <w:pPr>
        <w:bidi w:val="0"/>
        <w:jc w:val="both"/>
        <w:rPr>
          <w:rFonts w:ascii="Times New Roman" w:hAnsi="Times New Roman"/>
        </w:rPr>
      </w:pPr>
      <w:r w:rsidRPr="006D0299">
        <w:rPr>
          <w:rFonts w:ascii="Times New Roman" w:hAnsi="Times New Roman"/>
        </w:rPr>
        <w:t xml:space="preserve">Ide o legislatívno-technickú zmenu za účelom spresnenia princípov použitia peňažných prostriedkov Fondu ochrany vkladov. V odsekoch 1 a 3 sa navrhujú zmeny, ktoré sú nevyhnutné na zosúladenie textu zákona s aplikačnou praxou vo vzťahu k požiadavkám stanoveným v článku 109 ods. 1 smernice. V odseku 3 sa nahrádza pojem „úhrn náhrad za nedostupne vklady“ pojmom „predpokladané straty Fondu ochrany vkladov“. Novo doplnený odsek 5 je spresnením transpozície článku 109 ods. 3 smernice z dôvodu aplikačnej praxe a potreby právnej istoty pri výklade ustanovení § 97. </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b/>
        </w:rPr>
      </w:pPr>
      <w:r w:rsidRPr="006D0299">
        <w:rPr>
          <w:rFonts w:ascii="Times New Roman" w:hAnsi="Times New Roman"/>
          <w:b/>
        </w:rPr>
        <w:t>Čl. II</w:t>
      </w:r>
    </w:p>
    <w:p w:rsidR="00483802" w:rsidRPr="006D0299" w:rsidP="00483802">
      <w:pPr>
        <w:bidi w:val="0"/>
        <w:jc w:val="both"/>
        <w:rPr>
          <w:rFonts w:ascii="Times New Roman" w:hAnsi="Times New Roman"/>
        </w:rPr>
      </w:pPr>
      <w:r w:rsidRPr="006D0299">
        <w:rPr>
          <w:rFonts w:ascii="Times New Roman" w:hAnsi="Times New Roman"/>
        </w:rPr>
        <w:t>Ide o legislatívno-technickú úpravu znenia ustanovenia za účelom zosúladenia textu zákona o ochrane vkladov s článkom 109 ods. 5 smernice, ktorý vyžaduje stanoviť maximálnu percentuálnu hranicu pre použitie prostriedkov Fondu ochrany vkladov. Uvedeným ustanovením sa stanovuje horná hranica pre prípadné odchýlne rozhodnutie Rady fondu vo výške 160 % cieľovej úrovne Fondu ochrany vkladov. Navrhovaný limit  160 % cieľovej úrovne reflektuje cieľovú úroveň Fondu ochrany vkladov, ktorá je podľa § 6 ods. 4 zákona o ochrane vkladov 0,8 % z hodnoty krytých vkladov do výšky náhrady 100 000 eur a maximálnu výšku mimoriadneho príspevku, ktorý je podľa § 6 ods. 3 zákona o ochrane vkladov 0,5 % z hodnoty krytých vkladov do výšky náhrady 100 000 eur. Rada fondu pri prípadnom rozhodovaní musí zohľadniť všetky okolnosti tak, aby bola zabezpečená kontinuálna ochrana vkladov podľa zákona o ochrane vkladov.</w:t>
      </w:r>
    </w:p>
    <w:p w:rsidR="00483802" w:rsidRPr="006D0299" w:rsidP="00483802">
      <w:pPr>
        <w:bidi w:val="0"/>
        <w:jc w:val="both"/>
        <w:rPr>
          <w:rFonts w:ascii="Times New Roman" w:hAnsi="Times New Roman"/>
        </w:rPr>
      </w:pPr>
    </w:p>
    <w:p w:rsidR="00483802" w:rsidRPr="006D0299" w:rsidP="00483802">
      <w:pPr>
        <w:bidi w:val="0"/>
        <w:jc w:val="both"/>
        <w:rPr>
          <w:rFonts w:ascii="Times New Roman" w:hAnsi="Times New Roman"/>
          <w:b/>
        </w:rPr>
      </w:pPr>
      <w:r w:rsidRPr="006D0299">
        <w:rPr>
          <w:rFonts w:ascii="Times New Roman" w:hAnsi="Times New Roman"/>
          <w:b/>
        </w:rPr>
        <w:t>Čl. III</w:t>
      </w:r>
    </w:p>
    <w:p w:rsidR="00483802" w:rsidRPr="006D0299" w:rsidP="00483802">
      <w:pPr>
        <w:bidi w:val="0"/>
        <w:jc w:val="both"/>
        <w:rPr>
          <w:rFonts w:ascii="Times New Roman" w:hAnsi="Times New Roman"/>
          <w:u w:val="single"/>
        </w:rPr>
      </w:pPr>
      <w:r w:rsidRPr="006D0299">
        <w:rPr>
          <w:rFonts w:ascii="Times New Roman" w:hAnsi="Times New Roman"/>
          <w:u w:val="single"/>
        </w:rPr>
        <w:t>K bodu 1</w:t>
      </w:r>
    </w:p>
    <w:p w:rsidR="00483802" w:rsidRPr="006D0299" w:rsidP="00483802">
      <w:pPr>
        <w:bidi w:val="0"/>
        <w:jc w:val="both"/>
        <w:rPr>
          <w:rFonts w:ascii="Times New Roman" w:hAnsi="Times New Roman"/>
        </w:rPr>
      </w:pPr>
      <w:r w:rsidRPr="006D0299">
        <w:rPr>
          <w:rFonts w:ascii="Times New Roman" w:hAnsi="Times New Roman"/>
        </w:rPr>
        <w:t xml:space="preserve">Ide o legislatívno-technickú úpravu a spresnenie textu zákona v súvislosti s prednostným postavením pohľadávok z chránených vkladov za účelom zosúladenia tohto ustanovenia s článkom 108 smernice a článkom 9 ods. 2 smernice Európskeho parlamentu a Rady 2014/49/EÚ o systémoch ochrany vkladov (prepracované znenie). Prioritne sa z výťažku speňaženia majetku tvoriaceho všeobecnú podstatu, ktorý zvýšil po odpočítaní pohľadávok proti všeobecnej podstate uspokoja pohľadávky Fondu ochrany vkladov, ktoré vznikli vyplatením náhrad za kryté vklady alebo poskytnutím prostriedkov na riešenie krízovej situácie. Až po uspokojení týchto pohľadávok sa uspokoja pohľadávky z chránených vkladov fyzických osôb, mikropodnikov, malých a stredných podnikov prevyšujúce úroveň krytia podľa § 9 ods. 2 zákona o ochrane vkladov. Rovnakú úroveň priority majú aj pohľadávky z vkladov fyzických osôb, mikropodnikov, malých a stredných podnikov, ktoré by boli považované za chránené vklady, </w:t>
      </w:r>
      <w:r w:rsidRPr="006D0299">
        <w:rPr>
          <w:rFonts w:ascii="Times New Roman" w:hAnsi="Times New Roman"/>
          <w:color w:val="auto"/>
        </w:rPr>
        <w:t>ak by neboli vložené do pobočky banky umiestnenej</w:t>
      </w:r>
      <w:r w:rsidRPr="006D0299">
        <w:rPr>
          <w:rFonts w:ascii="Times New Roman" w:hAnsi="Times New Roman"/>
        </w:rPr>
        <w:t xml:space="preserve"> </w:t>
      </w:r>
      <w:r w:rsidRPr="006D0299">
        <w:rPr>
          <w:rFonts w:ascii="Times New Roman" w:hAnsi="Times New Roman"/>
          <w:color w:val="auto"/>
        </w:rPr>
        <w:t>v inom ako členskom štáte</w:t>
      </w:r>
      <w:r w:rsidRPr="006D0299">
        <w:rPr>
          <w:rFonts w:ascii="Times New Roman" w:hAnsi="Times New Roman"/>
        </w:rPr>
        <w:t>. Mikropodniky, malé a stredné podniky sú definované v odporúčaní Komisie zo 6. mája 2003, ktoré sa týka  definície mikro, malých a stredných podnikov (oznámené pod číslom dokumentu C(2003) 1422) (2003/361/ES). Až po uspokojení týchto prednostných pohľadávok z chránených vkladov sa uspokojujú ostatné nezabezpečené pohľadávky podľa príslušných ustanovení zákona o konkurze.</w:t>
      </w:r>
    </w:p>
    <w:p w:rsidR="00483802" w:rsidRPr="006D0299" w:rsidP="00483802">
      <w:pPr>
        <w:bidi w:val="0"/>
        <w:jc w:val="both"/>
        <w:rPr>
          <w:rFonts w:ascii="Times New Roman" w:hAnsi="Times New Roman"/>
          <w:u w:val="single"/>
        </w:rPr>
      </w:pPr>
      <w:r w:rsidRPr="006D0299">
        <w:rPr>
          <w:rFonts w:ascii="Times New Roman" w:hAnsi="Times New Roman"/>
        </w:rPr>
        <w:t xml:space="preserve"> </w:t>
      </w:r>
    </w:p>
    <w:p w:rsidR="00483802" w:rsidRPr="006D0299" w:rsidP="00483802">
      <w:pPr>
        <w:bidi w:val="0"/>
        <w:jc w:val="both"/>
        <w:rPr>
          <w:rFonts w:ascii="Times New Roman" w:hAnsi="Times New Roman"/>
          <w:u w:val="single"/>
        </w:rPr>
      </w:pPr>
      <w:r w:rsidRPr="006D0299">
        <w:rPr>
          <w:rFonts w:ascii="Times New Roman" w:hAnsi="Times New Roman"/>
          <w:u w:val="single"/>
        </w:rPr>
        <w:t>K bodu 2</w:t>
      </w:r>
    </w:p>
    <w:p w:rsidR="00483802" w:rsidRPr="006D0299" w:rsidP="00483802">
      <w:pPr>
        <w:bidi w:val="0"/>
        <w:jc w:val="both"/>
        <w:rPr>
          <w:rFonts w:ascii="Times New Roman" w:hAnsi="Times New Roman"/>
        </w:rPr>
      </w:pPr>
      <w:r w:rsidRPr="006D0299">
        <w:rPr>
          <w:rFonts w:ascii="Times New Roman" w:hAnsi="Times New Roman"/>
        </w:rPr>
        <w:t xml:space="preserve">V súvislosti s transpozíciou článku 108 smernice a článku 9 ods. 2 smernice Európskeho parlamentu a Rady 2014/49/EÚ o systémoch ochrany vkladov (prepracované znenie) do § 180a zákona o konkurze a reštrukturalizácii sa dopĺňa príloha zákona - Zoznam preberaných právne záväzných aktov Európskej únie o smernicu  Európskeho parlamentu a Rady 2014/49/EÚ o systémoch ochrany vkladov (prepracované znenie) ako o ďalšie z preberaných právne záväzných aktov Európskej únie. </w:t>
      </w:r>
    </w:p>
    <w:p w:rsidR="00483802" w:rsidRPr="006D0299" w:rsidP="00483802">
      <w:pPr>
        <w:pStyle w:val="Default"/>
        <w:bidi w:val="0"/>
        <w:jc w:val="both"/>
        <w:rPr>
          <w:rFonts w:ascii="Times New Roman" w:hAnsi="Times New Roman"/>
        </w:rPr>
      </w:pPr>
    </w:p>
    <w:p w:rsidR="00483802" w:rsidRPr="006D0299" w:rsidP="00483802">
      <w:pPr>
        <w:bidi w:val="0"/>
        <w:jc w:val="both"/>
        <w:rPr>
          <w:rFonts w:ascii="Times New Roman" w:hAnsi="Times New Roman"/>
          <w:b/>
        </w:rPr>
      </w:pPr>
      <w:r w:rsidRPr="006D0299">
        <w:rPr>
          <w:rFonts w:ascii="Times New Roman" w:hAnsi="Times New Roman"/>
          <w:b/>
        </w:rPr>
        <w:t>Čl. IV</w:t>
      </w:r>
    </w:p>
    <w:p w:rsidR="00483802" w:rsidP="00483802">
      <w:pPr>
        <w:bidi w:val="0"/>
        <w:jc w:val="both"/>
        <w:rPr>
          <w:rFonts w:ascii="Times New Roman" w:hAnsi="Times New Roman"/>
        </w:rPr>
      </w:pPr>
      <w:r w:rsidRPr="006D0299">
        <w:rPr>
          <w:rFonts w:ascii="Times New Roman" w:hAnsi="Times New Roman"/>
        </w:rPr>
        <w:t>Účinnosť zákona sa navrhuje 15. novembra 2016.</w:t>
      </w:r>
    </w:p>
    <w:p w:rsidR="001C6D08" w:rsidP="00483802">
      <w:pPr>
        <w:bidi w:val="0"/>
        <w:jc w:val="both"/>
        <w:rPr>
          <w:rFonts w:ascii="Times New Roman" w:hAnsi="Times New Roman"/>
        </w:rPr>
      </w:pPr>
    </w:p>
    <w:p w:rsidR="005B25CB" w:rsidP="00483802">
      <w:pPr>
        <w:bidi w:val="0"/>
        <w:jc w:val="both"/>
        <w:rPr>
          <w:rFonts w:ascii="Times New Roman" w:hAnsi="Times New Roman"/>
        </w:rPr>
      </w:pPr>
    </w:p>
    <w:p w:rsidR="005B25CB" w:rsidP="00483802">
      <w:pPr>
        <w:bidi w:val="0"/>
        <w:jc w:val="both"/>
        <w:rPr>
          <w:rFonts w:ascii="Times New Roman" w:hAnsi="Times New Roman"/>
        </w:rPr>
      </w:pPr>
    </w:p>
    <w:p w:rsidR="001C6D08" w:rsidP="00483802">
      <w:pPr>
        <w:bidi w:val="0"/>
        <w:jc w:val="both"/>
        <w:rPr>
          <w:rFonts w:ascii="Times New Roman" w:hAnsi="Times New Roman"/>
        </w:rPr>
      </w:pPr>
      <w:r>
        <w:rPr>
          <w:rFonts w:ascii="Times New Roman" w:hAnsi="Times New Roman"/>
        </w:rPr>
        <w:t>Schválené vlád</w:t>
      </w:r>
      <w:r w:rsidR="0045379A">
        <w:rPr>
          <w:rFonts w:ascii="Times New Roman" w:hAnsi="Times New Roman"/>
        </w:rPr>
        <w:t xml:space="preserve">ou Slovenskej republiky dňa 17. </w:t>
      </w:r>
      <w:r>
        <w:rPr>
          <w:rFonts w:ascii="Times New Roman" w:hAnsi="Times New Roman"/>
        </w:rPr>
        <w:t>augusta 2016.</w:t>
      </w:r>
    </w:p>
    <w:p w:rsidR="003348C4" w:rsidP="00483802">
      <w:pPr>
        <w:bidi w:val="0"/>
        <w:jc w:val="both"/>
        <w:rPr>
          <w:rFonts w:ascii="Times New Roman" w:hAnsi="Times New Roman"/>
        </w:rPr>
      </w:pPr>
    </w:p>
    <w:p w:rsidR="003348C4" w:rsidP="00483802">
      <w:pPr>
        <w:bidi w:val="0"/>
        <w:jc w:val="both"/>
        <w:rPr>
          <w:rFonts w:ascii="Times New Roman" w:hAnsi="Times New Roman"/>
        </w:rPr>
      </w:pPr>
    </w:p>
    <w:p w:rsidR="003348C4" w:rsidP="00483802">
      <w:pPr>
        <w:bidi w:val="0"/>
        <w:jc w:val="both"/>
        <w:rPr>
          <w:rFonts w:ascii="Times New Roman" w:hAnsi="Times New Roman"/>
        </w:rPr>
      </w:pPr>
    </w:p>
    <w:p w:rsidR="005B25CB" w:rsidP="00483802">
      <w:pPr>
        <w:bidi w:val="0"/>
        <w:jc w:val="both"/>
        <w:rPr>
          <w:rFonts w:ascii="Times New Roman" w:hAnsi="Times New Roman"/>
        </w:rPr>
      </w:pPr>
    </w:p>
    <w:p w:rsidR="005B25CB" w:rsidP="00483802">
      <w:pPr>
        <w:bidi w:val="0"/>
        <w:jc w:val="both"/>
        <w:rPr>
          <w:rFonts w:ascii="Times New Roman" w:hAnsi="Times New Roman"/>
        </w:rPr>
      </w:pPr>
    </w:p>
    <w:p w:rsidR="005B25CB" w:rsidP="00483802">
      <w:pPr>
        <w:bidi w:val="0"/>
        <w:jc w:val="both"/>
        <w:rPr>
          <w:rFonts w:ascii="Times New Roman" w:hAnsi="Times New Roman"/>
        </w:rPr>
      </w:pPr>
    </w:p>
    <w:p w:rsidR="005B25CB" w:rsidP="00483802">
      <w:pPr>
        <w:bidi w:val="0"/>
        <w:jc w:val="both"/>
        <w:rPr>
          <w:rFonts w:ascii="Times New Roman" w:hAnsi="Times New Roman"/>
        </w:rPr>
      </w:pPr>
    </w:p>
    <w:p w:rsidR="005B25CB" w:rsidP="00483802">
      <w:pPr>
        <w:bidi w:val="0"/>
        <w:jc w:val="both"/>
        <w:rPr>
          <w:rFonts w:ascii="Times New Roman" w:hAnsi="Times New Roman"/>
        </w:rPr>
      </w:pPr>
    </w:p>
    <w:p w:rsidR="005B25CB" w:rsidP="00483802">
      <w:pPr>
        <w:bidi w:val="0"/>
        <w:jc w:val="both"/>
        <w:rPr>
          <w:rFonts w:ascii="Times New Roman" w:hAnsi="Times New Roman"/>
        </w:rPr>
      </w:pPr>
    </w:p>
    <w:p w:rsidR="003348C4" w:rsidRPr="0063296E" w:rsidP="003348C4">
      <w:pPr>
        <w:bidi w:val="0"/>
        <w:jc w:val="center"/>
        <w:rPr>
          <w:rFonts w:ascii="Times New Roman" w:hAnsi="Times New Roman"/>
          <w:b/>
        </w:rPr>
      </w:pPr>
      <w:r w:rsidRPr="0063296E">
        <w:rPr>
          <w:rFonts w:ascii="Times New Roman" w:hAnsi="Times New Roman"/>
          <w:b/>
        </w:rPr>
        <w:t>Robert F</w:t>
      </w:r>
      <w:r w:rsidR="004E2E5B">
        <w:rPr>
          <w:rFonts w:ascii="Times New Roman" w:hAnsi="Times New Roman"/>
          <w:b/>
        </w:rPr>
        <w:t xml:space="preserve"> </w:t>
      </w:r>
      <w:r w:rsidRPr="0063296E">
        <w:rPr>
          <w:rFonts w:ascii="Times New Roman" w:hAnsi="Times New Roman"/>
          <w:b/>
        </w:rPr>
        <w:t>i</w:t>
      </w:r>
      <w:r w:rsidR="004E2E5B">
        <w:rPr>
          <w:rFonts w:ascii="Times New Roman" w:hAnsi="Times New Roman"/>
          <w:b/>
        </w:rPr>
        <w:t> </w:t>
      </w:r>
      <w:r w:rsidRPr="0063296E">
        <w:rPr>
          <w:rFonts w:ascii="Times New Roman" w:hAnsi="Times New Roman"/>
          <w:b/>
        </w:rPr>
        <w:t>c</w:t>
      </w:r>
      <w:r w:rsidR="004E2E5B">
        <w:rPr>
          <w:rFonts w:ascii="Times New Roman" w:hAnsi="Times New Roman"/>
          <w:b/>
        </w:rPr>
        <w:t xml:space="preserve"> </w:t>
      </w:r>
      <w:r w:rsidRPr="0063296E">
        <w:rPr>
          <w:rFonts w:ascii="Times New Roman" w:hAnsi="Times New Roman"/>
          <w:b/>
        </w:rPr>
        <w:t>o</w:t>
      </w:r>
      <w:r w:rsidR="004E2E5B">
        <w:rPr>
          <w:rFonts w:ascii="Times New Roman" w:hAnsi="Times New Roman"/>
          <w:b/>
        </w:rPr>
        <w:t>, v. r.</w:t>
      </w:r>
    </w:p>
    <w:p w:rsidR="0063296E" w:rsidP="003348C4">
      <w:pPr>
        <w:bidi w:val="0"/>
        <w:jc w:val="center"/>
        <w:rPr>
          <w:rFonts w:ascii="Times New Roman" w:hAnsi="Times New Roman"/>
        </w:rPr>
      </w:pPr>
      <w:r w:rsidR="003348C4">
        <w:rPr>
          <w:rFonts w:ascii="Times New Roman" w:hAnsi="Times New Roman"/>
        </w:rPr>
        <w:t xml:space="preserve">predseda vlády </w:t>
      </w:r>
    </w:p>
    <w:p w:rsidR="003348C4" w:rsidP="003348C4">
      <w:pPr>
        <w:bidi w:val="0"/>
        <w:jc w:val="center"/>
        <w:rPr>
          <w:rFonts w:ascii="Times New Roman" w:hAnsi="Times New Roman"/>
        </w:rPr>
      </w:pPr>
      <w:r>
        <w:rPr>
          <w:rFonts w:ascii="Times New Roman" w:hAnsi="Times New Roman"/>
        </w:rPr>
        <w:t>Slovenskej republiky</w:t>
      </w:r>
    </w:p>
    <w:p w:rsidR="003348C4" w:rsidP="00483802">
      <w:pPr>
        <w:bidi w:val="0"/>
        <w:jc w:val="both"/>
        <w:rPr>
          <w:rFonts w:ascii="Times New Roman" w:hAnsi="Times New Roman"/>
        </w:rPr>
      </w:pPr>
    </w:p>
    <w:p w:rsidR="003348C4" w:rsidP="00483802">
      <w:pPr>
        <w:bidi w:val="0"/>
        <w:jc w:val="both"/>
        <w:rPr>
          <w:rFonts w:ascii="Times New Roman" w:hAnsi="Times New Roman"/>
        </w:rPr>
      </w:pPr>
    </w:p>
    <w:p w:rsidR="005B25CB" w:rsidP="00483802">
      <w:pPr>
        <w:bidi w:val="0"/>
        <w:jc w:val="both"/>
        <w:rPr>
          <w:rFonts w:ascii="Times New Roman" w:hAnsi="Times New Roman"/>
        </w:rPr>
      </w:pPr>
    </w:p>
    <w:p w:rsidR="0063296E" w:rsidP="00483802">
      <w:pPr>
        <w:bidi w:val="0"/>
        <w:jc w:val="both"/>
        <w:rPr>
          <w:rFonts w:ascii="Times New Roman" w:hAnsi="Times New Roman"/>
        </w:rPr>
      </w:pPr>
    </w:p>
    <w:p w:rsidR="00E04F3B" w:rsidP="00483802">
      <w:pPr>
        <w:bidi w:val="0"/>
        <w:jc w:val="both"/>
        <w:rPr>
          <w:rFonts w:ascii="Times New Roman" w:hAnsi="Times New Roman"/>
        </w:rPr>
      </w:pPr>
    </w:p>
    <w:p w:rsidR="005B25CB" w:rsidP="00483802">
      <w:pPr>
        <w:bidi w:val="0"/>
        <w:jc w:val="both"/>
        <w:rPr>
          <w:rFonts w:ascii="Times New Roman" w:hAnsi="Times New Roman"/>
        </w:rPr>
      </w:pPr>
    </w:p>
    <w:p w:rsidR="0063296E" w:rsidP="00483802">
      <w:pPr>
        <w:bidi w:val="0"/>
        <w:jc w:val="both"/>
        <w:rPr>
          <w:rFonts w:ascii="Times New Roman" w:hAnsi="Times New Roman"/>
        </w:rPr>
      </w:pPr>
    </w:p>
    <w:p w:rsidR="003348C4" w:rsidRPr="0063296E" w:rsidP="001F0596">
      <w:pPr>
        <w:bidi w:val="0"/>
        <w:jc w:val="center"/>
        <w:rPr>
          <w:rFonts w:ascii="Times New Roman" w:hAnsi="Times New Roman"/>
          <w:b/>
        </w:rPr>
      </w:pPr>
      <w:r w:rsidRPr="0063296E">
        <w:rPr>
          <w:rFonts w:ascii="Times New Roman" w:hAnsi="Times New Roman"/>
          <w:b/>
        </w:rPr>
        <w:t>Peter K</w:t>
      </w:r>
      <w:r w:rsidR="004E2E5B">
        <w:rPr>
          <w:rFonts w:ascii="Times New Roman" w:hAnsi="Times New Roman"/>
          <w:b/>
        </w:rPr>
        <w:t> </w:t>
      </w:r>
      <w:r w:rsidRPr="0063296E">
        <w:rPr>
          <w:rFonts w:ascii="Times New Roman" w:hAnsi="Times New Roman"/>
          <w:b/>
        </w:rPr>
        <w:t>a</w:t>
      </w:r>
      <w:r w:rsidR="004E2E5B">
        <w:rPr>
          <w:rFonts w:ascii="Times New Roman" w:hAnsi="Times New Roman"/>
          <w:b/>
        </w:rPr>
        <w:t> </w:t>
      </w:r>
      <w:r w:rsidRPr="0063296E">
        <w:rPr>
          <w:rFonts w:ascii="Times New Roman" w:hAnsi="Times New Roman"/>
          <w:b/>
        </w:rPr>
        <w:t>ž</w:t>
      </w:r>
      <w:r w:rsidR="004E2E5B">
        <w:rPr>
          <w:rFonts w:ascii="Times New Roman" w:hAnsi="Times New Roman"/>
          <w:b/>
        </w:rPr>
        <w:t xml:space="preserve"> </w:t>
      </w:r>
      <w:r w:rsidRPr="0063296E">
        <w:rPr>
          <w:rFonts w:ascii="Times New Roman" w:hAnsi="Times New Roman"/>
          <w:b/>
        </w:rPr>
        <w:t>i</w:t>
      </w:r>
      <w:r w:rsidR="004E2E5B">
        <w:rPr>
          <w:rFonts w:ascii="Times New Roman" w:hAnsi="Times New Roman"/>
          <w:b/>
        </w:rPr>
        <w:t> </w:t>
      </w:r>
      <w:r w:rsidRPr="0063296E">
        <w:rPr>
          <w:rFonts w:ascii="Times New Roman" w:hAnsi="Times New Roman"/>
          <w:b/>
        </w:rPr>
        <w:t>m</w:t>
      </w:r>
      <w:r w:rsidR="004E2E5B">
        <w:rPr>
          <w:rFonts w:ascii="Times New Roman" w:hAnsi="Times New Roman"/>
          <w:b/>
        </w:rPr>
        <w:t xml:space="preserve"> </w:t>
      </w:r>
      <w:r w:rsidRPr="0063296E">
        <w:rPr>
          <w:rFonts w:ascii="Times New Roman" w:hAnsi="Times New Roman"/>
          <w:b/>
        </w:rPr>
        <w:t>í</w:t>
      </w:r>
      <w:r w:rsidR="004E2E5B">
        <w:rPr>
          <w:rFonts w:ascii="Times New Roman" w:hAnsi="Times New Roman"/>
          <w:b/>
        </w:rPr>
        <w:t xml:space="preserve"> </w:t>
      </w:r>
      <w:r w:rsidRPr="0063296E">
        <w:rPr>
          <w:rFonts w:ascii="Times New Roman" w:hAnsi="Times New Roman"/>
          <w:b/>
        </w:rPr>
        <w:t>r</w:t>
      </w:r>
      <w:r w:rsidR="004E2E5B">
        <w:rPr>
          <w:rFonts w:ascii="Times New Roman" w:hAnsi="Times New Roman"/>
          <w:b/>
        </w:rPr>
        <w:t>, v. r.</w:t>
      </w:r>
    </w:p>
    <w:p w:rsidR="0063296E" w:rsidP="001F0596">
      <w:pPr>
        <w:bidi w:val="0"/>
        <w:jc w:val="center"/>
        <w:rPr>
          <w:rFonts w:ascii="Times New Roman" w:hAnsi="Times New Roman"/>
        </w:rPr>
      </w:pPr>
      <w:r>
        <w:rPr>
          <w:rFonts w:ascii="Times New Roman" w:hAnsi="Times New Roman"/>
        </w:rPr>
        <w:t>minister financií</w:t>
      </w:r>
    </w:p>
    <w:p w:rsidR="003348C4" w:rsidRPr="006D0299" w:rsidP="001F0596">
      <w:pPr>
        <w:bidi w:val="0"/>
        <w:jc w:val="center"/>
        <w:rPr>
          <w:rFonts w:ascii="Times New Roman" w:hAnsi="Times New Roman"/>
        </w:rPr>
      </w:pPr>
      <w:r>
        <w:rPr>
          <w:rFonts w:ascii="Times New Roman" w:hAnsi="Times New Roman"/>
        </w:rPr>
        <w:t>Slovenskej republiky</w:t>
      </w:r>
    </w:p>
    <w:p w:rsidR="00483802" w:rsidRPr="006D0299" w:rsidP="001F0596">
      <w:pPr>
        <w:bidi w:val="0"/>
        <w:jc w:val="center"/>
        <w:rPr>
          <w:rFonts w:ascii="Times New Roman" w:hAnsi="Times New Roman"/>
        </w:rPr>
      </w:pPr>
    </w:p>
    <w:p w:rsidR="00483802" w:rsidRPr="006D0299" w:rsidP="001F0596">
      <w:pPr>
        <w:bidi w:val="0"/>
        <w:jc w:val="center"/>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p w:rsidR="00483802" w:rsidRPr="006D0299">
      <w:pPr>
        <w:bidi w:val="0"/>
        <w:rPr>
          <w:rFonts w:ascii="Times New Roman" w:hAnsi="Times New Roman"/>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Segoe UI Symbol">
    <w:altName w:val="Century Gothic"/>
    <w:panose1 w:val="00000000000000000000"/>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F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2620F">
      <w:rPr>
        <w:rFonts w:ascii="Times New Roman" w:hAnsi="Times New Roman"/>
        <w:noProof/>
      </w:rPr>
      <w:t>1</w:t>
    </w:r>
    <w:r>
      <w:rPr>
        <w:rFonts w:ascii="Times New Roman" w:hAnsi="Times New Roman"/>
      </w:rPr>
      <w:fldChar w:fldCharType="end"/>
    </w:r>
  </w:p>
  <w:p w:rsidR="008B76F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389A"/>
    <w:multiLevelType w:val="hybridMultilevel"/>
    <w:tmpl w:val="4E708F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0BB08A6"/>
    <w:multiLevelType w:val="hybridMultilevel"/>
    <w:tmpl w:val="A4C6B6F8"/>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43B367E5"/>
    <w:multiLevelType w:val="hybridMultilevel"/>
    <w:tmpl w:val="E5928E78"/>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5">
    <w:nsid w:val="6BF03261"/>
    <w:multiLevelType w:val="hybridMultilevel"/>
    <w:tmpl w:val="36A019B0"/>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66A224E"/>
    <w:multiLevelType w:val="hybridMultilevel"/>
    <w:tmpl w:val="1DE43AD0"/>
    <w:lvl w:ilvl="0">
      <w:start w:val="0"/>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7427"/>
    <w:rsid w:val="00017D5F"/>
    <w:rsid w:val="00032D99"/>
    <w:rsid w:val="00192958"/>
    <w:rsid w:val="001C3A7C"/>
    <w:rsid w:val="001C6D08"/>
    <w:rsid w:val="001F0596"/>
    <w:rsid w:val="00233B13"/>
    <w:rsid w:val="00252E7B"/>
    <w:rsid w:val="003348C4"/>
    <w:rsid w:val="00334C91"/>
    <w:rsid w:val="0044044D"/>
    <w:rsid w:val="0045379A"/>
    <w:rsid w:val="00483802"/>
    <w:rsid w:val="004E2E5B"/>
    <w:rsid w:val="0050679A"/>
    <w:rsid w:val="005B25CB"/>
    <w:rsid w:val="005F2DCB"/>
    <w:rsid w:val="0060698B"/>
    <w:rsid w:val="0062620F"/>
    <w:rsid w:val="0063296E"/>
    <w:rsid w:val="00644B1B"/>
    <w:rsid w:val="006D0299"/>
    <w:rsid w:val="008B76F2"/>
    <w:rsid w:val="009A7D21"/>
    <w:rsid w:val="00B12274"/>
    <w:rsid w:val="00C838BA"/>
    <w:rsid w:val="00CB4230"/>
    <w:rsid w:val="00D3433B"/>
    <w:rsid w:val="00E04F3B"/>
    <w:rsid w:val="00E6613C"/>
    <w:rsid w:val="00FB742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4D"/>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838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838BA"/>
    <w:pPr>
      <w:spacing w:after="200" w:line="276" w:lineRule="auto"/>
      <w:ind w:left="720"/>
      <w:contextualSpacing/>
      <w:jc w:val="left"/>
    </w:pPr>
    <w:rPr>
      <w:rFonts w:asciiTheme="minorHAnsi" w:hAnsiTheme="minorHAnsi"/>
      <w:color w:val="auto"/>
      <w:sz w:val="22"/>
      <w:szCs w:val="22"/>
      <w:lang w:eastAsia="en-US"/>
    </w:rPr>
  </w:style>
  <w:style w:type="paragraph" w:styleId="BodyText">
    <w:name w:val="Body Text"/>
    <w:basedOn w:val="Normal"/>
    <w:link w:val="BodyTextChar"/>
    <w:uiPriority w:val="99"/>
    <w:rsid w:val="00C838BA"/>
    <w:pPr>
      <w:widowControl w:val="0"/>
      <w:jc w:val="left"/>
    </w:pPr>
  </w:style>
  <w:style w:type="character" w:customStyle="1" w:styleId="BodyTextChar">
    <w:name w:val="Body Text Char"/>
    <w:basedOn w:val="DefaultParagraphFont"/>
    <w:link w:val="BodyText"/>
    <w:uiPriority w:val="99"/>
    <w:locked/>
    <w:rsid w:val="00C838BA"/>
    <w:rPr>
      <w:rFonts w:ascii="Times New Roman" w:hAnsi="Times New Roman" w:cs="Times New Roman"/>
      <w:color w:val="000000"/>
      <w:sz w:val="24"/>
      <w:szCs w:val="24"/>
      <w:rtl w:val="0"/>
      <w:cs w:val="0"/>
      <w:lang w:val="x-none" w:eastAsia="sk-SK"/>
    </w:rPr>
  </w:style>
  <w:style w:type="character" w:styleId="Hyperlink">
    <w:name w:val="Hyperlink"/>
    <w:basedOn w:val="DefaultParagraphFont"/>
    <w:uiPriority w:val="99"/>
    <w:unhideWhenUsed/>
    <w:rsid w:val="00C838BA"/>
    <w:rPr>
      <w:rFonts w:cs="Times New Roman"/>
      <w:color w:val="0563C1" w:themeColor="hlink" w:themeShade="FF"/>
      <w:u w:val="single"/>
      <w:rtl w:val="0"/>
      <w:cs w:val="0"/>
    </w:rPr>
  </w:style>
  <w:style w:type="paragraph" w:customStyle="1" w:styleId="Default">
    <w:name w:val="Default"/>
    <w:basedOn w:val="Normal"/>
    <w:rsid w:val="00C838BA"/>
    <w:pPr>
      <w:autoSpaceDE w:val="0"/>
      <w:autoSpaceDN w:val="0"/>
      <w:jc w:val="left"/>
    </w:pPr>
    <w:rPr>
      <w:rFonts w:ascii="Calibri" w:hAnsi="Calibri"/>
      <w:lang w:eastAsia="en-US"/>
    </w:rPr>
  </w:style>
  <w:style w:type="paragraph" w:styleId="BodyTextIndent">
    <w:name w:val="Body Text Indent"/>
    <w:basedOn w:val="Normal"/>
    <w:link w:val="BodyTextIndentChar"/>
    <w:uiPriority w:val="99"/>
    <w:semiHidden/>
    <w:unhideWhenUsed/>
    <w:rsid w:val="00B12274"/>
    <w:pPr>
      <w:spacing w:after="120"/>
      <w:ind w:left="283"/>
      <w:jc w:val="left"/>
    </w:pPr>
  </w:style>
  <w:style w:type="character" w:customStyle="1" w:styleId="BodyTextIndentChar">
    <w:name w:val="Body Text Indent Char"/>
    <w:basedOn w:val="DefaultParagraphFont"/>
    <w:link w:val="BodyTextIndent"/>
    <w:uiPriority w:val="99"/>
    <w:semiHidden/>
    <w:locked/>
    <w:rsid w:val="00B12274"/>
    <w:rPr>
      <w:rFonts w:ascii="Times New Roman" w:hAnsi="Times New Roman" w:cs="Times New Roman"/>
      <w:color w:val="000000"/>
      <w:sz w:val="24"/>
      <w:szCs w:val="24"/>
      <w:rtl w:val="0"/>
      <w:cs w:val="0"/>
      <w:lang w:val="x-none" w:eastAsia="sk-SK"/>
    </w:rPr>
  </w:style>
  <w:style w:type="paragraph" w:styleId="Title">
    <w:name w:val="Title"/>
    <w:basedOn w:val="Normal"/>
    <w:link w:val="TitleChar"/>
    <w:uiPriority w:val="10"/>
    <w:qFormat/>
    <w:rsid w:val="00B12274"/>
    <w:pPr>
      <w:jc w:val="center"/>
    </w:pPr>
    <w:rPr>
      <w:b/>
      <w:bCs/>
      <w:color w:val="auto"/>
    </w:rPr>
  </w:style>
  <w:style w:type="character" w:customStyle="1" w:styleId="TitleChar">
    <w:name w:val="Title Char"/>
    <w:basedOn w:val="DefaultParagraphFont"/>
    <w:link w:val="Title"/>
    <w:uiPriority w:val="10"/>
    <w:locked/>
    <w:rsid w:val="00B12274"/>
    <w:rPr>
      <w:rFonts w:ascii="Times New Roman" w:hAnsi="Times New Roman" w:cs="Times New Roman"/>
      <w:b/>
      <w:bCs/>
      <w:sz w:val="24"/>
      <w:szCs w:val="24"/>
      <w:rtl w:val="0"/>
      <w:cs w:val="0"/>
      <w:lang w:val="x-none" w:eastAsia="sk-SK"/>
    </w:rPr>
  </w:style>
  <w:style w:type="paragraph" w:styleId="Header">
    <w:name w:val="header"/>
    <w:basedOn w:val="Normal"/>
    <w:link w:val="HeaderChar"/>
    <w:uiPriority w:val="99"/>
    <w:unhideWhenUsed/>
    <w:rsid w:val="008B76F2"/>
    <w:pPr>
      <w:tabs>
        <w:tab w:val="center" w:pos="4536"/>
        <w:tab w:val="right" w:pos="9072"/>
      </w:tabs>
      <w:jc w:val="left"/>
    </w:pPr>
  </w:style>
  <w:style w:type="character" w:customStyle="1" w:styleId="HeaderChar">
    <w:name w:val="Header Char"/>
    <w:basedOn w:val="DefaultParagraphFont"/>
    <w:link w:val="Header"/>
    <w:uiPriority w:val="99"/>
    <w:locked/>
    <w:rsid w:val="008B76F2"/>
    <w:rPr>
      <w:rFonts w:ascii="Times New Roman" w:hAnsi="Times New Roman" w:cs="Times New Roman"/>
      <w:color w:val="000000"/>
      <w:sz w:val="24"/>
      <w:szCs w:val="24"/>
      <w:rtl w:val="0"/>
      <w:cs w:val="0"/>
      <w:lang w:val="x-none" w:eastAsia="sk-SK"/>
    </w:rPr>
  </w:style>
  <w:style w:type="paragraph" w:styleId="Footer">
    <w:name w:val="footer"/>
    <w:basedOn w:val="Normal"/>
    <w:link w:val="FooterChar"/>
    <w:uiPriority w:val="99"/>
    <w:unhideWhenUsed/>
    <w:rsid w:val="008B76F2"/>
    <w:pPr>
      <w:tabs>
        <w:tab w:val="center" w:pos="4536"/>
        <w:tab w:val="right" w:pos="9072"/>
      </w:tabs>
      <w:jc w:val="left"/>
    </w:pPr>
  </w:style>
  <w:style w:type="character" w:customStyle="1" w:styleId="FooterChar">
    <w:name w:val="Footer Char"/>
    <w:basedOn w:val="DefaultParagraphFont"/>
    <w:link w:val="Footer"/>
    <w:uiPriority w:val="99"/>
    <w:locked/>
    <w:rsid w:val="008B76F2"/>
    <w:rPr>
      <w:rFonts w:ascii="Times New Roman" w:hAnsi="Times New Roman" w:cs="Times New Roman"/>
      <w:color w:val="000000"/>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ucia.cirakova@mfsr.sk" TargetMode="External" /><Relationship Id="rId5" Type="http://schemas.openxmlformats.org/officeDocument/2006/relationships/hyperlink" Target="http://eur-lex.europa.eu/legal-content/SK/AUTO/?uri=uriserv:OJ.L_.2014.225.01.0001.01.SL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15</Pages>
  <Words>5224</Words>
  <Characters>29780</Characters>
  <Application>Microsoft Office Word</Application>
  <DocSecurity>0</DocSecurity>
  <Lines>0</Lines>
  <Paragraphs>0</Paragraphs>
  <ScaleCrop>false</ScaleCrop>
  <Company>Ministerstvo financií SR</Company>
  <LinksUpToDate>false</LinksUpToDate>
  <CharactersWithSpaces>34935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Cirakova Lucia</dc:creator>
  <cp:lastModifiedBy>Gašparíková, Jarmila</cp:lastModifiedBy>
  <cp:revision>2</cp:revision>
  <dcterms:created xsi:type="dcterms:W3CDTF">2016-08-18T14:48:00Z</dcterms:created>
  <dcterms:modified xsi:type="dcterms:W3CDTF">2016-08-18T14:48:00Z</dcterms:modified>
</cp:coreProperties>
</file>