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34E" w:rsidP="000F028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="000F028C">
        <w:rPr>
          <w:rFonts w:ascii="Times New Roman" w:hAnsi="Times New Roman"/>
          <w:b/>
          <w:color w:val="000000" w:themeColor="tx1" w:themeShade="FF"/>
        </w:rPr>
        <w:t xml:space="preserve">Príloha </w:t>
      </w:r>
    </w:p>
    <w:p w:rsidR="000F028C" w:rsidP="000F028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>
        <w:rPr>
          <w:rFonts w:ascii="Times New Roman" w:hAnsi="Times New Roman"/>
          <w:b/>
          <w:color w:val="000000" w:themeColor="tx1" w:themeShade="FF"/>
        </w:rPr>
        <w:t>(informačný charakter)</w:t>
      </w:r>
    </w:p>
    <w:p w:rsidR="000F028C" w:rsidRPr="0016789C" w:rsidP="000F028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</w:p>
    <w:p w:rsidR="00002080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>Návrh</w:t>
      </w:r>
    </w:p>
    <w:p w:rsidR="00A87DF6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 w:rsidR="00474734">
        <w:rPr>
          <w:rFonts w:ascii="Times New Roman" w:hAnsi="Times New Roman"/>
          <w:b/>
          <w:color w:val="000000" w:themeColor="tx1" w:themeShade="FF"/>
        </w:rPr>
        <w:t>OPATRENIE</w:t>
      </w:r>
    </w:p>
    <w:p w:rsidR="00877232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>
        <w:rPr>
          <w:rFonts w:ascii="Times New Roman" w:hAnsi="Times New Roman"/>
          <w:b/>
        </w:rPr>
        <w:t>Národnej banky Slovenska</w:t>
      </w:r>
    </w:p>
    <w:p w:rsidR="00877232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>
        <w:rPr>
          <w:rFonts w:ascii="Times New Roman" w:hAnsi="Times New Roman"/>
          <w:b/>
        </w:rPr>
        <w:t>z</w:t>
      </w:r>
      <w:r w:rsidRPr="0016789C" w:rsidR="003C690F">
        <w:rPr>
          <w:rFonts w:ascii="Times New Roman" w:hAnsi="Times New Roman"/>
          <w:b/>
        </w:rPr>
        <w:t xml:space="preserve"> </w:t>
      </w:r>
      <w:r w:rsidRPr="0016789C" w:rsidR="00474734">
        <w:rPr>
          <w:rFonts w:ascii="Times New Roman" w:hAnsi="Times New Roman"/>
          <w:b/>
        </w:rPr>
        <w:t>...</w:t>
      </w:r>
      <w:r w:rsidRPr="0016789C" w:rsidR="003C690F">
        <w:rPr>
          <w:rFonts w:ascii="Times New Roman" w:hAnsi="Times New Roman"/>
          <w:b/>
        </w:rPr>
        <w:t xml:space="preserve"> </w:t>
      </w:r>
      <w:r w:rsidRPr="0016789C">
        <w:rPr>
          <w:rFonts w:ascii="Times New Roman" w:hAnsi="Times New Roman"/>
          <w:b/>
        </w:rPr>
        <w:t>201</w:t>
      </w:r>
      <w:r w:rsidRPr="0016789C" w:rsidR="00FC5C0D">
        <w:rPr>
          <w:rFonts w:ascii="Times New Roman" w:hAnsi="Times New Roman"/>
          <w:b/>
        </w:rPr>
        <w:t>6</w:t>
      </w:r>
      <w:r w:rsidRPr="0016789C" w:rsidR="003845F4">
        <w:rPr>
          <w:rFonts w:ascii="Times New Roman" w:hAnsi="Times New Roman"/>
          <w:b/>
        </w:rPr>
        <w:t>,</w:t>
      </w:r>
    </w:p>
    <w:p w:rsidR="00877232" w:rsidRPr="0016789C" w:rsidP="00521C55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 w:rsidR="00474734">
        <w:rPr>
          <w:rFonts w:ascii="Times New Roman" w:hAnsi="Times New Roman"/>
          <w:b/>
        </w:rPr>
        <w:t xml:space="preserve">ktorým sa ustanovujú podrobnosti </w:t>
      </w:r>
      <w:r w:rsidRPr="0016789C" w:rsidR="00002080">
        <w:rPr>
          <w:rFonts w:ascii="Times New Roman" w:hAnsi="Times New Roman"/>
          <w:b/>
        </w:rPr>
        <w:t xml:space="preserve"> o </w:t>
      </w:r>
      <w:r w:rsidRPr="0016789C" w:rsidR="00D567C4">
        <w:rPr>
          <w:rFonts w:ascii="Times New Roman" w:hAnsi="Times New Roman"/>
          <w:b/>
        </w:rPr>
        <w:t>posúden</w:t>
      </w:r>
      <w:r w:rsidRPr="0016789C" w:rsidR="00002080">
        <w:rPr>
          <w:rFonts w:ascii="Times New Roman" w:hAnsi="Times New Roman"/>
          <w:b/>
        </w:rPr>
        <w:t>í</w:t>
      </w:r>
      <w:r w:rsidRPr="0016789C" w:rsidR="00D567C4">
        <w:rPr>
          <w:rFonts w:ascii="Times New Roman" w:hAnsi="Times New Roman"/>
          <w:b/>
        </w:rPr>
        <w:t xml:space="preserve"> schopnosti spotrebiteľa splácať </w:t>
      </w:r>
      <w:r w:rsidRPr="0016789C" w:rsidR="00D73D7C">
        <w:rPr>
          <w:rFonts w:ascii="Times New Roman" w:hAnsi="Times New Roman"/>
          <w:b/>
        </w:rPr>
        <w:t xml:space="preserve">spotrebiteľský </w:t>
      </w:r>
      <w:r w:rsidRPr="0016789C" w:rsidR="003B1632">
        <w:rPr>
          <w:rFonts w:ascii="Times New Roman" w:hAnsi="Times New Roman"/>
          <w:b/>
        </w:rPr>
        <w:t>úver</w:t>
      </w:r>
      <w:r w:rsidRPr="0016789C" w:rsidR="00D567C4">
        <w:rPr>
          <w:rFonts w:ascii="Times New Roman" w:hAnsi="Times New Roman"/>
          <w:b/>
        </w:rPr>
        <w:t xml:space="preserve"> </w:t>
      </w:r>
    </w:p>
    <w:p w:rsidR="00877232" w:rsidRPr="0016789C" w:rsidP="000A0021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1D397D" w:rsidRPr="0016789C" w:rsidP="000A0021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D73D7C" w:rsidRPr="0016789C" w:rsidP="00D73D7C">
      <w:pPr>
        <w:bidi w:val="0"/>
        <w:spacing w:after="120" w:line="240" w:lineRule="auto"/>
        <w:ind w:firstLine="567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Národná banka Slovenska podľa § 7 ods. </w:t>
      </w:r>
      <w:r w:rsidRPr="0016789C" w:rsidR="00E42CB9">
        <w:rPr>
          <w:rFonts w:ascii="Times New Roman" w:hAnsi="Times New Roman"/>
        </w:rPr>
        <w:t>40</w:t>
      </w:r>
      <w:r w:rsidRPr="0016789C">
        <w:rPr>
          <w:rFonts w:ascii="Times New Roman" w:hAnsi="Times New Roman"/>
        </w:rPr>
        <w:t xml:space="preserve"> písm. a) až c) zákona č. 129/2010 Z. z. o spotrebiteľských úveroch a o iných úveroch a pôžičkách pre spotrebiteľov a o zmene a doplnení niektorých zákonov (ďalej len „zákon“) ustanovuje:</w:t>
      </w:r>
    </w:p>
    <w:p w:rsidR="0005254D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 w:rsidR="00474734">
        <w:rPr>
          <w:rFonts w:ascii="Times New Roman" w:hAnsi="Times New Roman"/>
          <w:b/>
        </w:rPr>
        <w:t xml:space="preserve">§ </w:t>
      </w:r>
      <w:r w:rsidRPr="0016789C" w:rsidR="00893902">
        <w:rPr>
          <w:rFonts w:ascii="Times New Roman" w:hAnsi="Times New Roman"/>
          <w:b/>
        </w:rPr>
        <w:t>1</w:t>
      </w:r>
    </w:p>
    <w:p w:rsidR="00DB333B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>
        <w:rPr>
          <w:rFonts w:ascii="Times New Roman" w:hAnsi="Times New Roman"/>
          <w:b/>
        </w:rPr>
        <w:t>Predmet úpravy</w:t>
      </w:r>
    </w:p>
    <w:p w:rsidR="00DB333B" w:rsidRPr="0016789C" w:rsidP="00DB333B">
      <w:pPr>
        <w:bidi w:val="0"/>
        <w:spacing w:after="0" w:line="240" w:lineRule="auto"/>
        <w:rPr>
          <w:rFonts w:ascii="Times New Roman" w:hAnsi="Times New Roman"/>
          <w:b/>
        </w:rPr>
      </w:pPr>
    </w:p>
    <w:p w:rsidR="00DB333B" w:rsidRPr="0016789C" w:rsidP="00D73D7C">
      <w:pPr>
        <w:bidi w:val="0"/>
        <w:spacing w:after="0" w:line="240" w:lineRule="auto"/>
        <w:ind w:firstLine="708"/>
        <w:rPr>
          <w:rFonts w:ascii="Times New Roman" w:hAnsi="Times New Roman"/>
        </w:rPr>
      </w:pPr>
      <w:r w:rsidRPr="0016789C">
        <w:rPr>
          <w:rFonts w:ascii="Times New Roman" w:hAnsi="Times New Roman"/>
        </w:rPr>
        <w:t>Toto opatrenie sa vzťahuje na veriteľa pod</w:t>
      </w:r>
      <w:r w:rsidRPr="0016789C" w:rsidR="00A770E5">
        <w:rPr>
          <w:rFonts w:ascii="Times New Roman" w:hAnsi="Times New Roman"/>
        </w:rPr>
        <w:t xml:space="preserve">ľa § 2 písm. </w:t>
      </w:r>
      <w:r w:rsidRPr="0016789C" w:rsidR="00D73D7C">
        <w:rPr>
          <w:rFonts w:ascii="Times New Roman" w:hAnsi="Times New Roman"/>
        </w:rPr>
        <w:t>b</w:t>
      </w:r>
      <w:r w:rsidRPr="0016789C" w:rsidR="00A770E5">
        <w:rPr>
          <w:rFonts w:ascii="Times New Roman" w:hAnsi="Times New Roman"/>
        </w:rPr>
        <w:t xml:space="preserve">) zákona, </w:t>
      </w:r>
      <w:r w:rsidRPr="0016789C">
        <w:rPr>
          <w:rFonts w:ascii="Times New Roman" w:hAnsi="Times New Roman"/>
        </w:rPr>
        <w:t>ktorým sa upravujú</w:t>
      </w:r>
    </w:p>
    <w:p w:rsidR="00DB333B" w:rsidRPr="0016789C" w:rsidP="00EC54E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16789C" w:rsidR="00A770E5">
        <w:rPr>
          <w:rFonts w:ascii="Times New Roman" w:hAnsi="Times New Roman"/>
          <w:color w:val="000000" w:themeColor="tx1" w:themeShade="FF"/>
        </w:rPr>
        <w:t xml:space="preserve">a) </w:t>
      </w:r>
      <w:r w:rsidRPr="0016789C">
        <w:rPr>
          <w:rFonts w:ascii="Times New Roman" w:hAnsi="Times New Roman"/>
          <w:color w:val="000000" w:themeColor="tx1" w:themeShade="FF"/>
        </w:rPr>
        <w:t xml:space="preserve">podrobnosti týkajúce sa ukazovateľa schopnosti spotrebiteľa splácať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spotrebiteľský úver</w:t>
      </w:r>
      <w:r w:rsidRPr="0016789C">
        <w:rPr>
          <w:rFonts w:ascii="Times New Roman" w:hAnsi="Times New Roman"/>
          <w:color w:val="000000" w:themeColor="tx1" w:themeShade="FF"/>
        </w:rPr>
        <w:t>,</w:t>
      </w:r>
    </w:p>
    <w:p w:rsidR="00DB333B" w:rsidRPr="0016789C" w:rsidP="00EC54E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16789C" w:rsidR="00A770E5">
        <w:rPr>
          <w:rFonts w:ascii="Times New Roman" w:hAnsi="Times New Roman"/>
          <w:color w:val="000000" w:themeColor="tx1" w:themeShade="FF"/>
        </w:rPr>
        <w:t xml:space="preserve">b) </w:t>
      </w:r>
      <w:r w:rsidRPr="0016789C">
        <w:rPr>
          <w:rFonts w:ascii="Times New Roman" w:hAnsi="Times New Roman"/>
          <w:color w:val="000000" w:themeColor="tx1" w:themeShade="FF"/>
        </w:rPr>
        <w:t>zohľadnenie možného navýšenia úrokovej sadzby,</w:t>
      </w:r>
    </w:p>
    <w:p w:rsidR="00DB333B" w:rsidRPr="0016789C" w:rsidP="00EC54E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16789C" w:rsidR="00A770E5">
        <w:rPr>
          <w:rFonts w:ascii="Times New Roman" w:hAnsi="Times New Roman"/>
          <w:color w:val="000000" w:themeColor="tx1" w:themeShade="FF"/>
        </w:rPr>
        <w:t xml:space="preserve">c) </w:t>
      </w:r>
      <w:r w:rsidRPr="0016789C">
        <w:rPr>
          <w:rFonts w:ascii="Times New Roman" w:hAnsi="Times New Roman"/>
          <w:color w:val="000000" w:themeColor="tx1" w:themeShade="FF"/>
        </w:rPr>
        <w:t xml:space="preserve">určenie, čo sa rozumie výrazným navýšením celkovej výšky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>
        <w:rPr>
          <w:rFonts w:ascii="Times New Roman" w:hAnsi="Times New Roman"/>
          <w:color w:val="000000" w:themeColor="tx1" w:themeShade="FF"/>
        </w:rPr>
        <w:t xml:space="preserve"> a výrazným prevyšovaním súčtu zostávajúcich výšok existujúcich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spotrebiteľských úverov</w:t>
      </w:r>
      <w:r w:rsidRPr="0016789C">
        <w:rPr>
          <w:rFonts w:ascii="Times New Roman" w:hAnsi="Times New Roman"/>
          <w:color w:val="000000" w:themeColor="tx1" w:themeShade="FF"/>
        </w:rPr>
        <w:t>,</w:t>
      </w:r>
    </w:p>
    <w:p w:rsidR="00DB333B" w:rsidRPr="0016789C" w:rsidP="00EC54E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16789C" w:rsidR="00A770E5">
        <w:rPr>
          <w:rFonts w:ascii="Times New Roman" w:hAnsi="Times New Roman"/>
          <w:color w:val="000000" w:themeColor="tx1" w:themeShade="FF"/>
        </w:rPr>
        <w:t xml:space="preserve">d) </w:t>
      </w:r>
      <w:r w:rsidRPr="0016789C">
        <w:rPr>
          <w:rFonts w:ascii="Times New Roman" w:hAnsi="Times New Roman"/>
          <w:color w:val="000000" w:themeColor="tx1" w:themeShade="FF"/>
        </w:rPr>
        <w:t>požiadavky na predkladanie dokladov a overovanie údajov o príjmoch spotrebiteľa,</w:t>
      </w:r>
    </w:p>
    <w:p w:rsidR="00DB333B" w:rsidRPr="0016789C" w:rsidP="00EC54E5">
      <w:pPr>
        <w:pStyle w:val="ListParagraph"/>
        <w:bidi w:val="0"/>
        <w:spacing w:after="0"/>
        <w:ind w:left="0"/>
        <w:jc w:val="both"/>
        <w:rPr>
          <w:rFonts w:ascii="Times New Roman" w:hAnsi="Times New Roman"/>
          <w:color w:val="000000" w:themeColor="tx1" w:themeShade="FF"/>
        </w:rPr>
      </w:pPr>
      <w:r w:rsidRPr="0016789C" w:rsidR="00A770E5">
        <w:rPr>
          <w:rFonts w:ascii="Times New Roman" w:hAnsi="Times New Roman"/>
          <w:color w:val="000000" w:themeColor="tx1" w:themeShade="FF"/>
        </w:rPr>
        <w:t xml:space="preserve">e) </w:t>
      </w:r>
      <w:r w:rsidRPr="0016789C">
        <w:rPr>
          <w:rFonts w:ascii="Times New Roman" w:hAnsi="Times New Roman"/>
          <w:color w:val="000000" w:themeColor="tx1" w:themeShade="FF"/>
        </w:rPr>
        <w:t xml:space="preserve">limity na lehotu splatnosti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D73D7C">
        <w:rPr>
          <w:rFonts w:ascii="Times New Roman" w:hAnsi="Times New Roman"/>
          <w:color w:val="000000" w:themeColor="tx1" w:themeShade="FF"/>
        </w:rPr>
        <w:t>.</w:t>
      </w:r>
    </w:p>
    <w:p w:rsidR="00DB333B" w:rsidRPr="0016789C" w:rsidP="00DB333B">
      <w:pPr>
        <w:bidi w:val="0"/>
        <w:spacing w:after="0" w:line="240" w:lineRule="auto"/>
        <w:rPr>
          <w:rFonts w:ascii="Times New Roman" w:hAnsi="Times New Roman"/>
        </w:rPr>
      </w:pPr>
    </w:p>
    <w:p w:rsidR="00DB333B" w:rsidRPr="0016789C" w:rsidP="005C0147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 w:rsidR="005C0147">
        <w:rPr>
          <w:rFonts w:ascii="Times New Roman" w:hAnsi="Times New Roman"/>
          <w:b/>
        </w:rPr>
        <w:t>§ 2</w:t>
      </w:r>
    </w:p>
    <w:p w:rsidR="00F85D5D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 w:rsidR="00A875B9">
        <w:rPr>
          <w:rFonts w:ascii="Times New Roman" w:hAnsi="Times New Roman"/>
          <w:b/>
        </w:rPr>
        <w:t xml:space="preserve">Metodika na výpočet ukazovateľa schopnosti spotrebiteľa splácať </w:t>
      </w:r>
      <w:r w:rsidRPr="0016789C" w:rsidR="00EC54E5">
        <w:rPr>
          <w:rFonts w:ascii="Times New Roman" w:hAnsi="Times New Roman"/>
          <w:b/>
        </w:rPr>
        <w:t>spotrebiteľský úver</w:t>
      </w:r>
      <w:r w:rsidRPr="0016789C" w:rsidR="00A875B9">
        <w:rPr>
          <w:rFonts w:ascii="Times New Roman" w:hAnsi="Times New Roman"/>
          <w:b/>
        </w:rPr>
        <w:t xml:space="preserve"> </w:t>
      </w:r>
    </w:p>
    <w:p w:rsidR="00A875B9" w:rsidRPr="0016789C" w:rsidP="00F67738">
      <w:pPr>
        <w:bidi w:val="0"/>
        <w:spacing w:after="0" w:line="240" w:lineRule="auto"/>
        <w:rPr>
          <w:rFonts w:ascii="Times New Roman" w:hAnsi="Times New Roman"/>
          <w:b/>
        </w:rPr>
      </w:pPr>
    </w:p>
    <w:p w:rsidR="00A875B9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(1) Ukazovateľ schopnosti spotrebiteľa splácať </w:t>
      </w:r>
      <w:r w:rsidRPr="0016789C" w:rsidR="00EC54E5">
        <w:rPr>
          <w:rFonts w:ascii="Times New Roman" w:hAnsi="Times New Roman"/>
        </w:rPr>
        <w:t>spotrebiteľský úver</w:t>
      </w:r>
      <w:r w:rsidRPr="0016789C" w:rsidR="000F419D">
        <w:rPr>
          <w:rFonts w:ascii="Times New Roman" w:hAnsi="Times New Roman"/>
        </w:rPr>
        <w:t xml:space="preserve"> (ďalej len „ukazovateľ</w:t>
      </w:r>
      <w:r w:rsidRPr="0016789C">
        <w:rPr>
          <w:rFonts w:ascii="Times New Roman" w:hAnsi="Times New Roman"/>
        </w:rPr>
        <w:t xml:space="preserve">“) sa vypočíta ako podiel celkovej výšky výdavkov </w:t>
      </w:r>
      <w:r w:rsidRPr="0016789C" w:rsidR="0074008A">
        <w:rPr>
          <w:rFonts w:ascii="Times New Roman" w:hAnsi="Times New Roman"/>
        </w:rPr>
        <w:t xml:space="preserve">na </w:t>
      </w:r>
      <w:r w:rsidRPr="0016789C" w:rsidR="00A64CE6">
        <w:rPr>
          <w:rFonts w:ascii="Times New Roman" w:hAnsi="Times New Roman"/>
        </w:rPr>
        <w:t xml:space="preserve">peňažné </w:t>
      </w:r>
      <w:r w:rsidRPr="0016789C" w:rsidR="0074008A">
        <w:rPr>
          <w:rFonts w:ascii="Times New Roman" w:hAnsi="Times New Roman"/>
        </w:rPr>
        <w:t xml:space="preserve">záväzky </w:t>
      </w:r>
      <w:r w:rsidRPr="0016789C">
        <w:rPr>
          <w:rFonts w:ascii="Times New Roman" w:hAnsi="Times New Roman"/>
        </w:rPr>
        <w:t xml:space="preserve">spotrebiteľa podľa odseku </w:t>
      </w:r>
      <w:r w:rsidRPr="0016789C" w:rsidR="00726EEA">
        <w:rPr>
          <w:rFonts w:ascii="Times New Roman" w:hAnsi="Times New Roman"/>
        </w:rPr>
        <w:t>3</w:t>
      </w:r>
      <w:r w:rsidRPr="0016789C" w:rsidR="00F67738">
        <w:rPr>
          <w:rFonts w:ascii="Times New Roman" w:hAnsi="Times New Roman"/>
        </w:rPr>
        <w:t xml:space="preserve"> </w:t>
      </w:r>
      <w:r w:rsidRPr="0016789C" w:rsidR="004A45B3">
        <w:rPr>
          <w:rFonts w:ascii="Times New Roman" w:hAnsi="Times New Roman"/>
        </w:rPr>
        <w:t xml:space="preserve"> a </w:t>
      </w:r>
      <w:r w:rsidRPr="0016789C" w:rsidR="000F419D">
        <w:rPr>
          <w:rFonts w:ascii="Times New Roman" w:hAnsi="Times New Roman"/>
        </w:rPr>
        <w:t xml:space="preserve">celkovej </w:t>
      </w:r>
      <w:r w:rsidRPr="0016789C">
        <w:rPr>
          <w:rFonts w:ascii="Times New Roman" w:hAnsi="Times New Roman"/>
        </w:rPr>
        <w:t>výšk</w:t>
      </w:r>
      <w:r w:rsidRPr="0016789C" w:rsidR="007535F5">
        <w:rPr>
          <w:rFonts w:ascii="Times New Roman" w:hAnsi="Times New Roman"/>
        </w:rPr>
        <w:t>y</w:t>
      </w:r>
      <w:r w:rsidRPr="0016789C">
        <w:rPr>
          <w:rFonts w:ascii="Times New Roman" w:hAnsi="Times New Roman"/>
        </w:rPr>
        <w:t xml:space="preserve"> príjmu spotrebiteľa</w:t>
      </w:r>
      <w:r w:rsidRPr="0016789C" w:rsidR="00726EEA">
        <w:rPr>
          <w:rFonts w:ascii="Times New Roman" w:hAnsi="Times New Roman"/>
        </w:rPr>
        <w:t xml:space="preserve"> </w:t>
      </w:r>
      <w:r w:rsidRPr="0016789C" w:rsidR="0074008A">
        <w:rPr>
          <w:rFonts w:ascii="Times New Roman" w:hAnsi="Times New Roman"/>
        </w:rPr>
        <w:t>podľa odseku 4 zníženej o</w:t>
      </w:r>
      <w:r w:rsidRPr="0016789C" w:rsidR="00B67E05">
        <w:rPr>
          <w:rFonts w:ascii="Times New Roman" w:hAnsi="Times New Roman"/>
        </w:rPr>
        <w:t> </w:t>
      </w:r>
      <w:r w:rsidRPr="0016789C" w:rsidR="00E815DE">
        <w:rPr>
          <w:rFonts w:ascii="Times New Roman" w:hAnsi="Times New Roman"/>
        </w:rPr>
        <w:t>celkov</w:t>
      </w:r>
      <w:r w:rsidRPr="0016789C" w:rsidR="00B67E05">
        <w:rPr>
          <w:rFonts w:ascii="Times New Roman" w:hAnsi="Times New Roman"/>
        </w:rPr>
        <w:t xml:space="preserve">ú výšku </w:t>
      </w:r>
      <w:r w:rsidRPr="0016789C" w:rsidR="00E815DE">
        <w:rPr>
          <w:rFonts w:ascii="Times New Roman" w:hAnsi="Times New Roman"/>
        </w:rPr>
        <w:t xml:space="preserve"> </w:t>
      </w:r>
      <w:r w:rsidRPr="0016789C" w:rsidR="0074008A">
        <w:rPr>
          <w:rFonts w:ascii="Times New Roman" w:hAnsi="Times New Roman"/>
        </w:rPr>
        <w:t>náklad</w:t>
      </w:r>
      <w:r w:rsidRPr="0016789C" w:rsidR="00B67E05">
        <w:rPr>
          <w:rFonts w:ascii="Times New Roman" w:hAnsi="Times New Roman"/>
        </w:rPr>
        <w:t>ov</w:t>
      </w:r>
      <w:r w:rsidRPr="0016789C" w:rsidR="0074008A">
        <w:rPr>
          <w:rFonts w:ascii="Times New Roman" w:hAnsi="Times New Roman"/>
        </w:rPr>
        <w:t xml:space="preserve"> </w:t>
      </w:r>
      <w:r w:rsidRPr="0016789C" w:rsidR="005822CA">
        <w:rPr>
          <w:rFonts w:ascii="Times New Roman" w:hAnsi="Times New Roman"/>
        </w:rPr>
        <w:t>na zabezpečenie nevyhnutných podmienok na uspokojovanie základných životných potrieb spotrebiteľa</w:t>
      </w:r>
      <w:r w:rsidRPr="0016789C" w:rsidR="0074008A">
        <w:rPr>
          <w:rFonts w:ascii="Times New Roman" w:hAnsi="Times New Roman"/>
        </w:rPr>
        <w:t xml:space="preserve"> </w:t>
      </w:r>
      <w:r w:rsidRPr="0016789C" w:rsidR="00726EEA">
        <w:rPr>
          <w:rFonts w:ascii="Times New Roman" w:hAnsi="Times New Roman"/>
        </w:rPr>
        <w:t xml:space="preserve">podľa odseku </w:t>
      </w:r>
      <w:r w:rsidRPr="0016789C" w:rsidR="00A72277">
        <w:rPr>
          <w:rFonts w:ascii="Times New Roman" w:hAnsi="Times New Roman"/>
        </w:rPr>
        <w:t>5</w:t>
      </w:r>
      <w:r w:rsidRPr="0016789C" w:rsidR="00726EEA">
        <w:rPr>
          <w:rFonts w:ascii="Times New Roman" w:hAnsi="Times New Roman"/>
        </w:rPr>
        <w:t xml:space="preserve">. Všetky položky výpočtu </w:t>
      </w:r>
      <w:r w:rsidRPr="0016789C" w:rsidR="00E815DE">
        <w:rPr>
          <w:rFonts w:ascii="Times New Roman" w:hAnsi="Times New Roman"/>
        </w:rPr>
        <w:t xml:space="preserve">ukazovateľa </w:t>
      </w:r>
      <w:r w:rsidRPr="0016789C" w:rsidR="00726EEA">
        <w:rPr>
          <w:rFonts w:ascii="Times New Roman" w:hAnsi="Times New Roman"/>
        </w:rPr>
        <w:t>sú prepočít</w:t>
      </w:r>
      <w:r w:rsidRPr="0016789C" w:rsidR="00F67738">
        <w:rPr>
          <w:rFonts w:ascii="Times New Roman" w:hAnsi="Times New Roman"/>
        </w:rPr>
        <w:t>ané na obdobie jedného mesiaca.</w:t>
      </w:r>
    </w:p>
    <w:p w:rsidR="00A875B9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726EEA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(2) </w:t>
      </w:r>
      <w:r w:rsidRPr="0016789C" w:rsidR="00B0122B">
        <w:rPr>
          <w:rFonts w:ascii="Times New Roman" w:hAnsi="Times New Roman"/>
        </w:rPr>
        <w:t>L</w:t>
      </w:r>
      <w:r w:rsidRPr="0016789C">
        <w:rPr>
          <w:rFonts w:ascii="Times New Roman" w:hAnsi="Times New Roman"/>
        </w:rPr>
        <w:t>imit ukazovateľ</w:t>
      </w:r>
      <w:r w:rsidRPr="0016789C" w:rsidR="00B0122B">
        <w:rPr>
          <w:rFonts w:ascii="Times New Roman" w:hAnsi="Times New Roman"/>
        </w:rPr>
        <w:t>a vypočítaného podľa odseku 1</w:t>
      </w:r>
      <w:r w:rsidRPr="0016789C">
        <w:rPr>
          <w:rFonts w:ascii="Times New Roman" w:hAnsi="Times New Roman"/>
        </w:rPr>
        <w:t xml:space="preserve"> </w:t>
      </w:r>
      <w:r w:rsidRPr="0016789C" w:rsidR="00B0122B">
        <w:rPr>
          <w:rFonts w:ascii="Times New Roman" w:hAnsi="Times New Roman"/>
        </w:rPr>
        <w:t xml:space="preserve">nemôže prekročiť  hodnotu 1. </w:t>
      </w:r>
      <w:r w:rsidRPr="0016789C">
        <w:rPr>
          <w:rFonts w:ascii="Times New Roman" w:hAnsi="Times New Roman"/>
        </w:rPr>
        <w:t xml:space="preserve"> </w:t>
      </w:r>
    </w:p>
    <w:p w:rsidR="00726EEA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875B9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>(</w:t>
      </w:r>
      <w:r w:rsidRPr="0016789C" w:rsidR="00726EEA">
        <w:rPr>
          <w:rFonts w:ascii="Times New Roman" w:hAnsi="Times New Roman"/>
        </w:rPr>
        <w:t>3</w:t>
      </w:r>
      <w:r w:rsidRPr="0016789C">
        <w:rPr>
          <w:rFonts w:ascii="Times New Roman" w:hAnsi="Times New Roman"/>
        </w:rPr>
        <w:t xml:space="preserve">) Celková výška výdavkov </w:t>
      </w:r>
      <w:r w:rsidRPr="0016789C" w:rsidR="0074008A">
        <w:rPr>
          <w:rFonts w:ascii="Times New Roman" w:hAnsi="Times New Roman"/>
        </w:rPr>
        <w:t xml:space="preserve">na </w:t>
      </w:r>
      <w:r w:rsidRPr="0016789C" w:rsidR="00A64CE6">
        <w:rPr>
          <w:rFonts w:ascii="Times New Roman" w:hAnsi="Times New Roman"/>
        </w:rPr>
        <w:t xml:space="preserve">peňažné </w:t>
      </w:r>
      <w:r w:rsidRPr="0016789C" w:rsidR="0074008A">
        <w:rPr>
          <w:rFonts w:ascii="Times New Roman" w:hAnsi="Times New Roman"/>
        </w:rPr>
        <w:t xml:space="preserve">záväzky </w:t>
      </w:r>
      <w:r w:rsidRPr="0016789C">
        <w:rPr>
          <w:rFonts w:ascii="Times New Roman" w:hAnsi="Times New Roman"/>
        </w:rPr>
        <w:t>spotrebiteľa sa na účely odseku 1 určí ako súčet</w:t>
      </w:r>
      <w:r w:rsidRPr="0016789C" w:rsidR="00944A98">
        <w:rPr>
          <w:rFonts w:ascii="Times New Roman" w:hAnsi="Times New Roman"/>
        </w:rPr>
        <w:t xml:space="preserve"> výšky</w:t>
      </w:r>
    </w:p>
    <w:p w:rsidR="00C409E2" w:rsidRPr="0016789C" w:rsidP="00221D89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6789C" w:rsidR="0074008A">
        <w:rPr>
          <w:rFonts w:ascii="Times New Roman" w:hAnsi="Times New Roman"/>
        </w:rPr>
        <w:t>a</w:t>
      </w:r>
      <w:r w:rsidRPr="0016789C">
        <w:rPr>
          <w:rFonts w:ascii="Times New Roman" w:hAnsi="Times New Roman"/>
        </w:rPr>
        <w:t xml:space="preserve">) </w:t>
      </w:r>
      <w:r w:rsidRPr="0016789C" w:rsidR="00A875B9">
        <w:rPr>
          <w:rFonts w:ascii="Times New Roman" w:hAnsi="Times New Roman"/>
        </w:rPr>
        <w:t xml:space="preserve">splátky poskytovaného </w:t>
      </w:r>
      <w:r w:rsidRPr="0016789C" w:rsidR="00EC54E5">
        <w:rPr>
          <w:rFonts w:ascii="Times New Roman" w:hAnsi="Times New Roman"/>
        </w:rPr>
        <w:t>spotrebiteľského úveru</w:t>
      </w:r>
      <w:r w:rsidRPr="0016789C" w:rsidR="00C57B2F">
        <w:rPr>
          <w:rFonts w:ascii="Times New Roman" w:hAnsi="Times New Roman"/>
        </w:rPr>
        <w:t xml:space="preserve"> </w:t>
      </w:r>
      <w:r w:rsidRPr="0016789C" w:rsidR="00A875B9">
        <w:rPr>
          <w:rFonts w:ascii="Times New Roman" w:hAnsi="Times New Roman"/>
        </w:rPr>
        <w:t xml:space="preserve">podľa  § </w:t>
      </w:r>
      <w:r w:rsidRPr="0016789C" w:rsidR="00EC54E5">
        <w:rPr>
          <w:rFonts w:ascii="Times New Roman" w:hAnsi="Times New Roman"/>
        </w:rPr>
        <w:t>7</w:t>
      </w:r>
      <w:r w:rsidRPr="0016789C" w:rsidR="00A875B9">
        <w:rPr>
          <w:rFonts w:ascii="Times New Roman" w:hAnsi="Times New Roman"/>
        </w:rPr>
        <w:t xml:space="preserve"> ods. </w:t>
      </w:r>
      <w:r w:rsidRPr="0016789C" w:rsidR="00EC54E5">
        <w:rPr>
          <w:rFonts w:ascii="Times New Roman" w:hAnsi="Times New Roman"/>
        </w:rPr>
        <w:t>20</w:t>
      </w:r>
      <w:r w:rsidRPr="0016789C" w:rsidR="00A875B9">
        <w:rPr>
          <w:rFonts w:ascii="Times New Roman" w:hAnsi="Times New Roman"/>
        </w:rPr>
        <w:t xml:space="preserve"> písm. c) zákona</w:t>
      </w:r>
      <w:r w:rsidRPr="0016789C">
        <w:rPr>
          <w:rFonts w:ascii="Times New Roman" w:hAnsi="Times New Roman"/>
        </w:rPr>
        <w:t xml:space="preserve"> pri zohľadnení </w:t>
      </w:r>
    </w:p>
    <w:p w:rsidR="00A875B9" w:rsidRPr="0016789C" w:rsidP="00221D89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16789C" w:rsidR="00C52BA3">
        <w:rPr>
          <w:rFonts w:ascii="Times New Roman" w:hAnsi="Times New Roman"/>
        </w:rPr>
        <w:t xml:space="preserve">odseku </w:t>
      </w:r>
      <w:r w:rsidRPr="0016789C" w:rsidR="00EC54E5">
        <w:rPr>
          <w:rFonts w:ascii="Times New Roman" w:hAnsi="Times New Roman"/>
        </w:rPr>
        <w:t>7</w:t>
      </w:r>
      <w:r w:rsidRPr="0016789C" w:rsidR="00A83498">
        <w:rPr>
          <w:rFonts w:ascii="Times New Roman" w:hAnsi="Times New Roman"/>
        </w:rPr>
        <w:t xml:space="preserve"> a podľa § </w:t>
      </w:r>
      <w:r w:rsidRPr="0016789C" w:rsidR="0006332A">
        <w:rPr>
          <w:rFonts w:ascii="Times New Roman" w:hAnsi="Times New Roman"/>
        </w:rPr>
        <w:t>4</w:t>
      </w:r>
      <w:r w:rsidRPr="0016789C">
        <w:rPr>
          <w:rFonts w:ascii="Times New Roman" w:hAnsi="Times New Roman"/>
        </w:rPr>
        <w:t xml:space="preserve"> a</w:t>
      </w:r>
    </w:p>
    <w:p w:rsidR="00A875B9" w:rsidRPr="0016789C" w:rsidP="00C409E2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C409E2">
        <w:rPr>
          <w:rFonts w:ascii="Times New Roman" w:hAnsi="Times New Roman"/>
        </w:rPr>
        <w:t xml:space="preserve">b) </w:t>
      </w:r>
      <w:r w:rsidRPr="0016789C">
        <w:rPr>
          <w:rFonts w:ascii="Times New Roman" w:hAnsi="Times New Roman"/>
        </w:rPr>
        <w:t xml:space="preserve">peňažných záväzkov znižujúcich príjem spotrebiteľa  § </w:t>
      </w:r>
      <w:r w:rsidRPr="0016789C" w:rsidR="00EC54E5">
        <w:rPr>
          <w:rFonts w:ascii="Times New Roman" w:hAnsi="Times New Roman"/>
        </w:rPr>
        <w:t>7</w:t>
      </w:r>
      <w:r w:rsidRPr="0016789C">
        <w:rPr>
          <w:rFonts w:ascii="Times New Roman" w:hAnsi="Times New Roman"/>
        </w:rPr>
        <w:t xml:space="preserve"> ods. </w:t>
      </w:r>
      <w:r w:rsidRPr="0016789C" w:rsidR="00EC54E5">
        <w:rPr>
          <w:rFonts w:ascii="Times New Roman" w:hAnsi="Times New Roman"/>
        </w:rPr>
        <w:t>20</w:t>
      </w:r>
      <w:r w:rsidRPr="0016789C">
        <w:rPr>
          <w:rFonts w:ascii="Times New Roman" w:hAnsi="Times New Roman"/>
        </w:rPr>
        <w:t xml:space="preserve"> písm. d) zákona</w:t>
      </w:r>
      <w:r w:rsidRPr="0016789C" w:rsidR="00F67738">
        <w:rPr>
          <w:rFonts w:ascii="Times New Roman" w:hAnsi="Times New Roman"/>
        </w:rPr>
        <w:t xml:space="preserve"> pri zohľadnení </w:t>
      </w:r>
      <w:r w:rsidRPr="0016789C" w:rsidR="00C52BA3">
        <w:rPr>
          <w:rFonts w:ascii="Times New Roman" w:hAnsi="Times New Roman"/>
        </w:rPr>
        <w:t xml:space="preserve">odseku </w:t>
      </w:r>
      <w:r w:rsidRPr="0016789C" w:rsidR="00EC54E5">
        <w:rPr>
          <w:rFonts w:ascii="Times New Roman" w:hAnsi="Times New Roman"/>
        </w:rPr>
        <w:t>8</w:t>
      </w:r>
      <w:r w:rsidRPr="0016789C">
        <w:rPr>
          <w:rFonts w:ascii="Times New Roman" w:hAnsi="Times New Roman"/>
        </w:rPr>
        <w:t>.</w:t>
      </w:r>
    </w:p>
    <w:p w:rsidR="0074008A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A875B9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>(</w:t>
      </w:r>
      <w:r w:rsidRPr="0016789C" w:rsidR="00726EEA">
        <w:rPr>
          <w:rFonts w:ascii="Times New Roman" w:hAnsi="Times New Roman"/>
        </w:rPr>
        <w:t>4</w:t>
      </w:r>
      <w:r w:rsidRPr="0016789C">
        <w:rPr>
          <w:rFonts w:ascii="Times New Roman" w:hAnsi="Times New Roman"/>
        </w:rPr>
        <w:t xml:space="preserve">) </w:t>
      </w:r>
      <w:r w:rsidRPr="0016789C" w:rsidR="000F419D">
        <w:rPr>
          <w:rFonts w:ascii="Times New Roman" w:hAnsi="Times New Roman"/>
        </w:rPr>
        <w:t xml:space="preserve">Celkovou </w:t>
      </w:r>
      <w:r w:rsidRPr="0016789C">
        <w:rPr>
          <w:rFonts w:ascii="Times New Roman" w:hAnsi="Times New Roman"/>
        </w:rPr>
        <w:t>výškou príjmov</w:t>
      </w:r>
      <w:r w:rsidRPr="0016789C" w:rsidR="008D09A5">
        <w:rPr>
          <w:rFonts w:ascii="Times New Roman" w:hAnsi="Times New Roman"/>
        </w:rPr>
        <w:t xml:space="preserve"> spotrebiteľa</w:t>
      </w:r>
      <w:r w:rsidRPr="0016789C">
        <w:rPr>
          <w:rFonts w:ascii="Times New Roman" w:hAnsi="Times New Roman"/>
        </w:rPr>
        <w:t xml:space="preserve"> sa rozumie aritmetický priemer pravidelne </w:t>
      </w:r>
      <w:r w:rsidRPr="0016789C" w:rsidR="00734DBA">
        <w:rPr>
          <w:rFonts w:ascii="Times New Roman" w:hAnsi="Times New Roman"/>
        </w:rPr>
        <w:t xml:space="preserve">sa </w:t>
      </w:r>
      <w:r w:rsidRPr="0016789C">
        <w:rPr>
          <w:rFonts w:ascii="Times New Roman" w:hAnsi="Times New Roman"/>
        </w:rPr>
        <w:t xml:space="preserve">opakujúcich </w:t>
      </w:r>
      <w:r w:rsidRPr="0016789C" w:rsidR="00A83498">
        <w:rPr>
          <w:rFonts w:ascii="Times New Roman" w:hAnsi="Times New Roman"/>
        </w:rPr>
        <w:t xml:space="preserve">čistých </w:t>
      </w:r>
      <w:r w:rsidRPr="0016789C" w:rsidR="000F419D">
        <w:rPr>
          <w:rFonts w:ascii="Times New Roman" w:hAnsi="Times New Roman"/>
        </w:rPr>
        <w:t xml:space="preserve">skutočných </w:t>
      </w:r>
      <w:r w:rsidRPr="0016789C">
        <w:rPr>
          <w:rFonts w:ascii="Times New Roman" w:hAnsi="Times New Roman"/>
        </w:rPr>
        <w:t xml:space="preserve">príjmov spotrebiteľa </w:t>
      </w:r>
      <w:r w:rsidRPr="0016789C" w:rsidR="00944A98">
        <w:rPr>
          <w:rFonts w:ascii="Times New Roman" w:hAnsi="Times New Roman"/>
        </w:rPr>
        <w:t xml:space="preserve">najmenej </w:t>
      </w:r>
      <w:r w:rsidRPr="0016789C">
        <w:rPr>
          <w:rFonts w:ascii="Times New Roman" w:hAnsi="Times New Roman"/>
        </w:rPr>
        <w:t xml:space="preserve">za obdobie </w:t>
      </w:r>
      <w:r w:rsidRPr="0016789C" w:rsidR="00944A98">
        <w:rPr>
          <w:rFonts w:ascii="Times New Roman" w:hAnsi="Times New Roman"/>
        </w:rPr>
        <w:t xml:space="preserve">bezprostredne predchádzajúcich </w:t>
      </w:r>
      <w:r w:rsidRPr="0016789C">
        <w:rPr>
          <w:rFonts w:ascii="Times New Roman" w:hAnsi="Times New Roman"/>
        </w:rPr>
        <w:t xml:space="preserve">šiestich mesiacov pred posúdením schopnosti spotrebiteľa splácať </w:t>
      </w:r>
      <w:r w:rsidRPr="0016789C" w:rsidR="00EC54E5">
        <w:rPr>
          <w:rFonts w:ascii="Times New Roman" w:hAnsi="Times New Roman"/>
        </w:rPr>
        <w:t>spotrebiteľský úver</w:t>
      </w:r>
      <w:r w:rsidRPr="0016789C" w:rsidR="008A6E81">
        <w:rPr>
          <w:rFonts w:ascii="Times New Roman" w:hAnsi="Times New Roman"/>
        </w:rPr>
        <w:t>.</w:t>
      </w:r>
    </w:p>
    <w:p w:rsidR="00A875B9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74008A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>(</w:t>
      </w:r>
      <w:r w:rsidRPr="0016789C" w:rsidR="00A72277">
        <w:rPr>
          <w:rFonts w:ascii="Times New Roman" w:hAnsi="Times New Roman"/>
        </w:rPr>
        <w:t>5</w:t>
      </w:r>
      <w:r w:rsidRPr="0016789C">
        <w:rPr>
          <w:rFonts w:ascii="Times New Roman" w:hAnsi="Times New Roman"/>
        </w:rPr>
        <w:t xml:space="preserve">) Celková výška nákladov </w:t>
      </w:r>
      <w:r w:rsidRPr="0016789C" w:rsidR="00124F57">
        <w:rPr>
          <w:rFonts w:ascii="Times New Roman" w:hAnsi="Times New Roman"/>
        </w:rPr>
        <w:t>na zabezp</w:t>
      </w:r>
      <w:r w:rsidRPr="0016789C" w:rsidR="00557F98">
        <w:rPr>
          <w:rFonts w:ascii="Times New Roman" w:hAnsi="Times New Roman"/>
        </w:rPr>
        <w:t>e</w:t>
      </w:r>
      <w:r w:rsidRPr="0016789C" w:rsidR="00124F57">
        <w:rPr>
          <w:rFonts w:ascii="Times New Roman" w:hAnsi="Times New Roman"/>
        </w:rPr>
        <w:t>čenie nevyhnutných podmienok na uspokojovanie základných životných potrieb spotrebiteľa</w:t>
      </w:r>
      <w:r w:rsidRPr="0016789C">
        <w:rPr>
          <w:rFonts w:ascii="Times New Roman" w:hAnsi="Times New Roman"/>
        </w:rPr>
        <w:t xml:space="preserve"> sa na účely odseku 1 určí ako </w:t>
      </w:r>
      <w:r w:rsidRPr="0016789C" w:rsidR="00903A07">
        <w:rPr>
          <w:rFonts w:ascii="Times New Roman" w:hAnsi="Times New Roman"/>
        </w:rPr>
        <w:t>suma</w:t>
      </w:r>
      <w:r w:rsidRPr="0016789C">
        <w:rPr>
          <w:rFonts w:ascii="Times New Roman" w:hAnsi="Times New Roman"/>
        </w:rPr>
        <w:t xml:space="preserve"> nákladov </w:t>
      </w:r>
      <w:r w:rsidRPr="0016789C" w:rsidR="003976FA">
        <w:rPr>
          <w:rFonts w:ascii="Times New Roman" w:hAnsi="Times New Roman"/>
        </w:rPr>
        <w:t>vrátane nákladov na osobu</w:t>
      </w:r>
      <w:r w:rsidRPr="0016789C" w:rsidR="00FC48CF">
        <w:rPr>
          <w:rFonts w:ascii="Times New Roman" w:hAnsi="Times New Roman"/>
        </w:rPr>
        <w:t>, voči ktorej má spotrebiteľ vyživovaciu povinnosť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16789C" w:rsidR="00A72277">
        <w:rPr>
          <w:rFonts w:ascii="Times New Roman" w:hAnsi="Times New Roman"/>
          <w:vertAlign w:val="superscript"/>
        </w:rPr>
        <w:t>)</w:t>
      </w:r>
      <w:r w:rsidRPr="0016789C" w:rsidR="003976FA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 xml:space="preserve">podľa § </w:t>
      </w:r>
      <w:r w:rsidRPr="0016789C" w:rsidR="00EC54E5">
        <w:rPr>
          <w:rFonts w:ascii="Times New Roman" w:hAnsi="Times New Roman"/>
        </w:rPr>
        <w:t>7</w:t>
      </w:r>
      <w:r w:rsidRPr="0016789C">
        <w:rPr>
          <w:rFonts w:ascii="Times New Roman" w:hAnsi="Times New Roman"/>
        </w:rPr>
        <w:t xml:space="preserve"> ods. </w:t>
      </w:r>
      <w:r w:rsidRPr="0016789C" w:rsidR="00EC54E5">
        <w:rPr>
          <w:rFonts w:ascii="Times New Roman" w:hAnsi="Times New Roman"/>
        </w:rPr>
        <w:t>20</w:t>
      </w:r>
      <w:r w:rsidRPr="0016789C">
        <w:rPr>
          <w:rFonts w:ascii="Times New Roman" w:hAnsi="Times New Roman"/>
        </w:rPr>
        <w:t xml:space="preserve"> písm. b) zákona (ďalej len „náklady“)</w:t>
      </w:r>
      <w:r w:rsidRPr="0016789C" w:rsidR="00903A07">
        <w:rPr>
          <w:rFonts w:ascii="Times New Roman" w:hAnsi="Times New Roman"/>
        </w:rPr>
        <w:t>.</w:t>
      </w:r>
    </w:p>
    <w:p w:rsidR="00FF4F04" w:rsidRPr="0016789C" w:rsidP="008B7FBE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6789C" w:rsidR="00D73D7C">
        <w:rPr>
          <w:rFonts w:ascii="Times New Roman" w:hAnsi="Times New Roman"/>
        </w:rPr>
        <w:t xml:space="preserve"> </w:t>
      </w:r>
      <w:r w:rsidRPr="0016789C" w:rsidR="006F11F7">
        <w:rPr>
          <w:rFonts w:ascii="Times New Roman" w:hAnsi="Times New Roman"/>
        </w:rPr>
        <w:t>(</w:t>
      </w:r>
      <w:r w:rsidRPr="0016789C" w:rsidR="00D73D7C">
        <w:rPr>
          <w:rFonts w:ascii="Times New Roman" w:hAnsi="Times New Roman"/>
        </w:rPr>
        <w:t>6</w:t>
      </w:r>
      <w:r w:rsidRPr="0016789C" w:rsidR="006F11F7">
        <w:rPr>
          <w:rFonts w:ascii="Times New Roman" w:hAnsi="Times New Roman"/>
        </w:rPr>
        <w:t>)</w:t>
      </w:r>
      <w:r w:rsidRPr="0016789C" w:rsidR="00720829">
        <w:rPr>
          <w:rFonts w:ascii="Times New Roman" w:hAnsi="Times New Roman"/>
        </w:rPr>
        <w:t xml:space="preserve"> </w:t>
      </w:r>
      <w:r w:rsidRPr="0016789C" w:rsidR="00564222">
        <w:rPr>
          <w:rFonts w:ascii="Times New Roman" w:hAnsi="Times New Roman"/>
        </w:rPr>
        <w:t xml:space="preserve"> </w:t>
      </w:r>
      <w:r w:rsidRPr="0016789C" w:rsidR="00D73D7C">
        <w:rPr>
          <w:rFonts w:ascii="Times New Roman" w:hAnsi="Times New Roman"/>
        </w:rPr>
        <w:t>C</w:t>
      </w:r>
      <w:r w:rsidRPr="0016789C" w:rsidR="00734DBA">
        <w:rPr>
          <w:rFonts w:ascii="Times New Roman" w:hAnsi="Times New Roman"/>
        </w:rPr>
        <w:t>elkov</w:t>
      </w:r>
      <w:r w:rsidRPr="0016789C" w:rsidR="00C67B0C">
        <w:rPr>
          <w:rFonts w:ascii="Times New Roman" w:hAnsi="Times New Roman"/>
        </w:rPr>
        <w:t>á</w:t>
      </w:r>
      <w:r w:rsidRPr="0016789C" w:rsidR="00734DBA">
        <w:rPr>
          <w:rFonts w:ascii="Times New Roman" w:hAnsi="Times New Roman"/>
        </w:rPr>
        <w:t xml:space="preserve"> výška nákladov </w:t>
      </w:r>
      <w:r w:rsidRPr="0016789C" w:rsidR="00C67B0C">
        <w:rPr>
          <w:rFonts w:ascii="Times New Roman" w:hAnsi="Times New Roman"/>
        </w:rPr>
        <w:t xml:space="preserve">sa </w:t>
      </w:r>
      <w:r w:rsidRPr="0016789C" w:rsidR="00734DBA">
        <w:rPr>
          <w:rFonts w:ascii="Times New Roman" w:hAnsi="Times New Roman"/>
        </w:rPr>
        <w:t>určí</w:t>
      </w:r>
      <w:r w:rsidRPr="0016789C" w:rsidR="00283CB9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>minimálne vo výške sumy životného minima</w:t>
      </w:r>
      <w:r>
        <w:rPr>
          <w:rStyle w:val="FootnoteReference"/>
          <w:rFonts w:ascii="Times New Roman" w:hAnsi="Times New Roman"/>
          <w:rtl w:val="0"/>
        </w:rPr>
        <w:footnoteReference w:id="3"/>
      </w:r>
      <w:r w:rsidRPr="0016789C">
        <w:rPr>
          <w:rFonts w:ascii="Times New Roman" w:hAnsi="Times New Roman"/>
          <w:vertAlign w:val="superscript"/>
        </w:rPr>
        <w:t>)</w:t>
      </w:r>
      <w:r w:rsidRPr="0016789C">
        <w:rPr>
          <w:rFonts w:ascii="Times New Roman" w:hAnsi="Times New Roman"/>
        </w:rPr>
        <w:t xml:space="preserve"> spotrebiteľa</w:t>
      </w:r>
      <w:r w:rsidRPr="0016789C" w:rsidR="00A72277">
        <w:rPr>
          <w:rFonts w:ascii="Times New Roman" w:hAnsi="Times New Roman"/>
        </w:rPr>
        <w:t xml:space="preserve"> vrátane životného minima osoby</w:t>
      </w:r>
      <w:r w:rsidRPr="0016789C" w:rsidR="00FC48CF">
        <w:rPr>
          <w:rFonts w:ascii="Times New Roman" w:hAnsi="Times New Roman"/>
        </w:rPr>
        <w:t>, voči ktorej má spotrebiteľ vyživovaciu povinnosť</w:t>
      </w:r>
      <w:r w:rsidRPr="0016789C" w:rsidR="00CB36E0">
        <w:rPr>
          <w:rFonts w:ascii="Times New Roman" w:hAnsi="Times New Roman"/>
          <w:vertAlign w:val="superscript"/>
        </w:rPr>
        <w:t>1</w:t>
      </w:r>
      <w:r w:rsidRPr="0016789C" w:rsidR="00A72277">
        <w:rPr>
          <w:rFonts w:ascii="Times New Roman" w:hAnsi="Times New Roman"/>
        </w:rPr>
        <w:t>)</w:t>
      </w:r>
      <w:r w:rsidRPr="0016789C">
        <w:rPr>
          <w:rFonts w:ascii="Times New Roman" w:hAnsi="Times New Roman"/>
        </w:rPr>
        <w:t>, navýšeného o 20 % rozdielu medzi celkovou výškou príjmu spotrebiteľa a životným minimom</w:t>
      </w:r>
      <w:r w:rsidRPr="0016789C" w:rsidR="00564222">
        <w:rPr>
          <w:rFonts w:ascii="Times New Roman" w:hAnsi="Times New Roman"/>
        </w:rPr>
        <w:t xml:space="preserve"> spotrebiteľa</w:t>
      </w:r>
      <w:r w:rsidRPr="0016789C" w:rsidR="0006332A">
        <w:rPr>
          <w:rFonts w:ascii="Times New Roman" w:hAnsi="Times New Roman"/>
        </w:rPr>
        <w:t>,</w:t>
      </w:r>
      <w:r w:rsidRPr="0016789C" w:rsidR="00564222">
        <w:rPr>
          <w:rFonts w:ascii="Times New Roman" w:hAnsi="Times New Roman"/>
        </w:rPr>
        <w:t xml:space="preserve"> vrátane životného minima osoby, voči ktorej má spotrebiteľ vyživovaciu povinnosť</w:t>
      </w:r>
      <w:r w:rsidRPr="0016789C" w:rsidR="00D73D7C">
        <w:rPr>
          <w:rFonts w:ascii="Times New Roman" w:hAnsi="Times New Roman"/>
        </w:rPr>
        <w:t>.</w:t>
      </w:r>
    </w:p>
    <w:p w:rsidR="00740FA3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8006B4" w:rsidRPr="0016789C" w:rsidP="00221D89">
      <w:pPr>
        <w:pStyle w:val="ListParagraph"/>
        <w:bidi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x1" w:themeShade="FF"/>
        </w:rPr>
      </w:pPr>
      <w:r w:rsidRPr="0016789C" w:rsidR="00726EEA">
        <w:rPr>
          <w:rFonts w:ascii="Times New Roman" w:hAnsi="Times New Roman"/>
          <w:color w:val="000000" w:themeColor="tx1" w:themeShade="FF"/>
        </w:rPr>
        <w:t>(</w:t>
      </w:r>
      <w:r w:rsidRPr="0016789C" w:rsidR="00D73D7C">
        <w:rPr>
          <w:rFonts w:ascii="Times New Roman" w:hAnsi="Times New Roman"/>
          <w:color w:val="000000" w:themeColor="tx1" w:themeShade="FF"/>
        </w:rPr>
        <w:t>7</w:t>
      </w:r>
      <w:r w:rsidRPr="0016789C" w:rsidR="00F85D5D">
        <w:rPr>
          <w:rFonts w:ascii="Times New Roman" w:hAnsi="Times New Roman"/>
          <w:color w:val="000000" w:themeColor="tx1" w:themeShade="FF"/>
        </w:rPr>
        <w:t xml:space="preserve">) Na účely § </w:t>
      </w:r>
      <w:r w:rsidRPr="0016789C" w:rsidR="00EC54E5">
        <w:rPr>
          <w:rFonts w:ascii="Times New Roman" w:hAnsi="Times New Roman"/>
          <w:color w:val="000000" w:themeColor="tx1" w:themeShade="FF"/>
        </w:rPr>
        <w:t>7</w:t>
      </w:r>
      <w:r w:rsidRPr="0016789C" w:rsidR="00F85D5D">
        <w:rPr>
          <w:rFonts w:ascii="Times New Roman" w:hAnsi="Times New Roman"/>
          <w:color w:val="000000" w:themeColor="tx1" w:themeShade="FF"/>
        </w:rPr>
        <w:t xml:space="preserve"> ods. </w:t>
      </w:r>
      <w:r w:rsidRPr="0016789C" w:rsidR="00EC54E5">
        <w:rPr>
          <w:rFonts w:ascii="Times New Roman" w:hAnsi="Times New Roman"/>
          <w:color w:val="000000" w:themeColor="tx1" w:themeShade="FF"/>
        </w:rPr>
        <w:t>20</w:t>
      </w:r>
      <w:r w:rsidRPr="0016789C" w:rsidR="00F85D5D">
        <w:rPr>
          <w:rFonts w:ascii="Times New Roman" w:hAnsi="Times New Roman"/>
          <w:color w:val="000000" w:themeColor="tx1" w:themeShade="FF"/>
        </w:rPr>
        <w:t xml:space="preserve"> písm. c) zákona p</w:t>
      </w:r>
      <w:r w:rsidRPr="0016789C">
        <w:rPr>
          <w:rFonts w:ascii="Times New Roman" w:hAnsi="Times New Roman"/>
          <w:color w:val="000000" w:themeColor="tx1" w:themeShade="FF"/>
        </w:rPr>
        <w:t xml:space="preserve">ri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spotrebiteľských úveroch</w:t>
      </w:r>
      <w:r w:rsidRPr="0016789C">
        <w:rPr>
          <w:rFonts w:ascii="Times New Roman" w:hAnsi="Times New Roman"/>
          <w:color w:val="000000" w:themeColor="tx1" w:themeShade="FF"/>
        </w:rPr>
        <w:t xml:space="preserve">  s fixnou úrokovou sadzbou  </w:t>
      </w:r>
      <w:r w:rsidRPr="0016789C" w:rsidR="00763D13">
        <w:rPr>
          <w:rFonts w:ascii="Times New Roman" w:hAnsi="Times New Roman"/>
          <w:color w:val="000000" w:themeColor="tx1" w:themeShade="FF"/>
        </w:rPr>
        <w:t>pri</w:t>
      </w:r>
      <w:r w:rsidRPr="0016789C">
        <w:rPr>
          <w:rFonts w:ascii="Times New Roman" w:hAnsi="Times New Roman"/>
          <w:color w:val="000000" w:themeColor="tx1" w:themeShade="FF"/>
        </w:rPr>
        <w:t xml:space="preserve"> výpočt</w:t>
      </w:r>
      <w:r w:rsidRPr="0016789C" w:rsidR="00763D13">
        <w:rPr>
          <w:rFonts w:ascii="Times New Roman" w:hAnsi="Times New Roman"/>
          <w:color w:val="000000" w:themeColor="tx1" w:themeShade="FF"/>
        </w:rPr>
        <w:t>e</w:t>
      </w:r>
      <w:r w:rsidRPr="0016789C">
        <w:rPr>
          <w:rFonts w:ascii="Times New Roman" w:hAnsi="Times New Roman"/>
          <w:color w:val="000000" w:themeColor="tx1" w:themeShade="FF"/>
        </w:rPr>
        <w:t xml:space="preserve"> ukazovateľa </w:t>
      </w:r>
      <w:r w:rsidRPr="0016789C" w:rsidR="00763D13">
        <w:rPr>
          <w:rFonts w:ascii="Times New Roman" w:hAnsi="Times New Roman"/>
          <w:color w:val="000000" w:themeColor="tx1" w:themeShade="FF"/>
        </w:rPr>
        <w:t xml:space="preserve"> sa použije </w:t>
      </w:r>
      <w:r w:rsidRPr="0016789C" w:rsidR="00F85D5D">
        <w:rPr>
          <w:rFonts w:ascii="Times New Roman" w:hAnsi="Times New Roman"/>
        </w:rPr>
        <w:t xml:space="preserve">najvyššia splátka  </w:t>
      </w:r>
      <w:r w:rsidRPr="0016789C" w:rsidR="00EC54E5">
        <w:rPr>
          <w:rFonts w:ascii="Times New Roman" w:hAnsi="Times New Roman"/>
        </w:rPr>
        <w:t>spotrebiteľského úveru</w:t>
      </w:r>
      <w:r w:rsidRPr="0016789C" w:rsidR="00F85D5D">
        <w:rPr>
          <w:rFonts w:ascii="Times New Roman" w:hAnsi="Times New Roman"/>
        </w:rPr>
        <w:t>, ak sú tieto splátky určené v rozdielnej výške.</w:t>
      </w:r>
    </w:p>
    <w:p w:rsidR="00726EEA" w:rsidRPr="0016789C" w:rsidP="00F67738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</w:p>
    <w:p w:rsidR="00726EEA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>
        <w:rPr>
          <w:rFonts w:ascii="Times New Roman" w:hAnsi="Times New Roman"/>
          <w:color w:val="000000" w:themeColor="tx1" w:themeShade="FF"/>
        </w:rPr>
        <w:t>(</w:t>
      </w:r>
      <w:r w:rsidRPr="0016789C" w:rsidR="00D73D7C">
        <w:rPr>
          <w:rFonts w:ascii="Times New Roman" w:hAnsi="Times New Roman"/>
          <w:color w:val="000000" w:themeColor="tx1" w:themeShade="FF"/>
        </w:rPr>
        <w:t>8</w:t>
      </w:r>
      <w:r w:rsidRPr="0016789C" w:rsidR="00F67738">
        <w:rPr>
          <w:rFonts w:ascii="Times New Roman" w:hAnsi="Times New Roman"/>
          <w:color w:val="000000" w:themeColor="tx1" w:themeShade="FF"/>
        </w:rPr>
        <w:t xml:space="preserve">) Na účely </w:t>
      </w:r>
      <w:r w:rsidRPr="0016789C">
        <w:rPr>
          <w:rFonts w:ascii="Times New Roman" w:hAnsi="Times New Roman"/>
          <w:color w:val="000000" w:themeColor="tx1" w:themeShade="FF"/>
        </w:rPr>
        <w:t xml:space="preserve">§ </w:t>
      </w:r>
      <w:r w:rsidRPr="0016789C" w:rsidR="00EC54E5">
        <w:rPr>
          <w:rFonts w:ascii="Times New Roman" w:hAnsi="Times New Roman"/>
          <w:color w:val="000000" w:themeColor="tx1" w:themeShade="FF"/>
        </w:rPr>
        <w:t>7</w:t>
      </w:r>
      <w:r w:rsidRPr="0016789C">
        <w:rPr>
          <w:rFonts w:ascii="Times New Roman" w:hAnsi="Times New Roman"/>
          <w:color w:val="000000" w:themeColor="tx1" w:themeShade="FF"/>
        </w:rPr>
        <w:t xml:space="preserve"> ods. </w:t>
      </w:r>
      <w:r w:rsidRPr="0016789C" w:rsidR="00EC54E5">
        <w:rPr>
          <w:rFonts w:ascii="Times New Roman" w:hAnsi="Times New Roman"/>
          <w:color w:val="000000" w:themeColor="tx1" w:themeShade="FF"/>
        </w:rPr>
        <w:t>20</w:t>
      </w:r>
      <w:r w:rsidRPr="0016789C">
        <w:rPr>
          <w:rFonts w:ascii="Times New Roman" w:hAnsi="Times New Roman"/>
          <w:color w:val="000000" w:themeColor="tx1" w:themeShade="FF"/>
        </w:rPr>
        <w:t xml:space="preserve"> písm. d) zákona pri úveroch</w:t>
      </w:r>
      <w:r w:rsidRPr="0016789C" w:rsidR="0006332A">
        <w:rPr>
          <w:rFonts w:ascii="Times New Roman" w:hAnsi="Times New Roman"/>
          <w:color w:val="000000" w:themeColor="tx1" w:themeShade="FF"/>
        </w:rPr>
        <w:t xml:space="preserve"> na bývanie</w:t>
      </w:r>
      <w:r w:rsidRPr="0016789C" w:rsidR="00E42CB9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E62711">
        <w:rPr>
          <w:rFonts w:ascii="Times New Roman" w:hAnsi="Times New Roman"/>
          <w:color w:val="000000" w:themeColor="tx1" w:themeShade="FF"/>
        </w:rPr>
        <w:t>alebo spotrebiteľských úveroch podľa osobitného predpisu</w:t>
      </w:r>
      <w:r w:rsidRPr="0016789C" w:rsidR="00E62711">
        <w:rPr>
          <w:rFonts w:ascii="Times New Roman" w:hAnsi="Times New Roman"/>
          <w:color w:val="000000" w:themeColor="tx1" w:themeShade="FF"/>
          <w:vertAlign w:val="superscript"/>
        </w:rPr>
        <w:t>8)</w:t>
      </w:r>
      <w:r w:rsidRPr="0016789C" w:rsidR="00E62711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E42CB9">
        <w:rPr>
          <w:rFonts w:ascii="Times New Roman" w:hAnsi="Times New Roman"/>
          <w:color w:val="000000" w:themeColor="tx1" w:themeShade="FF"/>
        </w:rPr>
        <w:t>so zostávajúcou splatnosťou prevyšujúcou osem rokov</w:t>
      </w:r>
      <w:r w:rsidRPr="0016789C">
        <w:rPr>
          <w:rFonts w:ascii="Times New Roman" w:hAnsi="Times New Roman"/>
          <w:color w:val="000000" w:themeColor="tx1" w:themeShade="FF"/>
        </w:rPr>
        <w:t>, pri ktorých nie je určená fixná úroková sadzba</w:t>
      </w:r>
      <w:r w:rsidRPr="0016789C" w:rsidR="00E42CB9">
        <w:rPr>
          <w:rFonts w:ascii="Times New Roman" w:hAnsi="Times New Roman"/>
          <w:color w:val="000000" w:themeColor="tx1" w:themeShade="FF"/>
        </w:rPr>
        <w:t>,</w:t>
      </w:r>
      <w:r>
        <w:rPr>
          <w:rStyle w:val="FootnoteReference"/>
          <w:rFonts w:ascii="Times New Roman" w:hAnsi="Times New Roman"/>
          <w:color w:val="000000" w:themeColor="tx1" w:themeShade="FF"/>
          <w:rtl w:val="0"/>
        </w:rPr>
        <w:footnoteReference w:id="4"/>
      </w:r>
      <w:r w:rsidRPr="0016789C" w:rsidR="00E42CB9">
        <w:rPr>
          <w:rFonts w:ascii="Times New Roman" w:hAnsi="Times New Roman"/>
          <w:color w:val="000000" w:themeColor="tx1" w:themeShade="FF"/>
        </w:rPr>
        <w:t>)</w:t>
      </w:r>
      <w:r w:rsidRPr="0016789C">
        <w:rPr>
          <w:rFonts w:ascii="Times New Roman" w:hAnsi="Times New Roman"/>
          <w:color w:val="000000" w:themeColor="tx1" w:themeShade="FF"/>
        </w:rPr>
        <w:t xml:space="preserve"> ktoré už boli poskytnuté  a ktoré nebudú poskytnutím aktuálne poskytovaného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>
        <w:rPr>
          <w:rFonts w:ascii="Times New Roman" w:hAnsi="Times New Roman"/>
          <w:color w:val="000000" w:themeColor="tx1" w:themeShade="FF"/>
        </w:rPr>
        <w:t xml:space="preserve"> vyplatené, sa výška peňažného záväzku znižujúca príjem spotrebiteľa započíta ako vyššia z </w:t>
      </w:r>
      <w:r w:rsidRPr="0016789C" w:rsidR="006A6F67">
        <w:rPr>
          <w:rFonts w:ascii="Times New Roman" w:hAnsi="Times New Roman"/>
          <w:color w:val="000000" w:themeColor="tx1" w:themeShade="FF"/>
        </w:rPr>
        <w:t xml:space="preserve">týchto </w:t>
      </w:r>
      <w:r w:rsidRPr="0016789C">
        <w:rPr>
          <w:rFonts w:ascii="Times New Roman" w:hAnsi="Times New Roman"/>
          <w:color w:val="000000" w:themeColor="tx1" w:themeShade="FF"/>
        </w:rPr>
        <w:t>dvoch hodnôt:</w:t>
      </w:r>
    </w:p>
    <w:p w:rsidR="00726EEA" w:rsidRPr="0016789C" w:rsidP="007433D2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  <w:r w:rsidRPr="0016789C" w:rsidR="007433D2">
        <w:rPr>
          <w:rFonts w:ascii="Times New Roman" w:hAnsi="Times New Roman"/>
          <w:color w:val="000000" w:themeColor="tx1" w:themeShade="FF"/>
        </w:rPr>
        <w:t xml:space="preserve">a) </w:t>
      </w:r>
      <w:r w:rsidRPr="0016789C">
        <w:rPr>
          <w:rFonts w:ascii="Times New Roman" w:hAnsi="Times New Roman"/>
          <w:color w:val="000000" w:themeColor="tx1" w:themeShade="FF"/>
        </w:rPr>
        <w:t xml:space="preserve">aktuálna splátka </w:t>
      </w:r>
      <w:r w:rsidRPr="0016789C" w:rsidR="0006332A">
        <w:rPr>
          <w:rFonts w:ascii="Times New Roman" w:hAnsi="Times New Roman"/>
          <w:color w:val="000000" w:themeColor="tx1" w:themeShade="FF"/>
        </w:rPr>
        <w:t>ú</w:t>
      </w:r>
      <w:r w:rsidRPr="0016789C">
        <w:rPr>
          <w:rFonts w:ascii="Times New Roman" w:hAnsi="Times New Roman"/>
          <w:color w:val="000000" w:themeColor="tx1" w:themeShade="FF"/>
        </w:rPr>
        <w:t>veru</w:t>
      </w:r>
      <w:r w:rsidRPr="0016789C" w:rsidR="0006332A">
        <w:rPr>
          <w:rFonts w:ascii="Times New Roman" w:hAnsi="Times New Roman"/>
          <w:color w:val="000000" w:themeColor="tx1" w:themeShade="FF"/>
        </w:rPr>
        <w:t xml:space="preserve"> na bývanie</w:t>
      </w:r>
      <w:r w:rsidRPr="0016789C">
        <w:rPr>
          <w:rFonts w:ascii="Times New Roman" w:hAnsi="Times New Roman"/>
          <w:color w:val="000000" w:themeColor="tx1" w:themeShade="FF"/>
        </w:rPr>
        <w:t>,</w:t>
      </w:r>
    </w:p>
    <w:p w:rsidR="00726EEA" w:rsidRPr="0016789C" w:rsidP="007433D2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7433D2">
        <w:rPr>
          <w:rFonts w:ascii="Times New Roman" w:hAnsi="Times New Roman"/>
          <w:color w:val="000000" w:themeColor="tx1" w:themeShade="FF"/>
        </w:rPr>
        <w:t xml:space="preserve">b) </w:t>
      </w:r>
      <w:r w:rsidRPr="0016789C">
        <w:rPr>
          <w:rFonts w:ascii="Times New Roman" w:hAnsi="Times New Roman"/>
          <w:color w:val="000000" w:themeColor="tx1" w:themeShade="FF"/>
        </w:rPr>
        <w:t xml:space="preserve">splátka úveru </w:t>
      </w:r>
      <w:r w:rsidRPr="0016789C" w:rsidR="0006332A">
        <w:rPr>
          <w:rFonts w:ascii="Times New Roman" w:hAnsi="Times New Roman"/>
          <w:color w:val="000000" w:themeColor="tx1" w:themeShade="FF"/>
        </w:rPr>
        <w:t xml:space="preserve">na bývanie </w:t>
      </w:r>
      <w:r w:rsidRPr="0016789C">
        <w:rPr>
          <w:rFonts w:ascii="Times New Roman" w:hAnsi="Times New Roman"/>
          <w:color w:val="000000" w:themeColor="tx1" w:themeShade="FF"/>
        </w:rPr>
        <w:t xml:space="preserve">za predpokladu úrokovej sadzby </w:t>
      </w:r>
      <w:r w:rsidRPr="0016789C" w:rsidR="00E42CB9">
        <w:rPr>
          <w:rFonts w:ascii="Times New Roman" w:hAnsi="Times New Roman"/>
          <w:color w:val="000000" w:themeColor="tx1" w:themeShade="FF"/>
        </w:rPr>
        <w:t xml:space="preserve">najmenej </w:t>
      </w:r>
      <w:r w:rsidRPr="0016789C">
        <w:rPr>
          <w:rFonts w:ascii="Times New Roman" w:hAnsi="Times New Roman"/>
          <w:color w:val="000000" w:themeColor="tx1" w:themeShade="FF"/>
        </w:rPr>
        <w:t xml:space="preserve">o </w:t>
      </w:r>
      <w:r w:rsidRPr="0016789C" w:rsidR="009921BC">
        <w:rPr>
          <w:rFonts w:ascii="Times New Roman" w:hAnsi="Times New Roman"/>
          <w:color w:val="000000" w:themeColor="tx1" w:themeShade="FF"/>
        </w:rPr>
        <w:t xml:space="preserve">dva </w:t>
      </w:r>
      <w:r w:rsidRPr="0016789C">
        <w:rPr>
          <w:rFonts w:ascii="Times New Roman" w:hAnsi="Times New Roman"/>
          <w:color w:val="000000" w:themeColor="tx1" w:themeShade="FF"/>
        </w:rPr>
        <w:t>percentuálne body vyššej ako je aktu</w:t>
      </w:r>
      <w:r w:rsidRPr="0016789C" w:rsidR="00F67738">
        <w:rPr>
          <w:rFonts w:ascii="Times New Roman" w:hAnsi="Times New Roman"/>
          <w:color w:val="000000" w:themeColor="tx1" w:themeShade="FF"/>
        </w:rPr>
        <w:t>álne poskytovaná úroková sadzba</w:t>
      </w:r>
      <w:r w:rsidRPr="0016789C">
        <w:rPr>
          <w:rFonts w:ascii="Times New Roman" w:hAnsi="Times New Roman"/>
          <w:color w:val="000000" w:themeColor="tx1" w:themeShade="FF"/>
        </w:rPr>
        <w:t xml:space="preserve"> a maximálnej </w:t>
      </w:r>
      <w:r w:rsidRPr="0016789C" w:rsidR="00643052">
        <w:rPr>
          <w:rFonts w:ascii="Times New Roman" w:hAnsi="Times New Roman"/>
          <w:color w:val="000000" w:themeColor="tx1" w:themeShade="FF"/>
        </w:rPr>
        <w:t>lehoty splatnosti</w:t>
      </w:r>
      <w:r w:rsidRPr="0016789C">
        <w:rPr>
          <w:rFonts w:ascii="Times New Roman" w:hAnsi="Times New Roman"/>
        </w:rPr>
        <w:t> </w:t>
      </w:r>
      <w:r w:rsidRPr="0016789C" w:rsidR="0006332A">
        <w:rPr>
          <w:rFonts w:ascii="Times New Roman" w:hAnsi="Times New Roman"/>
        </w:rPr>
        <w:t xml:space="preserve">tridsať </w:t>
      </w:r>
      <w:r w:rsidRPr="0016789C">
        <w:rPr>
          <w:rFonts w:ascii="Times New Roman" w:hAnsi="Times New Roman"/>
        </w:rPr>
        <w:t>rok</w:t>
      </w:r>
      <w:r w:rsidRPr="0016789C" w:rsidR="00E52425">
        <w:rPr>
          <w:rFonts w:ascii="Times New Roman" w:hAnsi="Times New Roman"/>
        </w:rPr>
        <w:t xml:space="preserve">ov; </w:t>
      </w:r>
      <w:r w:rsidRPr="0016789C" w:rsidR="00E42CB9">
        <w:rPr>
          <w:rFonts w:ascii="Times New Roman" w:hAnsi="Times New Roman"/>
        </w:rPr>
        <w:t>alternatívne sa</w:t>
      </w:r>
      <w:r w:rsidRPr="0016789C" w:rsidR="0006332A">
        <w:rPr>
          <w:rFonts w:ascii="Times New Roman" w:hAnsi="Times New Roman"/>
        </w:rPr>
        <w:t xml:space="preserve"> použi</w:t>
      </w:r>
      <w:r w:rsidRPr="0016789C" w:rsidR="00E42CB9">
        <w:rPr>
          <w:rFonts w:ascii="Times New Roman" w:hAnsi="Times New Roman"/>
        </w:rPr>
        <w:t>je</w:t>
      </w:r>
      <w:r w:rsidRPr="0016789C" w:rsidR="0006332A">
        <w:rPr>
          <w:rFonts w:ascii="Times New Roman" w:hAnsi="Times New Roman"/>
        </w:rPr>
        <w:t xml:space="preserve"> </w:t>
      </w:r>
      <w:r w:rsidRPr="0016789C" w:rsidR="00E52425">
        <w:rPr>
          <w:rFonts w:ascii="Times New Roman" w:hAnsi="Times New Roman"/>
        </w:rPr>
        <w:t xml:space="preserve">navýšenie splátky </w:t>
      </w:r>
      <w:r w:rsidRPr="0016789C" w:rsidR="00EC54E5">
        <w:rPr>
          <w:rFonts w:ascii="Times New Roman" w:hAnsi="Times New Roman"/>
        </w:rPr>
        <w:t>spotrebiteľského úveru</w:t>
      </w:r>
      <w:r w:rsidRPr="0016789C" w:rsidR="00E52425">
        <w:rPr>
          <w:rFonts w:ascii="Times New Roman" w:hAnsi="Times New Roman"/>
        </w:rPr>
        <w:t xml:space="preserve"> o percento, ktorého číselná hodnota zodpovedá číselnej hodnote zostatkovej dob</w:t>
      </w:r>
      <w:r w:rsidRPr="0016789C" w:rsidR="00E62711">
        <w:rPr>
          <w:rFonts w:ascii="Times New Roman" w:hAnsi="Times New Roman"/>
        </w:rPr>
        <w:t>y</w:t>
      </w:r>
      <w:r w:rsidRPr="0016789C" w:rsidR="00E52425">
        <w:rPr>
          <w:rFonts w:ascii="Times New Roman" w:hAnsi="Times New Roman"/>
        </w:rPr>
        <w:t xml:space="preserve"> úveru vy</w:t>
      </w:r>
      <w:r w:rsidRPr="0016789C" w:rsidR="00F67738">
        <w:rPr>
          <w:rFonts w:ascii="Times New Roman" w:hAnsi="Times New Roman"/>
        </w:rPr>
        <w:t>jadrenej v kalendárnych rokoch.</w:t>
      </w:r>
    </w:p>
    <w:p w:rsidR="00111CD4" w:rsidRPr="0016789C" w:rsidP="00221D89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111CD4" w:rsidRPr="0016789C" w:rsidP="00D14028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>(</w:t>
      </w:r>
      <w:r w:rsidRPr="0016789C" w:rsidR="00D73D7C">
        <w:rPr>
          <w:rFonts w:ascii="Times New Roman" w:hAnsi="Times New Roman"/>
        </w:rPr>
        <w:t>9</w:t>
      </w:r>
      <w:r w:rsidRPr="0016789C">
        <w:rPr>
          <w:rFonts w:ascii="Times New Roman" w:hAnsi="Times New Roman"/>
        </w:rPr>
        <w:t xml:space="preserve">) Na účely  § </w:t>
      </w:r>
      <w:r w:rsidRPr="0016789C" w:rsidR="00EC54E5">
        <w:rPr>
          <w:rFonts w:ascii="Times New Roman" w:hAnsi="Times New Roman"/>
        </w:rPr>
        <w:t>7</w:t>
      </w:r>
      <w:r w:rsidRPr="0016789C">
        <w:rPr>
          <w:rFonts w:ascii="Times New Roman" w:hAnsi="Times New Roman"/>
        </w:rPr>
        <w:t xml:space="preserve"> ods. </w:t>
      </w:r>
      <w:r w:rsidRPr="0016789C" w:rsidR="00EC54E5">
        <w:rPr>
          <w:rFonts w:ascii="Times New Roman" w:hAnsi="Times New Roman"/>
        </w:rPr>
        <w:t>20</w:t>
      </w:r>
      <w:r w:rsidRPr="0016789C">
        <w:rPr>
          <w:rFonts w:ascii="Times New Roman" w:hAnsi="Times New Roman"/>
        </w:rPr>
        <w:t xml:space="preserve"> písm. d) zákona </w:t>
      </w:r>
      <w:r w:rsidRPr="0016789C" w:rsidR="0074047B">
        <w:rPr>
          <w:rFonts w:ascii="Times New Roman" w:hAnsi="Times New Roman"/>
        </w:rPr>
        <w:t xml:space="preserve">sa </w:t>
      </w:r>
      <w:r w:rsidRPr="0016789C" w:rsidR="00F87B69">
        <w:rPr>
          <w:rFonts w:ascii="Times New Roman" w:hAnsi="Times New Roman"/>
        </w:rPr>
        <w:t xml:space="preserve">zahŕňa </w:t>
      </w:r>
      <w:r w:rsidRPr="0016789C">
        <w:rPr>
          <w:rFonts w:ascii="Times New Roman" w:hAnsi="Times New Roman"/>
        </w:rPr>
        <w:t xml:space="preserve">do výpočtu aj suma </w:t>
      </w:r>
      <w:r w:rsidRPr="0016789C" w:rsidR="00E42CB9">
        <w:rPr>
          <w:rFonts w:ascii="Times New Roman" w:hAnsi="Times New Roman"/>
        </w:rPr>
        <w:t xml:space="preserve">najmenej </w:t>
      </w:r>
      <w:r w:rsidRPr="0016789C">
        <w:rPr>
          <w:rFonts w:ascii="Times New Roman" w:hAnsi="Times New Roman"/>
        </w:rPr>
        <w:t xml:space="preserve">vo výške </w:t>
      </w:r>
      <w:r w:rsidRPr="0016789C" w:rsidR="00E42CB9">
        <w:rPr>
          <w:rFonts w:ascii="Times New Roman" w:hAnsi="Times New Roman"/>
        </w:rPr>
        <w:t>3 </w:t>
      </w:r>
      <w:r w:rsidRPr="0016789C">
        <w:rPr>
          <w:rFonts w:ascii="Times New Roman" w:hAnsi="Times New Roman"/>
        </w:rPr>
        <w:t>% schválených povolených prečerpaní alebo limitov kreditných kariet spotrebiteľa.</w:t>
      </w:r>
    </w:p>
    <w:p w:rsidR="00111CD4" w:rsidRPr="0016789C" w:rsidP="00F67738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</w:rPr>
      </w:pPr>
    </w:p>
    <w:p w:rsidR="00893902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 xml:space="preserve">§ </w:t>
      </w:r>
      <w:r w:rsidRPr="0016789C" w:rsidR="005C0147">
        <w:rPr>
          <w:rFonts w:ascii="Times New Roman" w:hAnsi="Times New Roman"/>
          <w:b/>
          <w:color w:val="000000" w:themeColor="tx1" w:themeShade="FF"/>
        </w:rPr>
        <w:t>3</w:t>
      </w:r>
    </w:p>
    <w:p w:rsidR="00893902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 xml:space="preserve">Požiadavky na predkladanie dokladov </w:t>
      </w:r>
      <w:r w:rsidRPr="0016789C" w:rsidR="00AA1948">
        <w:rPr>
          <w:rFonts w:ascii="Times New Roman" w:hAnsi="Times New Roman"/>
          <w:b/>
          <w:color w:val="000000" w:themeColor="tx1" w:themeShade="FF"/>
        </w:rPr>
        <w:t xml:space="preserve">o príjmoch </w:t>
      </w:r>
      <w:r w:rsidRPr="0016789C">
        <w:rPr>
          <w:rFonts w:ascii="Times New Roman" w:hAnsi="Times New Roman"/>
          <w:b/>
          <w:color w:val="000000" w:themeColor="tx1" w:themeShade="FF"/>
        </w:rPr>
        <w:t>a overovanie údajov o príjmoch spotrebiteľa</w:t>
      </w:r>
      <w:r w:rsidRPr="0016789C" w:rsidR="00257EAD">
        <w:rPr>
          <w:rFonts w:ascii="Times New Roman" w:hAnsi="Times New Roman"/>
          <w:b/>
          <w:color w:val="000000" w:themeColor="tx1" w:themeShade="FF"/>
        </w:rPr>
        <w:t xml:space="preserve"> </w:t>
      </w:r>
    </w:p>
    <w:p w:rsidR="00893902" w:rsidRPr="0016789C" w:rsidP="00F67738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</w:p>
    <w:p w:rsidR="00B663EB" w:rsidRPr="0016789C" w:rsidP="00F67738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 w:rsidR="00893902">
        <w:rPr>
          <w:rFonts w:ascii="Times New Roman" w:hAnsi="Times New Roman"/>
          <w:color w:val="000000" w:themeColor="tx1" w:themeShade="FF"/>
        </w:rPr>
        <w:t xml:space="preserve">(1) Na účely </w:t>
      </w:r>
      <w:r w:rsidRPr="0016789C" w:rsidR="0058364B">
        <w:rPr>
          <w:rFonts w:ascii="Times New Roman" w:hAnsi="Times New Roman"/>
          <w:color w:val="000000" w:themeColor="tx1" w:themeShade="FF"/>
        </w:rPr>
        <w:t xml:space="preserve"> d</w:t>
      </w:r>
      <w:r w:rsidRPr="0016789C" w:rsidR="00F67738">
        <w:rPr>
          <w:rFonts w:ascii="Times New Roman" w:hAnsi="Times New Roman"/>
          <w:color w:val="000000" w:themeColor="tx1" w:themeShade="FF"/>
        </w:rPr>
        <w:t>okladovania príjmu spotrebiteľa</w:t>
      </w:r>
      <w:r w:rsidRPr="0016789C" w:rsidR="0058364B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893902">
        <w:rPr>
          <w:rFonts w:ascii="Times New Roman" w:hAnsi="Times New Roman"/>
          <w:color w:val="000000" w:themeColor="tx1" w:themeShade="FF"/>
        </w:rPr>
        <w:t>sa intern</w:t>
      </w:r>
      <w:r w:rsidRPr="0016789C" w:rsidR="00810EE8">
        <w:rPr>
          <w:rFonts w:ascii="Times New Roman" w:hAnsi="Times New Roman"/>
          <w:color w:val="000000" w:themeColor="tx1" w:themeShade="FF"/>
        </w:rPr>
        <w:t>ými</w:t>
      </w:r>
      <w:r w:rsidRPr="0016789C" w:rsidR="00893902">
        <w:rPr>
          <w:rFonts w:ascii="Times New Roman" w:hAnsi="Times New Roman"/>
          <w:color w:val="000000" w:themeColor="tx1" w:themeShade="FF"/>
        </w:rPr>
        <w:t xml:space="preserve"> zdroj</w:t>
      </w:r>
      <w:r w:rsidRPr="0016789C" w:rsidR="00810EE8">
        <w:rPr>
          <w:rFonts w:ascii="Times New Roman" w:hAnsi="Times New Roman"/>
          <w:color w:val="000000" w:themeColor="tx1" w:themeShade="FF"/>
        </w:rPr>
        <w:t>mi</w:t>
      </w:r>
      <w:r w:rsidRPr="0016789C" w:rsidR="00893902">
        <w:rPr>
          <w:rFonts w:ascii="Times New Roman" w:hAnsi="Times New Roman"/>
          <w:color w:val="000000" w:themeColor="tx1" w:themeShade="FF"/>
        </w:rPr>
        <w:t xml:space="preserve"> informácií o príjme spotrebiteľa </w:t>
      </w:r>
      <w:r w:rsidRPr="0016789C" w:rsidR="00FD19BA">
        <w:rPr>
          <w:rFonts w:ascii="Times New Roman" w:hAnsi="Times New Roman"/>
          <w:color w:val="000000" w:themeColor="tx1" w:themeShade="FF"/>
        </w:rPr>
        <w:t>rozumejú</w:t>
      </w:r>
      <w:r w:rsidRPr="0016789C" w:rsidR="006B1B23">
        <w:rPr>
          <w:rFonts w:ascii="Times New Roman" w:hAnsi="Times New Roman"/>
          <w:color w:val="000000" w:themeColor="tx1" w:themeShade="FF"/>
        </w:rPr>
        <w:t xml:space="preserve"> informácie </w:t>
      </w:r>
      <w:r w:rsidRPr="0016789C" w:rsidR="0058364B">
        <w:rPr>
          <w:rFonts w:ascii="Times New Roman" w:hAnsi="Times New Roman"/>
          <w:color w:val="000000" w:themeColor="tx1" w:themeShade="FF"/>
        </w:rPr>
        <w:t xml:space="preserve">z </w:t>
      </w:r>
      <w:r w:rsidRPr="0016789C" w:rsidR="00893902">
        <w:rPr>
          <w:rFonts w:ascii="Times New Roman" w:hAnsi="Times New Roman"/>
          <w:color w:val="000000" w:themeColor="tx1" w:themeShade="FF"/>
        </w:rPr>
        <w:t xml:space="preserve"> platobn</w:t>
      </w:r>
      <w:r w:rsidRPr="0016789C" w:rsidR="0058364B">
        <w:rPr>
          <w:rFonts w:ascii="Times New Roman" w:hAnsi="Times New Roman"/>
          <w:color w:val="000000" w:themeColor="tx1" w:themeShade="FF"/>
        </w:rPr>
        <w:t>ého</w:t>
      </w:r>
      <w:r w:rsidRPr="0016789C" w:rsidR="00893902">
        <w:rPr>
          <w:rFonts w:ascii="Times New Roman" w:hAnsi="Times New Roman"/>
          <w:color w:val="000000" w:themeColor="tx1" w:themeShade="FF"/>
        </w:rPr>
        <w:t xml:space="preserve"> účt</w:t>
      </w:r>
      <w:r w:rsidRPr="0016789C" w:rsidR="0058364B">
        <w:rPr>
          <w:rFonts w:ascii="Times New Roman" w:hAnsi="Times New Roman"/>
          <w:color w:val="000000" w:themeColor="tx1" w:themeShade="FF"/>
        </w:rPr>
        <w:t>u</w:t>
      </w:r>
      <w:r>
        <w:rPr>
          <w:rStyle w:val="FootnoteReference"/>
          <w:rFonts w:ascii="Times New Roman" w:hAnsi="Times New Roman"/>
          <w:color w:val="000000" w:themeColor="tx1" w:themeShade="FF"/>
          <w:rtl w:val="0"/>
        </w:rPr>
        <w:footnoteReference w:id="5"/>
      </w:r>
      <w:r w:rsidRPr="0016789C" w:rsidR="00893902">
        <w:rPr>
          <w:rFonts w:ascii="Times New Roman" w:hAnsi="Times New Roman"/>
          <w:color w:val="000000" w:themeColor="tx1" w:themeShade="FF"/>
          <w:vertAlign w:val="superscript"/>
        </w:rPr>
        <w:t>)</w:t>
      </w:r>
      <w:r w:rsidRPr="0016789C" w:rsidR="00893902">
        <w:rPr>
          <w:rFonts w:ascii="Times New Roman" w:hAnsi="Times New Roman"/>
          <w:color w:val="000000" w:themeColor="tx1" w:themeShade="FF"/>
        </w:rPr>
        <w:t xml:space="preserve"> spotrebiteľa</w:t>
      </w:r>
      <w:r w:rsidRPr="0016789C" w:rsidR="00257EAD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893902">
        <w:rPr>
          <w:rFonts w:ascii="Times New Roman" w:hAnsi="Times New Roman"/>
          <w:color w:val="000000" w:themeColor="tx1" w:themeShade="FF"/>
        </w:rPr>
        <w:t>vedeného u veriteľa, ktorý je bankou, zahraničnou bankou alebo pobočkou zahraničnej banky</w:t>
      </w:r>
      <w:r w:rsidRPr="0016789C" w:rsidR="008E439B">
        <w:rPr>
          <w:rFonts w:ascii="Times New Roman" w:hAnsi="Times New Roman"/>
          <w:color w:val="000000" w:themeColor="tx1" w:themeShade="FF"/>
        </w:rPr>
        <w:t>.</w:t>
      </w:r>
    </w:p>
    <w:p w:rsidR="008E439B" w:rsidRPr="0016789C" w:rsidP="00221D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</w:p>
    <w:p w:rsidR="00893902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(2) Na účely </w:t>
      </w:r>
      <w:r w:rsidRPr="0016789C" w:rsidR="00EB4A60">
        <w:rPr>
          <w:rFonts w:ascii="Times New Roman" w:hAnsi="Times New Roman"/>
        </w:rPr>
        <w:t>do</w:t>
      </w:r>
      <w:r w:rsidRPr="0016789C" w:rsidR="00F67738">
        <w:rPr>
          <w:rFonts w:ascii="Times New Roman" w:hAnsi="Times New Roman"/>
        </w:rPr>
        <w:t xml:space="preserve">kladovania príjmu spotrebiteľa </w:t>
      </w:r>
      <w:r w:rsidRPr="0016789C">
        <w:rPr>
          <w:rFonts w:ascii="Times New Roman" w:hAnsi="Times New Roman"/>
        </w:rPr>
        <w:t>sa za externé zdroje informácií o príjme spotrebiteľa považuj</w:t>
      </w:r>
      <w:r w:rsidRPr="0016789C" w:rsidR="00EB4A60">
        <w:rPr>
          <w:rFonts w:ascii="Times New Roman" w:hAnsi="Times New Roman"/>
        </w:rPr>
        <w:t>e</w:t>
      </w:r>
      <w:r w:rsidRPr="0016789C" w:rsidR="00810EE8">
        <w:rPr>
          <w:rFonts w:ascii="Times New Roman" w:hAnsi="Times New Roman"/>
        </w:rPr>
        <w:t xml:space="preserve"> najmä</w:t>
      </w:r>
      <w:r w:rsidRPr="0016789C">
        <w:rPr>
          <w:rFonts w:ascii="Times New Roman" w:hAnsi="Times New Roman"/>
        </w:rPr>
        <w:t>:</w:t>
      </w:r>
    </w:p>
    <w:p w:rsidR="00893902" w:rsidRPr="0016789C" w:rsidP="00862D76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862D76">
        <w:rPr>
          <w:rFonts w:ascii="Times New Roman" w:hAnsi="Times New Roman"/>
        </w:rPr>
        <w:t xml:space="preserve">a) </w:t>
      </w:r>
      <w:r w:rsidRPr="0016789C">
        <w:rPr>
          <w:rFonts w:ascii="Times New Roman" w:hAnsi="Times New Roman"/>
        </w:rPr>
        <w:t>potvrden</w:t>
      </w:r>
      <w:r w:rsidRPr="0016789C" w:rsidR="00343BE3">
        <w:rPr>
          <w:rFonts w:ascii="Times New Roman" w:hAnsi="Times New Roman"/>
        </w:rPr>
        <w:t>i</w:t>
      </w:r>
      <w:r w:rsidRPr="0016789C" w:rsidR="00EB4A60">
        <w:rPr>
          <w:rFonts w:ascii="Times New Roman" w:hAnsi="Times New Roman"/>
        </w:rPr>
        <w:t>e</w:t>
      </w:r>
      <w:r w:rsidRPr="0016789C">
        <w:rPr>
          <w:rFonts w:ascii="Times New Roman" w:hAnsi="Times New Roman"/>
        </w:rPr>
        <w:t xml:space="preserve"> o príjme </w:t>
      </w:r>
      <w:r w:rsidRPr="0016789C" w:rsidR="00343BE3">
        <w:rPr>
          <w:rFonts w:ascii="Times New Roman" w:hAnsi="Times New Roman"/>
        </w:rPr>
        <w:t xml:space="preserve">spotrebiteľa </w:t>
      </w:r>
      <w:r w:rsidRPr="0016789C" w:rsidR="00F67738">
        <w:rPr>
          <w:rFonts w:ascii="Times New Roman" w:hAnsi="Times New Roman"/>
        </w:rPr>
        <w:t>od zamestnávateľa</w:t>
      </w:r>
      <w:r w:rsidRPr="0016789C" w:rsidR="00846FB1">
        <w:rPr>
          <w:rFonts w:ascii="Times New Roman" w:hAnsi="Times New Roman"/>
        </w:rPr>
        <w:t xml:space="preserve"> nie staršie ako tri mesiace</w:t>
      </w:r>
      <w:r w:rsidRPr="0016789C" w:rsidR="00F67738">
        <w:rPr>
          <w:rFonts w:ascii="Times New Roman" w:hAnsi="Times New Roman"/>
        </w:rPr>
        <w:t>,</w:t>
      </w:r>
    </w:p>
    <w:p w:rsidR="00893902" w:rsidRPr="0016789C" w:rsidP="00862D76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862D76">
        <w:rPr>
          <w:rFonts w:ascii="Times New Roman" w:hAnsi="Times New Roman"/>
        </w:rPr>
        <w:t xml:space="preserve">b) </w:t>
      </w:r>
      <w:r w:rsidRPr="0016789C">
        <w:rPr>
          <w:rFonts w:ascii="Times New Roman" w:hAnsi="Times New Roman"/>
        </w:rPr>
        <w:t>výpis z</w:t>
      </w:r>
      <w:r w:rsidRPr="0016789C" w:rsidR="00864741">
        <w:rPr>
          <w:rFonts w:ascii="Times New Roman" w:hAnsi="Times New Roman"/>
        </w:rPr>
        <w:t xml:space="preserve"> platobného </w:t>
      </w:r>
      <w:r w:rsidRPr="0016789C">
        <w:rPr>
          <w:rFonts w:ascii="Times New Roman" w:hAnsi="Times New Roman"/>
        </w:rPr>
        <w:t>účtu spotrebiteľa</w:t>
      </w:r>
      <w:r w:rsidRPr="0016789C" w:rsidR="00E62711">
        <w:rPr>
          <w:rFonts w:ascii="Times New Roman" w:hAnsi="Times New Roman"/>
          <w:vertAlign w:val="superscript"/>
        </w:rPr>
        <w:t>4</w:t>
      </w:r>
      <w:r w:rsidRPr="0016789C" w:rsidR="00A83498">
        <w:rPr>
          <w:rFonts w:ascii="Times New Roman" w:hAnsi="Times New Roman"/>
          <w:vertAlign w:val="superscript"/>
        </w:rPr>
        <w:t>)</w:t>
      </w:r>
      <w:r w:rsidRPr="0016789C">
        <w:rPr>
          <w:rFonts w:ascii="Times New Roman" w:hAnsi="Times New Roman"/>
        </w:rPr>
        <w:t xml:space="preserve">, </w:t>
      </w:r>
      <w:r w:rsidRPr="0016789C" w:rsidR="00062671">
        <w:rPr>
          <w:rFonts w:ascii="Times New Roman" w:hAnsi="Times New Roman"/>
        </w:rPr>
        <w:t xml:space="preserve">ktorý nie je vedený u veriteľa a </w:t>
      </w:r>
      <w:r w:rsidRPr="0016789C">
        <w:rPr>
          <w:rFonts w:ascii="Times New Roman" w:hAnsi="Times New Roman"/>
        </w:rPr>
        <w:t>na ktorý je pravidelne poukazovaný príjem spotrebiteľa,</w:t>
      </w:r>
    </w:p>
    <w:p w:rsidR="00810EE8" w:rsidRPr="0016789C" w:rsidP="00862D76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862D76">
        <w:rPr>
          <w:rFonts w:ascii="Times New Roman" w:hAnsi="Times New Roman"/>
        </w:rPr>
        <w:t xml:space="preserve">c) </w:t>
      </w:r>
      <w:r w:rsidRPr="0016789C">
        <w:rPr>
          <w:rFonts w:ascii="Times New Roman" w:hAnsi="Times New Roman"/>
        </w:rPr>
        <w:t>pracovn</w:t>
      </w:r>
      <w:r w:rsidRPr="0016789C" w:rsidR="00A7419A">
        <w:rPr>
          <w:rFonts w:ascii="Times New Roman" w:hAnsi="Times New Roman"/>
        </w:rPr>
        <w:t>á</w:t>
      </w:r>
      <w:r w:rsidRPr="0016789C">
        <w:rPr>
          <w:rFonts w:ascii="Times New Roman" w:hAnsi="Times New Roman"/>
        </w:rPr>
        <w:t xml:space="preserve"> zmluv</w:t>
      </w:r>
      <w:r w:rsidRPr="0016789C" w:rsidR="00A7419A">
        <w:rPr>
          <w:rFonts w:ascii="Times New Roman" w:hAnsi="Times New Roman"/>
        </w:rPr>
        <w:t>a</w:t>
      </w:r>
      <w:r w:rsidRPr="0016789C" w:rsidR="0015394D">
        <w:rPr>
          <w:rFonts w:ascii="Times New Roman" w:hAnsi="Times New Roman"/>
        </w:rPr>
        <w:t xml:space="preserve"> v znení neskorších dodatkov, ktorá obsahuje informáciu o výške príjmu spotrebiteľa</w:t>
      </w:r>
      <w:r w:rsidRPr="0016789C">
        <w:rPr>
          <w:rFonts w:ascii="Times New Roman" w:hAnsi="Times New Roman"/>
        </w:rPr>
        <w:t>,</w:t>
      </w:r>
    </w:p>
    <w:p w:rsidR="00810EE8" w:rsidRPr="0016789C" w:rsidP="00862D76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862D76">
        <w:rPr>
          <w:rFonts w:ascii="Times New Roman" w:hAnsi="Times New Roman"/>
        </w:rPr>
        <w:t xml:space="preserve">d) </w:t>
      </w:r>
      <w:r w:rsidRPr="0016789C">
        <w:rPr>
          <w:rFonts w:ascii="Times New Roman" w:hAnsi="Times New Roman"/>
        </w:rPr>
        <w:t>daňové priznanie k dani z príjmov, a súčasne doklad preukazujúci príjmy spotrebiteľa</w:t>
      </w:r>
      <w:r w:rsidRPr="0016789C" w:rsidR="00D27692">
        <w:rPr>
          <w:rFonts w:ascii="Times New Roman" w:hAnsi="Times New Roman"/>
        </w:rPr>
        <w:t xml:space="preserve"> v období</w:t>
      </w:r>
      <w:r w:rsidRPr="0016789C">
        <w:rPr>
          <w:rFonts w:ascii="Times New Roman" w:hAnsi="Times New Roman"/>
        </w:rPr>
        <w:t xml:space="preserve"> medzi podaním posledného daňového priznania a posúdením schopnosti spotrebiteľa splácať </w:t>
      </w:r>
      <w:r w:rsidRPr="0016789C" w:rsidR="00EC54E5">
        <w:rPr>
          <w:rFonts w:ascii="Times New Roman" w:hAnsi="Times New Roman"/>
        </w:rPr>
        <w:t>spotrebiteľský úver</w:t>
      </w:r>
      <w:r w:rsidRPr="0016789C">
        <w:rPr>
          <w:rFonts w:ascii="Times New Roman" w:hAnsi="Times New Roman"/>
        </w:rPr>
        <w:t>,</w:t>
      </w:r>
      <w:r w:rsidRPr="0016789C" w:rsidR="005D3E6A">
        <w:rPr>
          <w:rFonts w:ascii="Times New Roman" w:hAnsi="Times New Roman"/>
        </w:rPr>
        <w:t xml:space="preserve"> alebo</w:t>
      </w:r>
    </w:p>
    <w:p w:rsidR="00810EE8" w:rsidRPr="0016789C" w:rsidP="00862D76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862D76">
        <w:rPr>
          <w:rFonts w:ascii="Times New Roman" w:hAnsi="Times New Roman"/>
        </w:rPr>
        <w:t xml:space="preserve">e) </w:t>
      </w:r>
      <w:r w:rsidRPr="0016789C">
        <w:rPr>
          <w:rFonts w:ascii="Times New Roman" w:hAnsi="Times New Roman"/>
        </w:rPr>
        <w:t>potvrdenie o výšk</w:t>
      </w:r>
      <w:r w:rsidRPr="0016789C" w:rsidR="00A83498">
        <w:rPr>
          <w:rFonts w:ascii="Times New Roman" w:hAnsi="Times New Roman"/>
        </w:rPr>
        <w:t>e</w:t>
      </w:r>
      <w:r w:rsidRPr="0016789C">
        <w:rPr>
          <w:rFonts w:ascii="Times New Roman" w:hAnsi="Times New Roman"/>
        </w:rPr>
        <w:t> príjmu</w:t>
      </w:r>
      <w:r w:rsidRPr="0016789C" w:rsidR="00B3723F">
        <w:rPr>
          <w:rFonts w:ascii="Times New Roman" w:hAnsi="Times New Roman"/>
        </w:rPr>
        <w:t xml:space="preserve"> spotrebiteľa</w:t>
      </w:r>
      <w:r w:rsidRPr="0016789C">
        <w:rPr>
          <w:rFonts w:ascii="Times New Roman" w:hAnsi="Times New Roman"/>
        </w:rPr>
        <w:t xml:space="preserve"> podľa osobitného predpisu</w:t>
      </w:r>
      <w:r>
        <w:rPr>
          <w:rStyle w:val="FootnoteReference"/>
          <w:rFonts w:ascii="Times New Roman" w:hAnsi="Times New Roman"/>
          <w:rtl w:val="0"/>
        </w:rPr>
        <w:footnoteReference w:id="6"/>
      </w:r>
      <w:r w:rsidRPr="0016789C">
        <w:rPr>
          <w:rFonts w:ascii="Times New Roman" w:hAnsi="Times New Roman"/>
          <w:vertAlign w:val="superscript"/>
        </w:rPr>
        <w:t>)</w:t>
      </w:r>
      <w:r w:rsidRPr="0016789C" w:rsidR="00F538EA">
        <w:rPr>
          <w:rFonts w:ascii="Times New Roman" w:hAnsi="Times New Roman"/>
        </w:rPr>
        <w:t xml:space="preserve"> nie staršie ako tri mesiace</w:t>
      </w:r>
      <w:r w:rsidRPr="0016789C">
        <w:rPr>
          <w:rFonts w:ascii="Times New Roman" w:hAnsi="Times New Roman"/>
        </w:rPr>
        <w:t>.</w:t>
      </w:r>
    </w:p>
    <w:p w:rsidR="00893902" w:rsidRPr="0016789C" w:rsidP="00221D89">
      <w:pPr>
        <w:bidi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893902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(3) Čestné vyhlásenie </w:t>
      </w:r>
      <w:r w:rsidRPr="0016789C" w:rsidR="00D416FD">
        <w:rPr>
          <w:rFonts w:ascii="Times New Roman" w:hAnsi="Times New Roman"/>
        </w:rPr>
        <w:t>spotrebiteľa o</w:t>
      </w:r>
      <w:r w:rsidRPr="0016789C" w:rsidR="00641AD7">
        <w:rPr>
          <w:rFonts w:ascii="Times New Roman" w:hAnsi="Times New Roman"/>
        </w:rPr>
        <w:t xml:space="preserve"> výške </w:t>
      </w:r>
      <w:r w:rsidRPr="0016789C" w:rsidR="00D416FD">
        <w:rPr>
          <w:rFonts w:ascii="Times New Roman" w:hAnsi="Times New Roman"/>
        </w:rPr>
        <w:t>príjm</w:t>
      </w:r>
      <w:r w:rsidRPr="0016789C" w:rsidR="00641AD7">
        <w:rPr>
          <w:rFonts w:ascii="Times New Roman" w:hAnsi="Times New Roman"/>
        </w:rPr>
        <w:t>u</w:t>
      </w:r>
      <w:r w:rsidRPr="0016789C" w:rsidR="00D416FD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>sa nepovažuje za dostatočný spôsob pre</w:t>
      </w:r>
      <w:r w:rsidRPr="0016789C" w:rsidR="00F67738">
        <w:rPr>
          <w:rFonts w:ascii="Times New Roman" w:hAnsi="Times New Roman"/>
        </w:rPr>
        <w:t>ukazovania príjmu spotrebiteľa.</w:t>
      </w:r>
    </w:p>
    <w:p w:rsidR="00893902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C52BA3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(4) </w:t>
      </w:r>
      <w:r w:rsidRPr="0016789C" w:rsidR="000B1B84">
        <w:rPr>
          <w:rFonts w:ascii="Times New Roman" w:hAnsi="Times New Roman"/>
        </w:rPr>
        <w:t>Ak spotrebiteľom je zamestnanec</w:t>
      </w:r>
      <w:r w:rsidRPr="0016789C">
        <w:rPr>
          <w:rFonts w:ascii="Times New Roman" w:hAnsi="Times New Roman"/>
        </w:rPr>
        <w:t xml:space="preserve">, údaje o príjme spotrebiteľa </w:t>
      </w:r>
      <w:r w:rsidRPr="0016789C" w:rsidR="000B1B84">
        <w:rPr>
          <w:rFonts w:ascii="Times New Roman" w:hAnsi="Times New Roman"/>
        </w:rPr>
        <w:t>sa</w:t>
      </w:r>
      <w:r w:rsidRPr="0016789C">
        <w:rPr>
          <w:rFonts w:ascii="Times New Roman" w:hAnsi="Times New Roman"/>
        </w:rPr>
        <w:t xml:space="preserve"> overia </w:t>
      </w:r>
      <w:r w:rsidRPr="0016789C" w:rsidR="00E94950">
        <w:rPr>
          <w:rFonts w:ascii="Times New Roman" w:hAnsi="Times New Roman"/>
        </w:rPr>
        <w:t>prostredníctvom údajov poskytnutých podľa osobitného predpisu</w:t>
      </w:r>
      <w:r>
        <w:rPr>
          <w:rStyle w:val="FootnoteReference"/>
          <w:rFonts w:ascii="Times New Roman" w:hAnsi="Times New Roman"/>
          <w:rtl w:val="0"/>
        </w:rPr>
        <w:footnoteReference w:id="7"/>
      </w:r>
      <w:r w:rsidRPr="0016789C" w:rsidR="00E94950">
        <w:rPr>
          <w:rFonts w:ascii="Times New Roman" w:hAnsi="Times New Roman"/>
          <w:vertAlign w:val="superscript"/>
        </w:rPr>
        <w:t>)</w:t>
      </w:r>
      <w:r w:rsidRPr="0016789C">
        <w:rPr>
          <w:rFonts w:ascii="Times New Roman" w:hAnsi="Times New Roman"/>
        </w:rPr>
        <w:t xml:space="preserve">. Ak nie je možné overenie podľa </w:t>
      </w:r>
      <w:r w:rsidRPr="0016789C" w:rsidR="00606151">
        <w:rPr>
          <w:rFonts w:ascii="Times New Roman" w:hAnsi="Times New Roman"/>
        </w:rPr>
        <w:t xml:space="preserve">prvej </w:t>
      </w:r>
      <w:r w:rsidRPr="0016789C">
        <w:rPr>
          <w:rFonts w:ascii="Times New Roman" w:hAnsi="Times New Roman"/>
        </w:rPr>
        <w:t xml:space="preserve">vety, údaje o príjme spotrebiteľa </w:t>
      </w:r>
      <w:r w:rsidRPr="0016789C" w:rsidR="00C84DD4">
        <w:rPr>
          <w:rFonts w:ascii="Times New Roman" w:hAnsi="Times New Roman"/>
        </w:rPr>
        <w:t xml:space="preserve">sa overia </w:t>
      </w:r>
      <w:r w:rsidRPr="0016789C">
        <w:rPr>
          <w:rFonts w:ascii="Times New Roman" w:hAnsi="Times New Roman"/>
        </w:rPr>
        <w:t>u jeho zamestnávateľa.</w:t>
      </w:r>
    </w:p>
    <w:p w:rsidR="00C52BA3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3845F4" w:rsidRPr="0016789C" w:rsidP="00221D89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 xml:space="preserve">§ </w:t>
      </w:r>
      <w:r w:rsidRPr="0016789C" w:rsidR="005C0147">
        <w:rPr>
          <w:rFonts w:ascii="Times New Roman" w:hAnsi="Times New Roman"/>
          <w:b/>
          <w:color w:val="000000" w:themeColor="tx1" w:themeShade="FF"/>
        </w:rPr>
        <w:t>4</w:t>
      </w:r>
    </w:p>
    <w:p w:rsidR="002233EE" w:rsidRPr="0016789C" w:rsidP="000A4A4F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b/>
          <w:color w:val="000000" w:themeColor="tx1" w:themeShade="FF"/>
        </w:rPr>
      </w:pPr>
      <w:r w:rsidRPr="0016789C" w:rsidR="00D378B5">
        <w:rPr>
          <w:rFonts w:ascii="Times New Roman" w:hAnsi="Times New Roman"/>
          <w:b/>
          <w:color w:val="000000" w:themeColor="tx1" w:themeShade="FF"/>
        </w:rPr>
        <w:t xml:space="preserve">Zohľadnenie možného </w:t>
      </w:r>
      <w:r w:rsidRPr="0016789C" w:rsidR="00193191">
        <w:rPr>
          <w:rFonts w:ascii="Times New Roman" w:hAnsi="Times New Roman"/>
          <w:b/>
          <w:color w:val="000000" w:themeColor="tx1" w:themeShade="FF"/>
        </w:rPr>
        <w:t xml:space="preserve">dopadu </w:t>
      </w:r>
      <w:r w:rsidRPr="0016789C" w:rsidR="00D378B5">
        <w:rPr>
          <w:rFonts w:ascii="Times New Roman" w:hAnsi="Times New Roman"/>
          <w:b/>
          <w:color w:val="000000" w:themeColor="tx1" w:themeShade="FF"/>
        </w:rPr>
        <w:t>navýšenia úrokovej sadzby</w:t>
      </w:r>
      <w:r w:rsidRPr="0016789C" w:rsidR="00193191">
        <w:rPr>
          <w:rFonts w:ascii="Times New Roman" w:hAnsi="Times New Roman"/>
          <w:b/>
          <w:color w:val="000000" w:themeColor="tx1" w:themeShade="FF"/>
        </w:rPr>
        <w:t xml:space="preserve"> pre schopnosť</w:t>
      </w:r>
      <w:r w:rsidRPr="0016789C" w:rsidR="00F07AB0">
        <w:rPr>
          <w:rFonts w:ascii="Times New Roman" w:hAnsi="Times New Roman"/>
          <w:b/>
          <w:color w:val="000000" w:themeColor="tx1" w:themeShade="FF"/>
        </w:rPr>
        <w:t xml:space="preserve"> spotrebiteľa splácať </w:t>
      </w:r>
      <w:r w:rsidRPr="0016789C" w:rsidR="00EC54E5">
        <w:rPr>
          <w:rFonts w:ascii="Times New Roman" w:hAnsi="Times New Roman"/>
          <w:b/>
          <w:color w:val="000000" w:themeColor="tx1" w:themeShade="FF"/>
        </w:rPr>
        <w:t>spotrebiteľský úver</w:t>
      </w:r>
      <w:r w:rsidRPr="0016789C" w:rsidR="00193191">
        <w:rPr>
          <w:rFonts w:ascii="Times New Roman" w:hAnsi="Times New Roman"/>
          <w:b/>
          <w:color w:val="000000" w:themeColor="tx1" w:themeShade="FF"/>
        </w:rPr>
        <w:t xml:space="preserve"> </w:t>
      </w:r>
    </w:p>
    <w:p w:rsidR="00EC54E5" w:rsidRPr="0016789C" w:rsidP="000A4A4F">
      <w:pPr>
        <w:pStyle w:val="ListParagraph"/>
        <w:bidi w:val="0"/>
        <w:spacing w:after="0" w:line="240" w:lineRule="auto"/>
        <w:contextualSpacing w:val="0"/>
        <w:jc w:val="center"/>
        <w:rPr>
          <w:rFonts w:ascii="Times New Roman" w:hAnsi="Times New Roman"/>
          <w:color w:val="000000" w:themeColor="tx1" w:themeShade="FF"/>
        </w:rPr>
      </w:pPr>
    </w:p>
    <w:p w:rsidR="00D94608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 w:rsidR="00E66BCA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 xml:space="preserve">(1) Ak úroková sadzba </w:t>
      </w:r>
      <w:r w:rsidRPr="0016789C" w:rsidR="00EC54E5">
        <w:rPr>
          <w:rFonts w:ascii="Times New Roman" w:hAnsi="Times New Roman"/>
        </w:rPr>
        <w:t>spotrebiteľského úveru</w:t>
      </w:r>
      <w:r w:rsidRPr="0016789C">
        <w:rPr>
          <w:rFonts w:ascii="Times New Roman" w:hAnsi="Times New Roman"/>
        </w:rPr>
        <w:t xml:space="preserve"> nie je fixne určená počas celej lehoty splatnosti </w:t>
      </w:r>
      <w:r w:rsidRPr="0016789C" w:rsidR="00EC54E5">
        <w:rPr>
          <w:rFonts w:ascii="Times New Roman" w:hAnsi="Times New Roman"/>
        </w:rPr>
        <w:t>spotrebiteľského úveru</w:t>
      </w:r>
      <w:r w:rsidRPr="0016789C" w:rsidR="00ED428E">
        <w:rPr>
          <w:rFonts w:ascii="Times New Roman" w:hAnsi="Times New Roman"/>
        </w:rPr>
        <w:t>,</w:t>
      </w:r>
      <w:r w:rsidRPr="0016789C">
        <w:rPr>
          <w:rFonts w:ascii="Times New Roman" w:hAnsi="Times New Roman"/>
        </w:rPr>
        <w:t xml:space="preserve"> </w:t>
      </w:r>
      <w:r w:rsidRPr="0016789C" w:rsidR="00271092">
        <w:rPr>
          <w:rFonts w:ascii="Times New Roman" w:hAnsi="Times New Roman"/>
          <w:color w:val="000000" w:themeColor="tx1" w:themeShade="FF"/>
        </w:rPr>
        <w:t>vo výpočte</w:t>
      </w:r>
      <w:r w:rsidRPr="0016789C">
        <w:rPr>
          <w:rFonts w:ascii="Times New Roman" w:hAnsi="Times New Roman"/>
          <w:color w:val="000000" w:themeColor="tx1" w:themeShade="FF"/>
        </w:rPr>
        <w:t xml:space="preserve"> ukazovateľa sa zohľadní možné navýšenie úrokovej sadzby </w:t>
      </w:r>
      <w:r w:rsidRPr="0016789C" w:rsidR="00193191">
        <w:rPr>
          <w:rFonts w:ascii="Times New Roman" w:hAnsi="Times New Roman"/>
          <w:color w:val="000000" w:themeColor="tx1" w:themeShade="FF"/>
        </w:rPr>
        <w:t>podľa</w:t>
      </w:r>
      <w:r w:rsidRPr="0016789C" w:rsidR="000A0021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193191">
        <w:rPr>
          <w:rFonts w:ascii="Times New Roman" w:hAnsi="Times New Roman"/>
          <w:color w:val="000000" w:themeColor="tx1" w:themeShade="FF"/>
        </w:rPr>
        <w:t xml:space="preserve">odsekov </w:t>
      </w:r>
      <w:r w:rsidRPr="0016789C">
        <w:rPr>
          <w:rFonts w:ascii="Times New Roman" w:hAnsi="Times New Roman"/>
          <w:color w:val="000000" w:themeColor="tx1" w:themeShade="FF"/>
        </w:rPr>
        <w:t xml:space="preserve">2 až </w:t>
      </w:r>
      <w:r w:rsidRPr="0016789C" w:rsidR="00601174">
        <w:rPr>
          <w:rFonts w:ascii="Times New Roman" w:hAnsi="Times New Roman"/>
          <w:color w:val="000000" w:themeColor="tx1" w:themeShade="FF"/>
        </w:rPr>
        <w:t>4</w:t>
      </w:r>
      <w:r w:rsidRPr="0016789C">
        <w:rPr>
          <w:rFonts w:ascii="Times New Roman" w:hAnsi="Times New Roman"/>
          <w:color w:val="000000" w:themeColor="tx1" w:themeShade="FF"/>
        </w:rPr>
        <w:t>.</w:t>
      </w:r>
    </w:p>
    <w:p w:rsidR="00D94608" w:rsidRPr="0016789C" w:rsidP="00221D89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</w:p>
    <w:p w:rsidR="00667CD6" w:rsidRPr="0016789C" w:rsidP="00221D89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 w:rsidR="00D94608">
        <w:rPr>
          <w:rFonts w:ascii="Times New Roman" w:hAnsi="Times New Roman"/>
          <w:color w:val="000000" w:themeColor="tx1" w:themeShade="FF"/>
        </w:rPr>
        <w:t xml:space="preserve">(2) Ak úroková sadzba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D94608">
        <w:rPr>
          <w:rFonts w:ascii="Times New Roman" w:hAnsi="Times New Roman"/>
          <w:color w:val="000000" w:themeColor="tx1" w:themeShade="FF"/>
        </w:rPr>
        <w:t xml:space="preserve"> nie je fixne určená počas celej lehoty splatnosti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D33422">
        <w:rPr>
          <w:rFonts w:ascii="Times New Roman" w:hAnsi="Times New Roman"/>
          <w:color w:val="000000" w:themeColor="tx1" w:themeShade="FF"/>
        </w:rPr>
        <w:t>,</w:t>
      </w:r>
      <w:r w:rsidRPr="0016789C" w:rsidR="00D94608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4C45DC">
        <w:rPr>
          <w:rFonts w:ascii="Times New Roman" w:hAnsi="Times New Roman"/>
          <w:color w:val="000000" w:themeColor="tx1" w:themeShade="FF"/>
        </w:rPr>
        <w:t xml:space="preserve">vo výpočte </w:t>
      </w:r>
      <w:r w:rsidRPr="0016789C" w:rsidR="00D94608">
        <w:rPr>
          <w:rFonts w:ascii="Times New Roman" w:hAnsi="Times New Roman"/>
          <w:color w:val="000000" w:themeColor="tx1" w:themeShade="FF"/>
        </w:rPr>
        <w:t xml:space="preserve">ukazovateľa </w:t>
      </w:r>
      <w:r w:rsidRPr="0016789C" w:rsidR="004C45DC">
        <w:rPr>
          <w:rFonts w:ascii="Times New Roman" w:hAnsi="Times New Roman"/>
          <w:color w:val="000000" w:themeColor="tx1" w:themeShade="FF"/>
        </w:rPr>
        <w:t xml:space="preserve">sa použije suma vyššej splátky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4C45DC">
        <w:rPr>
          <w:rFonts w:ascii="Times New Roman" w:hAnsi="Times New Roman"/>
          <w:color w:val="000000" w:themeColor="tx1" w:themeShade="FF"/>
        </w:rPr>
        <w:t xml:space="preserve"> z týchto splátok</w:t>
      </w:r>
      <w:r w:rsidRPr="0016789C">
        <w:rPr>
          <w:rFonts w:ascii="Times New Roman" w:hAnsi="Times New Roman"/>
          <w:color w:val="000000" w:themeColor="tx1" w:themeShade="FF"/>
        </w:rPr>
        <w:t>:</w:t>
      </w:r>
    </w:p>
    <w:p w:rsidR="00667CD6" w:rsidRPr="0016789C" w:rsidP="00862D76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  <w:r w:rsidRPr="0016789C" w:rsidR="00862D76">
        <w:rPr>
          <w:rFonts w:ascii="Times New Roman" w:hAnsi="Times New Roman"/>
          <w:color w:val="000000" w:themeColor="tx1" w:themeShade="FF"/>
        </w:rPr>
        <w:t xml:space="preserve">a) </w:t>
      </w:r>
      <w:r w:rsidRPr="0016789C">
        <w:rPr>
          <w:rFonts w:ascii="Times New Roman" w:hAnsi="Times New Roman"/>
          <w:color w:val="000000" w:themeColor="tx1" w:themeShade="FF"/>
        </w:rPr>
        <w:t xml:space="preserve">zmluvne dohodnutá výška splátky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193191">
        <w:rPr>
          <w:rFonts w:ascii="Times New Roman" w:hAnsi="Times New Roman"/>
          <w:color w:val="000000" w:themeColor="tx1" w:themeShade="FF"/>
        </w:rPr>
        <w:t>,</w:t>
      </w:r>
    </w:p>
    <w:p w:rsidR="00667CD6" w:rsidRPr="0016789C" w:rsidP="00862D76">
      <w:pPr>
        <w:bidi w:val="0"/>
        <w:spacing w:after="0" w:line="240" w:lineRule="auto"/>
        <w:jc w:val="both"/>
        <w:rPr>
          <w:rFonts w:ascii="Times New Roman" w:hAnsi="Times New Roman"/>
        </w:rPr>
      </w:pPr>
      <w:r w:rsidRPr="0016789C" w:rsidR="00862D76">
        <w:rPr>
          <w:rFonts w:ascii="Times New Roman" w:hAnsi="Times New Roman"/>
          <w:color w:val="000000" w:themeColor="tx1" w:themeShade="FF"/>
        </w:rPr>
        <w:t xml:space="preserve">b) </w:t>
      </w:r>
      <w:r w:rsidRPr="0016789C" w:rsidR="00F67738">
        <w:rPr>
          <w:rFonts w:ascii="Times New Roman" w:hAnsi="Times New Roman"/>
          <w:color w:val="000000" w:themeColor="tx1" w:themeShade="FF"/>
        </w:rPr>
        <w:t xml:space="preserve">výška splátky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193191">
        <w:rPr>
          <w:rFonts w:ascii="Times New Roman" w:hAnsi="Times New Roman"/>
          <w:color w:val="000000" w:themeColor="tx1" w:themeShade="FF"/>
        </w:rPr>
        <w:t>vychádzajúca z</w:t>
      </w:r>
      <w:r w:rsidRPr="0016789C" w:rsidR="00E66BCA">
        <w:rPr>
          <w:rFonts w:ascii="Times New Roman" w:hAnsi="Times New Roman"/>
          <w:color w:val="000000" w:themeColor="tx1" w:themeShade="FF"/>
        </w:rPr>
        <w:t> </w:t>
      </w:r>
      <w:r w:rsidRPr="0016789C" w:rsidR="00D94608">
        <w:rPr>
          <w:rFonts w:ascii="Times New Roman" w:hAnsi="Times New Roman"/>
          <w:color w:val="000000" w:themeColor="tx1" w:themeShade="FF"/>
        </w:rPr>
        <w:t>predpokladu</w:t>
      </w:r>
      <w:r w:rsidRPr="0016789C" w:rsidR="00E66BCA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D94608">
        <w:rPr>
          <w:rFonts w:ascii="Times New Roman" w:hAnsi="Times New Roman"/>
          <w:color w:val="000000" w:themeColor="tx1" w:themeShade="FF"/>
        </w:rPr>
        <w:t>úrokov</w:t>
      </w:r>
      <w:r w:rsidRPr="0016789C" w:rsidR="00E66BCA">
        <w:rPr>
          <w:rFonts w:ascii="Times New Roman" w:hAnsi="Times New Roman"/>
          <w:color w:val="000000" w:themeColor="tx1" w:themeShade="FF"/>
        </w:rPr>
        <w:t>ej</w:t>
      </w:r>
      <w:r w:rsidRPr="0016789C" w:rsidR="00D94608">
        <w:rPr>
          <w:rFonts w:ascii="Times New Roman" w:hAnsi="Times New Roman"/>
          <w:color w:val="000000" w:themeColor="tx1" w:themeShade="FF"/>
        </w:rPr>
        <w:t xml:space="preserve"> sadzb</w:t>
      </w:r>
      <w:r w:rsidRPr="0016789C" w:rsidR="00E66BCA">
        <w:rPr>
          <w:rFonts w:ascii="Times New Roman" w:hAnsi="Times New Roman"/>
          <w:color w:val="000000" w:themeColor="tx1" w:themeShade="FF"/>
        </w:rPr>
        <w:t>y</w:t>
      </w:r>
      <w:r w:rsidRPr="0016789C" w:rsidR="00585FC9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E42CB9">
        <w:rPr>
          <w:rFonts w:ascii="Times New Roman" w:hAnsi="Times New Roman"/>
          <w:color w:val="000000" w:themeColor="tx1" w:themeShade="FF"/>
        </w:rPr>
        <w:t xml:space="preserve">najmenej </w:t>
      </w:r>
      <w:r w:rsidRPr="0016789C" w:rsidR="00585FC9">
        <w:rPr>
          <w:rFonts w:ascii="Times New Roman" w:hAnsi="Times New Roman"/>
          <w:color w:val="000000" w:themeColor="tx1" w:themeShade="FF"/>
        </w:rPr>
        <w:t xml:space="preserve">o </w:t>
      </w:r>
      <w:r w:rsidRPr="0016789C" w:rsidR="00253D6B">
        <w:rPr>
          <w:rFonts w:ascii="Times New Roman" w:hAnsi="Times New Roman"/>
          <w:color w:val="000000" w:themeColor="tx1" w:themeShade="FF"/>
        </w:rPr>
        <w:t xml:space="preserve">dva </w:t>
      </w:r>
      <w:r w:rsidRPr="0016789C" w:rsidR="00585FC9">
        <w:rPr>
          <w:rFonts w:ascii="Times New Roman" w:hAnsi="Times New Roman"/>
          <w:color w:val="000000" w:themeColor="tx1" w:themeShade="FF"/>
        </w:rPr>
        <w:t xml:space="preserve">percentuálne </w:t>
      </w:r>
      <w:r w:rsidRPr="0016789C" w:rsidR="00585FC9">
        <w:rPr>
          <w:rFonts w:ascii="Times New Roman" w:hAnsi="Times New Roman"/>
        </w:rPr>
        <w:t>body vyšš</w:t>
      </w:r>
      <w:r w:rsidRPr="0016789C" w:rsidR="00E66BCA">
        <w:rPr>
          <w:rFonts w:ascii="Times New Roman" w:hAnsi="Times New Roman"/>
        </w:rPr>
        <w:t>ej</w:t>
      </w:r>
      <w:r w:rsidRPr="0016789C" w:rsidR="00D94608">
        <w:rPr>
          <w:rFonts w:ascii="Times New Roman" w:hAnsi="Times New Roman"/>
        </w:rPr>
        <w:t xml:space="preserve"> ako je </w:t>
      </w:r>
      <w:r w:rsidRPr="0016789C" w:rsidR="00585FC9">
        <w:rPr>
          <w:rFonts w:ascii="Times New Roman" w:hAnsi="Times New Roman"/>
        </w:rPr>
        <w:t xml:space="preserve">aktuálne </w:t>
      </w:r>
      <w:r w:rsidRPr="0016789C" w:rsidR="00D94608">
        <w:rPr>
          <w:rFonts w:ascii="Times New Roman" w:hAnsi="Times New Roman"/>
        </w:rPr>
        <w:t>poskytovaná úroková sadzba</w:t>
      </w:r>
      <w:r w:rsidRPr="0016789C" w:rsidR="00E66BCA">
        <w:rPr>
          <w:rFonts w:ascii="Times New Roman" w:hAnsi="Times New Roman"/>
        </w:rPr>
        <w:t xml:space="preserve"> </w:t>
      </w:r>
      <w:r w:rsidRPr="0016789C" w:rsidR="00D94608">
        <w:rPr>
          <w:rFonts w:ascii="Times New Roman" w:hAnsi="Times New Roman"/>
        </w:rPr>
        <w:t>a</w:t>
      </w:r>
      <w:r w:rsidRPr="0016789C">
        <w:rPr>
          <w:rFonts w:ascii="Times New Roman" w:hAnsi="Times New Roman"/>
        </w:rPr>
        <w:t xml:space="preserve"> maximálnej </w:t>
      </w:r>
      <w:r w:rsidRPr="0016789C" w:rsidR="00643052">
        <w:rPr>
          <w:rFonts w:ascii="Times New Roman" w:hAnsi="Times New Roman"/>
        </w:rPr>
        <w:t xml:space="preserve">lehoty splatnosti </w:t>
      </w:r>
      <w:r w:rsidRPr="0016789C" w:rsidR="00EC54E5">
        <w:rPr>
          <w:rFonts w:ascii="Times New Roman" w:hAnsi="Times New Roman"/>
        </w:rPr>
        <w:t>spotrebiteľského úveru</w:t>
      </w:r>
      <w:r w:rsidRPr="0016789C">
        <w:rPr>
          <w:rFonts w:ascii="Times New Roman" w:hAnsi="Times New Roman"/>
        </w:rPr>
        <w:t xml:space="preserve"> podľa § </w:t>
      </w:r>
      <w:r w:rsidRPr="0016789C" w:rsidR="00E62711">
        <w:rPr>
          <w:rFonts w:ascii="Times New Roman" w:hAnsi="Times New Roman"/>
        </w:rPr>
        <w:t>6</w:t>
      </w:r>
      <w:r w:rsidRPr="0016789C">
        <w:rPr>
          <w:rFonts w:ascii="Times New Roman" w:hAnsi="Times New Roman"/>
        </w:rPr>
        <w:t>.</w:t>
      </w:r>
    </w:p>
    <w:p w:rsidR="002233EE" w:rsidRPr="0016789C" w:rsidP="00221D89">
      <w:pPr>
        <w:bidi w:val="0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57199C" w:rsidRPr="0016789C" w:rsidP="004E33F8">
      <w:pPr>
        <w:bidi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>(</w:t>
      </w:r>
      <w:r w:rsidRPr="0016789C" w:rsidR="00601174">
        <w:rPr>
          <w:rFonts w:ascii="Times New Roman" w:hAnsi="Times New Roman"/>
        </w:rPr>
        <w:t>3</w:t>
      </w:r>
      <w:r w:rsidRPr="0016789C">
        <w:rPr>
          <w:rFonts w:ascii="Times New Roman" w:hAnsi="Times New Roman"/>
        </w:rPr>
        <w:t xml:space="preserve">) Ak je v zmluve o  </w:t>
      </w:r>
      <w:r w:rsidRPr="0016789C" w:rsidR="00EC54E5">
        <w:rPr>
          <w:rFonts w:ascii="Times New Roman" w:hAnsi="Times New Roman"/>
        </w:rPr>
        <w:t>spotrebiteľskom úvere</w:t>
      </w:r>
      <w:r w:rsidRPr="0016789C">
        <w:rPr>
          <w:rFonts w:ascii="Times New Roman" w:hAnsi="Times New Roman"/>
        </w:rPr>
        <w:t xml:space="preserve"> určené maximálne kumulatívne zvýšenie úrokovej miery počas celej doby splatnosti </w:t>
      </w:r>
      <w:r w:rsidRPr="0016789C" w:rsidR="00EC54E5">
        <w:rPr>
          <w:rFonts w:ascii="Times New Roman" w:hAnsi="Times New Roman"/>
        </w:rPr>
        <w:t>spotrebiteľského úveru</w:t>
      </w:r>
      <w:r w:rsidRPr="0016789C" w:rsidR="004E33F8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 xml:space="preserve">nižšie ako </w:t>
      </w:r>
      <w:r w:rsidRPr="0016789C" w:rsidR="00253D6B">
        <w:rPr>
          <w:rFonts w:ascii="Times New Roman" w:hAnsi="Times New Roman"/>
        </w:rPr>
        <w:t xml:space="preserve">dva </w:t>
      </w:r>
      <w:r w:rsidRPr="0016789C">
        <w:rPr>
          <w:rFonts w:ascii="Times New Roman" w:hAnsi="Times New Roman"/>
        </w:rPr>
        <w:t>percentuálne body, použije sa na účely výpočtu podľa odsek</w:t>
      </w:r>
      <w:r w:rsidRPr="0016789C" w:rsidR="00601174">
        <w:rPr>
          <w:rFonts w:ascii="Times New Roman" w:hAnsi="Times New Roman"/>
        </w:rPr>
        <w:t>u</w:t>
      </w:r>
      <w:r w:rsidRPr="0016789C">
        <w:rPr>
          <w:rFonts w:ascii="Times New Roman" w:hAnsi="Times New Roman"/>
        </w:rPr>
        <w:t xml:space="preserve"> 2 táto hodnota.</w:t>
      </w:r>
    </w:p>
    <w:p w:rsidR="0057199C" w:rsidRPr="0016789C" w:rsidP="00F67738">
      <w:pPr>
        <w:bidi w:val="0"/>
        <w:spacing w:after="0" w:line="240" w:lineRule="auto"/>
        <w:jc w:val="both"/>
        <w:rPr>
          <w:rFonts w:ascii="Times New Roman" w:hAnsi="Times New Roman"/>
        </w:rPr>
      </w:pPr>
    </w:p>
    <w:p w:rsidR="00BD5605" w:rsidRPr="0016789C" w:rsidP="00553413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 w:rsidR="00782435">
        <w:rPr>
          <w:rFonts w:ascii="Times New Roman" w:hAnsi="Times New Roman"/>
          <w:color w:val="000000" w:themeColor="tx1" w:themeShade="FF"/>
        </w:rPr>
        <w:t>(</w:t>
      </w:r>
      <w:r w:rsidRPr="0016789C" w:rsidR="00601174">
        <w:rPr>
          <w:rFonts w:ascii="Times New Roman" w:hAnsi="Times New Roman"/>
          <w:color w:val="000000" w:themeColor="tx1" w:themeShade="FF"/>
        </w:rPr>
        <w:t>4</w:t>
      </w:r>
      <w:r w:rsidRPr="0016789C" w:rsidR="00782435">
        <w:rPr>
          <w:rFonts w:ascii="Times New Roman" w:hAnsi="Times New Roman"/>
          <w:color w:val="000000" w:themeColor="tx1" w:themeShade="FF"/>
        </w:rPr>
        <w:t xml:space="preserve">) </w:t>
      </w:r>
      <w:r w:rsidRPr="0016789C" w:rsidR="00D62AB7">
        <w:rPr>
          <w:rFonts w:ascii="Times New Roman" w:hAnsi="Times New Roman"/>
          <w:color w:val="000000" w:themeColor="tx1" w:themeShade="FF"/>
        </w:rPr>
        <w:t xml:space="preserve">Ak </w:t>
      </w:r>
      <w:r w:rsidRPr="0016789C" w:rsidR="00CF0645">
        <w:rPr>
          <w:rFonts w:ascii="Times New Roman" w:hAnsi="Times New Roman"/>
          <w:color w:val="000000" w:themeColor="tx1" w:themeShade="FF"/>
        </w:rPr>
        <w:t xml:space="preserve">je pri posudzovaní schopnosti spotrebiteľa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782435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D73267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CB1731">
        <w:rPr>
          <w:rFonts w:ascii="Times New Roman" w:hAnsi="Times New Roman"/>
          <w:color w:val="000000" w:themeColor="tx1" w:themeShade="FF"/>
        </w:rPr>
        <w:t xml:space="preserve">predpoklad, že počas splatnosti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CB1731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D73267">
        <w:rPr>
          <w:rFonts w:ascii="Times New Roman" w:hAnsi="Times New Roman"/>
          <w:color w:val="000000" w:themeColor="tx1" w:themeShade="FF"/>
        </w:rPr>
        <w:t xml:space="preserve">spotrebiteľovi </w:t>
      </w:r>
      <w:r w:rsidRPr="0016789C" w:rsidR="004E3DA1">
        <w:rPr>
          <w:rFonts w:ascii="Times New Roman" w:hAnsi="Times New Roman"/>
          <w:color w:val="000000" w:themeColor="tx1" w:themeShade="FF"/>
        </w:rPr>
        <w:t xml:space="preserve">vznikne </w:t>
      </w:r>
      <w:r w:rsidRPr="0016789C" w:rsidR="00D73267">
        <w:rPr>
          <w:rFonts w:ascii="Times New Roman" w:hAnsi="Times New Roman"/>
          <w:color w:val="000000" w:themeColor="tx1" w:themeShade="FF"/>
        </w:rPr>
        <w:t>nárok na poberanie dôchodku</w:t>
      </w:r>
      <w:r>
        <w:rPr>
          <w:rStyle w:val="FootnoteReference"/>
          <w:rFonts w:ascii="Times New Roman" w:hAnsi="Times New Roman"/>
          <w:color w:val="000000" w:themeColor="tx1" w:themeShade="FF"/>
          <w:rtl w:val="0"/>
        </w:rPr>
        <w:footnoteReference w:id="8"/>
      </w:r>
      <w:r w:rsidRPr="0016789C" w:rsidR="00CB1731">
        <w:rPr>
          <w:rFonts w:ascii="Times New Roman" w:hAnsi="Times New Roman"/>
          <w:color w:val="000000" w:themeColor="tx1" w:themeShade="FF"/>
          <w:vertAlign w:val="superscript"/>
        </w:rPr>
        <w:t>)</w:t>
      </w:r>
      <w:r w:rsidRPr="0016789C" w:rsidR="00782435">
        <w:rPr>
          <w:rFonts w:ascii="Times New Roman" w:hAnsi="Times New Roman"/>
          <w:color w:val="000000" w:themeColor="tx1" w:themeShade="FF"/>
        </w:rPr>
        <w:t xml:space="preserve">, táto skutočnosť sa </w:t>
      </w:r>
      <w:r w:rsidRPr="0016789C" w:rsidR="00CB5AB4">
        <w:rPr>
          <w:rFonts w:ascii="Times New Roman" w:hAnsi="Times New Roman"/>
          <w:color w:val="000000" w:themeColor="tx1" w:themeShade="FF"/>
        </w:rPr>
        <w:t xml:space="preserve">zohľadní </w:t>
      </w:r>
      <w:r w:rsidRPr="0016789C" w:rsidR="00782435">
        <w:rPr>
          <w:rFonts w:ascii="Times New Roman" w:hAnsi="Times New Roman"/>
          <w:color w:val="000000" w:themeColor="tx1" w:themeShade="FF"/>
        </w:rPr>
        <w:t xml:space="preserve">na účely </w:t>
      </w:r>
      <w:r w:rsidRPr="0016789C" w:rsidR="00CB5AB4">
        <w:rPr>
          <w:rFonts w:ascii="Times New Roman" w:hAnsi="Times New Roman"/>
          <w:color w:val="000000" w:themeColor="tx1" w:themeShade="FF"/>
        </w:rPr>
        <w:t>predpokladu maximálnej lehoty splatnosti</w:t>
      </w:r>
      <w:r w:rsidRPr="0016789C" w:rsidR="00F67738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F67738">
        <w:rPr>
          <w:rFonts w:ascii="Times New Roman" w:hAnsi="Times New Roman"/>
          <w:color w:val="000000" w:themeColor="tx1" w:themeShade="FF"/>
        </w:rPr>
        <w:t xml:space="preserve"> podľa odseku 2 písm. b).</w:t>
      </w:r>
    </w:p>
    <w:p w:rsidR="00553413" w:rsidRPr="0016789C" w:rsidP="00F67738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</w:p>
    <w:p w:rsidR="00F93D69" w:rsidRPr="0016789C" w:rsidP="00553413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 xml:space="preserve">§ </w:t>
      </w:r>
      <w:r w:rsidRPr="0016789C" w:rsidR="005C0147">
        <w:rPr>
          <w:rFonts w:ascii="Times New Roman" w:hAnsi="Times New Roman"/>
          <w:b/>
          <w:color w:val="000000" w:themeColor="tx1" w:themeShade="FF"/>
        </w:rPr>
        <w:t>5</w:t>
      </w:r>
    </w:p>
    <w:p w:rsidR="00F93D69" w:rsidRPr="0016789C" w:rsidP="00221D89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 w:rsidR="00820D73">
        <w:rPr>
          <w:rFonts w:ascii="Times New Roman" w:hAnsi="Times New Roman"/>
          <w:b/>
          <w:color w:val="000000" w:themeColor="tx1" w:themeShade="FF"/>
        </w:rPr>
        <w:t>V</w:t>
      </w:r>
      <w:r w:rsidRPr="0016789C" w:rsidR="00FB7349">
        <w:rPr>
          <w:rFonts w:ascii="Times New Roman" w:hAnsi="Times New Roman"/>
          <w:b/>
          <w:color w:val="000000" w:themeColor="tx1" w:themeShade="FF"/>
        </w:rPr>
        <w:t>ýrazné navýšenie</w:t>
      </w:r>
      <w:r w:rsidRPr="0016789C">
        <w:rPr>
          <w:rFonts w:ascii="Times New Roman" w:hAnsi="Times New Roman"/>
          <w:b/>
          <w:color w:val="000000" w:themeColor="tx1" w:themeShade="FF"/>
        </w:rPr>
        <w:t xml:space="preserve"> celkovej výšky </w:t>
      </w:r>
      <w:r w:rsidRPr="0016789C" w:rsidR="00EC54E5">
        <w:rPr>
          <w:rFonts w:ascii="Times New Roman" w:hAnsi="Times New Roman"/>
          <w:b/>
          <w:color w:val="000000" w:themeColor="tx1" w:themeShade="FF"/>
        </w:rPr>
        <w:t>spotrebiteľského úveru</w:t>
      </w:r>
      <w:r w:rsidRPr="0016789C">
        <w:rPr>
          <w:rFonts w:ascii="Times New Roman" w:hAnsi="Times New Roman"/>
          <w:b/>
          <w:color w:val="000000" w:themeColor="tx1" w:themeShade="FF"/>
        </w:rPr>
        <w:t xml:space="preserve"> a výrazn</w:t>
      </w:r>
      <w:r w:rsidRPr="0016789C" w:rsidR="00820D73">
        <w:rPr>
          <w:rFonts w:ascii="Times New Roman" w:hAnsi="Times New Roman"/>
          <w:b/>
          <w:color w:val="000000" w:themeColor="tx1" w:themeShade="FF"/>
        </w:rPr>
        <w:t>é</w:t>
      </w:r>
      <w:r w:rsidRPr="0016789C" w:rsidR="00FB7349">
        <w:rPr>
          <w:rFonts w:ascii="Times New Roman" w:hAnsi="Times New Roman"/>
          <w:b/>
          <w:color w:val="000000" w:themeColor="tx1" w:themeShade="FF"/>
        </w:rPr>
        <w:t xml:space="preserve"> prevyšovanie</w:t>
      </w:r>
      <w:r w:rsidRPr="0016789C">
        <w:rPr>
          <w:rFonts w:ascii="Times New Roman" w:hAnsi="Times New Roman"/>
          <w:b/>
          <w:color w:val="000000" w:themeColor="tx1" w:themeShade="FF"/>
        </w:rPr>
        <w:t xml:space="preserve"> súčtu zostávajúcich výšok existujúcich </w:t>
      </w:r>
      <w:r w:rsidRPr="0016789C" w:rsidR="00EC54E5">
        <w:rPr>
          <w:rFonts w:ascii="Times New Roman" w:hAnsi="Times New Roman"/>
          <w:b/>
          <w:color w:val="000000" w:themeColor="tx1" w:themeShade="FF"/>
        </w:rPr>
        <w:t>spotrebiteľských úverov</w:t>
      </w:r>
      <w:r w:rsidRPr="0016789C" w:rsidR="007A3CBC">
        <w:rPr>
          <w:rFonts w:ascii="Times New Roman" w:hAnsi="Times New Roman"/>
          <w:b/>
          <w:color w:val="000000" w:themeColor="tx1" w:themeShade="FF"/>
        </w:rPr>
        <w:t xml:space="preserve"> </w:t>
      </w:r>
    </w:p>
    <w:p w:rsidR="00F93D69" w:rsidRPr="0016789C" w:rsidP="00862D76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</w:p>
    <w:p w:rsidR="008765F8" w:rsidRPr="0016789C" w:rsidP="00862D7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 w:rsidR="00393AC9">
        <w:rPr>
          <w:rFonts w:ascii="Times New Roman" w:hAnsi="Times New Roman"/>
          <w:color w:val="000000" w:themeColor="tx1" w:themeShade="FF"/>
        </w:rPr>
        <w:t>(</w:t>
      </w:r>
      <w:r w:rsidRPr="0016789C" w:rsidR="00601174">
        <w:rPr>
          <w:rFonts w:ascii="Times New Roman" w:hAnsi="Times New Roman"/>
          <w:color w:val="000000" w:themeColor="tx1" w:themeShade="FF"/>
        </w:rPr>
        <w:t>1</w:t>
      </w:r>
      <w:r w:rsidRPr="0016789C" w:rsidR="00393AC9">
        <w:rPr>
          <w:rFonts w:ascii="Times New Roman" w:hAnsi="Times New Roman"/>
          <w:color w:val="000000" w:themeColor="tx1" w:themeShade="FF"/>
        </w:rPr>
        <w:t xml:space="preserve">) Na účely § </w:t>
      </w:r>
      <w:r w:rsidRPr="0016789C" w:rsidR="00601174">
        <w:rPr>
          <w:rFonts w:ascii="Times New Roman" w:hAnsi="Times New Roman"/>
          <w:color w:val="000000" w:themeColor="tx1" w:themeShade="FF"/>
        </w:rPr>
        <w:t>7 ods. 24</w:t>
      </w:r>
      <w:r w:rsidRPr="0016789C" w:rsidR="00393AC9">
        <w:rPr>
          <w:rFonts w:ascii="Times New Roman" w:hAnsi="Times New Roman"/>
          <w:color w:val="000000" w:themeColor="tx1" w:themeShade="FF"/>
        </w:rPr>
        <w:t xml:space="preserve"> a</w:t>
      </w:r>
      <w:r w:rsidRPr="0016789C" w:rsidR="00F93D69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601174">
        <w:rPr>
          <w:rFonts w:ascii="Times New Roman" w:hAnsi="Times New Roman"/>
          <w:color w:val="000000" w:themeColor="tx1" w:themeShade="FF"/>
        </w:rPr>
        <w:t>3</w:t>
      </w:r>
      <w:r w:rsidRPr="0016789C" w:rsidR="00F93D69">
        <w:rPr>
          <w:rFonts w:ascii="Times New Roman" w:hAnsi="Times New Roman"/>
          <w:color w:val="000000" w:themeColor="tx1" w:themeShade="FF"/>
        </w:rPr>
        <w:t xml:space="preserve">1 zákona sa výrazným prevyšovaním súčtu zostávajúcich výšok existujúcich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spotrebiteľských úverov</w:t>
      </w:r>
      <w:r w:rsidRPr="0016789C" w:rsidR="002366A8">
        <w:rPr>
          <w:rFonts w:ascii="Times New Roman" w:hAnsi="Times New Roman"/>
          <w:color w:val="000000" w:themeColor="tx1" w:themeShade="FF"/>
        </w:rPr>
        <w:t xml:space="preserve"> </w:t>
      </w:r>
      <w:r w:rsidRPr="0016789C" w:rsidR="00F93D69">
        <w:rPr>
          <w:rFonts w:ascii="Times New Roman" w:hAnsi="Times New Roman"/>
          <w:color w:val="000000" w:themeColor="tx1" w:themeShade="FF"/>
        </w:rPr>
        <w:t>rozumie prevyšovanie presahujúce nižšiu z</w:t>
      </w:r>
      <w:r w:rsidRPr="0016789C">
        <w:rPr>
          <w:rFonts w:ascii="Times New Roman" w:hAnsi="Times New Roman"/>
          <w:color w:val="000000" w:themeColor="tx1" w:themeShade="FF"/>
        </w:rPr>
        <w:t> </w:t>
      </w:r>
      <w:r w:rsidRPr="0016789C" w:rsidR="00F93D69">
        <w:rPr>
          <w:rFonts w:ascii="Times New Roman" w:hAnsi="Times New Roman"/>
          <w:color w:val="000000" w:themeColor="tx1" w:themeShade="FF"/>
        </w:rPr>
        <w:t>hodnôt</w:t>
      </w:r>
      <w:r w:rsidRPr="0016789C">
        <w:rPr>
          <w:rFonts w:ascii="Times New Roman" w:hAnsi="Times New Roman"/>
          <w:color w:val="000000" w:themeColor="tx1" w:themeShade="FF"/>
        </w:rPr>
        <w:t>:</w:t>
      </w:r>
    </w:p>
    <w:p w:rsidR="00990088" w:rsidRPr="0016789C" w:rsidP="00990088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  <w:r w:rsidRPr="0016789C" w:rsidR="008765F8">
        <w:rPr>
          <w:rFonts w:ascii="Times New Roman" w:hAnsi="Times New Roman"/>
          <w:color w:val="000000" w:themeColor="tx1" w:themeShade="FF"/>
        </w:rPr>
        <w:t>a)</w:t>
      </w:r>
      <w:r w:rsidRPr="0016789C" w:rsidR="00F93D69">
        <w:rPr>
          <w:rFonts w:ascii="Times New Roman" w:hAnsi="Times New Roman"/>
          <w:color w:val="000000" w:themeColor="tx1" w:themeShade="FF"/>
        </w:rPr>
        <w:t xml:space="preserve"> 2000 eur alebo</w:t>
      </w:r>
      <w:r w:rsidRPr="0016789C">
        <w:rPr>
          <w:rFonts w:ascii="Times New Roman" w:hAnsi="Times New Roman"/>
          <w:color w:val="000000" w:themeColor="tx1" w:themeShade="FF"/>
        </w:rPr>
        <w:t xml:space="preserve"> </w:t>
      </w:r>
    </w:p>
    <w:p w:rsidR="00F93D69" w:rsidRPr="0016789C" w:rsidP="00990088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  <w:r w:rsidRPr="0016789C" w:rsidR="00990088">
        <w:rPr>
          <w:rFonts w:ascii="Times New Roman" w:hAnsi="Times New Roman"/>
          <w:color w:val="000000" w:themeColor="tx1" w:themeShade="FF"/>
        </w:rPr>
        <w:t>b)</w:t>
      </w:r>
      <w:r w:rsidRPr="0016789C" w:rsidR="00601174">
        <w:rPr>
          <w:rFonts w:ascii="Times New Roman" w:hAnsi="Times New Roman"/>
          <w:color w:val="000000" w:themeColor="tx1" w:themeShade="FF"/>
        </w:rPr>
        <w:t xml:space="preserve"> </w:t>
      </w:r>
      <w:r w:rsidRPr="0016789C">
        <w:rPr>
          <w:rFonts w:ascii="Times New Roman" w:hAnsi="Times New Roman"/>
          <w:color w:val="000000" w:themeColor="tx1" w:themeShade="FF"/>
        </w:rPr>
        <w:t xml:space="preserve">5 % súčtu zostávajúcich výšok refinancovaných alebo navýšených </w:t>
      </w:r>
      <w:r w:rsidRPr="0016789C" w:rsidR="00EC54E5">
        <w:rPr>
          <w:rFonts w:ascii="Times New Roman" w:hAnsi="Times New Roman"/>
          <w:color w:val="000000" w:themeColor="tx1" w:themeShade="FF"/>
        </w:rPr>
        <w:t xml:space="preserve">spotrebiteľských </w:t>
      </w:r>
      <w:r w:rsidRPr="0016789C" w:rsidR="00935E89">
        <w:rPr>
          <w:rFonts w:ascii="Times New Roman" w:hAnsi="Times New Roman"/>
          <w:color w:val="000000" w:themeColor="tx1" w:themeShade="FF"/>
        </w:rPr>
        <w:t>úverov</w:t>
      </w:r>
      <w:r w:rsidRPr="0016789C">
        <w:rPr>
          <w:rFonts w:ascii="Times New Roman" w:hAnsi="Times New Roman"/>
          <w:color w:val="000000" w:themeColor="tx1" w:themeShade="FF"/>
        </w:rPr>
        <w:t>.</w:t>
      </w:r>
    </w:p>
    <w:p w:rsidR="002233EE" w:rsidRPr="0016789C" w:rsidP="00F67738">
      <w:p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</w:rPr>
      </w:pPr>
    </w:p>
    <w:p w:rsidR="00F93D69" w:rsidRPr="0016789C" w:rsidP="00862D76">
      <w:pPr>
        <w:bidi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16789C">
        <w:rPr>
          <w:rFonts w:ascii="Times New Roman" w:hAnsi="Times New Roman"/>
          <w:color w:val="000000" w:themeColor="tx1" w:themeShade="FF"/>
        </w:rPr>
        <w:t>(</w:t>
      </w:r>
      <w:r w:rsidRPr="0016789C" w:rsidR="00E62711">
        <w:rPr>
          <w:rFonts w:ascii="Times New Roman" w:hAnsi="Times New Roman"/>
          <w:color w:val="000000" w:themeColor="tx1" w:themeShade="FF"/>
        </w:rPr>
        <w:t>2</w:t>
      </w:r>
      <w:r w:rsidRPr="0016789C">
        <w:rPr>
          <w:rFonts w:ascii="Times New Roman" w:hAnsi="Times New Roman"/>
          <w:color w:val="000000" w:themeColor="tx1" w:themeShade="FF"/>
        </w:rPr>
        <w:t xml:space="preserve">) Ak veriteľ opätovne refinancuje alebo navýši </w:t>
      </w:r>
      <w:r w:rsidRPr="0016789C" w:rsidR="002C1FF2">
        <w:rPr>
          <w:rFonts w:ascii="Times New Roman" w:hAnsi="Times New Roman"/>
          <w:color w:val="000000" w:themeColor="tx1" w:themeShade="FF"/>
        </w:rPr>
        <w:t xml:space="preserve">celkovú výšku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>
        <w:rPr>
          <w:rFonts w:ascii="Times New Roman" w:hAnsi="Times New Roman"/>
          <w:color w:val="000000" w:themeColor="tx1" w:themeShade="FF"/>
        </w:rPr>
        <w:t xml:space="preserve"> v priebehu </w:t>
      </w:r>
      <w:r w:rsidRPr="0016789C" w:rsidR="00C64928">
        <w:rPr>
          <w:rFonts w:ascii="Times New Roman" w:hAnsi="Times New Roman"/>
          <w:color w:val="000000" w:themeColor="tx1" w:themeShade="FF"/>
        </w:rPr>
        <w:t>dvanástich mesiacov</w:t>
      </w:r>
      <w:r w:rsidRPr="0016789C" w:rsidR="0067187B">
        <w:rPr>
          <w:rFonts w:ascii="Times New Roman" w:hAnsi="Times New Roman"/>
          <w:color w:val="000000" w:themeColor="tx1" w:themeShade="FF"/>
        </w:rPr>
        <w:t xml:space="preserve">, ktorý predtým sám refinancoval alebo </w:t>
      </w:r>
      <w:r w:rsidRPr="0016789C" w:rsidR="00E42CB9">
        <w:rPr>
          <w:rFonts w:ascii="Times New Roman" w:hAnsi="Times New Roman"/>
          <w:color w:val="000000" w:themeColor="tx1" w:themeShade="FF"/>
        </w:rPr>
        <w:t>navýšil</w:t>
      </w:r>
      <w:r w:rsidRPr="0016789C">
        <w:rPr>
          <w:rFonts w:ascii="Times New Roman" w:hAnsi="Times New Roman"/>
          <w:color w:val="000000" w:themeColor="tx1" w:themeShade="FF"/>
        </w:rPr>
        <w:t xml:space="preserve">, podmienka pre výrazné </w:t>
      </w:r>
      <w:r w:rsidRPr="0016789C" w:rsidR="00393AC9">
        <w:rPr>
          <w:rFonts w:ascii="Times New Roman" w:hAnsi="Times New Roman"/>
          <w:color w:val="000000" w:themeColor="tx1" w:themeShade="FF"/>
        </w:rPr>
        <w:t xml:space="preserve">navýšenie celkovej výšky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spotrebiteľského úveru</w:t>
      </w:r>
      <w:r w:rsidRPr="0016789C" w:rsidR="00393AC9">
        <w:rPr>
          <w:rFonts w:ascii="Times New Roman" w:hAnsi="Times New Roman"/>
          <w:color w:val="000000" w:themeColor="tx1" w:themeShade="FF"/>
        </w:rPr>
        <w:t xml:space="preserve"> alebo </w:t>
      </w:r>
      <w:r w:rsidRPr="0016789C">
        <w:rPr>
          <w:rFonts w:ascii="Times New Roman" w:hAnsi="Times New Roman"/>
          <w:color w:val="000000" w:themeColor="tx1" w:themeShade="FF"/>
        </w:rPr>
        <w:t xml:space="preserve">prevyšovanie súčtu zostávajúcich výšok existujúcich </w:t>
      </w:r>
      <w:r w:rsidRPr="0016789C" w:rsidR="00EC54E5">
        <w:rPr>
          <w:rFonts w:ascii="Times New Roman" w:hAnsi="Times New Roman"/>
          <w:color w:val="000000" w:themeColor="tx1" w:themeShade="FF"/>
        </w:rPr>
        <w:t>spotrebiteľských úverov</w:t>
      </w:r>
      <w:r w:rsidRPr="0016789C" w:rsidR="00935E89">
        <w:rPr>
          <w:rFonts w:ascii="Times New Roman" w:hAnsi="Times New Roman"/>
          <w:color w:val="000000" w:themeColor="tx1" w:themeShade="FF"/>
        </w:rPr>
        <w:t xml:space="preserve"> sa vyhodnocuje kumulatívne na ročnej báze.</w:t>
      </w:r>
    </w:p>
    <w:p w:rsidR="00D378B5" w:rsidRPr="0016789C" w:rsidP="00BA558C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</w:rPr>
      </w:pPr>
    </w:p>
    <w:p w:rsidR="00474734" w:rsidRPr="0016789C" w:rsidP="00BA558C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 xml:space="preserve">§ </w:t>
      </w:r>
      <w:r w:rsidRPr="0016789C" w:rsidR="005C0147">
        <w:rPr>
          <w:rFonts w:ascii="Times New Roman" w:hAnsi="Times New Roman"/>
          <w:b/>
          <w:color w:val="000000" w:themeColor="tx1" w:themeShade="FF"/>
        </w:rPr>
        <w:t>6</w:t>
      </w:r>
    </w:p>
    <w:p w:rsidR="00D378B5" w:rsidRPr="0016789C" w:rsidP="00BA558C">
      <w:pPr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Pr="0016789C">
        <w:rPr>
          <w:rFonts w:ascii="Times New Roman" w:hAnsi="Times New Roman"/>
          <w:b/>
        </w:rPr>
        <w:t xml:space="preserve">Limity na </w:t>
      </w:r>
      <w:r w:rsidRPr="0016789C" w:rsidR="00D23577">
        <w:rPr>
          <w:rFonts w:ascii="Times New Roman" w:hAnsi="Times New Roman"/>
          <w:b/>
        </w:rPr>
        <w:t xml:space="preserve">lehotu splatnosti </w:t>
      </w:r>
      <w:r w:rsidRPr="0016789C" w:rsidR="00EC54E5">
        <w:rPr>
          <w:rFonts w:ascii="Times New Roman" w:hAnsi="Times New Roman"/>
          <w:b/>
        </w:rPr>
        <w:t>spotrebiteľského úveru</w:t>
      </w:r>
      <w:r w:rsidRPr="0016789C" w:rsidR="00A605EA">
        <w:rPr>
          <w:rFonts w:ascii="Times New Roman" w:hAnsi="Times New Roman"/>
          <w:b/>
        </w:rPr>
        <w:t xml:space="preserve"> </w:t>
      </w:r>
    </w:p>
    <w:p w:rsidR="00F93D69" w:rsidRPr="0016789C" w:rsidP="00F67738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</w:rPr>
      </w:pPr>
    </w:p>
    <w:p w:rsidR="006B1B23" w:rsidRPr="0016789C" w:rsidP="00BA558C">
      <w:pPr>
        <w:bidi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6789C">
        <w:rPr>
          <w:rFonts w:ascii="Times New Roman" w:hAnsi="Times New Roman"/>
        </w:rPr>
        <w:t xml:space="preserve">(1) Limit na maximálnu </w:t>
      </w:r>
      <w:r w:rsidRPr="0016789C" w:rsidR="00D23577">
        <w:rPr>
          <w:rFonts w:ascii="Times New Roman" w:hAnsi="Times New Roman"/>
        </w:rPr>
        <w:t>lehotu splatnosti</w:t>
      </w:r>
      <w:r w:rsidRPr="0016789C" w:rsidR="00D73D7C">
        <w:rPr>
          <w:rFonts w:ascii="Times New Roman" w:hAnsi="Times New Roman"/>
        </w:rPr>
        <w:t xml:space="preserve"> spotrebiteľského </w:t>
      </w:r>
      <w:r w:rsidRPr="0016789C" w:rsidR="00D23577">
        <w:rPr>
          <w:rFonts w:ascii="Times New Roman" w:hAnsi="Times New Roman"/>
        </w:rPr>
        <w:t>úveru</w:t>
      </w:r>
      <w:r w:rsidRPr="0016789C" w:rsidR="00A628EB">
        <w:rPr>
          <w:rFonts w:ascii="Times New Roman" w:hAnsi="Times New Roman"/>
        </w:rPr>
        <w:t xml:space="preserve"> s výnimkou spotrebiteľského úveru podľa osobitného predpisu</w:t>
      </w:r>
      <w:r>
        <w:rPr>
          <w:rStyle w:val="FootnoteReference"/>
          <w:rFonts w:ascii="Times New Roman" w:hAnsi="Times New Roman"/>
          <w:rtl w:val="0"/>
        </w:rPr>
        <w:footnoteReference w:id="9"/>
      </w:r>
      <w:r w:rsidRPr="0016789C" w:rsidR="00A628EB">
        <w:rPr>
          <w:rFonts w:ascii="Times New Roman" w:hAnsi="Times New Roman"/>
          <w:vertAlign w:val="superscript"/>
        </w:rPr>
        <w:t>)</w:t>
      </w:r>
      <w:r w:rsidRPr="0016789C" w:rsidR="00A628EB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 xml:space="preserve">sa určí tak, aby </w:t>
      </w:r>
      <w:r w:rsidRPr="0016789C" w:rsidR="00A72277">
        <w:rPr>
          <w:rFonts w:ascii="Times New Roman" w:hAnsi="Times New Roman"/>
        </w:rPr>
        <w:t xml:space="preserve">lehota </w:t>
      </w:r>
      <w:r w:rsidRPr="0016789C" w:rsidR="00D23577">
        <w:rPr>
          <w:rFonts w:ascii="Times New Roman" w:hAnsi="Times New Roman"/>
        </w:rPr>
        <w:t>splatnosti</w:t>
      </w:r>
      <w:r w:rsidRPr="0016789C" w:rsidR="00DE20C1">
        <w:rPr>
          <w:rFonts w:ascii="Times New Roman" w:hAnsi="Times New Roman"/>
        </w:rPr>
        <w:t xml:space="preserve"> </w:t>
      </w:r>
      <w:r w:rsidRPr="0016789C">
        <w:rPr>
          <w:rFonts w:ascii="Times New Roman" w:hAnsi="Times New Roman"/>
        </w:rPr>
        <w:t xml:space="preserve">týchto </w:t>
      </w:r>
      <w:r w:rsidRPr="0016789C" w:rsidR="00EC54E5">
        <w:rPr>
          <w:rFonts w:ascii="Times New Roman" w:hAnsi="Times New Roman"/>
        </w:rPr>
        <w:t>spotrebiteľských úverov</w:t>
      </w:r>
      <w:r w:rsidRPr="0016789C">
        <w:rPr>
          <w:rFonts w:ascii="Times New Roman" w:hAnsi="Times New Roman"/>
        </w:rPr>
        <w:t xml:space="preserve"> nepresahoval</w:t>
      </w:r>
      <w:r w:rsidRPr="0016789C" w:rsidR="00734DBA">
        <w:rPr>
          <w:rFonts w:ascii="Times New Roman" w:hAnsi="Times New Roman"/>
        </w:rPr>
        <w:t>a</w:t>
      </w:r>
      <w:r w:rsidRPr="0016789C">
        <w:rPr>
          <w:rFonts w:ascii="Times New Roman" w:hAnsi="Times New Roman"/>
        </w:rPr>
        <w:t xml:space="preserve"> </w:t>
      </w:r>
      <w:r w:rsidRPr="0016789C" w:rsidR="00D73D7C">
        <w:rPr>
          <w:rFonts w:ascii="Times New Roman" w:hAnsi="Times New Roman"/>
        </w:rPr>
        <w:t>8</w:t>
      </w:r>
      <w:r w:rsidRPr="0016789C">
        <w:rPr>
          <w:rFonts w:ascii="Times New Roman" w:hAnsi="Times New Roman"/>
        </w:rPr>
        <w:t xml:space="preserve"> rokov.</w:t>
      </w:r>
    </w:p>
    <w:p w:rsidR="001D7FB0" w:rsidRPr="0016789C" w:rsidP="00F67738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</w:rPr>
      </w:pPr>
    </w:p>
    <w:p w:rsidR="00474734" w:rsidRPr="0016789C" w:rsidP="001542E2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>
        <w:rPr>
          <w:rFonts w:ascii="Times New Roman" w:hAnsi="Times New Roman"/>
          <w:b/>
          <w:color w:val="000000" w:themeColor="tx1" w:themeShade="FF"/>
        </w:rPr>
        <w:t xml:space="preserve">§ </w:t>
      </w:r>
      <w:r w:rsidRPr="0016789C" w:rsidR="00D73D7C">
        <w:rPr>
          <w:rFonts w:ascii="Times New Roman" w:hAnsi="Times New Roman"/>
          <w:b/>
          <w:color w:val="000000" w:themeColor="tx1" w:themeShade="FF"/>
        </w:rPr>
        <w:t>7</w:t>
      </w:r>
    </w:p>
    <w:p w:rsidR="00F93D69" w:rsidRPr="0016789C" w:rsidP="001542E2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 w:rsidR="001D7FB0">
        <w:rPr>
          <w:rFonts w:ascii="Times New Roman" w:hAnsi="Times New Roman"/>
          <w:b/>
          <w:color w:val="000000" w:themeColor="tx1" w:themeShade="FF"/>
        </w:rPr>
        <w:t>Účinnosť</w:t>
      </w:r>
    </w:p>
    <w:p w:rsidR="00F93D69" w:rsidRPr="0016789C" w:rsidP="00F67738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</w:rPr>
      </w:pPr>
    </w:p>
    <w:p w:rsidR="00474734" w:rsidRPr="0016789C" w:rsidP="00FE7292">
      <w:pPr>
        <w:bidi w:val="0"/>
        <w:spacing w:after="0" w:line="240" w:lineRule="auto"/>
        <w:ind w:firstLine="708"/>
        <w:rPr>
          <w:rFonts w:ascii="Times New Roman" w:hAnsi="Times New Roman"/>
          <w:color w:val="000000" w:themeColor="tx1" w:themeShade="FF"/>
        </w:rPr>
      </w:pPr>
      <w:r w:rsidRPr="0016789C">
        <w:rPr>
          <w:rFonts w:ascii="Times New Roman" w:hAnsi="Times New Roman"/>
          <w:color w:val="000000" w:themeColor="tx1" w:themeShade="FF"/>
        </w:rPr>
        <w:t>Toto opatrenie nadobúda účinnosť</w:t>
      </w:r>
      <w:r w:rsidRPr="0016789C" w:rsidR="00AE744F">
        <w:rPr>
          <w:rFonts w:ascii="Times New Roman" w:hAnsi="Times New Roman"/>
          <w:color w:val="000000" w:themeColor="tx1" w:themeShade="FF"/>
        </w:rPr>
        <w:t>.....</w:t>
      </w:r>
      <w:r w:rsidRPr="0016789C">
        <w:rPr>
          <w:rFonts w:ascii="Times New Roman" w:hAnsi="Times New Roman"/>
          <w:color w:val="000000" w:themeColor="tx1" w:themeShade="FF"/>
        </w:rPr>
        <w:t>.</w:t>
      </w:r>
      <w:r w:rsidRPr="0016789C" w:rsidR="00AE744F">
        <w:rPr>
          <w:rFonts w:ascii="Times New Roman" w:hAnsi="Times New Roman"/>
          <w:color w:val="000000" w:themeColor="tx1" w:themeShade="FF"/>
        </w:rPr>
        <w:t xml:space="preserve"> .</w:t>
      </w:r>
    </w:p>
    <w:p w:rsidR="00D56DE0" w:rsidRPr="0016789C" w:rsidP="001542E2">
      <w:pPr>
        <w:bidi w:val="0"/>
        <w:spacing w:after="0" w:line="240" w:lineRule="auto"/>
        <w:jc w:val="center"/>
        <w:rPr>
          <w:rFonts w:ascii="Times New Roman" w:hAnsi="Times New Roman"/>
          <w:b/>
          <w:color w:val="000000" w:themeColor="tx1" w:themeShade="FF"/>
        </w:rPr>
      </w:pPr>
      <w:r w:rsidRPr="0016789C" w:rsidR="00003B32">
        <w:rPr>
          <w:rFonts w:ascii="Times New Roman" w:hAnsi="Times New Roman"/>
          <w:b/>
          <w:color w:val="000000" w:themeColor="tx1" w:themeShade="FF"/>
        </w:rPr>
        <w:t>Jozef Makúch</w:t>
      </w:r>
      <w:r w:rsidRPr="0016789C" w:rsidR="00D51259">
        <w:rPr>
          <w:rFonts w:ascii="Times New Roman" w:hAnsi="Times New Roman"/>
          <w:b/>
          <w:color w:val="000000" w:themeColor="tx1" w:themeShade="FF"/>
        </w:rPr>
        <w:t xml:space="preserve"> </w:t>
      </w:r>
      <w:r w:rsidRPr="0016789C" w:rsidR="00003B32">
        <w:rPr>
          <w:rFonts w:ascii="Times New Roman" w:hAnsi="Times New Roman"/>
          <w:b/>
          <w:color w:val="000000" w:themeColor="tx1" w:themeShade="FF"/>
        </w:rPr>
        <w:t>guvernér</w:t>
      </w:r>
      <w:r w:rsidRPr="0016789C">
        <w:rPr>
          <w:rFonts w:ascii="Times New Roman" w:hAnsi="Times New Roman"/>
          <w:b/>
          <w:color w:val="000000" w:themeColor="tx1" w:themeShade="FF"/>
        </w:rPr>
        <w:t xml:space="preserve"> </w:t>
      </w:r>
    </w:p>
    <w:p w:rsidR="003845F4" w:rsidRPr="0016789C" w:rsidP="00F67738">
      <w:pPr>
        <w:bidi w:val="0"/>
        <w:spacing w:after="0" w:line="240" w:lineRule="auto"/>
        <w:rPr>
          <w:rFonts w:ascii="Times New Roman" w:hAnsi="Times New Roman"/>
          <w:b/>
          <w:color w:val="000000" w:themeColor="tx1" w:themeShade="FF"/>
        </w:rPr>
      </w:pPr>
    </w:p>
    <w:p w:rsidR="003845F4" w:rsidRPr="0016789C" w:rsidP="001542E2">
      <w:pPr>
        <w:bidi w:val="0"/>
        <w:spacing w:after="0" w:line="240" w:lineRule="auto"/>
        <w:rPr>
          <w:rFonts w:ascii="Times New Roman" w:hAnsi="Times New Roman"/>
          <w:color w:val="000000" w:themeColor="tx1" w:themeShade="FF"/>
        </w:rPr>
      </w:pPr>
      <w:r w:rsidRPr="0016789C">
        <w:rPr>
          <w:rFonts w:ascii="Times New Roman" w:hAnsi="Times New Roman"/>
          <w:color w:val="000000" w:themeColor="tx1" w:themeShade="FF"/>
        </w:rPr>
        <w:t xml:space="preserve">Vydávajúci útvar: odbor regulácie </w:t>
        <w:tab/>
        <w:tab/>
        <w:tab/>
        <w:tab/>
        <w:tab/>
        <w:t xml:space="preserve">tel.: +421 2 5787 3301 </w:t>
      </w:r>
    </w:p>
    <w:p w:rsidR="003845F4" w:rsidRPr="0016789C" w:rsidP="002233EE">
      <w:pPr>
        <w:bidi w:val="0"/>
        <w:spacing w:after="0"/>
        <w:ind w:left="5664" w:firstLine="708"/>
        <w:rPr>
          <w:rFonts w:ascii="Times New Roman" w:hAnsi="Times New Roman"/>
          <w:color w:val="000000" w:themeColor="tx1" w:themeShade="FF"/>
        </w:rPr>
      </w:pPr>
      <w:r w:rsidRPr="0016789C">
        <w:rPr>
          <w:rFonts w:ascii="Times New Roman" w:hAnsi="Times New Roman"/>
          <w:color w:val="000000" w:themeColor="tx1" w:themeShade="FF"/>
        </w:rPr>
        <w:t>fax: +421 2 5787 1118</w:t>
      </w:r>
    </w:p>
    <w:sectPr w:rsidSect="00221D89">
      <w:footerReference w:type="default" r:id="rId6"/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D3A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400">
      <w:rPr>
        <w:noProof/>
      </w:rPr>
      <w:t>3</w:t>
    </w:r>
    <w:r>
      <w:fldChar w:fldCharType="end"/>
    </w:r>
  </w:p>
  <w:p w:rsidR="00C54D3A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1F4" w:rsidP="00F750AB">
      <w:pPr>
        <w:bidi w:val="0"/>
        <w:spacing w:after="0" w:line="240" w:lineRule="auto"/>
      </w:pPr>
      <w:r>
        <w:separator/>
      </w:r>
    </w:p>
  </w:footnote>
  <w:footnote w:type="continuationSeparator" w:id="1">
    <w:p w:rsidR="00F641F4" w:rsidP="00F750AB">
      <w:pPr>
        <w:bidi w:val="0"/>
        <w:spacing w:after="0" w:line="240" w:lineRule="auto"/>
      </w:pPr>
      <w:r>
        <w:continuationSeparator/>
      </w:r>
    </w:p>
  </w:footnote>
  <w:footnote w:id="2">
    <w:p w:rsidP="003976FA">
      <w:pPr>
        <w:pStyle w:val="FootnoteText"/>
        <w:bidi w:val="0"/>
      </w:pPr>
      <w:r w:rsidRPr="00D467DA" w:rsidR="00C54D3A">
        <w:rPr>
          <w:rStyle w:val="FootnoteReference"/>
          <w:rFonts w:ascii="Times New Roman" w:hAnsi="Times New Roman"/>
        </w:rPr>
        <w:footnoteRef/>
      </w:r>
      <w:r w:rsidRPr="004C0456" w:rsidR="00C54D3A">
        <w:rPr>
          <w:rFonts w:ascii="Times New Roman" w:hAnsi="Times New Roman"/>
          <w:vertAlign w:val="superscript"/>
        </w:rPr>
        <w:t>)</w:t>
      </w:r>
      <w:r w:rsidRPr="00D467DA" w:rsidR="00C54D3A">
        <w:rPr>
          <w:rFonts w:ascii="Times New Roman" w:hAnsi="Times New Roman"/>
        </w:rPr>
        <w:t xml:space="preserve"> Zákon č</w:t>
      </w:r>
      <w:r w:rsidR="00C54D3A">
        <w:rPr>
          <w:rFonts w:ascii="Times New Roman" w:hAnsi="Times New Roman"/>
        </w:rPr>
        <w:t xml:space="preserve">. </w:t>
      </w:r>
      <w:r w:rsidRPr="00726EEA" w:rsidR="00C54D3A">
        <w:rPr>
          <w:rFonts w:ascii="Times New Roman" w:hAnsi="Times New Roman"/>
        </w:rPr>
        <w:t xml:space="preserve">36/2005 Z. z. </w:t>
      </w:r>
      <w:r w:rsidRPr="00D467DA" w:rsidR="00C54D3A">
        <w:rPr>
          <w:rFonts w:ascii="Times New Roman" w:hAnsi="Times New Roman"/>
        </w:rPr>
        <w:t xml:space="preserve"> o </w:t>
      </w:r>
      <w:r w:rsidR="00C54D3A">
        <w:rPr>
          <w:rFonts w:ascii="Times New Roman" w:hAnsi="Times New Roman"/>
        </w:rPr>
        <w:t>rodine</w:t>
      </w:r>
      <w:r w:rsidRPr="00D467DA" w:rsidR="00C54D3A">
        <w:rPr>
          <w:rFonts w:ascii="Times New Roman" w:hAnsi="Times New Roman"/>
        </w:rPr>
        <w:t xml:space="preserve"> </w:t>
      </w:r>
      <w:r w:rsidR="00C54D3A">
        <w:rPr>
          <w:rFonts w:ascii="Times New Roman" w:hAnsi="Times New Roman"/>
        </w:rPr>
        <w:t>a o zmene a doplnení niektorých zákonov v znení neskorších predpisov.</w:t>
      </w:r>
    </w:p>
  </w:footnote>
  <w:footnote w:id="3">
    <w:p w:rsidP="00FF4F04">
      <w:pPr>
        <w:pStyle w:val="FootnoteText"/>
        <w:bidi w:val="0"/>
      </w:pPr>
      <w:r w:rsidRPr="007433D2" w:rsidR="00C54D3A">
        <w:rPr>
          <w:rStyle w:val="FootnoteReference"/>
          <w:rFonts w:ascii="Times New Roman" w:hAnsi="Times New Roman"/>
        </w:rPr>
        <w:footnoteRef/>
      </w:r>
      <w:r w:rsidRPr="007433D2" w:rsidR="00C54D3A">
        <w:rPr>
          <w:rFonts w:ascii="Times New Roman" w:hAnsi="Times New Roman"/>
          <w:vertAlign w:val="superscript"/>
        </w:rPr>
        <w:t>)</w:t>
      </w:r>
      <w:r w:rsidRPr="00D467DA" w:rsidR="00C54D3A">
        <w:rPr>
          <w:rFonts w:ascii="Times New Roman" w:hAnsi="Times New Roman"/>
        </w:rPr>
        <w:t xml:space="preserve"> Zákon č. 601/2003 Z. z. o životnom minime a o zmene a doplnení niektorých zákonov v znení neskorších </w:t>
      </w:r>
      <w:r w:rsidR="00C54D3A">
        <w:rPr>
          <w:rFonts w:ascii="Times New Roman" w:hAnsi="Times New Roman"/>
        </w:rPr>
        <w:t>predpisov</w:t>
      </w:r>
      <w:r w:rsidRPr="00D467DA" w:rsidR="00C54D3A">
        <w:rPr>
          <w:rFonts w:ascii="Times New Roman" w:hAnsi="Times New Roman"/>
        </w:rPr>
        <w:t xml:space="preserve">. </w:t>
      </w:r>
    </w:p>
  </w:footnote>
  <w:footnote w:id="4">
    <w:p>
      <w:pPr>
        <w:pStyle w:val="FootnoteText"/>
        <w:bidi w:val="0"/>
      </w:pPr>
      <w:r w:rsidRPr="00E42CB9" w:rsidR="00E42CB9">
        <w:rPr>
          <w:rStyle w:val="FootnoteReference"/>
          <w:rFonts w:ascii="Times New Roman" w:hAnsi="Times New Roman"/>
        </w:rPr>
        <w:footnoteRef/>
      </w:r>
      <w:r w:rsidRPr="00E42CB9" w:rsidR="00E42CB9">
        <w:rPr>
          <w:rFonts w:ascii="Times New Roman" w:hAnsi="Times New Roman"/>
          <w:vertAlign w:val="superscript"/>
        </w:rPr>
        <w:t>)</w:t>
      </w:r>
      <w:r w:rsidRPr="00E42CB9" w:rsidR="00E42CB9">
        <w:rPr>
          <w:rFonts w:ascii="Times New Roman" w:hAnsi="Times New Roman"/>
        </w:rPr>
        <w:t xml:space="preserve"> </w:t>
      </w:r>
      <w:r w:rsidR="00361138">
        <w:rPr>
          <w:rFonts w:ascii="Times New Roman" w:hAnsi="Times New Roman"/>
        </w:rPr>
        <w:t xml:space="preserve">§ 2 písm. k) zákona a </w:t>
      </w:r>
      <w:r w:rsidRPr="00E42CB9" w:rsidR="00E42CB9">
        <w:rPr>
          <w:rFonts w:ascii="Times New Roman" w:hAnsi="Times New Roman"/>
        </w:rPr>
        <w:t xml:space="preserve">§ 2 písm. </w:t>
      </w:r>
      <w:r w:rsidR="00E62711">
        <w:rPr>
          <w:rFonts w:ascii="Times New Roman" w:hAnsi="Times New Roman"/>
        </w:rPr>
        <w:t>j</w:t>
      </w:r>
      <w:r w:rsidRPr="00E42CB9" w:rsidR="00E42CB9">
        <w:rPr>
          <w:rFonts w:ascii="Times New Roman" w:hAnsi="Times New Roman"/>
        </w:rPr>
        <w:t>) zákona</w:t>
      </w:r>
      <w:r w:rsidR="00E62711">
        <w:rPr>
          <w:rFonts w:ascii="Times New Roman" w:hAnsi="Times New Roman"/>
        </w:rPr>
        <w:t xml:space="preserve"> č. 90/2016  Z. z. o úveroch na bývanie</w:t>
      </w:r>
      <w:r w:rsidRPr="00E42CB9" w:rsidR="00E42CB9">
        <w:rPr>
          <w:rFonts w:ascii="Times New Roman" w:hAnsi="Times New Roman"/>
        </w:rPr>
        <w:t>.</w:t>
      </w:r>
    </w:p>
  </w:footnote>
  <w:footnote w:id="5">
    <w:p w:rsidP="00893902">
      <w:pPr>
        <w:pStyle w:val="FootnoteText"/>
        <w:bidi w:val="0"/>
      </w:pPr>
      <w:r w:rsidRPr="007433D2" w:rsidR="00C54D3A">
        <w:rPr>
          <w:rStyle w:val="FootnoteReference"/>
          <w:rFonts w:ascii="Times New Roman" w:hAnsi="Times New Roman"/>
        </w:rPr>
        <w:footnoteRef/>
      </w:r>
      <w:r w:rsidRPr="007433D2" w:rsidR="00C54D3A">
        <w:rPr>
          <w:rFonts w:ascii="Times New Roman" w:hAnsi="Times New Roman"/>
          <w:vertAlign w:val="superscript"/>
        </w:rPr>
        <w:t>)</w:t>
      </w:r>
      <w:r w:rsidRPr="00324872" w:rsidR="00C54D3A">
        <w:rPr>
          <w:rFonts w:ascii="Times New Roman" w:hAnsi="Times New Roman"/>
        </w:rPr>
        <w:t xml:space="preserve"> § 2 ods. 9 zákona č. 492/2009 Z. z. o platobných službách a o zmene a doplnení niektorých zákonov v znení neskorších predpisov</w:t>
      </w:r>
      <w:r w:rsidR="00C54D3A">
        <w:rPr>
          <w:rFonts w:ascii="Times New Roman" w:hAnsi="Times New Roman"/>
        </w:rPr>
        <w:t>.</w:t>
      </w:r>
    </w:p>
  </w:footnote>
  <w:footnote w:id="6">
    <w:p w:rsidP="009E1323">
      <w:pPr>
        <w:pStyle w:val="FootnoteText"/>
        <w:bidi w:val="0"/>
        <w:jc w:val="both"/>
      </w:pPr>
      <w:r w:rsidRPr="00810EE8" w:rsidR="00C54D3A">
        <w:rPr>
          <w:rStyle w:val="FootnoteReference"/>
          <w:rFonts w:ascii="Times New Roman" w:hAnsi="Times New Roman"/>
        </w:rPr>
        <w:footnoteRef/>
      </w:r>
      <w:r w:rsidRPr="00553413" w:rsidR="00C54D3A">
        <w:rPr>
          <w:rFonts w:ascii="Times New Roman" w:hAnsi="Times New Roman"/>
          <w:vertAlign w:val="superscript"/>
        </w:rPr>
        <w:t>)</w:t>
      </w:r>
      <w:r w:rsidRPr="00810EE8" w:rsidR="00C54D3A">
        <w:rPr>
          <w:rFonts w:ascii="Times New Roman" w:hAnsi="Times New Roman"/>
        </w:rPr>
        <w:t xml:space="preserve"> </w:t>
      </w:r>
      <w:r w:rsidR="00C54D3A">
        <w:rPr>
          <w:rFonts w:ascii="Times New Roman" w:hAnsi="Times New Roman"/>
        </w:rPr>
        <w:t>Z</w:t>
      </w:r>
      <w:r w:rsidRPr="00810EE8" w:rsidR="00C54D3A">
        <w:rPr>
          <w:rFonts w:ascii="Times New Roman" w:hAnsi="Times New Roman"/>
        </w:rPr>
        <w:t>ákon č. 461/2003 Z. z. o sociálnom poistení v znení neskorších predpisov, zákon č. 328/2002 Z.</w:t>
      </w:r>
      <w:r w:rsidR="00C54D3A">
        <w:rPr>
          <w:rFonts w:ascii="Times New Roman" w:hAnsi="Times New Roman"/>
        </w:rPr>
        <w:t xml:space="preserve"> </w:t>
      </w:r>
      <w:r w:rsidRPr="00810EE8" w:rsidR="00C54D3A">
        <w:rPr>
          <w:rFonts w:ascii="Times New Roman" w:hAnsi="Times New Roman"/>
        </w:rPr>
        <w:t>z. o sociálnom zabezpečení policajtov a vojakov a o zmene a doplnení niektorých zákonov</w:t>
      </w:r>
      <w:r w:rsidR="00C54D3A">
        <w:rPr>
          <w:rFonts w:ascii="Times New Roman" w:hAnsi="Times New Roman"/>
        </w:rPr>
        <w:t>.</w:t>
      </w:r>
    </w:p>
  </w:footnote>
  <w:footnote w:id="7">
    <w:p w:rsidP="009E1323">
      <w:pPr>
        <w:pStyle w:val="FootnoteText"/>
        <w:bidi w:val="0"/>
        <w:jc w:val="both"/>
      </w:pPr>
      <w:r w:rsidRPr="00E94950" w:rsidR="00C54D3A">
        <w:rPr>
          <w:rStyle w:val="FootnoteReference"/>
          <w:rFonts w:ascii="Times New Roman" w:hAnsi="Times New Roman"/>
        </w:rPr>
        <w:footnoteRef/>
      </w:r>
      <w:r w:rsidRPr="00553413" w:rsidR="00C54D3A">
        <w:rPr>
          <w:rFonts w:ascii="Times New Roman" w:hAnsi="Times New Roman"/>
          <w:vertAlign w:val="superscript"/>
        </w:rPr>
        <w:t xml:space="preserve">) </w:t>
      </w:r>
      <w:r w:rsidRPr="00E94950" w:rsidR="00C54D3A">
        <w:rPr>
          <w:rFonts w:ascii="Times New Roman" w:hAnsi="Times New Roman"/>
        </w:rPr>
        <w:t>§ 170 odsek 2 zákona č. 461/2003 Z. z.</w:t>
      </w:r>
      <w:r w:rsidR="009B184C">
        <w:rPr>
          <w:rFonts w:ascii="Times New Roman" w:hAnsi="Times New Roman"/>
        </w:rPr>
        <w:t xml:space="preserve"> o sociálnom poistení</w:t>
      </w:r>
      <w:r w:rsidRPr="00E94950" w:rsidR="00C54D3A">
        <w:rPr>
          <w:rFonts w:ascii="Times New Roman" w:hAnsi="Times New Roman"/>
        </w:rPr>
        <w:t xml:space="preserve"> v znení neskorších predpisov </w:t>
      </w:r>
      <w:r w:rsidR="00C54D3A">
        <w:rPr>
          <w:rFonts w:ascii="Times New Roman" w:hAnsi="Times New Roman"/>
        </w:rPr>
        <w:t>alebo § 20 zákona č.</w:t>
      </w:r>
      <w:r w:rsidRPr="00E94950" w:rsidR="00C54D3A">
        <w:rPr>
          <w:rFonts w:ascii="Times New Roman" w:hAnsi="Times New Roman"/>
        </w:rPr>
        <w:t> </w:t>
      </w:r>
      <w:r w:rsidR="00C54D3A">
        <w:rPr>
          <w:rFonts w:ascii="Times New Roman" w:hAnsi="Times New Roman"/>
        </w:rPr>
        <w:t xml:space="preserve">276/1993 Z. z. </w:t>
      </w:r>
      <w:r w:rsidRPr="00E94950" w:rsidR="00C54D3A">
        <w:rPr>
          <w:rFonts w:ascii="Times New Roman" w:hAnsi="Times New Roman"/>
        </w:rPr>
        <w:t>o Poisťovni Ministerstva vnútra Slovenskej republiky a o financovaní zdravotného poistenia</w:t>
      </w:r>
      <w:r w:rsidR="00C54D3A">
        <w:rPr>
          <w:rFonts w:ascii="Times New Roman" w:hAnsi="Times New Roman"/>
        </w:rPr>
        <w:t xml:space="preserve"> v znení neskorších predpisov.</w:t>
      </w:r>
    </w:p>
  </w:footnote>
  <w:footnote w:id="8">
    <w:p>
      <w:pPr>
        <w:pStyle w:val="FootnoteText"/>
        <w:bidi w:val="0"/>
      </w:pPr>
      <w:r w:rsidRPr="008E439B" w:rsidR="00C54D3A">
        <w:rPr>
          <w:rStyle w:val="FootnoteReference"/>
          <w:rFonts w:ascii="Times New Roman" w:hAnsi="Times New Roman"/>
        </w:rPr>
        <w:footnoteRef/>
      </w:r>
      <w:r w:rsidRPr="00BA558C" w:rsidR="00C54D3A">
        <w:rPr>
          <w:rFonts w:ascii="Times New Roman" w:hAnsi="Times New Roman"/>
          <w:vertAlign w:val="superscript"/>
        </w:rPr>
        <w:t>)</w:t>
      </w:r>
      <w:r w:rsidRPr="008E439B" w:rsidR="00C54D3A">
        <w:rPr>
          <w:rFonts w:ascii="Times New Roman" w:hAnsi="Times New Roman"/>
        </w:rPr>
        <w:t xml:space="preserve"> Zákon č. 461/2003 Z. z. </w:t>
      </w:r>
      <w:r w:rsidR="009B184C">
        <w:rPr>
          <w:rFonts w:ascii="Times New Roman" w:hAnsi="Times New Roman"/>
        </w:rPr>
        <w:t xml:space="preserve">o sociálnom poistení </w:t>
      </w:r>
      <w:r w:rsidR="00C54D3A">
        <w:rPr>
          <w:rFonts w:ascii="Times New Roman" w:hAnsi="Times New Roman"/>
        </w:rPr>
        <w:t>v znení neskorších predpisov.</w:t>
      </w:r>
    </w:p>
  </w:footnote>
  <w:footnote w:id="9">
    <w:p w:rsidP="00A628EB">
      <w:pPr>
        <w:pStyle w:val="FootnoteText"/>
        <w:bidi w:val="0"/>
      </w:pPr>
      <w:r w:rsidRPr="0068399E" w:rsidR="00A628EB">
        <w:rPr>
          <w:rStyle w:val="FootnoteReference"/>
          <w:rFonts w:ascii="Times New Roman" w:hAnsi="Times New Roman"/>
        </w:rPr>
        <w:footnoteRef/>
      </w:r>
      <w:r w:rsidRPr="006A4EBB" w:rsidR="00A628EB">
        <w:rPr>
          <w:rFonts w:ascii="Times New Roman" w:hAnsi="Times New Roman"/>
          <w:vertAlign w:val="superscript"/>
        </w:rPr>
        <w:t>)</w:t>
      </w:r>
      <w:r w:rsidRPr="0068399E" w:rsidR="00A628EB">
        <w:rPr>
          <w:rFonts w:ascii="Times New Roman" w:hAnsi="Times New Roman"/>
        </w:rPr>
        <w:t xml:space="preserve"> § 7 ods. 6 zákona Slovenskej národnej rady č. 310/1992 Zb. o stavebnom sporení v znení </w:t>
      </w:r>
      <w:r w:rsidR="00A628EB">
        <w:rPr>
          <w:rFonts w:ascii="Times New Roman" w:hAnsi="Times New Roman"/>
        </w:rPr>
        <w:t>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D49"/>
    <w:multiLevelType w:val="hybridMultilevel"/>
    <w:tmpl w:val="68D67B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A797EF8"/>
    <w:multiLevelType w:val="hybridMultilevel"/>
    <w:tmpl w:val="7AAC87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B7A6915"/>
    <w:multiLevelType w:val="hybridMultilevel"/>
    <w:tmpl w:val="AC92DC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0287606"/>
    <w:multiLevelType w:val="hybridMultilevel"/>
    <w:tmpl w:val="459250A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1F5112E"/>
    <w:multiLevelType w:val="hybridMultilevel"/>
    <w:tmpl w:val="445CE2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532506"/>
    <w:multiLevelType w:val="hybridMultilevel"/>
    <w:tmpl w:val="3BC44FE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272522"/>
    <w:multiLevelType w:val="hybridMultilevel"/>
    <w:tmpl w:val="6A8625E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E1D6759"/>
    <w:multiLevelType w:val="hybridMultilevel"/>
    <w:tmpl w:val="0252757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FD6196F"/>
    <w:multiLevelType w:val="hybridMultilevel"/>
    <w:tmpl w:val="BD6A286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0C5C24"/>
    <w:multiLevelType w:val="hybridMultilevel"/>
    <w:tmpl w:val="6E9855E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2482471F"/>
    <w:multiLevelType w:val="hybridMultilevel"/>
    <w:tmpl w:val="08445558"/>
    <w:lvl w:ilvl="0">
      <w:start w:val="4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84F137B"/>
    <w:multiLevelType w:val="hybridMultilevel"/>
    <w:tmpl w:val="6CD8FC1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A7B7159"/>
    <w:multiLevelType w:val="hybridMultilevel"/>
    <w:tmpl w:val="8990CF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AA82298"/>
    <w:multiLevelType w:val="hybridMultilevel"/>
    <w:tmpl w:val="87E28B7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C34703C"/>
    <w:multiLevelType w:val="hybridMultilevel"/>
    <w:tmpl w:val="051EC72A"/>
    <w:lvl w:ilvl="0">
      <w:start w:val="2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32D71D0E"/>
    <w:multiLevelType w:val="hybridMultilevel"/>
    <w:tmpl w:val="F0FA51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3115F54"/>
    <w:multiLevelType w:val="hybridMultilevel"/>
    <w:tmpl w:val="BB9E15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6F2686"/>
    <w:multiLevelType w:val="hybridMultilevel"/>
    <w:tmpl w:val="57886FA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964264"/>
    <w:multiLevelType w:val="hybridMultilevel"/>
    <w:tmpl w:val="BAD633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C28128F"/>
    <w:multiLevelType w:val="hybridMultilevel"/>
    <w:tmpl w:val="4B149E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18F5712"/>
    <w:multiLevelType w:val="hybridMultilevel"/>
    <w:tmpl w:val="22962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CD25F4"/>
    <w:multiLevelType w:val="hybridMultilevel"/>
    <w:tmpl w:val="5BEA95F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4E264B3"/>
    <w:multiLevelType w:val="hybridMultilevel"/>
    <w:tmpl w:val="E81E6D0E"/>
    <w:lvl w:ilvl="0">
      <w:start w:val="1"/>
      <w:numFmt w:val="lowerLetter"/>
      <w:lvlText w:val="%1)"/>
      <w:lvlJc w:val="left"/>
      <w:pPr>
        <w:ind w:left="157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45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cs="Times New Roman"/>
        <w:rtl w:val="0"/>
        <w:cs w:val="0"/>
      </w:rPr>
    </w:lvl>
  </w:abstractNum>
  <w:abstractNum w:abstractNumId="23">
    <w:nsid w:val="463D5865"/>
    <w:multiLevelType w:val="hybridMultilevel"/>
    <w:tmpl w:val="0E902208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24">
    <w:nsid w:val="49935183"/>
    <w:multiLevelType w:val="hybridMultilevel"/>
    <w:tmpl w:val="46BA98E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9F21526"/>
    <w:multiLevelType w:val="hybridMultilevel"/>
    <w:tmpl w:val="2B720C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4BA961ED"/>
    <w:multiLevelType w:val="hybridMultilevel"/>
    <w:tmpl w:val="3B70911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7">
    <w:nsid w:val="4DF623A5"/>
    <w:multiLevelType w:val="hybridMultilevel"/>
    <w:tmpl w:val="9A26270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4FC862FF"/>
    <w:multiLevelType w:val="hybridMultilevel"/>
    <w:tmpl w:val="8FE0282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8476EA2"/>
    <w:multiLevelType w:val="hybridMultilevel"/>
    <w:tmpl w:val="FDE49B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D333EF"/>
    <w:multiLevelType w:val="hybridMultilevel"/>
    <w:tmpl w:val="80CCA60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F0464E8"/>
    <w:multiLevelType w:val="hybridMultilevel"/>
    <w:tmpl w:val="1BD066B2"/>
    <w:lvl w:ilvl="0">
      <w:start w:val="1"/>
      <w:numFmt w:val="lowerLetter"/>
      <w:lvlText w:val="%1)"/>
      <w:lvlJc w:val="left"/>
      <w:pPr>
        <w:ind w:left="1728" w:hanging="10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2">
    <w:nsid w:val="61F83951"/>
    <w:multiLevelType w:val="hybridMultilevel"/>
    <w:tmpl w:val="08B45A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309095D"/>
    <w:multiLevelType w:val="hybridMultilevel"/>
    <w:tmpl w:val="C8E2FA0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62D0F37"/>
    <w:multiLevelType w:val="hybridMultilevel"/>
    <w:tmpl w:val="CB4E19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66B5D5C"/>
    <w:multiLevelType w:val="hybridMultilevel"/>
    <w:tmpl w:val="B2560C88"/>
    <w:lvl w:ilvl="0">
      <w:start w:val="1"/>
      <w:numFmt w:val="decimal"/>
      <w:lvlText w:val="%1.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36">
    <w:nsid w:val="6B0C0023"/>
    <w:multiLevelType w:val="hybridMultilevel"/>
    <w:tmpl w:val="E19E18C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4663E6F"/>
    <w:multiLevelType w:val="hybridMultilevel"/>
    <w:tmpl w:val="D374B37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8">
    <w:nsid w:val="76F86CE9"/>
    <w:multiLevelType w:val="hybridMultilevel"/>
    <w:tmpl w:val="D5465CF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72943B7"/>
    <w:multiLevelType w:val="hybridMultilevel"/>
    <w:tmpl w:val="F32C5E4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0">
    <w:nsid w:val="77F2441C"/>
    <w:multiLevelType w:val="hybridMultilevel"/>
    <w:tmpl w:val="76B2FE20"/>
    <w:lvl w:ilvl="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F839F1"/>
    <w:multiLevelType w:val="hybridMultilevel"/>
    <w:tmpl w:val="CEB0BD96"/>
    <w:lvl w:ilvl="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  <w:rtl w:val="0"/>
        <w:cs w:val="0"/>
      </w:rPr>
    </w:lvl>
  </w:abstractNum>
  <w:abstractNum w:abstractNumId="42">
    <w:nsid w:val="7C220511"/>
    <w:multiLevelType w:val="hybridMultilevel"/>
    <w:tmpl w:val="22489138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3">
    <w:nsid w:val="7C470EA6"/>
    <w:multiLevelType w:val="hybridMultilevel"/>
    <w:tmpl w:val="4662A8CC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num w:numId="1">
    <w:abstractNumId w:val="41"/>
  </w:num>
  <w:num w:numId="2">
    <w:abstractNumId w:val="30"/>
  </w:num>
  <w:num w:numId="3">
    <w:abstractNumId w:val="23"/>
  </w:num>
  <w:num w:numId="4">
    <w:abstractNumId w:val="28"/>
  </w:num>
  <w:num w:numId="5">
    <w:abstractNumId w:val="4"/>
  </w:num>
  <w:num w:numId="6">
    <w:abstractNumId w:val="7"/>
  </w:num>
  <w:num w:numId="7">
    <w:abstractNumId w:val="12"/>
  </w:num>
  <w:num w:numId="8">
    <w:abstractNumId w:val="6"/>
  </w:num>
  <w:num w:numId="9">
    <w:abstractNumId w:val="25"/>
  </w:num>
  <w:num w:numId="10">
    <w:abstractNumId w:val="34"/>
  </w:num>
  <w:num w:numId="11">
    <w:abstractNumId w:val="35"/>
  </w:num>
  <w:num w:numId="12">
    <w:abstractNumId w:val="42"/>
  </w:num>
  <w:num w:numId="13">
    <w:abstractNumId w:val="31"/>
  </w:num>
  <w:num w:numId="14">
    <w:abstractNumId w:val="40"/>
  </w:num>
  <w:num w:numId="15">
    <w:abstractNumId w:val="33"/>
  </w:num>
  <w:num w:numId="16">
    <w:abstractNumId w:val="2"/>
  </w:num>
  <w:num w:numId="17">
    <w:abstractNumId w:val="43"/>
  </w:num>
  <w:num w:numId="18">
    <w:abstractNumId w:val="22"/>
  </w:num>
  <w:num w:numId="19">
    <w:abstractNumId w:val="27"/>
  </w:num>
  <w:num w:numId="20">
    <w:abstractNumId w:val="5"/>
  </w:num>
  <w:num w:numId="21">
    <w:abstractNumId w:val="13"/>
  </w:num>
  <w:num w:numId="22">
    <w:abstractNumId w:val="24"/>
  </w:num>
  <w:num w:numId="23">
    <w:abstractNumId w:val="38"/>
  </w:num>
  <w:num w:numId="24">
    <w:abstractNumId w:val="3"/>
  </w:num>
  <w:num w:numId="25">
    <w:abstractNumId w:val="8"/>
  </w:num>
  <w:num w:numId="26">
    <w:abstractNumId w:val="21"/>
  </w:num>
  <w:num w:numId="27">
    <w:abstractNumId w:val="32"/>
  </w:num>
  <w:num w:numId="28">
    <w:abstractNumId w:val="10"/>
  </w:num>
  <w:num w:numId="29">
    <w:abstractNumId w:val="26"/>
  </w:num>
  <w:num w:numId="30">
    <w:abstractNumId w:val="19"/>
  </w:num>
  <w:num w:numId="31">
    <w:abstractNumId w:val="11"/>
  </w:num>
  <w:num w:numId="32">
    <w:abstractNumId w:val="39"/>
  </w:num>
  <w:num w:numId="33">
    <w:abstractNumId w:val="37"/>
  </w:num>
  <w:num w:numId="34">
    <w:abstractNumId w:val="15"/>
  </w:num>
  <w:num w:numId="35">
    <w:abstractNumId w:val="18"/>
  </w:num>
  <w:num w:numId="36">
    <w:abstractNumId w:val="9"/>
  </w:num>
  <w:num w:numId="37">
    <w:abstractNumId w:val="20"/>
  </w:num>
  <w:num w:numId="38">
    <w:abstractNumId w:val="17"/>
  </w:num>
  <w:num w:numId="39">
    <w:abstractNumId w:val="14"/>
  </w:num>
  <w:num w:numId="40">
    <w:abstractNumId w:val="16"/>
  </w:num>
  <w:num w:numId="41">
    <w:abstractNumId w:val="29"/>
  </w:num>
  <w:num w:numId="42">
    <w:abstractNumId w:val="36"/>
  </w:num>
  <w:num w:numId="43">
    <w:abstractNumId w:val="0"/>
  </w:num>
  <w:num w:numId="4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7232"/>
    <w:rsid w:val="000002BD"/>
    <w:rsid w:val="00001097"/>
    <w:rsid w:val="00002080"/>
    <w:rsid w:val="00003627"/>
    <w:rsid w:val="00003B32"/>
    <w:rsid w:val="00007AB1"/>
    <w:rsid w:val="000126B6"/>
    <w:rsid w:val="00014555"/>
    <w:rsid w:val="00014990"/>
    <w:rsid w:val="000151CE"/>
    <w:rsid w:val="0001680D"/>
    <w:rsid w:val="00017225"/>
    <w:rsid w:val="00017905"/>
    <w:rsid w:val="000236AC"/>
    <w:rsid w:val="00025899"/>
    <w:rsid w:val="0002742A"/>
    <w:rsid w:val="0002751B"/>
    <w:rsid w:val="00027B0A"/>
    <w:rsid w:val="00032199"/>
    <w:rsid w:val="000331E4"/>
    <w:rsid w:val="000332C4"/>
    <w:rsid w:val="0003516A"/>
    <w:rsid w:val="00035897"/>
    <w:rsid w:val="000368C9"/>
    <w:rsid w:val="00043F87"/>
    <w:rsid w:val="00044690"/>
    <w:rsid w:val="0004587E"/>
    <w:rsid w:val="00046D1C"/>
    <w:rsid w:val="000477A4"/>
    <w:rsid w:val="0005027A"/>
    <w:rsid w:val="00051946"/>
    <w:rsid w:val="00051C05"/>
    <w:rsid w:val="0005254D"/>
    <w:rsid w:val="0005335D"/>
    <w:rsid w:val="00056C83"/>
    <w:rsid w:val="00062671"/>
    <w:rsid w:val="00062D8C"/>
    <w:rsid w:val="0006332A"/>
    <w:rsid w:val="00064157"/>
    <w:rsid w:val="00064D39"/>
    <w:rsid w:val="000718C1"/>
    <w:rsid w:val="00072181"/>
    <w:rsid w:val="0007296E"/>
    <w:rsid w:val="00072ED9"/>
    <w:rsid w:val="0007739E"/>
    <w:rsid w:val="00080827"/>
    <w:rsid w:val="00082E4B"/>
    <w:rsid w:val="0008336B"/>
    <w:rsid w:val="0008434B"/>
    <w:rsid w:val="00091214"/>
    <w:rsid w:val="000918D0"/>
    <w:rsid w:val="00093081"/>
    <w:rsid w:val="000947BD"/>
    <w:rsid w:val="00095ACF"/>
    <w:rsid w:val="000A0021"/>
    <w:rsid w:val="000A1F3E"/>
    <w:rsid w:val="000A2EC7"/>
    <w:rsid w:val="000A4049"/>
    <w:rsid w:val="000A4A4F"/>
    <w:rsid w:val="000A4BBD"/>
    <w:rsid w:val="000A5C3F"/>
    <w:rsid w:val="000A73C2"/>
    <w:rsid w:val="000B1B84"/>
    <w:rsid w:val="000B284B"/>
    <w:rsid w:val="000B46BE"/>
    <w:rsid w:val="000B6B05"/>
    <w:rsid w:val="000C00C7"/>
    <w:rsid w:val="000C1905"/>
    <w:rsid w:val="000C473D"/>
    <w:rsid w:val="000C5ED8"/>
    <w:rsid w:val="000C6BC9"/>
    <w:rsid w:val="000D08FF"/>
    <w:rsid w:val="000D46E5"/>
    <w:rsid w:val="000D4BCB"/>
    <w:rsid w:val="000D54F1"/>
    <w:rsid w:val="000E6062"/>
    <w:rsid w:val="000E61CB"/>
    <w:rsid w:val="000E69B8"/>
    <w:rsid w:val="000F0207"/>
    <w:rsid w:val="000F028C"/>
    <w:rsid w:val="000F193E"/>
    <w:rsid w:val="000F19CF"/>
    <w:rsid w:val="000F3E31"/>
    <w:rsid w:val="000F3EBF"/>
    <w:rsid w:val="000F419D"/>
    <w:rsid w:val="00101E94"/>
    <w:rsid w:val="00102336"/>
    <w:rsid w:val="001028DD"/>
    <w:rsid w:val="0010369C"/>
    <w:rsid w:val="00103846"/>
    <w:rsid w:val="00103F1E"/>
    <w:rsid w:val="0010462A"/>
    <w:rsid w:val="00105861"/>
    <w:rsid w:val="0010601C"/>
    <w:rsid w:val="00111CD4"/>
    <w:rsid w:val="00114D86"/>
    <w:rsid w:val="00115480"/>
    <w:rsid w:val="00115824"/>
    <w:rsid w:val="00121C2C"/>
    <w:rsid w:val="00121FC2"/>
    <w:rsid w:val="00124F57"/>
    <w:rsid w:val="00125DA6"/>
    <w:rsid w:val="001268FF"/>
    <w:rsid w:val="00127331"/>
    <w:rsid w:val="001350AC"/>
    <w:rsid w:val="00140D70"/>
    <w:rsid w:val="00144A6A"/>
    <w:rsid w:val="0014753E"/>
    <w:rsid w:val="001476A9"/>
    <w:rsid w:val="001500DA"/>
    <w:rsid w:val="00150833"/>
    <w:rsid w:val="001509D6"/>
    <w:rsid w:val="0015394D"/>
    <w:rsid w:val="001542E2"/>
    <w:rsid w:val="001556B0"/>
    <w:rsid w:val="00156070"/>
    <w:rsid w:val="00156CC2"/>
    <w:rsid w:val="00160F13"/>
    <w:rsid w:val="0016633D"/>
    <w:rsid w:val="0016789C"/>
    <w:rsid w:val="00173525"/>
    <w:rsid w:val="001806DF"/>
    <w:rsid w:val="001811C7"/>
    <w:rsid w:val="00182EFC"/>
    <w:rsid w:val="001872E1"/>
    <w:rsid w:val="00191252"/>
    <w:rsid w:val="00191640"/>
    <w:rsid w:val="00193191"/>
    <w:rsid w:val="00194E2B"/>
    <w:rsid w:val="0019578B"/>
    <w:rsid w:val="00195877"/>
    <w:rsid w:val="00195DD5"/>
    <w:rsid w:val="001966D6"/>
    <w:rsid w:val="00197089"/>
    <w:rsid w:val="001A2C63"/>
    <w:rsid w:val="001A3202"/>
    <w:rsid w:val="001A5925"/>
    <w:rsid w:val="001A6F85"/>
    <w:rsid w:val="001B02C7"/>
    <w:rsid w:val="001B0EA3"/>
    <w:rsid w:val="001B2319"/>
    <w:rsid w:val="001B461A"/>
    <w:rsid w:val="001B4687"/>
    <w:rsid w:val="001B4B08"/>
    <w:rsid w:val="001C0CE1"/>
    <w:rsid w:val="001C3A5F"/>
    <w:rsid w:val="001C3B2A"/>
    <w:rsid w:val="001C3D0B"/>
    <w:rsid w:val="001C45A5"/>
    <w:rsid w:val="001C49D5"/>
    <w:rsid w:val="001C60BB"/>
    <w:rsid w:val="001C767E"/>
    <w:rsid w:val="001D0260"/>
    <w:rsid w:val="001D371B"/>
    <w:rsid w:val="001D397D"/>
    <w:rsid w:val="001D3F58"/>
    <w:rsid w:val="001D4624"/>
    <w:rsid w:val="001D6D63"/>
    <w:rsid w:val="001D732E"/>
    <w:rsid w:val="001D7FB0"/>
    <w:rsid w:val="001E2766"/>
    <w:rsid w:val="001E2F78"/>
    <w:rsid w:val="001E3924"/>
    <w:rsid w:val="001E5D58"/>
    <w:rsid w:val="001F2AD8"/>
    <w:rsid w:val="001F4176"/>
    <w:rsid w:val="001F454F"/>
    <w:rsid w:val="002000EA"/>
    <w:rsid w:val="00205FDA"/>
    <w:rsid w:val="00206AE4"/>
    <w:rsid w:val="00206B87"/>
    <w:rsid w:val="00210C67"/>
    <w:rsid w:val="00211AF0"/>
    <w:rsid w:val="002123E0"/>
    <w:rsid w:val="00214F67"/>
    <w:rsid w:val="00221D89"/>
    <w:rsid w:val="00221ED9"/>
    <w:rsid w:val="002223F0"/>
    <w:rsid w:val="002233EE"/>
    <w:rsid w:val="002234DB"/>
    <w:rsid w:val="002335A4"/>
    <w:rsid w:val="00233757"/>
    <w:rsid w:val="00235151"/>
    <w:rsid w:val="002366A8"/>
    <w:rsid w:val="00237F5E"/>
    <w:rsid w:val="00240830"/>
    <w:rsid w:val="00247582"/>
    <w:rsid w:val="00247D68"/>
    <w:rsid w:val="00250BCB"/>
    <w:rsid w:val="00252F4F"/>
    <w:rsid w:val="00253D6B"/>
    <w:rsid w:val="00253DE1"/>
    <w:rsid w:val="00253EB8"/>
    <w:rsid w:val="0025416E"/>
    <w:rsid w:val="0025515C"/>
    <w:rsid w:val="00257EAD"/>
    <w:rsid w:val="00260D79"/>
    <w:rsid w:val="00265742"/>
    <w:rsid w:val="00267A39"/>
    <w:rsid w:val="00270506"/>
    <w:rsid w:val="00270E92"/>
    <w:rsid w:val="0027105A"/>
    <w:rsid w:val="00271092"/>
    <w:rsid w:val="002727B6"/>
    <w:rsid w:val="00275256"/>
    <w:rsid w:val="0027627A"/>
    <w:rsid w:val="0028140D"/>
    <w:rsid w:val="00282678"/>
    <w:rsid w:val="00282B1B"/>
    <w:rsid w:val="00283CB9"/>
    <w:rsid w:val="00285BBD"/>
    <w:rsid w:val="002863FB"/>
    <w:rsid w:val="002906B5"/>
    <w:rsid w:val="002910FD"/>
    <w:rsid w:val="00292ABF"/>
    <w:rsid w:val="002A044A"/>
    <w:rsid w:val="002A0C64"/>
    <w:rsid w:val="002A1490"/>
    <w:rsid w:val="002A2FF2"/>
    <w:rsid w:val="002A30F9"/>
    <w:rsid w:val="002A31AA"/>
    <w:rsid w:val="002A3EFE"/>
    <w:rsid w:val="002A43FD"/>
    <w:rsid w:val="002A5693"/>
    <w:rsid w:val="002A69D8"/>
    <w:rsid w:val="002A7541"/>
    <w:rsid w:val="002B0CF3"/>
    <w:rsid w:val="002B0EE2"/>
    <w:rsid w:val="002B20C6"/>
    <w:rsid w:val="002B4502"/>
    <w:rsid w:val="002B55E2"/>
    <w:rsid w:val="002B5C2E"/>
    <w:rsid w:val="002B5DD1"/>
    <w:rsid w:val="002B68B4"/>
    <w:rsid w:val="002C1FF2"/>
    <w:rsid w:val="002C6400"/>
    <w:rsid w:val="002D0A97"/>
    <w:rsid w:val="002D0E05"/>
    <w:rsid w:val="002D25AE"/>
    <w:rsid w:val="002D2E48"/>
    <w:rsid w:val="002D67CA"/>
    <w:rsid w:val="002D7225"/>
    <w:rsid w:val="002D7E16"/>
    <w:rsid w:val="002D7EDC"/>
    <w:rsid w:val="002E2549"/>
    <w:rsid w:val="002F010E"/>
    <w:rsid w:val="002F04BD"/>
    <w:rsid w:val="002F2686"/>
    <w:rsid w:val="002F26DB"/>
    <w:rsid w:val="002F58A9"/>
    <w:rsid w:val="00301EB1"/>
    <w:rsid w:val="003104D4"/>
    <w:rsid w:val="00320421"/>
    <w:rsid w:val="00321736"/>
    <w:rsid w:val="00321A0A"/>
    <w:rsid w:val="003237C2"/>
    <w:rsid w:val="00323C0F"/>
    <w:rsid w:val="00324872"/>
    <w:rsid w:val="00326000"/>
    <w:rsid w:val="00330B12"/>
    <w:rsid w:val="00331F43"/>
    <w:rsid w:val="00332C9C"/>
    <w:rsid w:val="00340758"/>
    <w:rsid w:val="00343BE3"/>
    <w:rsid w:val="00346588"/>
    <w:rsid w:val="00351CEE"/>
    <w:rsid w:val="00352707"/>
    <w:rsid w:val="00354370"/>
    <w:rsid w:val="00360241"/>
    <w:rsid w:val="00360DBE"/>
    <w:rsid w:val="00361138"/>
    <w:rsid w:val="0036191F"/>
    <w:rsid w:val="00362E8D"/>
    <w:rsid w:val="00363933"/>
    <w:rsid w:val="003709CF"/>
    <w:rsid w:val="003726A7"/>
    <w:rsid w:val="00373A93"/>
    <w:rsid w:val="00374E3F"/>
    <w:rsid w:val="0037528F"/>
    <w:rsid w:val="00376448"/>
    <w:rsid w:val="00377123"/>
    <w:rsid w:val="0037742E"/>
    <w:rsid w:val="00377F67"/>
    <w:rsid w:val="0038018B"/>
    <w:rsid w:val="003845F4"/>
    <w:rsid w:val="00391A34"/>
    <w:rsid w:val="00393AC9"/>
    <w:rsid w:val="00395290"/>
    <w:rsid w:val="003976FA"/>
    <w:rsid w:val="00397F71"/>
    <w:rsid w:val="003A062C"/>
    <w:rsid w:val="003A0900"/>
    <w:rsid w:val="003A0C64"/>
    <w:rsid w:val="003A1087"/>
    <w:rsid w:val="003A231A"/>
    <w:rsid w:val="003A254F"/>
    <w:rsid w:val="003A72AD"/>
    <w:rsid w:val="003B0D1C"/>
    <w:rsid w:val="003B1632"/>
    <w:rsid w:val="003B2AA0"/>
    <w:rsid w:val="003B2F82"/>
    <w:rsid w:val="003B548F"/>
    <w:rsid w:val="003B5770"/>
    <w:rsid w:val="003B673C"/>
    <w:rsid w:val="003C1212"/>
    <w:rsid w:val="003C1F7E"/>
    <w:rsid w:val="003C30C5"/>
    <w:rsid w:val="003C486D"/>
    <w:rsid w:val="003C690F"/>
    <w:rsid w:val="003D5F86"/>
    <w:rsid w:val="003D6820"/>
    <w:rsid w:val="003D71A7"/>
    <w:rsid w:val="003E07FF"/>
    <w:rsid w:val="003E1B12"/>
    <w:rsid w:val="003E3DD4"/>
    <w:rsid w:val="003E4291"/>
    <w:rsid w:val="003E4730"/>
    <w:rsid w:val="00401A0A"/>
    <w:rsid w:val="004035D4"/>
    <w:rsid w:val="00403AB1"/>
    <w:rsid w:val="004115CB"/>
    <w:rsid w:val="00413668"/>
    <w:rsid w:val="00415542"/>
    <w:rsid w:val="004165CE"/>
    <w:rsid w:val="00416F0E"/>
    <w:rsid w:val="00420EAF"/>
    <w:rsid w:val="0042338F"/>
    <w:rsid w:val="0042702D"/>
    <w:rsid w:val="00427C67"/>
    <w:rsid w:val="00432402"/>
    <w:rsid w:val="00432B07"/>
    <w:rsid w:val="0043356A"/>
    <w:rsid w:val="00434BA9"/>
    <w:rsid w:val="00436564"/>
    <w:rsid w:val="004366D0"/>
    <w:rsid w:val="00437523"/>
    <w:rsid w:val="00437BAE"/>
    <w:rsid w:val="00442B45"/>
    <w:rsid w:val="00443F94"/>
    <w:rsid w:val="00444D32"/>
    <w:rsid w:val="0044562C"/>
    <w:rsid w:val="00445804"/>
    <w:rsid w:val="00445F69"/>
    <w:rsid w:val="004477F8"/>
    <w:rsid w:val="00450A15"/>
    <w:rsid w:val="00455532"/>
    <w:rsid w:val="00456EDB"/>
    <w:rsid w:val="004572CF"/>
    <w:rsid w:val="00457763"/>
    <w:rsid w:val="004613BC"/>
    <w:rsid w:val="004636BB"/>
    <w:rsid w:val="00464F33"/>
    <w:rsid w:val="00466896"/>
    <w:rsid w:val="0047155F"/>
    <w:rsid w:val="00471B5A"/>
    <w:rsid w:val="00474734"/>
    <w:rsid w:val="004760EB"/>
    <w:rsid w:val="00477F76"/>
    <w:rsid w:val="0048252C"/>
    <w:rsid w:val="00482F20"/>
    <w:rsid w:val="00487E1D"/>
    <w:rsid w:val="00492591"/>
    <w:rsid w:val="00495B00"/>
    <w:rsid w:val="0049626A"/>
    <w:rsid w:val="004A09F8"/>
    <w:rsid w:val="004A0E7A"/>
    <w:rsid w:val="004A45B3"/>
    <w:rsid w:val="004A523F"/>
    <w:rsid w:val="004A5F0B"/>
    <w:rsid w:val="004B4ECB"/>
    <w:rsid w:val="004B5327"/>
    <w:rsid w:val="004B7E1B"/>
    <w:rsid w:val="004C0456"/>
    <w:rsid w:val="004C0B35"/>
    <w:rsid w:val="004C1CE8"/>
    <w:rsid w:val="004C260D"/>
    <w:rsid w:val="004C2F80"/>
    <w:rsid w:val="004C4017"/>
    <w:rsid w:val="004C45DC"/>
    <w:rsid w:val="004C5B27"/>
    <w:rsid w:val="004C6BDA"/>
    <w:rsid w:val="004C6E7B"/>
    <w:rsid w:val="004D028D"/>
    <w:rsid w:val="004D1943"/>
    <w:rsid w:val="004D23CB"/>
    <w:rsid w:val="004D26CE"/>
    <w:rsid w:val="004D3506"/>
    <w:rsid w:val="004D4047"/>
    <w:rsid w:val="004D408D"/>
    <w:rsid w:val="004E0A2C"/>
    <w:rsid w:val="004E33F8"/>
    <w:rsid w:val="004E3DA1"/>
    <w:rsid w:val="004E442A"/>
    <w:rsid w:val="004E78BC"/>
    <w:rsid w:val="004F2585"/>
    <w:rsid w:val="004F5454"/>
    <w:rsid w:val="00500AC9"/>
    <w:rsid w:val="00500B50"/>
    <w:rsid w:val="00501196"/>
    <w:rsid w:val="00501678"/>
    <w:rsid w:val="00503E07"/>
    <w:rsid w:val="0050468F"/>
    <w:rsid w:val="005054F1"/>
    <w:rsid w:val="0050594A"/>
    <w:rsid w:val="00512D91"/>
    <w:rsid w:val="00516C53"/>
    <w:rsid w:val="00517F71"/>
    <w:rsid w:val="005203DA"/>
    <w:rsid w:val="00521C55"/>
    <w:rsid w:val="0052373F"/>
    <w:rsid w:val="00523781"/>
    <w:rsid w:val="00525D96"/>
    <w:rsid w:val="00527C28"/>
    <w:rsid w:val="005313CC"/>
    <w:rsid w:val="0053558E"/>
    <w:rsid w:val="005361F6"/>
    <w:rsid w:val="005378AF"/>
    <w:rsid w:val="00537B09"/>
    <w:rsid w:val="00537EDA"/>
    <w:rsid w:val="0054155B"/>
    <w:rsid w:val="005448B9"/>
    <w:rsid w:val="0054728A"/>
    <w:rsid w:val="005474C9"/>
    <w:rsid w:val="00550400"/>
    <w:rsid w:val="00552E01"/>
    <w:rsid w:val="00553413"/>
    <w:rsid w:val="00557F98"/>
    <w:rsid w:val="00560E05"/>
    <w:rsid w:val="00564222"/>
    <w:rsid w:val="0056437B"/>
    <w:rsid w:val="00571576"/>
    <w:rsid w:val="0057189F"/>
    <w:rsid w:val="0057199C"/>
    <w:rsid w:val="00575EDA"/>
    <w:rsid w:val="0057670A"/>
    <w:rsid w:val="005822CA"/>
    <w:rsid w:val="00582E33"/>
    <w:rsid w:val="0058364B"/>
    <w:rsid w:val="00583E99"/>
    <w:rsid w:val="00584283"/>
    <w:rsid w:val="00585FC9"/>
    <w:rsid w:val="00590196"/>
    <w:rsid w:val="00594B77"/>
    <w:rsid w:val="005955FA"/>
    <w:rsid w:val="005974B9"/>
    <w:rsid w:val="005A0A86"/>
    <w:rsid w:val="005A1049"/>
    <w:rsid w:val="005A3041"/>
    <w:rsid w:val="005A4F7C"/>
    <w:rsid w:val="005A566C"/>
    <w:rsid w:val="005A671A"/>
    <w:rsid w:val="005A7075"/>
    <w:rsid w:val="005A7FFD"/>
    <w:rsid w:val="005B2C7E"/>
    <w:rsid w:val="005B356A"/>
    <w:rsid w:val="005B3B44"/>
    <w:rsid w:val="005B3BE3"/>
    <w:rsid w:val="005C0147"/>
    <w:rsid w:val="005C0386"/>
    <w:rsid w:val="005C0801"/>
    <w:rsid w:val="005D0152"/>
    <w:rsid w:val="005D1BF5"/>
    <w:rsid w:val="005D3E6A"/>
    <w:rsid w:val="005D4B91"/>
    <w:rsid w:val="005D7781"/>
    <w:rsid w:val="005E1624"/>
    <w:rsid w:val="005E5174"/>
    <w:rsid w:val="005E6D1E"/>
    <w:rsid w:val="005E6EB3"/>
    <w:rsid w:val="005E7261"/>
    <w:rsid w:val="005F03A6"/>
    <w:rsid w:val="005F390B"/>
    <w:rsid w:val="005F7340"/>
    <w:rsid w:val="00600056"/>
    <w:rsid w:val="00600273"/>
    <w:rsid w:val="00600BC1"/>
    <w:rsid w:val="00601174"/>
    <w:rsid w:val="00601D3D"/>
    <w:rsid w:val="00603A0D"/>
    <w:rsid w:val="00605274"/>
    <w:rsid w:val="00606151"/>
    <w:rsid w:val="00610472"/>
    <w:rsid w:val="00611605"/>
    <w:rsid w:val="00615094"/>
    <w:rsid w:val="006176ED"/>
    <w:rsid w:val="0061797D"/>
    <w:rsid w:val="00621543"/>
    <w:rsid w:val="00622AF5"/>
    <w:rsid w:val="00624738"/>
    <w:rsid w:val="0062556F"/>
    <w:rsid w:val="0062697E"/>
    <w:rsid w:val="00626ED1"/>
    <w:rsid w:val="00627522"/>
    <w:rsid w:val="00627C3C"/>
    <w:rsid w:val="00627EC0"/>
    <w:rsid w:val="006318D1"/>
    <w:rsid w:val="00633476"/>
    <w:rsid w:val="006336F7"/>
    <w:rsid w:val="00633A70"/>
    <w:rsid w:val="00634604"/>
    <w:rsid w:val="006355F6"/>
    <w:rsid w:val="00635897"/>
    <w:rsid w:val="006359D1"/>
    <w:rsid w:val="006371EE"/>
    <w:rsid w:val="006416F1"/>
    <w:rsid w:val="00641AD7"/>
    <w:rsid w:val="00643052"/>
    <w:rsid w:val="00645241"/>
    <w:rsid w:val="00647A11"/>
    <w:rsid w:val="006520C6"/>
    <w:rsid w:val="00653D95"/>
    <w:rsid w:val="0065495F"/>
    <w:rsid w:val="006630AE"/>
    <w:rsid w:val="006639E6"/>
    <w:rsid w:val="0066672E"/>
    <w:rsid w:val="00667CD6"/>
    <w:rsid w:val="0067187B"/>
    <w:rsid w:val="0067418A"/>
    <w:rsid w:val="00674C91"/>
    <w:rsid w:val="00681DCE"/>
    <w:rsid w:val="00681F54"/>
    <w:rsid w:val="0068399E"/>
    <w:rsid w:val="006848BB"/>
    <w:rsid w:val="0068492F"/>
    <w:rsid w:val="00685665"/>
    <w:rsid w:val="006879DB"/>
    <w:rsid w:val="00693B7D"/>
    <w:rsid w:val="00693FE7"/>
    <w:rsid w:val="006940C4"/>
    <w:rsid w:val="006A18AD"/>
    <w:rsid w:val="006A350E"/>
    <w:rsid w:val="006A4EBB"/>
    <w:rsid w:val="006A6E2E"/>
    <w:rsid w:val="006A6F67"/>
    <w:rsid w:val="006B14CE"/>
    <w:rsid w:val="006B1B23"/>
    <w:rsid w:val="006B2CF7"/>
    <w:rsid w:val="006B43DF"/>
    <w:rsid w:val="006B6050"/>
    <w:rsid w:val="006C0355"/>
    <w:rsid w:val="006C13DF"/>
    <w:rsid w:val="006C3139"/>
    <w:rsid w:val="006C59DB"/>
    <w:rsid w:val="006C5F9B"/>
    <w:rsid w:val="006D39EF"/>
    <w:rsid w:val="006E10B7"/>
    <w:rsid w:val="006E44F5"/>
    <w:rsid w:val="006F11F7"/>
    <w:rsid w:val="006F1D49"/>
    <w:rsid w:val="006F26DF"/>
    <w:rsid w:val="006F3762"/>
    <w:rsid w:val="006F4699"/>
    <w:rsid w:val="006F51C9"/>
    <w:rsid w:val="006F5A3D"/>
    <w:rsid w:val="006F5B74"/>
    <w:rsid w:val="00700049"/>
    <w:rsid w:val="00702A55"/>
    <w:rsid w:val="00702FF4"/>
    <w:rsid w:val="007036B2"/>
    <w:rsid w:val="00703E58"/>
    <w:rsid w:val="007045A4"/>
    <w:rsid w:val="00705571"/>
    <w:rsid w:val="00707EA1"/>
    <w:rsid w:val="0071043A"/>
    <w:rsid w:val="00712383"/>
    <w:rsid w:val="00712621"/>
    <w:rsid w:val="00715E73"/>
    <w:rsid w:val="00720829"/>
    <w:rsid w:val="00720908"/>
    <w:rsid w:val="007213C6"/>
    <w:rsid w:val="00726D59"/>
    <w:rsid w:val="00726EEA"/>
    <w:rsid w:val="00727BD2"/>
    <w:rsid w:val="00731323"/>
    <w:rsid w:val="0073272A"/>
    <w:rsid w:val="007336AE"/>
    <w:rsid w:val="007346D3"/>
    <w:rsid w:val="00734DBA"/>
    <w:rsid w:val="00736F4E"/>
    <w:rsid w:val="00737E59"/>
    <w:rsid w:val="0074008A"/>
    <w:rsid w:val="0074047B"/>
    <w:rsid w:val="00740FA3"/>
    <w:rsid w:val="007413AF"/>
    <w:rsid w:val="007433D2"/>
    <w:rsid w:val="007450F4"/>
    <w:rsid w:val="00746B36"/>
    <w:rsid w:val="0074751E"/>
    <w:rsid w:val="00750666"/>
    <w:rsid w:val="00751AEB"/>
    <w:rsid w:val="00751D3A"/>
    <w:rsid w:val="0075220E"/>
    <w:rsid w:val="007529AD"/>
    <w:rsid w:val="007535F5"/>
    <w:rsid w:val="00753E79"/>
    <w:rsid w:val="00755C5E"/>
    <w:rsid w:val="007573A4"/>
    <w:rsid w:val="00760F15"/>
    <w:rsid w:val="007616D6"/>
    <w:rsid w:val="00763D13"/>
    <w:rsid w:val="0076406A"/>
    <w:rsid w:val="00764CB5"/>
    <w:rsid w:val="00771785"/>
    <w:rsid w:val="00775805"/>
    <w:rsid w:val="007766E1"/>
    <w:rsid w:val="00777FE5"/>
    <w:rsid w:val="00780733"/>
    <w:rsid w:val="00780F7D"/>
    <w:rsid w:val="00781328"/>
    <w:rsid w:val="00781E93"/>
    <w:rsid w:val="00782435"/>
    <w:rsid w:val="00782978"/>
    <w:rsid w:val="00782B3D"/>
    <w:rsid w:val="00785A1E"/>
    <w:rsid w:val="00785A38"/>
    <w:rsid w:val="007946BD"/>
    <w:rsid w:val="007A3A2D"/>
    <w:rsid w:val="007A3CBC"/>
    <w:rsid w:val="007A5F10"/>
    <w:rsid w:val="007A7CA0"/>
    <w:rsid w:val="007B2817"/>
    <w:rsid w:val="007B285D"/>
    <w:rsid w:val="007B4644"/>
    <w:rsid w:val="007B5906"/>
    <w:rsid w:val="007C3570"/>
    <w:rsid w:val="007C4B88"/>
    <w:rsid w:val="007C5F06"/>
    <w:rsid w:val="007D1258"/>
    <w:rsid w:val="007D1EA9"/>
    <w:rsid w:val="007D6D8F"/>
    <w:rsid w:val="007E13DF"/>
    <w:rsid w:val="007E23C4"/>
    <w:rsid w:val="007E3A74"/>
    <w:rsid w:val="007E47E5"/>
    <w:rsid w:val="007E637D"/>
    <w:rsid w:val="007E7DD5"/>
    <w:rsid w:val="007F25E8"/>
    <w:rsid w:val="007F6A50"/>
    <w:rsid w:val="008006B4"/>
    <w:rsid w:val="008017DC"/>
    <w:rsid w:val="00803751"/>
    <w:rsid w:val="008058BD"/>
    <w:rsid w:val="00810EE8"/>
    <w:rsid w:val="008113D1"/>
    <w:rsid w:val="00820D73"/>
    <w:rsid w:val="0082331D"/>
    <w:rsid w:val="00823D00"/>
    <w:rsid w:val="00823D86"/>
    <w:rsid w:val="00824B76"/>
    <w:rsid w:val="0082579B"/>
    <w:rsid w:val="00826414"/>
    <w:rsid w:val="00830ED5"/>
    <w:rsid w:val="00832BC9"/>
    <w:rsid w:val="00835E5B"/>
    <w:rsid w:val="00836799"/>
    <w:rsid w:val="0084123C"/>
    <w:rsid w:val="00841C68"/>
    <w:rsid w:val="00846FB1"/>
    <w:rsid w:val="00847F33"/>
    <w:rsid w:val="008510ED"/>
    <w:rsid w:val="00851FF5"/>
    <w:rsid w:val="00853876"/>
    <w:rsid w:val="00854801"/>
    <w:rsid w:val="00861AD4"/>
    <w:rsid w:val="00862D76"/>
    <w:rsid w:val="0086336C"/>
    <w:rsid w:val="00863CA1"/>
    <w:rsid w:val="00863EF9"/>
    <w:rsid w:val="00864741"/>
    <w:rsid w:val="00864C77"/>
    <w:rsid w:val="008712E7"/>
    <w:rsid w:val="00874592"/>
    <w:rsid w:val="008765F8"/>
    <w:rsid w:val="00877232"/>
    <w:rsid w:val="00880940"/>
    <w:rsid w:val="00881996"/>
    <w:rsid w:val="00883835"/>
    <w:rsid w:val="00884092"/>
    <w:rsid w:val="008840CD"/>
    <w:rsid w:val="008843F7"/>
    <w:rsid w:val="008849E9"/>
    <w:rsid w:val="00886319"/>
    <w:rsid w:val="00887107"/>
    <w:rsid w:val="00890411"/>
    <w:rsid w:val="00890E57"/>
    <w:rsid w:val="008927DE"/>
    <w:rsid w:val="00893902"/>
    <w:rsid w:val="00893B2D"/>
    <w:rsid w:val="00895577"/>
    <w:rsid w:val="008A0BB6"/>
    <w:rsid w:val="008A42CB"/>
    <w:rsid w:val="008A5B83"/>
    <w:rsid w:val="008A698E"/>
    <w:rsid w:val="008A6E81"/>
    <w:rsid w:val="008B1422"/>
    <w:rsid w:val="008B2020"/>
    <w:rsid w:val="008B24E1"/>
    <w:rsid w:val="008B2B91"/>
    <w:rsid w:val="008B3038"/>
    <w:rsid w:val="008B34F5"/>
    <w:rsid w:val="008B6CB2"/>
    <w:rsid w:val="008B7FBE"/>
    <w:rsid w:val="008C11B3"/>
    <w:rsid w:val="008C2581"/>
    <w:rsid w:val="008C3041"/>
    <w:rsid w:val="008C3E62"/>
    <w:rsid w:val="008C416E"/>
    <w:rsid w:val="008C5E32"/>
    <w:rsid w:val="008D05B5"/>
    <w:rsid w:val="008D09A5"/>
    <w:rsid w:val="008D25B2"/>
    <w:rsid w:val="008D62D3"/>
    <w:rsid w:val="008D67A4"/>
    <w:rsid w:val="008E0125"/>
    <w:rsid w:val="008E082A"/>
    <w:rsid w:val="008E1E37"/>
    <w:rsid w:val="008E2934"/>
    <w:rsid w:val="008E2A85"/>
    <w:rsid w:val="008E3879"/>
    <w:rsid w:val="008E439B"/>
    <w:rsid w:val="008E4C00"/>
    <w:rsid w:val="008E55E9"/>
    <w:rsid w:val="008E5FAA"/>
    <w:rsid w:val="008E5FEF"/>
    <w:rsid w:val="008E7CAC"/>
    <w:rsid w:val="008F018B"/>
    <w:rsid w:val="008F37A3"/>
    <w:rsid w:val="008F4E16"/>
    <w:rsid w:val="008F6EA5"/>
    <w:rsid w:val="008F6F68"/>
    <w:rsid w:val="008F721E"/>
    <w:rsid w:val="00903A07"/>
    <w:rsid w:val="009064AA"/>
    <w:rsid w:val="00916377"/>
    <w:rsid w:val="00922D98"/>
    <w:rsid w:val="00923E28"/>
    <w:rsid w:val="00930980"/>
    <w:rsid w:val="00930EC6"/>
    <w:rsid w:val="009310D5"/>
    <w:rsid w:val="00933AE1"/>
    <w:rsid w:val="00935E89"/>
    <w:rsid w:val="00937FA0"/>
    <w:rsid w:val="00942066"/>
    <w:rsid w:val="00942253"/>
    <w:rsid w:val="00943564"/>
    <w:rsid w:val="00943DE8"/>
    <w:rsid w:val="00944A98"/>
    <w:rsid w:val="00945DEC"/>
    <w:rsid w:val="00946070"/>
    <w:rsid w:val="00951B54"/>
    <w:rsid w:val="00952C67"/>
    <w:rsid w:val="00953130"/>
    <w:rsid w:val="00961654"/>
    <w:rsid w:val="009625B5"/>
    <w:rsid w:val="009638E1"/>
    <w:rsid w:val="00964505"/>
    <w:rsid w:val="00966242"/>
    <w:rsid w:val="00967918"/>
    <w:rsid w:val="00967C16"/>
    <w:rsid w:val="00970970"/>
    <w:rsid w:val="00982B4C"/>
    <w:rsid w:val="009852F3"/>
    <w:rsid w:val="0098569A"/>
    <w:rsid w:val="00986338"/>
    <w:rsid w:val="00990088"/>
    <w:rsid w:val="00990397"/>
    <w:rsid w:val="00990EA8"/>
    <w:rsid w:val="00991A74"/>
    <w:rsid w:val="009921BC"/>
    <w:rsid w:val="0099291E"/>
    <w:rsid w:val="00996DC9"/>
    <w:rsid w:val="009A1EC1"/>
    <w:rsid w:val="009A32B1"/>
    <w:rsid w:val="009A5900"/>
    <w:rsid w:val="009A6EDB"/>
    <w:rsid w:val="009A7FCD"/>
    <w:rsid w:val="009B0EA7"/>
    <w:rsid w:val="009B184C"/>
    <w:rsid w:val="009B1BC6"/>
    <w:rsid w:val="009B2022"/>
    <w:rsid w:val="009B65AA"/>
    <w:rsid w:val="009B6877"/>
    <w:rsid w:val="009B7955"/>
    <w:rsid w:val="009C06D9"/>
    <w:rsid w:val="009C0F04"/>
    <w:rsid w:val="009C10D8"/>
    <w:rsid w:val="009C3601"/>
    <w:rsid w:val="009C7E36"/>
    <w:rsid w:val="009D091D"/>
    <w:rsid w:val="009D3AEF"/>
    <w:rsid w:val="009D3B7C"/>
    <w:rsid w:val="009D5620"/>
    <w:rsid w:val="009E12F5"/>
    <w:rsid w:val="009E1323"/>
    <w:rsid w:val="009E41AC"/>
    <w:rsid w:val="009E6AC1"/>
    <w:rsid w:val="009E7209"/>
    <w:rsid w:val="009F010D"/>
    <w:rsid w:val="009F3137"/>
    <w:rsid w:val="009F3EB4"/>
    <w:rsid w:val="009F4A02"/>
    <w:rsid w:val="009F4B83"/>
    <w:rsid w:val="009F4B8D"/>
    <w:rsid w:val="009F5EC0"/>
    <w:rsid w:val="009F6B67"/>
    <w:rsid w:val="009F6C07"/>
    <w:rsid w:val="009F7842"/>
    <w:rsid w:val="009F7962"/>
    <w:rsid w:val="00A01389"/>
    <w:rsid w:val="00A01C6C"/>
    <w:rsid w:val="00A05C9C"/>
    <w:rsid w:val="00A129AE"/>
    <w:rsid w:val="00A12CCD"/>
    <w:rsid w:val="00A139F4"/>
    <w:rsid w:val="00A17128"/>
    <w:rsid w:val="00A20623"/>
    <w:rsid w:val="00A22211"/>
    <w:rsid w:val="00A22B41"/>
    <w:rsid w:val="00A23C15"/>
    <w:rsid w:val="00A24055"/>
    <w:rsid w:val="00A24212"/>
    <w:rsid w:val="00A2489A"/>
    <w:rsid w:val="00A26BDB"/>
    <w:rsid w:val="00A274CE"/>
    <w:rsid w:val="00A27F74"/>
    <w:rsid w:val="00A303FE"/>
    <w:rsid w:val="00A30DF9"/>
    <w:rsid w:val="00A349B7"/>
    <w:rsid w:val="00A357EF"/>
    <w:rsid w:val="00A372E8"/>
    <w:rsid w:val="00A45F84"/>
    <w:rsid w:val="00A51FE4"/>
    <w:rsid w:val="00A53031"/>
    <w:rsid w:val="00A54E10"/>
    <w:rsid w:val="00A605EA"/>
    <w:rsid w:val="00A624E3"/>
    <w:rsid w:val="00A628EB"/>
    <w:rsid w:val="00A63430"/>
    <w:rsid w:val="00A64CE6"/>
    <w:rsid w:val="00A72277"/>
    <w:rsid w:val="00A724F7"/>
    <w:rsid w:val="00A736B8"/>
    <w:rsid w:val="00A7419A"/>
    <w:rsid w:val="00A74FB3"/>
    <w:rsid w:val="00A76B2A"/>
    <w:rsid w:val="00A770E5"/>
    <w:rsid w:val="00A77254"/>
    <w:rsid w:val="00A778EB"/>
    <w:rsid w:val="00A8000B"/>
    <w:rsid w:val="00A80DB6"/>
    <w:rsid w:val="00A81A30"/>
    <w:rsid w:val="00A83498"/>
    <w:rsid w:val="00A83A90"/>
    <w:rsid w:val="00A85064"/>
    <w:rsid w:val="00A875B9"/>
    <w:rsid w:val="00A87DF6"/>
    <w:rsid w:val="00A91037"/>
    <w:rsid w:val="00A91089"/>
    <w:rsid w:val="00A931A5"/>
    <w:rsid w:val="00A939E9"/>
    <w:rsid w:val="00A97768"/>
    <w:rsid w:val="00AA1948"/>
    <w:rsid w:val="00AA29DA"/>
    <w:rsid w:val="00AA3DCB"/>
    <w:rsid w:val="00AA6E9E"/>
    <w:rsid w:val="00AB2A26"/>
    <w:rsid w:val="00AB32CF"/>
    <w:rsid w:val="00AB6115"/>
    <w:rsid w:val="00AB645B"/>
    <w:rsid w:val="00AC0F9E"/>
    <w:rsid w:val="00AC2EE0"/>
    <w:rsid w:val="00AC36C0"/>
    <w:rsid w:val="00AC5D83"/>
    <w:rsid w:val="00AC6F01"/>
    <w:rsid w:val="00AD18F5"/>
    <w:rsid w:val="00AD2937"/>
    <w:rsid w:val="00AD342F"/>
    <w:rsid w:val="00AD3E5F"/>
    <w:rsid w:val="00AD567C"/>
    <w:rsid w:val="00AE243B"/>
    <w:rsid w:val="00AE4ABB"/>
    <w:rsid w:val="00AE5958"/>
    <w:rsid w:val="00AE744F"/>
    <w:rsid w:val="00AF0A42"/>
    <w:rsid w:val="00AF4587"/>
    <w:rsid w:val="00AF4C4D"/>
    <w:rsid w:val="00AF5759"/>
    <w:rsid w:val="00AF5A55"/>
    <w:rsid w:val="00AF66A0"/>
    <w:rsid w:val="00AF7A49"/>
    <w:rsid w:val="00AF7C4F"/>
    <w:rsid w:val="00B0122B"/>
    <w:rsid w:val="00B01445"/>
    <w:rsid w:val="00B02780"/>
    <w:rsid w:val="00B06CA8"/>
    <w:rsid w:val="00B12F8A"/>
    <w:rsid w:val="00B12FFC"/>
    <w:rsid w:val="00B130D6"/>
    <w:rsid w:val="00B1449F"/>
    <w:rsid w:val="00B14AF3"/>
    <w:rsid w:val="00B150B7"/>
    <w:rsid w:val="00B15534"/>
    <w:rsid w:val="00B2064D"/>
    <w:rsid w:val="00B22D0A"/>
    <w:rsid w:val="00B22DBC"/>
    <w:rsid w:val="00B23F77"/>
    <w:rsid w:val="00B302F8"/>
    <w:rsid w:val="00B33735"/>
    <w:rsid w:val="00B3379C"/>
    <w:rsid w:val="00B3723F"/>
    <w:rsid w:val="00B3783B"/>
    <w:rsid w:val="00B41F7C"/>
    <w:rsid w:val="00B42107"/>
    <w:rsid w:val="00B42477"/>
    <w:rsid w:val="00B43D3D"/>
    <w:rsid w:val="00B46D42"/>
    <w:rsid w:val="00B52792"/>
    <w:rsid w:val="00B53D47"/>
    <w:rsid w:val="00B56482"/>
    <w:rsid w:val="00B577A2"/>
    <w:rsid w:val="00B61320"/>
    <w:rsid w:val="00B626B6"/>
    <w:rsid w:val="00B663EB"/>
    <w:rsid w:val="00B66A48"/>
    <w:rsid w:val="00B67E05"/>
    <w:rsid w:val="00B70876"/>
    <w:rsid w:val="00B711AF"/>
    <w:rsid w:val="00B71722"/>
    <w:rsid w:val="00B7246D"/>
    <w:rsid w:val="00B806C7"/>
    <w:rsid w:val="00B841AC"/>
    <w:rsid w:val="00B85F12"/>
    <w:rsid w:val="00B92AF9"/>
    <w:rsid w:val="00B971FD"/>
    <w:rsid w:val="00BA41E3"/>
    <w:rsid w:val="00BA558C"/>
    <w:rsid w:val="00BB1759"/>
    <w:rsid w:val="00BB3DBD"/>
    <w:rsid w:val="00BB5243"/>
    <w:rsid w:val="00BC371B"/>
    <w:rsid w:val="00BC44DC"/>
    <w:rsid w:val="00BC70CD"/>
    <w:rsid w:val="00BC7403"/>
    <w:rsid w:val="00BD0160"/>
    <w:rsid w:val="00BD2DD6"/>
    <w:rsid w:val="00BD46CB"/>
    <w:rsid w:val="00BD5605"/>
    <w:rsid w:val="00BD57FF"/>
    <w:rsid w:val="00BD6457"/>
    <w:rsid w:val="00BD74D0"/>
    <w:rsid w:val="00BE5DF8"/>
    <w:rsid w:val="00BF0655"/>
    <w:rsid w:val="00BF52CF"/>
    <w:rsid w:val="00BF5977"/>
    <w:rsid w:val="00C03D04"/>
    <w:rsid w:val="00C04591"/>
    <w:rsid w:val="00C053AD"/>
    <w:rsid w:val="00C07BCF"/>
    <w:rsid w:val="00C10522"/>
    <w:rsid w:val="00C12796"/>
    <w:rsid w:val="00C1691B"/>
    <w:rsid w:val="00C16A64"/>
    <w:rsid w:val="00C22CB0"/>
    <w:rsid w:val="00C248D2"/>
    <w:rsid w:val="00C24D6E"/>
    <w:rsid w:val="00C25883"/>
    <w:rsid w:val="00C2596E"/>
    <w:rsid w:val="00C25E90"/>
    <w:rsid w:val="00C263E9"/>
    <w:rsid w:val="00C34412"/>
    <w:rsid w:val="00C377D0"/>
    <w:rsid w:val="00C409E2"/>
    <w:rsid w:val="00C4202B"/>
    <w:rsid w:val="00C4523C"/>
    <w:rsid w:val="00C4581F"/>
    <w:rsid w:val="00C45CFB"/>
    <w:rsid w:val="00C462FA"/>
    <w:rsid w:val="00C52BA3"/>
    <w:rsid w:val="00C53992"/>
    <w:rsid w:val="00C54D3A"/>
    <w:rsid w:val="00C57B2F"/>
    <w:rsid w:val="00C601D7"/>
    <w:rsid w:val="00C60ADB"/>
    <w:rsid w:val="00C62E72"/>
    <w:rsid w:val="00C64928"/>
    <w:rsid w:val="00C670A0"/>
    <w:rsid w:val="00C67B0C"/>
    <w:rsid w:val="00C75490"/>
    <w:rsid w:val="00C76275"/>
    <w:rsid w:val="00C76323"/>
    <w:rsid w:val="00C80C39"/>
    <w:rsid w:val="00C81100"/>
    <w:rsid w:val="00C81BA8"/>
    <w:rsid w:val="00C842AC"/>
    <w:rsid w:val="00C84DD4"/>
    <w:rsid w:val="00C94432"/>
    <w:rsid w:val="00C94BC9"/>
    <w:rsid w:val="00C95E65"/>
    <w:rsid w:val="00CA1AD2"/>
    <w:rsid w:val="00CA30BF"/>
    <w:rsid w:val="00CA4087"/>
    <w:rsid w:val="00CA5B95"/>
    <w:rsid w:val="00CA6976"/>
    <w:rsid w:val="00CB1353"/>
    <w:rsid w:val="00CB1731"/>
    <w:rsid w:val="00CB1F24"/>
    <w:rsid w:val="00CB36E0"/>
    <w:rsid w:val="00CB5AB4"/>
    <w:rsid w:val="00CC29FA"/>
    <w:rsid w:val="00CC30ED"/>
    <w:rsid w:val="00CC5366"/>
    <w:rsid w:val="00CE466C"/>
    <w:rsid w:val="00CE62D9"/>
    <w:rsid w:val="00CE652B"/>
    <w:rsid w:val="00CE6539"/>
    <w:rsid w:val="00CF0645"/>
    <w:rsid w:val="00CF3659"/>
    <w:rsid w:val="00CF3ADE"/>
    <w:rsid w:val="00CF3ECA"/>
    <w:rsid w:val="00D0232A"/>
    <w:rsid w:val="00D0298B"/>
    <w:rsid w:val="00D02E8A"/>
    <w:rsid w:val="00D03C18"/>
    <w:rsid w:val="00D04199"/>
    <w:rsid w:val="00D049D1"/>
    <w:rsid w:val="00D04BEF"/>
    <w:rsid w:val="00D0647B"/>
    <w:rsid w:val="00D0717C"/>
    <w:rsid w:val="00D110F7"/>
    <w:rsid w:val="00D130BD"/>
    <w:rsid w:val="00D14028"/>
    <w:rsid w:val="00D155D1"/>
    <w:rsid w:val="00D155EB"/>
    <w:rsid w:val="00D175DF"/>
    <w:rsid w:val="00D20FB8"/>
    <w:rsid w:val="00D21A48"/>
    <w:rsid w:val="00D21DEA"/>
    <w:rsid w:val="00D22391"/>
    <w:rsid w:val="00D23577"/>
    <w:rsid w:val="00D23E80"/>
    <w:rsid w:val="00D27692"/>
    <w:rsid w:val="00D27D70"/>
    <w:rsid w:val="00D33422"/>
    <w:rsid w:val="00D34CD0"/>
    <w:rsid w:val="00D36B7B"/>
    <w:rsid w:val="00D36FAA"/>
    <w:rsid w:val="00D378B5"/>
    <w:rsid w:val="00D40D12"/>
    <w:rsid w:val="00D416FD"/>
    <w:rsid w:val="00D467DA"/>
    <w:rsid w:val="00D50797"/>
    <w:rsid w:val="00D50837"/>
    <w:rsid w:val="00D51259"/>
    <w:rsid w:val="00D52B6B"/>
    <w:rsid w:val="00D54E78"/>
    <w:rsid w:val="00D567C4"/>
    <w:rsid w:val="00D56DE0"/>
    <w:rsid w:val="00D624B1"/>
    <w:rsid w:val="00D62AB7"/>
    <w:rsid w:val="00D66AB4"/>
    <w:rsid w:val="00D7203A"/>
    <w:rsid w:val="00D73267"/>
    <w:rsid w:val="00D73D7C"/>
    <w:rsid w:val="00D75F54"/>
    <w:rsid w:val="00D76D73"/>
    <w:rsid w:val="00D7772F"/>
    <w:rsid w:val="00D86512"/>
    <w:rsid w:val="00D87505"/>
    <w:rsid w:val="00D9112B"/>
    <w:rsid w:val="00D91480"/>
    <w:rsid w:val="00D91F79"/>
    <w:rsid w:val="00D92B5A"/>
    <w:rsid w:val="00D9392E"/>
    <w:rsid w:val="00D93B06"/>
    <w:rsid w:val="00D94608"/>
    <w:rsid w:val="00D95753"/>
    <w:rsid w:val="00D95CFC"/>
    <w:rsid w:val="00D972DA"/>
    <w:rsid w:val="00DA0712"/>
    <w:rsid w:val="00DA4348"/>
    <w:rsid w:val="00DA46ED"/>
    <w:rsid w:val="00DA7E41"/>
    <w:rsid w:val="00DB0092"/>
    <w:rsid w:val="00DB0C08"/>
    <w:rsid w:val="00DB333B"/>
    <w:rsid w:val="00DB6FFD"/>
    <w:rsid w:val="00DC0431"/>
    <w:rsid w:val="00DE073E"/>
    <w:rsid w:val="00DE0A69"/>
    <w:rsid w:val="00DE1462"/>
    <w:rsid w:val="00DE20C1"/>
    <w:rsid w:val="00DE3A4D"/>
    <w:rsid w:val="00DE5230"/>
    <w:rsid w:val="00DF342E"/>
    <w:rsid w:val="00DF534E"/>
    <w:rsid w:val="00E00B56"/>
    <w:rsid w:val="00E01E5F"/>
    <w:rsid w:val="00E03BBF"/>
    <w:rsid w:val="00E046FE"/>
    <w:rsid w:val="00E058B7"/>
    <w:rsid w:val="00E07611"/>
    <w:rsid w:val="00E135E9"/>
    <w:rsid w:val="00E137A2"/>
    <w:rsid w:val="00E15B2E"/>
    <w:rsid w:val="00E15CBD"/>
    <w:rsid w:val="00E2175A"/>
    <w:rsid w:val="00E22C7A"/>
    <w:rsid w:val="00E261E4"/>
    <w:rsid w:val="00E27131"/>
    <w:rsid w:val="00E32301"/>
    <w:rsid w:val="00E33C40"/>
    <w:rsid w:val="00E355ED"/>
    <w:rsid w:val="00E40EA9"/>
    <w:rsid w:val="00E42A8D"/>
    <w:rsid w:val="00E42CB9"/>
    <w:rsid w:val="00E46419"/>
    <w:rsid w:val="00E50C8B"/>
    <w:rsid w:val="00E52425"/>
    <w:rsid w:val="00E545BD"/>
    <w:rsid w:val="00E55A8E"/>
    <w:rsid w:val="00E60868"/>
    <w:rsid w:val="00E60B2B"/>
    <w:rsid w:val="00E60CC6"/>
    <w:rsid w:val="00E62497"/>
    <w:rsid w:val="00E62711"/>
    <w:rsid w:val="00E62BBF"/>
    <w:rsid w:val="00E66BCA"/>
    <w:rsid w:val="00E66FE5"/>
    <w:rsid w:val="00E6781F"/>
    <w:rsid w:val="00E71293"/>
    <w:rsid w:val="00E723A9"/>
    <w:rsid w:val="00E74EDC"/>
    <w:rsid w:val="00E76D8B"/>
    <w:rsid w:val="00E8024B"/>
    <w:rsid w:val="00E815DE"/>
    <w:rsid w:val="00E83BB8"/>
    <w:rsid w:val="00E86525"/>
    <w:rsid w:val="00E87554"/>
    <w:rsid w:val="00E91500"/>
    <w:rsid w:val="00E94950"/>
    <w:rsid w:val="00EA1156"/>
    <w:rsid w:val="00EA7371"/>
    <w:rsid w:val="00EA7FDB"/>
    <w:rsid w:val="00EB37D7"/>
    <w:rsid w:val="00EB3C56"/>
    <w:rsid w:val="00EB4463"/>
    <w:rsid w:val="00EB4A60"/>
    <w:rsid w:val="00EB4CB9"/>
    <w:rsid w:val="00EB7960"/>
    <w:rsid w:val="00EC1405"/>
    <w:rsid w:val="00EC54E5"/>
    <w:rsid w:val="00ED1723"/>
    <w:rsid w:val="00ED1D74"/>
    <w:rsid w:val="00ED2239"/>
    <w:rsid w:val="00ED22BE"/>
    <w:rsid w:val="00ED2A0D"/>
    <w:rsid w:val="00ED4137"/>
    <w:rsid w:val="00ED428E"/>
    <w:rsid w:val="00ED7122"/>
    <w:rsid w:val="00ED72CC"/>
    <w:rsid w:val="00ED7947"/>
    <w:rsid w:val="00EE019F"/>
    <w:rsid w:val="00EE1AD4"/>
    <w:rsid w:val="00EE28C9"/>
    <w:rsid w:val="00EE77D8"/>
    <w:rsid w:val="00EF2BCE"/>
    <w:rsid w:val="00EF7AEB"/>
    <w:rsid w:val="00F05E4F"/>
    <w:rsid w:val="00F06B9D"/>
    <w:rsid w:val="00F07AB0"/>
    <w:rsid w:val="00F13432"/>
    <w:rsid w:val="00F136A1"/>
    <w:rsid w:val="00F1627B"/>
    <w:rsid w:val="00F1643A"/>
    <w:rsid w:val="00F22C03"/>
    <w:rsid w:val="00F22D17"/>
    <w:rsid w:val="00F237F6"/>
    <w:rsid w:val="00F25693"/>
    <w:rsid w:val="00F2617A"/>
    <w:rsid w:val="00F278E8"/>
    <w:rsid w:val="00F30C54"/>
    <w:rsid w:val="00F31737"/>
    <w:rsid w:val="00F35535"/>
    <w:rsid w:val="00F3584F"/>
    <w:rsid w:val="00F4220B"/>
    <w:rsid w:val="00F429BD"/>
    <w:rsid w:val="00F43C81"/>
    <w:rsid w:val="00F449B5"/>
    <w:rsid w:val="00F46871"/>
    <w:rsid w:val="00F501A1"/>
    <w:rsid w:val="00F50A7D"/>
    <w:rsid w:val="00F50CFC"/>
    <w:rsid w:val="00F51360"/>
    <w:rsid w:val="00F52BF9"/>
    <w:rsid w:val="00F52D7F"/>
    <w:rsid w:val="00F538EA"/>
    <w:rsid w:val="00F53C32"/>
    <w:rsid w:val="00F551AA"/>
    <w:rsid w:val="00F55849"/>
    <w:rsid w:val="00F56EE0"/>
    <w:rsid w:val="00F61C0F"/>
    <w:rsid w:val="00F62DAE"/>
    <w:rsid w:val="00F641F4"/>
    <w:rsid w:val="00F67738"/>
    <w:rsid w:val="00F7235D"/>
    <w:rsid w:val="00F750AB"/>
    <w:rsid w:val="00F76976"/>
    <w:rsid w:val="00F8104D"/>
    <w:rsid w:val="00F819A0"/>
    <w:rsid w:val="00F81EA3"/>
    <w:rsid w:val="00F82933"/>
    <w:rsid w:val="00F82C4B"/>
    <w:rsid w:val="00F85234"/>
    <w:rsid w:val="00F85D5D"/>
    <w:rsid w:val="00F873A7"/>
    <w:rsid w:val="00F87B69"/>
    <w:rsid w:val="00F90D3B"/>
    <w:rsid w:val="00F93D69"/>
    <w:rsid w:val="00F944FE"/>
    <w:rsid w:val="00F94EDF"/>
    <w:rsid w:val="00FA0EF2"/>
    <w:rsid w:val="00FA1DC6"/>
    <w:rsid w:val="00FA20CB"/>
    <w:rsid w:val="00FA7050"/>
    <w:rsid w:val="00FB2C7E"/>
    <w:rsid w:val="00FB7026"/>
    <w:rsid w:val="00FB717E"/>
    <w:rsid w:val="00FB7349"/>
    <w:rsid w:val="00FB7403"/>
    <w:rsid w:val="00FB7A58"/>
    <w:rsid w:val="00FC18A3"/>
    <w:rsid w:val="00FC48CF"/>
    <w:rsid w:val="00FC56D8"/>
    <w:rsid w:val="00FC5C0D"/>
    <w:rsid w:val="00FD19BA"/>
    <w:rsid w:val="00FD32E9"/>
    <w:rsid w:val="00FE004D"/>
    <w:rsid w:val="00FE1491"/>
    <w:rsid w:val="00FE1D1E"/>
    <w:rsid w:val="00FE3BCA"/>
    <w:rsid w:val="00FE7292"/>
    <w:rsid w:val="00FF4F04"/>
    <w:rsid w:val="00FF53E9"/>
    <w:rsid w:val="00FF7A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F750A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F750AB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F750AB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F750AB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A45F84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43356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unhideWhenUsed/>
    <w:rsid w:val="0038018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38018B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8018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8018B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267A39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67A39"/>
    <w:rPr>
      <w:b/>
      <w:bCs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E3A74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E3A74"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7E3A74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B150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C55F4-D0C5-443C-9556-587C371A8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3</Pages>
  <Words>1223</Words>
  <Characters>6976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ruzickova</dc:creator>
  <cp:lastModifiedBy>Konecna Zofia</cp:lastModifiedBy>
  <cp:revision>4</cp:revision>
  <cp:lastPrinted>2016-08-17T14:36:00Z</cp:lastPrinted>
  <dcterms:created xsi:type="dcterms:W3CDTF">2016-07-04T08:15:00Z</dcterms:created>
  <dcterms:modified xsi:type="dcterms:W3CDTF">2016-08-17T15:14:00Z</dcterms:modified>
</cp:coreProperties>
</file>