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2B08" w:rsidRPr="00AB00CC" w:rsidP="00BE2B08">
      <w:pPr>
        <w:widowControl/>
        <w:bidi w:val="0"/>
        <w:jc w:val="center"/>
        <w:rPr>
          <w:rFonts w:ascii="Times New Roman" w:hAnsi="Times New Roman"/>
          <w:b/>
          <w:caps/>
          <w:color w:val="000000"/>
          <w:spacing w:val="30"/>
          <w:sz w:val="22"/>
          <w:szCs w:val="22"/>
        </w:rPr>
      </w:pPr>
      <w:r w:rsidRPr="00AB00CC">
        <w:rPr>
          <w:rFonts w:ascii="Times New Roman" w:hAnsi="Times New Roman"/>
          <w:b/>
          <w:caps/>
          <w:color w:val="000000"/>
          <w:spacing w:val="30"/>
          <w:sz w:val="22"/>
          <w:szCs w:val="22"/>
        </w:rPr>
        <w:t>Dôvodová správa</w:t>
      </w:r>
    </w:p>
    <w:p w:rsidR="00BE2B08" w:rsidRPr="00AB00CC" w:rsidP="00BE2B08">
      <w:pPr>
        <w:widowControl/>
        <w:bidi w:val="0"/>
        <w:jc w:val="both"/>
        <w:rPr>
          <w:rFonts w:ascii="Times New Roman" w:hAnsi="Times New Roman"/>
          <w:color w:val="000000"/>
          <w:sz w:val="22"/>
          <w:szCs w:val="22"/>
        </w:rPr>
      </w:pPr>
    </w:p>
    <w:p w:rsidR="00BE2B08" w:rsidRPr="00AB00CC" w:rsidP="00BE2B08">
      <w:pPr>
        <w:widowControl/>
        <w:bidi w:val="0"/>
        <w:jc w:val="both"/>
        <w:rPr>
          <w:rFonts w:ascii="Times New Roman" w:hAnsi="Times New Roman"/>
          <w:color w:val="000000"/>
          <w:sz w:val="22"/>
          <w:szCs w:val="22"/>
        </w:rPr>
      </w:pPr>
    </w:p>
    <w:p w:rsidR="00BE2B08" w:rsidRPr="00AB00CC" w:rsidP="00BE2B08">
      <w:pPr>
        <w:widowControl/>
        <w:bidi w:val="0"/>
        <w:jc w:val="both"/>
        <w:rPr>
          <w:rFonts w:ascii="Times New Roman" w:hAnsi="Times New Roman"/>
          <w:b/>
          <w:color w:val="000000"/>
          <w:sz w:val="22"/>
          <w:szCs w:val="22"/>
        </w:rPr>
      </w:pPr>
      <w:r w:rsidRPr="00AB00CC">
        <w:rPr>
          <w:rFonts w:ascii="Times New Roman" w:hAnsi="Times New Roman"/>
          <w:b/>
          <w:color w:val="000000"/>
          <w:sz w:val="22"/>
          <w:szCs w:val="22"/>
        </w:rPr>
        <w:t>A. Všeobecná časť</w:t>
      </w:r>
    </w:p>
    <w:p w:rsidR="00BE2B08" w:rsidRPr="00AB00CC" w:rsidP="00BE2B08">
      <w:pPr>
        <w:widowControl/>
        <w:bidi w:val="0"/>
        <w:jc w:val="both"/>
        <w:rPr>
          <w:rFonts w:ascii="Times New Roman" w:hAnsi="Times New Roman"/>
          <w:color w:val="000000"/>
          <w:sz w:val="22"/>
          <w:szCs w:val="22"/>
        </w:rPr>
      </w:pPr>
    </w:p>
    <w:p w:rsidR="00BE2B08" w:rsidRPr="00AB00CC" w:rsidP="00BE2B08">
      <w:pPr>
        <w:widowControl/>
        <w:bidi w:val="0"/>
        <w:spacing w:line="276" w:lineRule="auto"/>
        <w:ind w:firstLine="708"/>
        <w:jc w:val="both"/>
        <w:rPr>
          <w:rFonts w:ascii="Times New Roman" w:hAnsi="Times New Roman"/>
          <w:color w:val="000000"/>
          <w:sz w:val="22"/>
          <w:szCs w:val="22"/>
        </w:rPr>
      </w:pPr>
      <w:r w:rsidRPr="00AB00CC">
        <w:rPr>
          <w:rStyle w:val="PlaceholderText"/>
          <w:color w:val="000000"/>
          <w:sz w:val="22"/>
          <w:szCs w:val="22"/>
        </w:rPr>
        <w:t xml:space="preserve">Návrh zákona, ktorým sa mení a dopĺňa zákon č. 129/2010 Z. z. o spotrebiteľských úveroch a o iných úveroch a pôžičkách pre spotrebiteľov a o zmene a doplnení niektorých zákonov v znení neskorších predpisov a ktorým sa menia a dopĺňajú niektoré zákony (ďalej len „návrh zákona o spotrebiteľských úveroch“) sa predkladá </w:t>
      </w:r>
      <w:r w:rsidRPr="00970176">
        <w:rPr>
          <w:rStyle w:val="PlaceholderText"/>
          <w:color w:val="000000"/>
          <w:sz w:val="22"/>
          <w:szCs w:val="22"/>
        </w:rPr>
        <w:t>v súlade s Plánom legislatívnych úloh vlády S</w:t>
      </w:r>
      <w:r>
        <w:rPr>
          <w:rStyle w:val="PlaceholderText"/>
          <w:color w:val="000000"/>
          <w:sz w:val="22"/>
          <w:szCs w:val="22"/>
        </w:rPr>
        <w:t xml:space="preserve">lovenskej republiky na rok 2016 </w:t>
      </w:r>
      <w:r w:rsidRPr="00AB00CC">
        <w:rPr>
          <w:rStyle w:val="PlaceholderText"/>
          <w:color w:val="000000"/>
          <w:sz w:val="22"/>
          <w:szCs w:val="22"/>
        </w:rPr>
        <w:t>so zámerom vypracovať minimálny okruh regulatórnych  požiadaviek za účelom obozretného poskytovania spotrebiteľských úverov veriteľmi a zohľadniť vzniknuté nedostatky vyplývajúce z aplikačnej praxe v tejto oblasti.</w:t>
      </w:r>
    </w:p>
    <w:p w:rsidR="00BE2B08" w:rsidRPr="00AB00CC" w:rsidP="00BE2B08">
      <w:pPr>
        <w:widowControl/>
        <w:bidi w:val="0"/>
        <w:spacing w:line="276" w:lineRule="auto"/>
        <w:jc w:val="both"/>
        <w:rPr>
          <w:rStyle w:val="PlaceholderText"/>
          <w:color w:val="000000"/>
          <w:sz w:val="22"/>
          <w:szCs w:val="22"/>
        </w:rPr>
      </w:pPr>
      <w:r w:rsidRPr="00AB00CC">
        <w:rPr>
          <w:rStyle w:val="PlaceholderText"/>
          <w:color w:val="000000"/>
          <w:sz w:val="22"/>
          <w:szCs w:val="22"/>
        </w:rPr>
        <w:t> </w:t>
      </w:r>
    </w:p>
    <w:p w:rsidR="00BE2B08" w:rsidRPr="00AB00CC"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Spotrebiteľské úvery tvoria významný podiel na celkovom poskytovaní úverov v rámci ekonomiky  Slovenskej republiky. V oblasti  spotrebiteľských úverov je aktuálne zaznamenaný  ich vysoký nárast. Objem spotrebiteľských úverov poskytnutých veriteľmi za obdobie posledného roka dosiahol medziročný rast 12 % až 15 %. Z pohľadu stability slovenského finančného sektora je preto nevyhnutné, aby bol tento rast postavený na zdravých a udržateľných základoch, a nebol len dôsledkom neobozretného uvoľňovania (zmierňovania) podmienok poskytovania spotrebiteľských úverov veriteľmi, ktoré bolo v mnohých prípadoch identifikované ako negatívny dopad na spotrebiteľa.</w:t>
      </w:r>
    </w:p>
    <w:p w:rsidR="00BE2B08" w:rsidRPr="00AB00CC"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 </w:t>
      </w:r>
    </w:p>
    <w:p w:rsidR="00BE2B08" w:rsidRPr="00AB00CC"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 Vyššie uvedené sa týka napríklad refinancovania spotrebiteľských úverov. Veritelia mnohokrát v praxi nevyužívali pokles úrokových sadzieb na zníženie splátky úveru, ale spolu s pred</w:t>
      </w:r>
      <w:r>
        <w:rPr>
          <w:rStyle w:val="PlaceholderText"/>
          <w:color w:val="000000"/>
          <w:sz w:val="22"/>
          <w:szCs w:val="22"/>
        </w:rPr>
        <w:t>ĺ</w:t>
      </w:r>
      <w:r w:rsidRPr="00AB00CC">
        <w:rPr>
          <w:rStyle w:val="PlaceholderText"/>
          <w:color w:val="000000"/>
          <w:sz w:val="22"/>
          <w:szCs w:val="22"/>
        </w:rPr>
        <w:t>žením splatnosti spotrebiteľského úveru ho využili na navýšenie objemu dlhu (pri rovnakej výške splátky spotrebiteľského úveru). Uvedené refinancovanie spotrebiteľského úveru sa v mnohých prípadoch realizovalo bez dodatočného overenia schopnosti spotrebiteľa  splácať tento refinancovaný úver, čo malo vo viacerých prípadoch nepriaznivý dopad na užívateľa úveru, ktorým je spotrebiteľ.</w:t>
      </w:r>
    </w:p>
    <w:p w:rsidR="00BE2B08" w:rsidRPr="00AB00CC" w:rsidP="00BE2B08">
      <w:pPr>
        <w:widowControl/>
        <w:bidi w:val="0"/>
        <w:spacing w:line="276" w:lineRule="auto"/>
        <w:jc w:val="both"/>
        <w:rPr>
          <w:rStyle w:val="PlaceholderText"/>
          <w:color w:val="000000"/>
          <w:sz w:val="22"/>
          <w:szCs w:val="22"/>
        </w:rPr>
      </w:pPr>
      <w:r w:rsidRPr="00AB00CC">
        <w:rPr>
          <w:rStyle w:val="PlaceholderText"/>
          <w:color w:val="000000"/>
          <w:sz w:val="22"/>
          <w:szCs w:val="22"/>
        </w:rPr>
        <w:t> </w:t>
      </w:r>
    </w:p>
    <w:p w:rsidR="00BE2B08"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Predmetom návrhu zákona o spotrebiteľských úveroch je legislatívna aplikácia existujúceho Odporúčania Národnej banky Slovenska č. 1/2014 zo 7. októbra 2014 v oblasti politiky obozretnosti na makroúrovni k rizikám spojeným s vývojom na trhu retailových úverov, ktoré už v súčasnosti platí pre banky poskytujúce spotrebiteľské úvery. Keďže toto odporúčanie nemá pre banky záväzný (vynútiteľný) charakter, nie je možné zo strany N</w:t>
      </w:r>
      <w:r>
        <w:rPr>
          <w:rStyle w:val="PlaceholderText"/>
          <w:color w:val="000000"/>
          <w:sz w:val="22"/>
          <w:szCs w:val="22"/>
        </w:rPr>
        <w:t xml:space="preserve">árodnej banky </w:t>
      </w:r>
      <w:r w:rsidRPr="00AB00CC">
        <w:rPr>
          <w:rStyle w:val="PlaceholderText"/>
          <w:color w:val="000000"/>
          <w:sz w:val="22"/>
          <w:szCs w:val="22"/>
        </w:rPr>
        <w:t>S</w:t>
      </w:r>
      <w:r>
        <w:rPr>
          <w:rStyle w:val="PlaceholderText"/>
          <w:color w:val="000000"/>
          <w:sz w:val="22"/>
          <w:szCs w:val="22"/>
        </w:rPr>
        <w:t>lovenska</w:t>
      </w:r>
      <w:r w:rsidRPr="00AB00CC">
        <w:rPr>
          <w:rStyle w:val="PlaceholderText"/>
          <w:color w:val="000000"/>
          <w:sz w:val="22"/>
          <w:szCs w:val="22"/>
        </w:rPr>
        <w:t xml:space="preserve"> vykonávať dohľad nad jeho plnením a taktiež nie je možné  za jeho porušenie uplatňovať opatrenia na nápravu a pokuty, čo sa jeho implementáciou do slovenského právneho poriadku zmení. </w:t>
      </w:r>
    </w:p>
    <w:p w:rsidR="00BE2B08" w:rsidRPr="00AB00CC" w:rsidP="00BE2B08">
      <w:pPr>
        <w:widowControl/>
        <w:bidi w:val="0"/>
        <w:spacing w:line="276" w:lineRule="auto"/>
        <w:ind w:firstLine="708"/>
        <w:jc w:val="both"/>
        <w:rPr>
          <w:rStyle w:val="PlaceholderText"/>
          <w:color w:val="000000"/>
          <w:sz w:val="22"/>
          <w:szCs w:val="22"/>
        </w:rPr>
      </w:pPr>
    </w:p>
    <w:p w:rsidR="00BE2B08" w:rsidRPr="00AB00CC"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Zároveň sa tým dosiahne rozšírenie uplatňovania týchto pravidiel pre všetkých poskytovateľov spotrebiteľských úverov, vrátane takých poskytovateľov spotrebiteľských úverov, ktorí nie sú bankami a ktorí tvoria nezanedbateľný podiel na trhu spotrebiteľských úverov.</w:t>
      </w:r>
    </w:p>
    <w:p w:rsidR="00BE2B08" w:rsidRPr="00AB00CC"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 </w:t>
      </w:r>
    </w:p>
    <w:p w:rsidR="00BE2B08" w:rsidRPr="00AB00CC"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 xml:space="preserve">Návrh zákona o spotrebiteľských úveroch obsahuje predovšetkým špecifikáciu obozretných zásad pre poskytovanie spotrebiteľských úverov v oblasti stanovenia a dodržiavania limitov pre ukazovateľ schopnosti spotrebiteľa splácať spotrebiteľské úvery, overovania príjmov spotrebiteľa, obozretného stanovenia, dodržiavania limitov a pravidiel pre maximálnu splatnosť a spôsob splácania spotrebiteľského úveru a špecifikáciu obozretných pravidiel pre poskytovanie spotrebiteľských úverov prostredníctvom finančných sprostredkovateľov. </w:t>
      </w:r>
    </w:p>
    <w:p w:rsidR="00BE2B08" w:rsidRPr="00AB00CC"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 </w:t>
      </w:r>
    </w:p>
    <w:p w:rsidR="00BE2B08" w:rsidRPr="00AB00CC" w:rsidP="00BE2B08">
      <w:pPr>
        <w:widowControl/>
        <w:bidi w:val="0"/>
        <w:spacing w:line="276" w:lineRule="auto"/>
        <w:ind w:firstLine="708"/>
        <w:jc w:val="both"/>
        <w:rPr>
          <w:rStyle w:val="PlaceholderText"/>
          <w:color w:val="000000"/>
          <w:sz w:val="22"/>
          <w:szCs w:val="22"/>
        </w:rPr>
      </w:pPr>
      <w:r w:rsidRPr="00AB00CC">
        <w:rPr>
          <w:rStyle w:val="PlaceholderText"/>
          <w:color w:val="000000"/>
          <w:sz w:val="22"/>
          <w:szCs w:val="22"/>
        </w:rPr>
        <w:t xml:space="preserve">Cieľom týchto ustanovení je predovšetkým obozretne predísť negatívnym trendom pri poskytovaní spotrebiteľských úverov, ktoré by mohli v budúcnosti viesť k zvýšeniu rizík tak  pre veriteľov, ako aj spotrebiteľov a ekonomiku ako celok. </w:t>
      </w:r>
    </w:p>
    <w:p w:rsidR="00BE2B08" w:rsidRPr="00AB00CC" w:rsidP="00BE2B08">
      <w:pPr>
        <w:widowControl/>
        <w:bidi w:val="0"/>
        <w:jc w:val="both"/>
        <w:rPr>
          <w:rStyle w:val="PlaceholderText"/>
          <w:color w:val="000000"/>
          <w:sz w:val="22"/>
          <w:szCs w:val="22"/>
        </w:rPr>
      </w:pPr>
      <w:r w:rsidRPr="00AB00CC">
        <w:rPr>
          <w:rStyle w:val="PlaceholderText"/>
          <w:color w:val="000000"/>
          <w:sz w:val="22"/>
          <w:szCs w:val="22"/>
        </w:rPr>
        <w:t> </w:t>
      </w:r>
    </w:p>
    <w:p w:rsidR="00BE2B08" w:rsidRPr="00AB00CC" w:rsidP="00BE2B08">
      <w:pPr>
        <w:widowControl/>
        <w:bidi w:val="0"/>
        <w:spacing w:line="276" w:lineRule="auto"/>
        <w:jc w:val="both"/>
        <w:rPr>
          <w:rStyle w:val="PlaceholderText"/>
          <w:color w:val="000000"/>
          <w:sz w:val="22"/>
          <w:szCs w:val="22"/>
        </w:rPr>
      </w:pPr>
      <w:r w:rsidRPr="00AB00CC">
        <w:rPr>
          <w:rStyle w:val="PlaceholderText"/>
          <w:color w:val="000000"/>
          <w:sz w:val="22"/>
          <w:szCs w:val="22"/>
        </w:rPr>
        <w:t xml:space="preserve">            Predkladaný návrh zákona o spotrebiteľských úveroch je potrebné zároveň vnímať aj v kontexte návrhu zákona o úveroch na bývanie a o zmene a doplnení niektorých zákonov, ktorým sa do slovenského právneho poriadku transponuje smernica Európskeho parlamentu a Rady 2014/17/EÚ zo 4. februára 2014 o zmluvách o úvere pre spotrebiteľov týkajúcich sa nehnuteľností určených na bývanie a o zmene smerníc 2008/48/ES a 2013/36/EÚ a nariadenia (EÚ) č. 1093/2010. Tento návrh zákona o úveroch na bývanie stanovuje taktiež viaceré obozretné zásady pre poskytovanie úverov na bývanie. Na dosiahnutie efektívneho účinku týchto ustanovení s cieľom zamedziť ich možnému obchádzaniu je však potrebné zaviesť analogické ustanovenia aj do zákona o spotrebiteľských úveroch. </w:t>
      </w:r>
    </w:p>
    <w:p w:rsidR="00BE2B08" w:rsidRPr="00AB00CC" w:rsidP="00BE2B08">
      <w:pPr>
        <w:widowControl/>
        <w:bidi w:val="0"/>
        <w:ind w:firstLine="708"/>
        <w:jc w:val="both"/>
        <w:rPr>
          <w:rStyle w:val="PlaceholderText"/>
          <w:color w:val="000000"/>
          <w:sz w:val="22"/>
          <w:szCs w:val="22"/>
        </w:rPr>
      </w:pPr>
      <w:r w:rsidRPr="00AB00CC">
        <w:rPr>
          <w:rStyle w:val="PlaceholderText"/>
          <w:color w:val="000000"/>
          <w:sz w:val="22"/>
          <w:szCs w:val="22"/>
        </w:rPr>
        <w:t> </w:t>
      </w:r>
    </w:p>
    <w:p w:rsidR="00BE2B08" w:rsidRPr="00AB00CC" w:rsidP="00BE2B08">
      <w:pPr>
        <w:widowControl/>
        <w:bidi w:val="0"/>
        <w:ind w:firstLine="708"/>
        <w:jc w:val="both"/>
        <w:rPr>
          <w:rStyle w:val="PlaceholderText"/>
          <w:color w:val="000000"/>
          <w:sz w:val="22"/>
          <w:szCs w:val="22"/>
        </w:rPr>
      </w:pPr>
      <w:r w:rsidRPr="00AB00CC">
        <w:rPr>
          <w:rStyle w:val="PlaceholderText"/>
          <w:color w:val="000000"/>
          <w:sz w:val="22"/>
          <w:szCs w:val="22"/>
        </w:rPr>
        <w:t>Návrh zákona je v súlade s Ústavou Slovenskej republiky, ústavnými zákonmi,</w:t>
      </w:r>
      <w:r w:rsidR="00CC58AE">
        <w:rPr>
          <w:rStyle w:val="PlaceholderText"/>
          <w:color w:val="000000"/>
          <w:sz w:val="22"/>
          <w:szCs w:val="22"/>
        </w:rPr>
        <w:t xml:space="preserve"> nálezmi Ú</w:t>
      </w:r>
      <w:r>
        <w:rPr>
          <w:rStyle w:val="PlaceholderText"/>
          <w:color w:val="000000"/>
          <w:sz w:val="22"/>
          <w:szCs w:val="22"/>
        </w:rPr>
        <w:t>stavného súdu</w:t>
      </w:r>
      <w:r w:rsidR="00CC58AE">
        <w:rPr>
          <w:rStyle w:val="PlaceholderText"/>
          <w:color w:val="000000"/>
          <w:sz w:val="22"/>
          <w:szCs w:val="22"/>
        </w:rPr>
        <w:t xml:space="preserve"> Slovenskej republiky</w:t>
      </w:r>
      <w:r>
        <w:rPr>
          <w:rStyle w:val="PlaceholderText"/>
          <w:color w:val="000000"/>
          <w:sz w:val="22"/>
          <w:szCs w:val="22"/>
        </w:rPr>
        <w:t xml:space="preserve">, </w:t>
      </w:r>
      <w:r w:rsidRPr="00AB00CC">
        <w:rPr>
          <w:rStyle w:val="PlaceholderText"/>
          <w:color w:val="000000"/>
          <w:sz w:val="22"/>
          <w:szCs w:val="22"/>
        </w:rPr>
        <w:t xml:space="preserve">inými zákonmi a ostatnými všeobecne záväznými právnymi predpismi Slovenskej republiky, s právom Európskej únie a s medzinárodnými zmluvami, ktorými je Slovenská republika viazaná. </w:t>
      </w:r>
      <w:r>
        <w:rPr>
          <w:rStyle w:val="PlaceholderText"/>
          <w:color w:val="000000"/>
          <w:sz w:val="22"/>
          <w:szCs w:val="22"/>
        </w:rPr>
        <w:t>Návrh zákona nie je predmetom vnútrokomunitárneho pripomienkového konania.</w:t>
      </w:r>
    </w:p>
    <w:p w:rsidR="00BE2B08" w:rsidRPr="00AB00CC" w:rsidP="00BE2B08">
      <w:pPr>
        <w:widowControl/>
        <w:bidi w:val="0"/>
        <w:ind w:firstLine="708"/>
        <w:jc w:val="both"/>
        <w:rPr>
          <w:rStyle w:val="PlaceholderText"/>
          <w:color w:val="000000"/>
          <w:sz w:val="22"/>
          <w:szCs w:val="22"/>
        </w:rPr>
      </w:pPr>
    </w:p>
    <w:p w:rsidR="00BE2B08" w:rsidRPr="00AB00CC" w:rsidP="00BE2B08">
      <w:pPr>
        <w:widowControl/>
        <w:bidi w:val="0"/>
        <w:ind w:firstLine="708"/>
        <w:jc w:val="both"/>
        <w:rPr>
          <w:rStyle w:val="PlaceholderText"/>
          <w:color w:val="000000"/>
          <w:sz w:val="22"/>
          <w:szCs w:val="22"/>
        </w:rPr>
      </w:pPr>
      <w:r w:rsidRPr="00AB00CC">
        <w:rPr>
          <w:rStyle w:val="PlaceholderText"/>
          <w:color w:val="000000"/>
          <w:sz w:val="22"/>
          <w:szCs w:val="22"/>
        </w:rPr>
        <w:t>Prijatie zákona a jeho aplikácia nebude mať vplyvy na rozpočet verejnej správy</w:t>
      </w:r>
      <w:r>
        <w:rPr>
          <w:rStyle w:val="PlaceholderText"/>
          <w:color w:val="000000"/>
          <w:sz w:val="22"/>
          <w:szCs w:val="22"/>
        </w:rPr>
        <w:t>, vplyvy na informatizáciu</w:t>
      </w:r>
      <w:r w:rsidRPr="00AB00CC">
        <w:rPr>
          <w:rStyle w:val="PlaceholderText"/>
          <w:color w:val="000000"/>
          <w:sz w:val="22"/>
          <w:szCs w:val="22"/>
        </w:rPr>
        <w:t>, vplyvy na životné prostredie a vplyvy na služby verejnej správy pre občana.</w:t>
      </w:r>
      <w:r w:rsidRPr="00F057FC">
        <w:rPr>
          <w:rFonts w:ascii="Times New Roman" w:hAnsi="Times New Roman"/>
        </w:rPr>
        <w:t xml:space="preserve"> </w:t>
      </w:r>
      <w:r>
        <w:rPr>
          <w:rFonts w:ascii="Times New Roman" w:hAnsi="Times New Roman"/>
        </w:rPr>
        <w:t xml:space="preserve">Očakávajú sa pozitívne ako aj negatívne </w:t>
      </w:r>
      <w:r w:rsidRPr="00F057FC">
        <w:rPr>
          <w:rStyle w:val="PlaceholderText"/>
          <w:color w:val="000000"/>
          <w:sz w:val="22"/>
          <w:szCs w:val="22"/>
        </w:rPr>
        <w:t>vpl</w:t>
      </w:r>
      <w:r>
        <w:rPr>
          <w:rStyle w:val="PlaceholderText"/>
          <w:color w:val="000000"/>
          <w:sz w:val="22"/>
          <w:szCs w:val="22"/>
        </w:rPr>
        <w:t xml:space="preserve">yvy na podnikateľské prostredie a pozitívne vplyvy na sociálne prostredie. </w:t>
      </w:r>
    </w:p>
    <w:p w:rsidR="00BE2B08" w:rsidRPr="00AB00CC" w:rsidP="00BE2B08">
      <w:pPr>
        <w:widowControl/>
        <w:bidi w:val="0"/>
        <w:ind w:firstLine="708"/>
        <w:jc w:val="both"/>
        <w:rPr>
          <w:rStyle w:val="PlaceholderText"/>
          <w:color w:val="000000"/>
          <w:sz w:val="22"/>
          <w:szCs w:val="22"/>
        </w:rPr>
      </w:pPr>
      <w:r w:rsidRPr="00AB00CC">
        <w:rPr>
          <w:rStyle w:val="PlaceholderText"/>
          <w:color w:val="000000"/>
          <w:sz w:val="22"/>
          <w:szCs w:val="22"/>
        </w:rPr>
        <w:t> </w:t>
      </w:r>
    </w:p>
    <w:p w:rsidR="00BE2B08" w:rsidRPr="00AB00CC" w:rsidP="00BE2B08">
      <w:pPr>
        <w:widowControl/>
        <w:bidi w:val="0"/>
        <w:spacing w:after="280" w:afterAutospacing="1"/>
        <w:jc w:val="both"/>
        <w:rPr>
          <w:rStyle w:val="PlaceholderText"/>
          <w:color w:val="000000"/>
          <w:sz w:val="22"/>
          <w:szCs w:val="22"/>
        </w:rPr>
      </w:pPr>
      <w:r w:rsidRPr="00D93C00">
        <w:rPr>
          <w:rStyle w:val="PlaceholderText"/>
          <w:color w:val="000000"/>
          <w:sz w:val="22"/>
          <w:szCs w:val="22"/>
        </w:rPr>
        <w:t xml:space="preserve">Tento zákon nadobúda účinnosť 1. januára 2017 </w:t>
      </w:r>
      <w:r w:rsidRPr="00FD2FAB">
        <w:rPr>
          <w:rStyle w:val="PlaceholderText"/>
          <w:color w:val="000000"/>
          <w:sz w:val="22"/>
          <w:szCs w:val="22"/>
        </w:rPr>
        <w:t>okrem</w:t>
      </w:r>
      <w:r>
        <w:rPr>
          <w:rStyle w:val="PlaceholderText"/>
          <w:color w:val="000000"/>
          <w:sz w:val="22"/>
          <w:szCs w:val="22"/>
        </w:rPr>
        <w:t xml:space="preserve"> čl. I.</w:t>
      </w:r>
      <w:r w:rsidRPr="00FD2FAB">
        <w:rPr>
          <w:rStyle w:val="PlaceholderText"/>
          <w:color w:val="000000"/>
          <w:sz w:val="22"/>
          <w:szCs w:val="22"/>
        </w:rPr>
        <w:t xml:space="preserve"> bodov 2</w:t>
      </w:r>
      <w:r>
        <w:rPr>
          <w:rStyle w:val="PlaceholderText"/>
          <w:color w:val="000000"/>
          <w:sz w:val="22"/>
          <w:szCs w:val="22"/>
        </w:rPr>
        <w:t>, 3</w:t>
      </w:r>
      <w:r w:rsidRPr="00FD2FAB">
        <w:rPr>
          <w:rStyle w:val="PlaceholderText"/>
          <w:color w:val="000000"/>
          <w:sz w:val="22"/>
          <w:szCs w:val="22"/>
        </w:rPr>
        <w:t xml:space="preserve"> a 8, ktor</w:t>
      </w:r>
      <w:r>
        <w:rPr>
          <w:rStyle w:val="PlaceholderText"/>
          <w:color w:val="000000"/>
          <w:sz w:val="22"/>
          <w:szCs w:val="22"/>
        </w:rPr>
        <w:t>é</w:t>
      </w:r>
      <w:r w:rsidRPr="00FD2FAB">
        <w:rPr>
          <w:rStyle w:val="PlaceholderText"/>
          <w:color w:val="000000"/>
          <w:sz w:val="22"/>
          <w:szCs w:val="22"/>
        </w:rPr>
        <w:t xml:space="preserve"> nadobúdajú účinnosť 1. júna 2017.</w:t>
      </w:r>
    </w:p>
    <w:p w:rsidR="00BE2B08" w:rsidP="00BE2B08">
      <w:pPr>
        <w:bidi w:val="0"/>
        <w:jc w:val="center"/>
        <w:rPr>
          <w:rFonts w:ascii="Times New Roman" w:hAnsi="Times New Roman"/>
          <w:b/>
          <w:bCs/>
          <w:sz w:val="22"/>
          <w:szCs w:val="22"/>
        </w:rPr>
      </w:pPr>
    </w:p>
    <w:p w:rsidR="00BE2B08" w:rsidP="00BE2B08">
      <w:pPr>
        <w:bidi w:val="0"/>
        <w:jc w:val="center"/>
        <w:rPr>
          <w:rFonts w:ascii="Times New Roman" w:hAnsi="Times New Roman"/>
          <w:b/>
          <w:bCs/>
          <w:sz w:val="22"/>
          <w:szCs w:val="22"/>
        </w:rPr>
      </w:pPr>
    </w:p>
    <w:p w:rsidR="00BE2B08" w:rsidP="00BE2B08">
      <w:pPr>
        <w:bidi w:val="0"/>
        <w:jc w:val="center"/>
        <w:rPr>
          <w:rFonts w:ascii="Times New Roman" w:hAnsi="Times New Roman"/>
          <w:b/>
          <w:bCs/>
          <w:sz w:val="22"/>
          <w:szCs w:val="22"/>
        </w:rPr>
      </w:pPr>
    </w:p>
    <w:p w:rsidR="00BE2B08" w:rsidP="00BE2B08">
      <w:pPr>
        <w:bidi w:val="0"/>
        <w:jc w:val="center"/>
        <w:rPr>
          <w:rFonts w:ascii="Times New Roman" w:hAnsi="Times New Roman"/>
          <w:b/>
          <w:bCs/>
          <w:sz w:val="22"/>
          <w:szCs w:val="22"/>
        </w:rPr>
      </w:pPr>
    </w:p>
    <w:p w:rsidR="00BE2B08" w:rsidP="00BE2B08">
      <w:pPr>
        <w:bidi w:val="0"/>
        <w:jc w:val="center"/>
        <w:rPr>
          <w:rFonts w:ascii="Times New Roman" w:hAnsi="Times New Roman"/>
          <w:b/>
          <w:bCs/>
          <w:sz w:val="22"/>
          <w:szCs w:val="22"/>
        </w:rPr>
      </w:pPr>
    </w:p>
    <w:p w:rsidR="00BE2B08" w:rsidP="00BE2B08">
      <w:pPr>
        <w:bidi w:val="0"/>
        <w:jc w:val="center"/>
        <w:rPr>
          <w:rFonts w:ascii="Times New Roman" w:hAnsi="Times New Roman"/>
          <w:b/>
          <w:bCs/>
          <w:sz w:val="22"/>
          <w:szCs w:val="22"/>
        </w:rPr>
      </w:pPr>
    </w:p>
    <w:p w:rsidR="00BE2B08" w:rsidP="00BE2B08">
      <w:pPr>
        <w:bidi w:val="0"/>
        <w:jc w:val="center"/>
        <w:rPr>
          <w:rFonts w:ascii="Times New Roman" w:hAnsi="Times New Roman"/>
          <w:b/>
          <w:bCs/>
          <w:sz w:val="22"/>
          <w:szCs w:val="22"/>
        </w:rPr>
      </w:pPr>
    </w:p>
    <w:p w:rsidR="00BE2B08" w:rsidP="00BE2B08">
      <w:pPr>
        <w:bidi w:val="0"/>
        <w:jc w:val="center"/>
        <w:rPr>
          <w:rFonts w:ascii="Times New Roman" w:hAnsi="Times New Roman"/>
          <w:b/>
          <w:bCs/>
          <w:sz w:val="22"/>
          <w:szCs w:val="22"/>
        </w:rPr>
      </w:pPr>
    </w:p>
    <w:p w:rsidR="00F514A7" w:rsidP="00BE2B08">
      <w:pPr>
        <w:bidi w:val="0"/>
        <w:jc w:val="center"/>
        <w:rPr>
          <w:rFonts w:ascii="Times New Roman" w:hAnsi="Times New Roman"/>
          <w:b/>
          <w:bCs/>
          <w:sz w:val="22"/>
          <w:szCs w:val="22"/>
        </w:rPr>
      </w:pPr>
    </w:p>
    <w:p w:rsidR="00F514A7" w:rsidP="00BE2B08">
      <w:pPr>
        <w:bidi w:val="0"/>
        <w:jc w:val="center"/>
        <w:rPr>
          <w:rFonts w:ascii="Times New Roman" w:hAnsi="Times New Roman"/>
          <w:b/>
          <w:bCs/>
          <w:sz w:val="22"/>
          <w:szCs w:val="22"/>
        </w:rPr>
      </w:pPr>
    </w:p>
    <w:p w:rsidR="00F514A7" w:rsidP="00BE2B08">
      <w:pPr>
        <w:bidi w:val="0"/>
        <w:jc w:val="center"/>
        <w:rPr>
          <w:rFonts w:ascii="Times New Roman" w:hAnsi="Times New Roman"/>
          <w:b/>
          <w:bCs/>
          <w:sz w:val="22"/>
          <w:szCs w:val="22"/>
        </w:rPr>
      </w:pPr>
    </w:p>
    <w:p w:rsidR="00F514A7" w:rsidP="00BE2B08">
      <w:pPr>
        <w:bidi w:val="0"/>
        <w:jc w:val="center"/>
        <w:rPr>
          <w:rFonts w:ascii="Times New Roman" w:hAnsi="Times New Roman"/>
          <w:b/>
          <w:bCs/>
          <w:sz w:val="22"/>
          <w:szCs w:val="22"/>
        </w:rPr>
      </w:pPr>
    </w:p>
    <w:p w:rsidR="00F514A7" w:rsidP="00BE2B08">
      <w:pPr>
        <w:bidi w:val="0"/>
        <w:jc w:val="center"/>
        <w:rPr>
          <w:rFonts w:ascii="Times New Roman" w:hAnsi="Times New Roman"/>
          <w:b/>
          <w:bCs/>
          <w:sz w:val="22"/>
          <w:szCs w:val="22"/>
        </w:rPr>
      </w:pPr>
    </w:p>
    <w:p w:rsidR="00F514A7" w:rsidP="00BE2B08">
      <w:pPr>
        <w:bidi w:val="0"/>
        <w:jc w:val="center"/>
        <w:rPr>
          <w:rFonts w:ascii="Times New Roman" w:hAnsi="Times New Roman"/>
          <w:b/>
          <w:bCs/>
          <w:sz w:val="22"/>
          <w:szCs w:val="22"/>
        </w:rPr>
      </w:pPr>
    </w:p>
    <w:p w:rsidR="00F514A7" w:rsidP="00BE2B08">
      <w:pPr>
        <w:bidi w:val="0"/>
        <w:jc w:val="center"/>
        <w:rPr>
          <w:rFonts w:ascii="Times New Roman" w:hAnsi="Times New Roman"/>
          <w:b/>
          <w:bCs/>
          <w:sz w:val="22"/>
          <w:szCs w:val="22"/>
        </w:rPr>
      </w:pPr>
    </w:p>
    <w:p w:rsidR="00F514A7" w:rsidP="00BE2B08">
      <w:pPr>
        <w:bidi w:val="0"/>
        <w:jc w:val="center"/>
        <w:rPr>
          <w:rFonts w:ascii="Times New Roman" w:hAnsi="Times New Roman"/>
          <w:b/>
          <w:bCs/>
          <w:sz w:val="22"/>
          <w:szCs w:val="22"/>
        </w:rPr>
      </w:pPr>
    </w:p>
    <w:p w:rsidR="00BE2B08" w:rsidP="00BE2B08">
      <w:pPr>
        <w:bidi w:val="0"/>
        <w:jc w:val="center"/>
        <w:rPr>
          <w:rFonts w:ascii="Times New Roman" w:hAnsi="Times New Roman"/>
          <w:b/>
          <w:bCs/>
          <w:sz w:val="22"/>
          <w:szCs w:val="22"/>
        </w:rPr>
      </w:pPr>
    </w:p>
    <w:p w:rsidR="00377199" w:rsidP="00BE2B08">
      <w:pPr>
        <w:bidi w:val="0"/>
        <w:jc w:val="center"/>
        <w:rPr>
          <w:rFonts w:ascii="Times New Roman" w:hAnsi="Times New Roman"/>
          <w:b/>
          <w:bCs/>
          <w:sz w:val="22"/>
          <w:szCs w:val="22"/>
        </w:rPr>
      </w:pPr>
    </w:p>
    <w:p w:rsidR="00377199" w:rsidP="00BE2B08">
      <w:pPr>
        <w:bidi w:val="0"/>
        <w:jc w:val="center"/>
        <w:rPr>
          <w:rFonts w:ascii="Times New Roman" w:hAnsi="Times New Roman"/>
          <w:b/>
          <w:bCs/>
          <w:sz w:val="22"/>
          <w:szCs w:val="22"/>
        </w:rPr>
      </w:pPr>
    </w:p>
    <w:p w:rsidR="00377199" w:rsidP="00BE2B08">
      <w:pPr>
        <w:bidi w:val="0"/>
        <w:jc w:val="center"/>
        <w:rPr>
          <w:rFonts w:ascii="Times New Roman" w:hAnsi="Times New Roman"/>
          <w:b/>
          <w:bCs/>
          <w:sz w:val="22"/>
          <w:szCs w:val="22"/>
        </w:rPr>
      </w:pPr>
    </w:p>
    <w:p w:rsidR="00377199" w:rsidP="00BE2B08">
      <w:pPr>
        <w:bidi w:val="0"/>
        <w:jc w:val="center"/>
        <w:rPr>
          <w:rFonts w:ascii="Times New Roman" w:hAnsi="Times New Roman"/>
          <w:b/>
          <w:bCs/>
          <w:sz w:val="22"/>
          <w:szCs w:val="22"/>
        </w:rPr>
      </w:pPr>
    </w:p>
    <w:p w:rsidR="00377199" w:rsidP="00BE2B08">
      <w:pPr>
        <w:bidi w:val="0"/>
        <w:jc w:val="center"/>
        <w:rPr>
          <w:rFonts w:ascii="Times New Roman" w:hAnsi="Times New Roman"/>
          <w:b/>
          <w:bCs/>
          <w:sz w:val="22"/>
          <w:szCs w:val="22"/>
        </w:rPr>
      </w:pPr>
    </w:p>
    <w:p w:rsidR="00377199" w:rsidP="00BE2B08">
      <w:pPr>
        <w:bidi w:val="0"/>
        <w:jc w:val="center"/>
        <w:rPr>
          <w:rFonts w:ascii="Times New Roman" w:hAnsi="Times New Roman"/>
          <w:b/>
          <w:bCs/>
          <w:sz w:val="22"/>
          <w:szCs w:val="22"/>
        </w:rPr>
      </w:pPr>
    </w:p>
    <w:p w:rsidR="00377199" w:rsidP="00BE2B08">
      <w:pPr>
        <w:bidi w:val="0"/>
        <w:jc w:val="center"/>
        <w:rPr>
          <w:rFonts w:ascii="Times New Roman" w:hAnsi="Times New Roman"/>
          <w:b/>
          <w:bCs/>
          <w:sz w:val="22"/>
          <w:szCs w:val="22"/>
        </w:rPr>
      </w:pPr>
    </w:p>
    <w:p w:rsidR="00BE2B08" w:rsidP="00CC58AE">
      <w:pPr>
        <w:bidi w:val="0"/>
        <w:rPr>
          <w:rFonts w:ascii="Times New Roman" w:hAnsi="Times New Roman"/>
          <w:b/>
          <w:bCs/>
          <w:sz w:val="22"/>
          <w:szCs w:val="22"/>
        </w:rPr>
      </w:pPr>
    </w:p>
    <w:p w:rsidR="00BE2B08" w:rsidRPr="002114A7" w:rsidP="00BE2B08">
      <w:pPr>
        <w:bidi w:val="0"/>
        <w:jc w:val="center"/>
        <w:rPr>
          <w:rFonts w:ascii="Times New Roman" w:hAnsi="Times New Roman"/>
          <w:b/>
          <w:bCs/>
          <w:sz w:val="22"/>
          <w:szCs w:val="22"/>
        </w:rPr>
      </w:pPr>
      <w:r w:rsidRPr="002114A7">
        <w:rPr>
          <w:rFonts w:ascii="Times New Roman" w:hAnsi="Times New Roman"/>
          <w:b/>
          <w:bCs/>
          <w:sz w:val="22"/>
          <w:szCs w:val="22"/>
        </w:rPr>
        <w:t>Doložka vybraných vplyvov</w:t>
      </w:r>
    </w:p>
    <w:p w:rsidR="00BE2B08" w:rsidRPr="002114A7" w:rsidP="00BE2B08">
      <w:pPr>
        <w:pStyle w:val="ListParagraph"/>
        <w:bidi w:val="0"/>
        <w:ind w:left="426"/>
        <w:rPr>
          <w:rFonts w:ascii="Times New Roman" w:hAnsi="Times New Roman"/>
          <w:b/>
        </w:rPr>
      </w:pPr>
    </w:p>
    <w:tbl>
      <w:tblPr>
        <w:tblStyle w:val="TableGrid"/>
        <w:tblW w:w="9180" w:type="dxa"/>
        <w:tblLayout w:type="fixed"/>
        <w:tblLook w:val="04A0"/>
      </w:tblPr>
      <w:tblGrid>
        <w:gridCol w:w="3812"/>
        <w:gridCol w:w="400"/>
        <w:gridCol w:w="141"/>
        <w:gridCol w:w="564"/>
        <w:gridCol w:w="717"/>
        <w:gridCol w:w="570"/>
        <w:gridCol w:w="1132"/>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Zá</w:t>
            </w:r>
            <w:r w:rsidRPr="002114A7">
              <w:rPr>
                <w:rFonts w:ascii="Times New Roman" w:hAnsi="Times New Roman" w:hint="default"/>
                <w:b/>
              </w:rPr>
              <w:t>kladné</w:t>
            </w:r>
            <w:r w:rsidRPr="002114A7">
              <w:rPr>
                <w:rFonts w:ascii="Times New Roman" w:hAnsi="Times New Roman" w:hint="default"/>
                <w:b/>
              </w:rPr>
              <w:t xml:space="preserve"> ú</w:t>
            </w:r>
            <w:r w:rsidRPr="002114A7">
              <w:rPr>
                <w:rFonts w:ascii="Times New Roman" w:hAnsi="Times New Roman" w:hint="default"/>
                <w:b/>
              </w:rPr>
              <w:t>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bidi w:val="0"/>
              <w:ind w:left="142"/>
              <w:rPr>
                <w:rFonts w:ascii="Times New Roman" w:hAnsi="Times New Roman" w:hint="default"/>
                <w:b/>
              </w:rPr>
            </w:pPr>
            <w:r w:rsidRPr="002114A7">
              <w:rPr>
                <w:rFonts w:ascii="Times New Roman" w:hAnsi="Times New Roman" w:hint="default"/>
                <w:b/>
              </w:rPr>
              <w:t>Ná</w:t>
            </w:r>
            <w:r w:rsidRPr="002114A7">
              <w:rPr>
                <w:rFonts w:ascii="Times New Roman" w:hAnsi="Times New Roman" w:hint="default"/>
                <w:b/>
              </w:rPr>
              <w:t>zov materiá</w:t>
            </w:r>
            <w:r w:rsidRPr="002114A7">
              <w:rPr>
                <w:rFonts w:ascii="Times New Roman" w:hAnsi="Times New Roman" w:hint="default"/>
                <w:b/>
              </w:rPr>
              <w:t>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BE2B08" w:rsidRPr="002114A7" w:rsidP="00284A1A">
            <w:pPr>
              <w:bidi w:val="0"/>
              <w:jc w:val="both"/>
              <w:rPr>
                <w:rFonts w:ascii="Times New Roman" w:hAnsi="Times New Roman"/>
                <w:sz w:val="22"/>
                <w:szCs w:val="22"/>
                <w:lang w:eastAsia="en-US"/>
              </w:rPr>
            </w:pPr>
            <w:r w:rsidRPr="002114A7">
              <w:rPr>
                <w:rFonts w:ascii="Times New Roman" w:hAnsi="Times New Roman"/>
                <w:sz w:val="22"/>
                <w:szCs w:val="22"/>
                <w:lang w:eastAsia="en-US"/>
              </w:rPr>
              <w:t>Návrh zákona, ktorým sa mení a dopĺňa zákon č. 129/2010 Z. z. o spotrebiteľských úveroch a o iných úveroch a pôžičkách pre spotrebiteľov a o zmene a doplnení niektorých zákonov v znení neskorších predpisov a ktorým sa menia a dopĺňajú niektoré zákony</w:t>
            </w:r>
          </w:p>
          <w:p w:rsidR="00BE2B08" w:rsidRPr="002114A7" w:rsidP="00E13521">
            <w:pPr>
              <w:bidi w:val="0"/>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bidi w:val="0"/>
              <w:ind w:left="142"/>
              <w:rPr>
                <w:rFonts w:ascii="Times New Roman" w:hAnsi="Times New Roman" w:hint="default"/>
                <w:b/>
              </w:rPr>
            </w:pPr>
            <w:r w:rsidRPr="002114A7">
              <w:rPr>
                <w:rFonts w:ascii="Times New Roman" w:hAnsi="Times New Roman" w:hint="default"/>
                <w:b/>
              </w:rPr>
              <w:t>Predkladateľ</w:t>
            </w:r>
            <w:r w:rsidRPr="002114A7">
              <w:rPr>
                <w:rFonts w:ascii="Times New Roman" w:hAnsi="Times New Roman" w:hint="default"/>
                <w:b/>
              </w:rPr>
              <w:t xml:space="preserve"> (a spolupredkladateľ</w:t>
            </w:r>
            <w:r w:rsidRPr="002114A7">
              <w:rPr>
                <w:rFonts w:ascii="Times New Roman" w:hAnsi="Times New Roman" w:hint="default"/>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Ministerstvo financií SR</w:t>
            </w:r>
          </w:p>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Národná banka Slovenska</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E2B08" w:rsidRPr="002114A7" w:rsidP="00E13521">
            <w:pPr>
              <w:pStyle w:val="ListParagraph"/>
              <w:bidi w:val="0"/>
              <w:ind w:left="142"/>
              <w:rPr>
                <w:rFonts w:ascii="Times New Roman" w:hAnsi="Times New Roman" w:hint="default"/>
                <w:b/>
              </w:rPr>
            </w:pPr>
            <w:r w:rsidRPr="002114A7">
              <w:rPr>
                <w:rFonts w:ascii="Times New Roman" w:hAnsi="Times New Roman" w:hint="default"/>
                <w:b/>
              </w:rPr>
              <w:t>Charakter predkladané</w:t>
            </w:r>
            <w:r w:rsidRPr="002114A7">
              <w:rPr>
                <w:rFonts w:ascii="Times New Roman" w:hAnsi="Times New Roman" w:hint="default"/>
                <w:b/>
              </w:rPr>
              <w:t>ho materiá</w:t>
            </w:r>
            <w:r w:rsidRPr="002114A7">
              <w:rPr>
                <w:rFonts w:ascii="Times New Roman" w:hAnsi="Times New Roman" w:hint="default"/>
                <w:b/>
              </w:rPr>
              <w:t>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E2B08" w:rsidRPr="002114A7" w:rsidP="00E13521">
            <w:pPr>
              <w:bidi w:val="0"/>
              <w:jc w:val="center"/>
              <w:rPr>
                <w:rFonts w:ascii="Times New Roman" w:hAnsi="Times New Roman"/>
                <w:sz w:val="22"/>
                <w:szCs w:val="22"/>
                <w:lang w:eastAsia="en-US"/>
              </w:rPr>
            </w:pPr>
            <w:r w:rsidRPr="002114A7">
              <w:rPr>
                <w:rFonts w:ascii="Segoe UI Symbol" w:eastAsia="MS Mincho" w:hAnsi="Segoe UI Symbol" w:cs="Segoe UI Symbol" w:hint="default"/>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bidi w:val="0"/>
              <w:rPr>
                <w:rFonts w:ascii="Times New Roman" w:hAnsi="Times New Roman"/>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E2B08" w:rsidRPr="002114A7" w:rsidP="00E13521">
            <w:pPr>
              <w:bidi w:val="0"/>
              <w:jc w:val="center"/>
              <w:rPr>
                <w:rFonts w:ascii="Times New Roman" w:hAnsi="Times New Roman"/>
                <w:sz w:val="22"/>
                <w:szCs w:val="22"/>
                <w:lang w:eastAsia="en-US"/>
              </w:rPr>
            </w:pPr>
            <w:r w:rsidRPr="002114A7">
              <w:rPr>
                <w:rFonts w:ascii="Segoe UI Symbol" w:eastAsia="MS Gothic" w:hAnsi="Segoe UI Symbol" w:cs="Segoe UI Symbol" w:hint="default"/>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E2B08" w:rsidRPr="002114A7" w:rsidP="00E13521">
            <w:pPr>
              <w:bidi w:val="0"/>
              <w:ind w:left="175" w:hanging="175"/>
              <w:rPr>
                <w:rFonts w:ascii="Times New Roman" w:hAnsi="Times New Roman"/>
                <w:sz w:val="22"/>
                <w:szCs w:val="22"/>
                <w:lang w:eastAsia="en-US"/>
              </w:rPr>
            </w:pPr>
            <w:r w:rsidRPr="002114A7">
              <w:rPr>
                <w:rFonts w:ascii="Times New Roman" w:hAnsi="Times New Roman"/>
                <w:sz w:val="22"/>
                <w:szCs w:val="22"/>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BE2B08" w:rsidRPr="002114A7" w:rsidP="00E13521">
            <w:pPr>
              <w:bidi w:val="0"/>
              <w:rPr>
                <w:rFonts w:ascii="Times New Roman" w:hAnsi="Times New Roman"/>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E2B08" w:rsidRPr="002114A7" w:rsidP="00E13521">
            <w:pPr>
              <w:bidi w:val="0"/>
              <w:jc w:val="center"/>
              <w:rPr>
                <w:rFonts w:ascii="Times New Roman" w:hAnsi="Times New Roman"/>
                <w:sz w:val="22"/>
                <w:szCs w:val="22"/>
                <w:lang w:eastAsia="en-US"/>
              </w:rPr>
            </w:pPr>
            <w:r w:rsidRPr="002114A7">
              <w:rPr>
                <w:rFonts w:ascii="Segoe UI Symbol" w:eastAsia="MS Gothic" w:hAnsi="Segoe UI Symbol" w:cs="Segoe UI Symbol" w:hint="default"/>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Iniciatívny materiál</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bidi w:val="0"/>
              <w:ind w:left="142"/>
              <w:rPr>
                <w:rFonts w:ascii="Times New Roman" w:hAnsi="Times New Roman" w:hint="default"/>
                <w:b/>
              </w:rPr>
            </w:pPr>
            <w:r w:rsidRPr="002114A7">
              <w:rPr>
                <w:rFonts w:ascii="Times New Roman" w:hAnsi="Times New Roman" w:hint="default"/>
                <w:b/>
              </w:rPr>
              <w:t>Termí</w:t>
            </w:r>
            <w:r w:rsidRPr="002114A7">
              <w:rPr>
                <w:rFonts w:ascii="Times New Roman" w:hAnsi="Times New Roman" w:hint="default"/>
                <w:b/>
              </w:rPr>
              <w:t>n zač</w:t>
            </w:r>
            <w:r w:rsidRPr="002114A7">
              <w:rPr>
                <w:rFonts w:ascii="Times New Roman" w:hAnsi="Times New Roman" w:hint="default"/>
                <w:b/>
              </w:rPr>
              <w:t>iatku a </w:t>
            </w:r>
            <w:r w:rsidRPr="002114A7">
              <w:rPr>
                <w:rFonts w:ascii="Times New Roman" w:hAnsi="Times New Roman" w:hint="default"/>
                <w:b/>
              </w:rPr>
              <w:t>ukonč</w:t>
            </w:r>
            <w:r w:rsidRPr="002114A7">
              <w:rPr>
                <w:rFonts w:ascii="Times New Roman" w:hAnsi="Times New Roman" w:hint="default"/>
                <w:b/>
              </w:rPr>
              <w:t>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BE2B08" w:rsidRPr="002114A7" w:rsidP="00E13521">
            <w:pPr>
              <w:bidi w:val="0"/>
              <w:rPr>
                <w:rFonts w:ascii="Times New Roman" w:hAnsi="Times New Roman"/>
                <w:i/>
                <w:sz w:val="22"/>
                <w:szCs w:val="22"/>
                <w:lang w:eastAsia="en-US"/>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bidi w:val="0"/>
              <w:ind w:left="142"/>
              <w:rPr>
                <w:rFonts w:ascii="Times New Roman" w:hAnsi="Times New Roman" w:hint="default"/>
                <w:b/>
              </w:rPr>
            </w:pPr>
            <w:r w:rsidRPr="002114A7">
              <w:rPr>
                <w:rFonts w:ascii="Times New Roman" w:hAnsi="Times New Roman" w:hint="default"/>
                <w:b/>
              </w:rPr>
              <w:t>Predpokladaný</w:t>
            </w:r>
            <w:r w:rsidRPr="002114A7">
              <w:rPr>
                <w:rFonts w:ascii="Times New Roman" w:hAnsi="Times New Roman" w:hint="default"/>
                <w:b/>
              </w:rPr>
              <w:t xml:space="preserve"> termí</w:t>
            </w:r>
            <w:r w:rsidRPr="002114A7">
              <w:rPr>
                <w:rFonts w:ascii="Times New Roman" w:hAnsi="Times New Roman" w:hint="default"/>
                <w:b/>
              </w:rPr>
              <w:t>n predlož</w:t>
            </w:r>
            <w:r w:rsidRPr="002114A7">
              <w:rPr>
                <w:rFonts w:ascii="Times New Roman" w:hAnsi="Times New Roman" w:hint="default"/>
                <w:b/>
              </w:rPr>
              <w:t>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Júl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bidi w:val="0"/>
              <w:ind w:left="142"/>
              <w:rPr>
                <w:rFonts w:ascii="Times New Roman" w:hAnsi="Times New Roman" w:hint="default"/>
                <w:b/>
              </w:rPr>
            </w:pPr>
            <w:r w:rsidRPr="002114A7">
              <w:rPr>
                <w:rFonts w:ascii="Times New Roman" w:hAnsi="Times New Roman" w:hint="default"/>
                <w:b/>
              </w:rPr>
              <w:t>Predpokladaný</w:t>
            </w:r>
            <w:r w:rsidRPr="002114A7">
              <w:rPr>
                <w:rFonts w:ascii="Times New Roman" w:hAnsi="Times New Roman" w:hint="default"/>
                <w:b/>
              </w:rPr>
              <w:t xml:space="preserve"> termí</w:t>
            </w:r>
            <w:r w:rsidRPr="002114A7">
              <w:rPr>
                <w:rFonts w:ascii="Times New Roman" w:hAnsi="Times New Roman" w:hint="default"/>
                <w:b/>
              </w:rPr>
              <w:t>n predlož</w:t>
            </w:r>
            <w:r w:rsidRPr="002114A7">
              <w:rPr>
                <w:rFonts w:ascii="Times New Roman" w:hAnsi="Times New Roman" w:hint="default"/>
                <w:b/>
              </w:rPr>
              <w:t>enia na Rokovanie vlá</w:t>
            </w:r>
            <w:r w:rsidRPr="002114A7">
              <w:rPr>
                <w:rFonts w:ascii="Times New Roman" w:hAnsi="Times New Roman" w:hint="default"/>
                <w:b/>
              </w:rPr>
              <w:t>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BE2B08" w:rsidRPr="005922B5" w:rsidP="00E13521">
            <w:pPr>
              <w:bidi w:val="0"/>
              <w:rPr>
                <w:rFonts w:ascii="Times New Roman" w:hAnsi="Times New Roman"/>
                <w:sz w:val="22"/>
                <w:szCs w:val="22"/>
                <w:lang w:eastAsia="en-US"/>
              </w:rPr>
            </w:pPr>
            <w:r w:rsidRPr="005922B5">
              <w:rPr>
                <w:rFonts w:ascii="Times New Roman" w:hAnsi="Times New Roman"/>
                <w:sz w:val="22"/>
                <w:szCs w:val="22"/>
                <w:lang w:eastAsia="en-US"/>
              </w:rPr>
              <w:t>17.08.2016</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BE2B08" w:rsidRPr="002114A7" w:rsidP="00E13521">
            <w:pPr>
              <w:bidi w:val="0"/>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Definovanie problé</w:t>
            </w:r>
            <w:r w:rsidRPr="002114A7">
              <w:rPr>
                <w:rFonts w:ascii="Times New Roman" w:hAnsi="Times New Roman" w:hint="default"/>
                <w:b/>
              </w:rPr>
              <w:t>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A2F0B" w:rsidP="00E13521">
            <w:pPr>
              <w:pStyle w:val="BodyText"/>
              <w:bidi w:val="0"/>
              <w:jc w:val="both"/>
              <w:rPr>
                <w:rFonts w:ascii="Times New Roman" w:hAnsi="Times New Roman"/>
                <w:sz w:val="22"/>
                <w:szCs w:val="22"/>
                <w:lang w:eastAsia="en-US"/>
              </w:rPr>
            </w:pPr>
          </w:p>
          <w:p w:rsidR="00BE2B08" w:rsidRPr="002114A7" w:rsidP="00E13521">
            <w:pPr>
              <w:pStyle w:val="BodyText"/>
              <w:bidi w:val="0"/>
              <w:jc w:val="both"/>
              <w:rPr>
                <w:rFonts w:ascii="Times New Roman" w:hAnsi="Times New Roman"/>
                <w:sz w:val="22"/>
                <w:szCs w:val="22"/>
                <w:lang w:eastAsia="en-US"/>
              </w:rPr>
            </w:pPr>
            <w:r w:rsidRPr="002114A7">
              <w:rPr>
                <w:rFonts w:ascii="Times New Roman" w:hAnsi="Times New Roman"/>
                <w:sz w:val="22"/>
                <w:szCs w:val="22"/>
                <w:lang w:eastAsia="en-US"/>
              </w:rPr>
              <w:t>Vývoj na trhu spotrebiteľských úverov je jedným z najvýznamnejších faktorov vplývajúcich na stabilitu slovenského bankového sektora. Preto je dôležité, aby veritelia adekvátne vyhodnocovali schopnosť retailových klientov splácať svoje záväzky voči bankám. Osobitne v období nízkych úrokových sadzieb je dôležité hodnotiť schopnosť klientov splácať úvery dostatočne konzervatívne aj vzhľadom na  riziko budúceho zvýšenia úrokových sadzieb, a tým aj splátok úverov a zabezpečiť postupné splácanie poskytnutých úverov.</w:t>
            </w:r>
          </w:p>
          <w:p w:rsidR="00BE2B08" w:rsidP="00E13521">
            <w:pPr>
              <w:pStyle w:val="BodyText"/>
              <w:bidi w:val="0"/>
              <w:jc w:val="both"/>
              <w:rPr>
                <w:rFonts w:ascii="Times New Roman" w:hAnsi="Times New Roman"/>
                <w:sz w:val="22"/>
                <w:szCs w:val="22"/>
                <w:lang w:eastAsia="en-US"/>
              </w:rPr>
            </w:pPr>
            <w:r w:rsidRPr="002114A7">
              <w:rPr>
                <w:rFonts w:ascii="Times New Roman" w:hAnsi="Times New Roman"/>
                <w:sz w:val="22"/>
                <w:szCs w:val="22"/>
                <w:lang w:eastAsia="en-US"/>
              </w:rPr>
              <w:t>Riziko rastúcej zadlženosti domácností, ku ktorému významným spôsobom prispieva rýchly rast spotrebiteľských úverov je jedným z najvýznamnejších trendov z hľadiska stability slovenského finančného sektora. Tento rast však prináša viacero rizík, najmä v prípade, ak by spotrebiteľské úvery neboli poskytované dostatočne obozretným spôsobom. Predložený návrh preto významným spôsobom prispieva k zmierneniu týchto rizík, a tým aj k dosiahnutiu udržateľného rastu spotrebiteľských úverov a celkovo k zdravo fungujú</w:t>
            </w:r>
            <w:r>
              <w:rPr>
                <w:rFonts w:ascii="Times New Roman" w:hAnsi="Times New Roman"/>
                <w:sz w:val="22"/>
                <w:szCs w:val="22"/>
                <w:lang w:eastAsia="en-US"/>
              </w:rPr>
              <w:t>cemu trhu úverov domácnostiam.</w:t>
            </w:r>
          </w:p>
          <w:p w:rsidR="00BE2B08" w:rsidRPr="002114A7" w:rsidP="00E13521">
            <w:pPr>
              <w:pStyle w:val="BodyText"/>
              <w:bidi w:val="0"/>
              <w:jc w:val="both"/>
              <w:rPr>
                <w:rFonts w:ascii="Times New Roman" w:hAnsi="Times New Roman"/>
                <w:sz w:val="22"/>
                <w:szCs w:val="22"/>
                <w:lang w:eastAsia="en-US"/>
              </w:rPr>
            </w:pPr>
            <w:r w:rsidRPr="002114A7">
              <w:rPr>
                <w:rFonts w:ascii="Times New Roman" w:hAnsi="Times New Roman"/>
                <w:sz w:val="22"/>
                <w:szCs w:val="22"/>
                <w:lang w:eastAsia="en-US"/>
              </w:rPr>
              <w:t>V nadväznosti na aktuálnu situáciu je možné dosiahnuť ciele iba prostredníctvom spoločných pravidiel v oblasti poskytovania spotrebiteľských úverov, ktoré musia by totožné pre všetkých poskytovateľov spotrebiteľských úverov, aby sa zabezpečila právna istota a rovnaký prístup pre všetkých spotrebiteľov, ktorí požiadajú o poskytnutie spotrebiteľských úverov alebo ktorým bude poskytnutý spotrebiteľský úver. Rozdielna aplikácia navrhovaných regulatórnych pravidiel by bola v rozpore s týmto cieľom.</w:t>
            </w:r>
          </w:p>
          <w:p w:rsidR="00BE2B08" w:rsidRPr="002114A7" w:rsidP="00E13521">
            <w:pPr>
              <w:bidi w:val="0"/>
              <w:rPr>
                <w:rFonts w:ascii="Times New Roman" w:hAnsi="Times New Roman"/>
                <w:b/>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b/>
              </w:rPr>
              <w:t>Ciele a </w:t>
            </w:r>
            <w:r w:rsidRPr="002114A7">
              <w:rPr>
                <w:rFonts w:ascii="Times New Roman" w:hAnsi="Times New Roman" w:hint="default"/>
                <w:b/>
              </w:rPr>
              <w:t>vý</w:t>
            </w:r>
            <w:r w:rsidRPr="002114A7">
              <w:rPr>
                <w:rFonts w:ascii="Times New Roman" w:hAnsi="Times New Roman" w:hint="default"/>
                <w:b/>
              </w:rPr>
              <w:t>sledný</w:t>
            </w:r>
            <w:r w:rsidRPr="002114A7">
              <w:rPr>
                <w:rFonts w:ascii="Times New Roman" w:hAnsi="Times New Roman" w:hint="default"/>
                <w:b/>
              </w:rPr>
              <w:t xml:space="preserve"> stav</w:t>
            </w:r>
          </w:p>
        </w:tc>
      </w:tr>
      <w:tr>
        <w:tblPrEx>
          <w:tblW w:w="9180" w:type="dxa"/>
          <w:tblLayout w:type="fixed"/>
          <w:tblLook w:val="04A0"/>
        </w:tblPrEx>
        <w:trPr>
          <w:trHeight w:val="741"/>
        </w:trPr>
        <w:tc>
          <w:tcPr>
            <w:tcW w:w="9180"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A2F0B" w:rsidP="00E13521">
            <w:pPr>
              <w:pStyle w:val="BodyText"/>
              <w:bidi w:val="0"/>
              <w:jc w:val="both"/>
              <w:rPr>
                <w:rFonts w:ascii="Times New Roman" w:hAnsi="Times New Roman"/>
                <w:sz w:val="22"/>
                <w:szCs w:val="22"/>
                <w:lang w:eastAsia="en-US"/>
              </w:rPr>
            </w:pPr>
          </w:p>
          <w:p w:rsidR="00BE2B08" w:rsidRPr="002114A7" w:rsidP="00E13521">
            <w:pPr>
              <w:pStyle w:val="BodyText"/>
              <w:bidi w:val="0"/>
              <w:jc w:val="both"/>
              <w:rPr>
                <w:rFonts w:ascii="Times New Roman" w:hAnsi="Times New Roman"/>
                <w:sz w:val="22"/>
                <w:szCs w:val="22"/>
                <w:lang w:eastAsia="en-US"/>
              </w:rPr>
            </w:pPr>
            <w:r w:rsidRPr="002114A7">
              <w:rPr>
                <w:rFonts w:ascii="Times New Roman" w:hAnsi="Times New Roman"/>
                <w:sz w:val="22"/>
                <w:szCs w:val="22"/>
                <w:lang w:eastAsia="en-US"/>
              </w:rPr>
              <w:t xml:space="preserve">Cieľom návrhu zákona o spotrebiteľských úveroch je legislatívna aplikácia existujúceho Odporúčania Národnej banky Slovenska č. 1/2014 zo 7. októbra 2014 v oblasti politiky obozretnosti na makroúrovni k rizikám spojeným s vývojom na trhu retailových úverov, ktoré už v súčasnosti platí pre banky poskytujúce spotrebiteľské úvery. Keďže toto odporúčanie nemá pre banky záväzný (vynútiteľný) charakter, nie je možné zo strany Národnej banky Slovenska vykonávať dohľad nad jeho plnením a taktiež nie je možné  za jeho porušenie uplatňovať opatrenia na nápravu a pokuty, čo sa jeho implementáciou do slovenského právneho poriadku zmení. </w:t>
            </w:r>
          </w:p>
          <w:p w:rsidR="00BE2B08" w:rsidRPr="002114A7" w:rsidP="00E13521">
            <w:pPr>
              <w:pStyle w:val="BodyText"/>
              <w:bidi w:val="0"/>
              <w:jc w:val="both"/>
              <w:rPr>
                <w:rFonts w:ascii="Times New Roman" w:hAnsi="Times New Roman"/>
                <w:sz w:val="22"/>
                <w:szCs w:val="22"/>
                <w:lang w:eastAsia="en-US"/>
              </w:rPr>
            </w:pPr>
            <w:r w:rsidRPr="002114A7">
              <w:rPr>
                <w:rFonts w:ascii="Times New Roman" w:hAnsi="Times New Roman"/>
                <w:sz w:val="22"/>
                <w:szCs w:val="22"/>
                <w:lang w:eastAsia="en-US"/>
              </w:rPr>
              <w:t>Zároveň sa tým dosiahne rozšírenie uplatňovania týchto pravidiel pre všetkých poskytovateľov spotrebiteľských úverov, vrátane takých poskytovateľov spotrebiteľských úverov, ktorí nie sú bankami a ktorí tvoria nezanedbateľný podiel na trhu spotrebiteľských úverov. Dosiahnutie posilnenia obozretného poskytovania spotrebiteľských úverov sa požaduje zabezpečiť aj prostredníctvom nastavenia jednotných a obozretných pravidiel pre všetkých poskytovateľov spotrebiteľských úverov.</w:t>
            </w:r>
          </w:p>
          <w:p w:rsidR="00BE2B08" w:rsidRPr="002114A7" w:rsidP="00E13521">
            <w:pPr>
              <w:pStyle w:val="BodyText"/>
              <w:bidi w:val="0"/>
              <w:jc w:val="both"/>
              <w:rPr>
                <w:rFonts w:ascii="Times New Roman" w:hAnsi="Times New Roman"/>
                <w:sz w:val="22"/>
                <w:szCs w:val="22"/>
                <w:lang w:eastAsia="en-US"/>
              </w:rPr>
            </w:pPr>
            <w:r w:rsidRPr="002114A7">
              <w:rPr>
                <w:rFonts w:ascii="Times New Roman" w:hAnsi="Times New Roman"/>
                <w:sz w:val="22"/>
                <w:szCs w:val="22"/>
                <w:lang w:eastAsia="en-US"/>
              </w:rPr>
              <w:t xml:space="preserve">Návrh zákona o spotrebiteľských úveroch obsahuje predovšetkým špecifikáciu obozretných zásad pre poskytovanie spotrebiteľských úverov v oblasti stanovenia a dodržiavania limitov pre ukazovateľ schopnosti spotrebiteľa splácať spotrebiteľské úvery, overovania príjmov spotrebiteľa, obozretného stanovenia, dodržiavania limitov a pravidiel pre maximálnu splatnosť a spôsob splácania spotrebiteľského úveru a špecifikáciu obozretných pravidiel pre poskytovanie spotrebiteľských úverov prostredníctvom finančných sprostredkovateľov. </w:t>
            </w:r>
          </w:p>
          <w:p w:rsidR="00BE2B08" w:rsidP="00E13521">
            <w:pPr>
              <w:bidi w:val="0"/>
              <w:rPr>
                <w:rFonts w:ascii="Times New Roman" w:hAnsi="Times New Roman"/>
                <w:sz w:val="22"/>
                <w:szCs w:val="22"/>
                <w:lang w:eastAsia="en-US"/>
              </w:rPr>
            </w:pPr>
            <w:r w:rsidRPr="002114A7">
              <w:rPr>
                <w:rFonts w:ascii="Times New Roman" w:hAnsi="Times New Roman"/>
                <w:sz w:val="22"/>
                <w:szCs w:val="22"/>
                <w:lang w:eastAsia="en-US"/>
              </w:rPr>
              <w:t>Cieľom týchto ustanovení je predovšetkým obozretne predísť negatívnym trendom pri poskytovaní spotrebiteľských úverov, ktoré by mohli v budúcnosti viesť k zvýšeniu rizík tak  pre veriteľov, ako aj spotrebiteľov a ekonomiku ako celok.  Súčasťou  predmetného zákona je aj úprava návrhu zákona o úveroch na bývanie, ktorá je vykonaná za účelom zosúladenia vecne súvisiacich ustanovení s navrhovanou novelou zákona o spotrebiteľských úveroch.</w:t>
            </w:r>
          </w:p>
          <w:p w:rsidR="00AA2F0B" w:rsidRPr="002114A7" w:rsidP="00E13521">
            <w:pPr>
              <w:bidi w:val="0"/>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Dotknuté</w:t>
            </w:r>
            <w:r w:rsidRPr="002114A7">
              <w:rPr>
                <w:rFonts w:ascii="Times New Roman" w:hAnsi="Times New Roman" w:hint="default"/>
                <w:b/>
              </w:rPr>
              <w:t xml:space="preserve">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E2B08" w:rsidRPr="00BF7E0C" w:rsidP="00284A1A">
            <w:pPr>
              <w:bidi w:val="0"/>
              <w:jc w:val="both"/>
              <w:rPr>
                <w:rFonts w:ascii="Times New Roman" w:hAnsi="Times New Roman"/>
                <w:sz w:val="22"/>
                <w:szCs w:val="22"/>
                <w:lang w:eastAsia="en-US"/>
              </w:rPr>
            </w:pPr>
            <w:r w:rsidRPr="00BF7E0C">
              <w:rPr>
                <w:rFonts w:ascii="Times New Roman" w:hAnsi="Times New Roman"/>
                <w:sz w:val="22"/>
                <w:szCs w:val="22"/>
                <w:lang w:eastAsia="en-US"/>
              </w:rPr>
              <w:t>Banky a pobočky zahraničných bánk: 17 subjektov, ktoré aktuálne poskytujú spotrebiteľské úvery, z toho MSP 8 subjektov a veľké podniky 9 subjektov.</w:t>
            </w:r>
          </w:p>
          <w:p w:rsidR="00BE2B08" w:rsidRPr="00BF7E0C" w:rsidP="00E13521">
            <w:pPr>
              <w:bidi w:val="0"/>
              <w:rPr>
                <w:rFonts w:ascii="Times New Roman" w:hAnsi="Times New Roman"/>
                <w:sz w:val="22"/>
                <w:szCs w:val="22"/>
                <w:lang w:eastAsia="en-US"/>
              </w:rPr>
            </w:pPr>
          </w:p>
          <w:p w:rsidR="00BE2B08" w:rsidRPr="002114A7" w:rsidP="00E13521">
            <w:pPr>
              <w:bidi w:val="0"/>
              <w:rPr>
                <w:rFonts w:ascii="Times New Roman" w:hAnsi="Times New Roman"/>
                <w:i/>
                <w:sz w:val="22"/>
                <w:szCs w:val="22"/>
                <w:lang w:eastAsia="en-US"/>
              </w:rPr>
            </w:pPr>
            <w:r w:rsidRPr="00BF7E0C">
              <w:rPr>
                <w:rFonts w:ascii="Times New Roman" w:hAnsi="Times New Roman"/>
                <w:sz w:val="22"/>
                <w:szCs w:val="22"/>
                <w:lang w:eastAsia="en-US"/>
              </w:rPr>
              <w:t>Nebankoví veritelia: 27 subjektov, z toho MSP 24 subjektov a veľké podniky 3 subjekty.</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Alternatí</w:t>
            </w:r>
            <w:r w:rsidRPr="002114A7">
              <w:rPr>
                <w:rFonts w:ascii="Times New Roman" w:hAnsi="Times New Roman" w:hint="default"/>
                <w:b/>
              </w:rPr>
              <w:t>vne rieš</w:t>
            </w:r>
            <w:r w:rsidRPr="002114A7">
              <w:rPr>
                <w:rFonts w:ascii="Times New Roman" w:hAnsi="Times New Roman" w:hint="default"/>
                <w:b/>
              </w:rPr>
              <w:t>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N/A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Vykoná</w:t>
            </w:r>
            <w:r w:rsidRPr="002114A7">
              <w:rPr>
                <w:rFonts w:ascii="Times New Roman" w:hAnsi="Times New Roman" w:hint="default"/>
                <w:b/>
              </w:rPr>
              <w:t>vacie predpisy</w:t>
            </w:r>
          </w:p>
        </w:tc>
      </w:tr>
      <w:tr>
        <w:tblPrEx>
          <w:tblW w:w="9180" w:type="dxa"/>
          <w:tblLayout w:type="fixed"/>
          <w:tblLook w:val="04A0"/>
        </w:tblPrEx>
        <w:tc>
          <w:tcPr>
            <w:tcW w:w="6204" w:type="dxa"/>
            <w:gridSpan w:val="6"/>
            <w:tcBorders>
              <w:top w:val="single" w:sz="4" w:space="0" w:color="FFFFFF"/>
              <w:left w:val="single" w:sz="4" w:space="0" w:color="auto"/>
              <w:bottom w:val="nil"/>
              <w:right w:val="nil"/>
            </w:tcBorders>
            <w:shd w:val="clear" w:color="auto" w:fill="FFFFFF"/>
            <w:textDirection w:val="lrTb"/>
            <w:vAlign w:val="top"/>
          </w:tcPr>
          <w:p w:rsidR="00BE2B08" w:rsidRPr="002114A7" w:rsidP="00E13521">
            <w:pPr>
              <w:bidi w:val="0"/>
              <w:rPr>
                <w:rFonts w:ascii="Times New Roman" w:hAnsi="Times New Roman"/>
                <w:i/>
                <w:sz w:val="22"/>
                <w:szCs w:val="22"/>
                <w:lang w:eastAsia="en-US"/>
              </w:rPr>
            </w:pPr>
            <w:r w:rsidRPr="002114A7">
              <w:rPr>
                <w:rFonts w:ascii="Times New Roman" w:hAnsi="Times New Roman"/>
                <w:i/>
                <w:sz w:val="22"/>
                <w:szCs w:val="22"/>
                <w:lang w:eastAsia="en-US"/>
              </w:rPr>
              <w:t>Predpokladá sa prijatie/zmena  vykonávacích predpisov?</w:t>
            </w:r>
          </w:p>
        </w:tc>
        <w:tc>
          <w:tcPr>
            <w:tcW w:w="1416" w:type="dxa"/>
            <w:gridSpan w:val="2"/>
            <w:tcBorders>
              <w:top w:val="single" w:sz="4" w:space="0" w:color="FFFFFF"/>
              <w:left w:val="nil"/>
              <w:bottom w:val="nil"/>
              <w:right w:val="nil"/>
            </w:tcBorders>
            <w:shd w:val="clear" w:color="auto" w:fill="FFFFFF"/>
            <w:textDirection w:val="lrTb"/>
            <w:vAlign w:val="top"/>
          </w:tcPr>
          <w:p w:rsidR="00BE2B08" w:rsidRPr="002114A7" w:rsidP="00E13521">
            <w:pPr>
              <w:bidi w:val="0"/>
              <w:jc w:val="center"/>
              <w:rPr>
                <w:rFonts w:ascii="Times New Roman" w:hAnsi="Times New Roman"/>
                <w:sz w:val="22"/>
                <w:szCs w:val="22"/>
                <w:lang w:eastAsia="en-US"/>
              </w:rPr>
            </w:pPr>
            <w:r w:rsidRPr="002114A7">
              <w:rPr>
                <w:rFonts w:ascii="Segoe UI Symbol" w:eastAsia="MS Gothic" w:hAnsi="Segoe UI Symbol" w:cs="Segoe UI Symbol" w:hint="default"/>
                <w:sz w:val="22"/>
                <w:szCs w:val="22"/>
                <w:lang w:eastAsia="en-US"/>
              </w:rPr>
              <w:t>☒</w:t>
            </w:r>
            <w:r w:rsidRPr="002114A7">
              <w:rPr>
                <w:rFonts w:ascii="Times New Roman" w:eastAsia="MS Gothic" w:hAnsi="Times New Roman"/>
                <w:sz w:val="22"/>
                <w:szCs w:val="22"/>
                <w:lang w:eastAsia="en-US"/>
              </w:rPr>
              <w:t xml:space="preserve">  </w:t>
            </w:r>
            <w:r w:rsidRPr="002114A7">
              <w:rPr>
                <w:rFonts w:ascii="Times New Roman" w:hAnsi="Times New Roman"/>
                <w:sz w:val="22"/>
                <w:szCs w:val="22"/>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BE2B08" w:rsidRPr="002114A7" w:rsidP="00E13521">
            <w:pPr>
              <w:bidi w:val="0"/>
              <w:jc w:val="center"/>
              <w:rPr>
                <w:rFonts w:ascii="Times New Roman" w:hAnsi="Times New Roman"/>
                <w:sz w:val="22"/>
                <w:szCs w:val="22"/>
                <w:lang w:eastAsia="en-US"/>
              </w:rPr>
            </w:pPr>
            <w:r w:rsidRPr="002114A7">
              <w:rPr>
                <w:rFonts w:ascii="Segoe UI Symbol" w:eastAsia="MS Gothic" w:hAnsi="Segoe UI Symbol" w:cs="Segoe UI Symbol" w:hint="default"/>
                <w:sz w:val="22"/>
                <w:szCs w:val="22"/>
                <w:lang w:eastAsia="en-US"/>
              </w:rPr>
              <w:t>☐</w:t>
            </w:r>
            <w:r w:rsidRPr="002114A7">
              <w:rPr>
                <w:rFonts w:ascii="Times New Roman" w:hAnsi="Times New Roman"/>
                <w:sz w:val="22"/>
                <w:szCs w:val="22"/>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E2B08" w:rsidRPr="002114A7" w:rsidP="00E13521">
            <w:pPr>
              <w:bidi w:val="0"/>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Transpozí</w:t>
            </w:r>
            <w:r w:rsidRPr="002114A7">
              <w:rPr>
                <w:rFonts w:ascii="Times New Roman" w:hAnsi="Times New Roman" w:hint="default"/>
                <w:b/>
              </w:rPr>
              <w:t>cia prá</w:t>
            </w:r>
            <w:r w:rsidRPr="002114A7">
              <w:rPr>
                <w:rFonts w:ascii="Times New Roman" w:hAnsi="Times New Roman" w:hint="default"/>
                <w:b/>
              </w:rPr>
              <w:t>va EÚ</w:t>
            </w:r>
            <w:r w:rsidRPr="002114A7">
              <w:rPr>
                <w:rFonts w:ascii="Times New Roman" w:hAnsi="Times New Roman" w:hint="default"/>
                <w:b/>
              </w:rPr>
              <w:t xml:space="preserve">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 xml:space="preserve">Nie. </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BE2B08" w:rsidRPr="002114A7" w:rsidP="00E13521">
            <w:pPr>
              <w:bidi w:val="0"/>
              <w:jc w:val="center"/>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Preskú</w:t>
            </w:r>
            <w:r w:rsidRPr="002114A7">
              <w:rPr>
                <w:rFonts w:ascii="Times New Roman" w:hAnsi="Times New Roman" w:hint="default"/>
                <w:b/>
              </w:rPr>
              <w:t>manie úč</w:t>
            </w:r>
            <w:r w:rsidRPr="002114A7">
              <w:rPr>
                <w:rFonts w:ascii="Times New Roman" w:hAnsi="Times New Roman" w:hint="default"/>
                <w:b/>
              </w:rPr>
              <w:t>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E2B08" w:rsidRPr="002114A7" w:rsidP="00E13521">
            <w:pPr>
              <w:bidi w:val="0"/>
              <w:rPr>
                <w:rFonts w:ascii="Times New Roman" w:hAnsi="Times New Roman"/>
                <w:i/>
                <w:sz w:val="22"/>
                <w:szCs w:val="22"/>
                <w:lang w:eastAsia="en-US"/>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BE2B08" w:rsidRPr="002114A7" w:rsidP="00AF5A23">
            <w:pPr>
              <w:bidi w:val="0"/>
              <w:rPr>
                <w:rFonts w:ascii="Times New Roman" w:hAnsi="Times New Roman"/>
                <w:sz w:val="22"/>
                <w:szCs w:val="22"/>
                <w:lang w:eastAsia="en-US"/>
              </w:rPr>
            </w:pPr>
          </w:p>
          <w:p w:rsidR="00BE2B08" w:rsidRPr="002114A7" w:rsidP="00E13521">
            <w:pPr>
              <w:bidi w:val="0"/>
              <w:ind w:left="142" w:hanging="142"/>
              <w:rPr>
                <w:rFonts w:ascii="Times New Roman" w:hAnsi="Times New Roman"/>
                <w:sz w:val="22"/>
                <w:szCs w:val="22"/>
                <w:lang w:eastAsia="en-US"/>
              </w:rPr>
            </w:pPr>
          </w:p>
          <w:p w:rsidR="00BE2B08" w:rsidRPr="002114A7" w:rsidP="00284A1A">
            <w:pPr>
              <w:bidi w:val="0"/>
              <w:ind w:left="142" w:hanging="142"/>
              <w:jc w:val="both"/>
              <w:rPr>
                <w:rFonts w:ascii="Times New Roman" w:hAnsi="Times New Roman"/>
                <w:sz w:val="22"/>
                <w:szCs w:val="22"/>
                <w:lang w:eastAsia="en-US"/>
              </w:rPr>
            </w:pPr>
            <w:r w:rsidRPr="002114A7">
              <w:rPr>
                <w:rFonts w:ascii="Times New Roman" w:hAnsi="Times New Roman"/>
                <w:sz w:val="22"/>
                <w:szCs w:val="22"/>
                <w:lang w:eastAsia="en-US"/>
              </w:rPr>
              <w:t>* vyplniť iba v prípade, ak materiál nie je zahrnutý do Plánu práce vlády Slovensk</w:t>
            </w:r>
            <w:r w:rsidR="00AF5A23">
              <w:rPr>
                <w:rFonts w:ascii="Times New Roman" w:hAnsi="Times New Roman"/>
                <w:sz w:val="22"/>
                <w:szCs w:val="22"/>
                <w:lang w:eastAsia="en-US"/>
              </w:rPr>
              <w:t xml:space="preserve">ej republiky alebo Plánu </w:t>
            </w:r>
            <w:r w:rsidRPr="002114A7">
              <w:rPr>
                <w:rFonts w:ascii="Times New Roman" w:hAnsi="Times New Roman"/>
                <w:sz w:val="22"/>
                <w:szCs w:val="22"/>
                <w:lang w:eastAsia="en-US"/>
              </w:rPr>
              <w:t xml:space="preserve">legislatívnych úloh vlády Slovenskej republiky. </w:t>
            </w:r>
          </w:p>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BE2B08" w:rsidRPr="002114A7" w:rsidP="00E13521">
            <w:pPr>
              <w:bidi w:val="0"/>
              <w:rPr>
                <w:rFonts w:ascii="Times New Roman" w:hAnsi="Times New Roman"/>
                <w:b/>
                <w:sz w:val="22"/>
                <w:szCs w:val="22"/>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Vplyvy navrhované</w:t>
            </w:r>
            <w:r w:rsidRPr="002114A7">
              <w:rPr>
                <w:rFonts w:ascii="Times New Roman" w:hAnsi="Times New Roman" w:hint="default"/>
                <w:b/>
              </w:rPr>
              <w:t>ho materiá</w:t>
            </w:r>
            <w:r w:rsidRPr="002114A7">
              <w:rPr>
                <w:rFonts w:ascii="Times New Roman" w:hAnsi="Times New Roman" w:hint="default"/>
                <w:b/>
              </w:rPr>
              <w:t>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Pozitívne</w:t>
            </w:r>
          </w:p>
        </w:tc>
        <w:tc>
          <w:tcPr>
            <w:tcW w:w="570" w:type="dxa"/>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Gothic" w:hAnsi="Segoe UI Symbol" w:cs="Segoe UI Symbol" w:hint="default"/>
                <w:b/>
                <w:sz w:val="22"/>
                <w:szCs w:val="22"/>
                <w:lang w:eastAsia="en-US"/>
              </w:rPr>
              <w:t>☒</w:t>
            </w:r>
          </w:p>
        </w:tc>
        <w:tc>
          <w:tcPr>
            <w:tcW w:w="1132" w:type="dxa"/>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E2B08" w:rsidRPr="002114A7" w:rsidP="00E13521">
            <w:pPr>
              <w:bidi w:val="0"/>
              <w:ind w:left="-107" w:right="-108"/>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E2B08" w:rsidRPr="002114A7" w:rsidP="00E13521">
            <w:pPr>
              <w:bidi w:val="0"/>
              <w:ind w:left="34"/>
              <w:rPr>
                <w:rFonts w:ascii="Times New Roman" w:hAnsi="Times New Roman"/>
                <w:b/>
                <w:sz w:val="22"/>
                <w:szCs w:val="22"/>
                <w:lang w:eastAsia="en-US"/>
              </w:rPr>
            </w:pPr>
            <w:r w:rsidRPr="002114A7">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E2B08" w:rsidRPr="002114A7" w:rsidP="00E13521">
            <w:pPr>
              <w:bidi w:val="0"/>
              <w:jc w:val="center"/>
              <w:rPr>
                <w:rFonts w:ascii="Times New Roman" w:hAnsi="Times New Roman"/>
                <w:sz w:val="22"/>
                <w:szCs w:val="22"/>
                <w:lang w:eastAsia="en-US"/>
              </w:rPr>
            </w:pPr>
            <w:r w:rsidRPr="002114A7">
              <w:rPr>
                <w:rFonts w:ascii="Segoe UI Symbol" w:eastAsia="MS Mincho" w:hAnsi="Segoe UI Symbol" w:cs="Segoe UI Symbol" w:hint="default"/>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Áno</w:t>
            </w:r>
          </w:p>
        </w:tc>
        <w:tc>
          <w:tcPr>
            <w:tcW w:w="570" w:type="dxa"/>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sz w:val="22"/>
                <w:szCs w:val="22"/>
                <w:lang w:eastAsia="en-US"/>
              </w:rPr>
            </w:pPr>
            <w:r w:rsidRPr="002114A7">
              <w:rPr>
                <w:rFonts w:ascii="Segoe UI Symbol" w:eastAsia="MS Mincho" w:hAnsi="Segoe UI Symbol" w:cs="Segoe UI Symbol" w:hint="default"/>
                <w:sz w:val="22"/>
                <w:szCs w:val="22"/>
                <w:lang w:eastAsia="en-US"/>
              </w:rPr>
              <w:t>☐</w:t>
            </w:r>
          </w:p>
        </w:tc>
        <w:tc>
          <w:tcPr>
            <w:tcW w:w="1132" w:type="dxa"/>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BE2B08" w:rsidRPr="002114A7" w:rsidP="00E13521">
            <w:pPr>
              <w:bidi w:val="0"/>
              <w:ind w:left="-107" w:right="-108"/>
              <w:jc w:val="center"/>
              <w:rPr>
                <w:rFonts w:ascii="Times New Roman" w:hAnsi="Times New Roman"/>
                <w:sz w:val="22"/>
                <w:szCs w:val="22"/>
                <w:lang w:eastAsia="en-US"/>
              </w:rPr>
            </w:pPr>
            <w:r w:rsidRPr="002114A7">
              <w:rPr>
                <w:rFonts w:ascii="Segoe UI Symbol" w:eastAsia="MS Mincho" w:hAnsi="Segoe UI Symbol" w:cs="Segoe UI Symbol" w:hint="default"/>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E2B08" w:rsidRPr="002114A7" w:rsidP="00E13521">
            <w:pPr>
              <w:bidi w:val="0"/>
              <w:ind w:left="34"/>
              <w:rPr>
                <w:rFonts w:ascii="Times New Roman" w:hAnsi="Times New Roman"/>
                <w:sz w:val="22"/>
                <w:szCs w:val="22"/>
                <w:lang w:eastAsia="en-US"/>
              </w:rPr>
            </w:pPr>
            <w:r w:rsidRPr="002114A7">
              <w:rPr>
                <w:rFonts w:ascii="Times New Roman" w:hAnsi="Times New Roman"/>
                <w:sz w:val="22"/>
                <w:szCs w:val="22"/>
                <w:lang w:eastAsia="en-US"/>
              </w:rPr>
              <w:t>Čiastočne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E2B08" w:rsidRPr="002114A7" w:rsidP="00E13521">
            <w:pPr>
              <w:bidi w:val="0"/>
              <w:ind w:right="-108"/>
              <w:rPr>
                <w:rFonts w:ascii="Times New Roman" w:hAnsi="Times New Roman"/>
                <w:b/>
                <w:sz w:val="22"/>
                <w:szCs w:val="22"/>
                <w:lang w:eastAsia="en-US"/>
              </w:rPr>
            </w:pPr>
            <w:r w:rsidRPr="002114A7">
              <w:rPr>
                <w:rFonts w:ascii="Times New Roman" w:hAnsi="Times New Roman"/>
                <w:b/>
                <w:sz w:val="22"/>
                <w:szCs w:val="22"/>
                <w:lang w:eastAsia="en-US"/>
              </w:rPr>
              <w:t>Pozitívne</w:t>
            </w:r>
          </w:p>
        </w:tc>
        <w:tc>
          <w:tcPr>
            <w:tcW w:w="570" w:type="dxa"/>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Gothic" w:hAnsi="Segoe UI Symbol" w:cs="Segoe UI Symbol" w:hint="default"/>
                <w:b/>
                <w:sz w:val="22"/>
                <w:szCs w:val="22"/>
                <w:lang w:eastAsia="en-US"/>
              </w:rPr>
              <w:t>☐</w:t>
            </w:r>
          </w:p>
        </w:tc>
        <w:tc>
          <w:tcPr>
            <w:tcW w:w="1132" w:type="dxa"/>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E2B08" w:rsidRPr="002114A7" w:rsidP="00E13521">
            <w:pPr>
              <w:bidi w:val="0"/>
              <w:ind w:left="54"/>
              <w:rPr>
                <w:rFonts w:ascii="Times New Roman" w:hAnsi="Times New Roman"/>
                <w:b/>
                <w:sz w:val="22"/>
                <w:szCs w:val="22"/>
                <w:lang w:eastAsia="en-US"/>
              </w:rPr>
            </w:pPr>
            <w:r w:rsidRPr="002114A7">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000000"/>
              <w:bottom w:val="single" w:sz="4" w:space="0" w:color="auto"/>
              <w:right w:val="single" w:sz="4" w:space="0" w:color="000000"/>
            </w:tcBorders>
            <w:shd w:val="clear" w:color="auto" w:fill="E2E2E2"/>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BE2B08" w:rsidRPr="002114A7" w:rsidP="00E13521">
            <w:pPr>
              <w:bidi w:val="0"/>
              <w:jc w:val="center"/>
              <w:rPr>
                <w:rFonts w:ascii="Times New Roman" w:hAnsi="Times New Roman"/>
                <w:sz w:val="22"/>
                <w:szCs w:val="22"/>
                <w:lang w:eastAsia="en-US"/>
              </w:rPr>
            </w:pPr>
            <w:r w:rsidRPr="00BF7E0C">
              <w:rPr>
                <w:rFonts w:ascii="Segoe UI Symbol" w:eastAsia="MS Mincho" w:hAnsi="Segoe UI Symbol" w:cs="Segoe UI Symbol" w:hint="default"/>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E2B08" w:rsidRPr="002114A7" w:rsidP="00E13521">
            <w:pPr>
              <w:bidi w:val="0"/>
              <w:ind w:right="-108"/>
              <w:rPr>
                <w:rFonts w:ascii="Times New Roman" w:hAnsi="Times New Roman"/>
                <w:sz w:val="22"/>
                <w:szCs w:val="22"/>
                <w:lang w:eastAsia="en-US"/>
              </w:rPr>
            </w:pPr>
            <w:r w:rsidRPr="002114A7">
              <w:rPr>
                <w:rFonts w:ascii="Times New Roman" w:hAnsi="Times New Roman"/>
                <w:sz w:val="22"/>
                <w:szCs w:val="22"/>
                <w:lang w:eastAsia="en-US"/>
              </w:rPr>
              <w:t>Pozitívne</w:t>
            </w:r>
          </w:p>
        </w:tc>
        <w:tc>
          <w:tcPr>
            <w:tcW w:w="570" w:type="dxa"/>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sz w:val="22"/>
                <w:szCs w:val="22"/>
                <w:lang w:eastAsia="en-US"/>
              </w:rPr>
            </w:pPr>
            <w:r w:rsidRPr="002114A7">
              <w:rPr>
                <w:rFonts w:ascii="Segoe UI Symbol" w:eastAsia="MS Mincho" w:hAnsi="Segoe UI Symbol" w:cs="Segoe UI Symbol" w:hint="default"/>
                <w:sz w:val="22"/>
                <w:szCs w:val="22"/>
                <w:lang w:eastAsia="en-US"/>
              </w:rPr>
              <w:t>☐</w:t>
            </w:r>
          </w:p>
        </w:tc>
        <w:tc>
          <w:tcPr>
            <w:tcW w:w="1132" w:type="dxa"/>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sz w:val="22"/>
                <w:szCs w:val="22"/>
                <w:lang w:eastAsia="en-US"/>
              </w:rPr>
            </w:pPr>
            <w:r w:rsidRPr="00BF7E0C">
              <w:rPr>
                <w:rFonts w:ascii="Segoe UI Symbol" w:eastAsia="MS Mincho" w:hAnsi="Segoe UI Symbol" w:cs="Segoe UI Symbol" w:hint="default"/>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E2B08" w:rsidRPr="002114A7" w:rsidP="00E13521">
            <w:pPr>
              <w:bidi w:val="0"/>
              <w:ind w:left="54"/>
              <w:rPr>
                <w:rFonts w:ascii="Times New Roman" w:hAnsi="Times New Roman"/>
                <w:sz w:val="22"/>
                <w:szCs w:val="22"/>
                <w:lang w:eastAsia="en-US"/>
              </w:rPr>
            </w:pPr>
            <w:r w:rsidRPr="002114A7">
              <w:rPr>
                <w:rFonts w:ascii="Times New Roman" w:hAnsi="Times New Roman"/>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E2B08" w:rsidRPr="002114A7" w:rsidP="00E13521">
            <w:pPr>
              <w:bidi w:val="0"/>
              <w:ind w:right="-108"/>
              <w:rPr>
                <w:rFonts w:ascii="Times New Roman" w:hAnsi="Times New Roman"/>
                <w:b/>
                <w:sz w:val="22"/>
                <w:szCs w:val="22"/>
                <w:lang w:eastAsia="en-US"/>
              </w:rPr>
            </w:pPr>
            <w:r w:rsidRPr="002114A7">
              <w:rPr>
                <w:rFonts w:ascii="Times New Roman" w:hAnsi="Times New Roman"/>
                <w:b/>
                <w:sz w:val="22"/>
                <w:szCs w:val="22"/>
                <w:lang w:eastAsia="en-US"/>
              </w:rPr>
              <w:t>Pozitívne</w:t>
            </w:r>
          </w:p>
        </w:tc>
        <w:tc>
          <w:tcPr>
            <w:tcW w:w="570" w:type="dxa"/>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Gothic" w:hAnsi="Segoe UI Symbol" w:cs="Segoe UI Symbol" w:hint="default"/>
                <w:b/>
                <w:sz w:val="22"/>
                <w:szCs w:val="22"/>
                <w:lang w:eastAsia="en-US"/>
              </w:rPr>
              <w:t>☐</w:t>
            </w:r>
          </w:p>
        </w:tc>
        <w:tc>
          <w:tcPr>
            <w:tcW w:w="1132" w:type="dxa"/>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E2B08" w:rsidRPr="002114A7" w:rsidP="00E13521">
            <w:pPr>
              <w:bidi w:val="0"/>
              <w:ind w:left="54"/>
              <w:rPr>
                <w:rFonts w:ascii="Times New Roman" w:hAnsi="Times New Roman"/>
                <w:b/>
                <w:sz w:val="22"/>
                <w:szCs w:val="22"/>
                <w:lang w:eastAsia="en-US"/>
              </w:rPr>
            </w:pPr>
            <w:r w:rsidRPr="002114A7">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E2B08" w:rsidRPr="002114A7" w:rsidP="00E13521">
            <w:pPr>
              <w:bidi w:val="0"/>
              <w:ind w:right="-108"/>
              <w:rPr>
                <w:rFonts w:ascii="Times New Roman" w:hAnsi="Times New Roman"/>
                <w:b/>
                <w:sz w:val="22"/>
                <w:szCs w:val="22"/>
                <w:lang w:eastAsia="en-US"/>
              </w:rPr>
            </w:pPr>
            <w:r w:rsidRPr="002114A7">
              <w:rPr>
                <w:rFonts w:ascii="Times New Roman" w:hAnsi="Times New Roman"/>
                <w:b/>
                <w:sz w:val="22"/>
                <w:szCs w:val="22"/>
                <w:lang w:eastAsia="en-US"/>
              </w:rPr>
              <w:t>Pozitívne</w:t>
            </w:r>
          </w:p>
        </w:tc>
        <w:tc>
          <w:tcPr>
            <w:tcW w:w="570" w:type="dxa"/>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Gothic" w:hAnsi="Segoe UI Symbol" w:cs="Segoe UI Symbol" w:hint="default"/>
                <w:b/>
                <w:sz w:val="22"/>
                <w:szCs w:val="22"/>
                <w:lang w:eastAsia="en-US"/>
              </w:rPr>
              <w:t>☒</w:t>
            </w:r>
          </w:p>
        </w:tc>
        <w:tc>
          <w:tcPr>
            <w:tcW w:w="1132" w:type="dxa"/>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E2B08" w:rsidRPr="002114A7" w:rsidP="00E13521">
            <w:pPr>
              <w:bidi w:val="0"/>
              <w:ind w:left="54"/>
              <w:rPr>
                <w:rFonts w:ascii="Times New Roman" w:hAnsi="Times New Roman"/>
                <w:b/>
                <w:sz w:val="22"/>
                <w:szCs w:val="22"/>
                <w:lang w:eastAsia="en-US"/>
              </w:rPr>
            </w:pPr>
            <w:r w:rsidRPr="002114A7">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E2B08" w:rsidRPr="002114A7" w:rsidP="00E13521">
            <w:pPr>
              <w:bidi w:val="0"/>
              <w:ind w:right="-108"/>
              <w:rPr>
                <w:rFonts w:ascii="Times New Roman" w:hAnsi="Times New Roman"/>
                <w:b/>
                <w:sz w:val="22"/>
                <w:szCs w:val="22"/>
                <w:lang w:eastAsia="en-US"/>
              </w:rPr>
            </w:pPr>
            <w:r w:rsidRPr="002114A7">
              <w:rPr>
                <w:rFonts w:ascii="Times New Roman" w:hAnsi="Times New Roman"/>
                <w:b/>
                <w:sz w:val="22"/>
                <w:szCs w:val="22"/>
                <w:lang w:eastAsia="en-US"/>
              </w:rPr>
              <w:t>Pozitívne</w:t>
            </w:r>
          </w:p>
        </w:tc>
        <w:tc>
          <w:tcPr>
            <w:tcW w:w="570" w:type="dxa"/>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Gothic" w:hAnsi="Segoe UI Symbol" w:cs="Segoe UI Symbol" w:hint="default"/>
                <w:b/>
                <w:sz w:val="22"/>
                <w:szCs w:val="22"/>
                <w:lang w:eastAsia="en-US"/>
              </w:rPr>
              <w:t>☒</w:t>
            </w:r>
          </w:p>
        </w:tc>
        <w:tc>
          <w:tcPr>
            <w:tcW w:w="1132" w:type="dxa"/>
            <w:tcBorders>
              <w:top w:val="single" w:sz="4" w:space="0" w:color="auto"/>
              <w:left w:val="nil"/>
              <w:bottom w:val="single" w:sz="4" w:space="0" w:color="auto"/>
              <w:right w:val="nil"/>
            </w:tcBorders>
            <w:textDirection w:val="lrTb"/>
            <w:vAlign w:val="top"/>
          </w:tcPr>
          <w:p w:rsidR="00BE2B08" w:rsidRPr="002114A7" w:rsidP="00E13521">
            <w:pPr>
              <w:bidi w:val="0"/>
              <w:rPr>
                <w:rFonts w:ascii="Times New Roman" w:hAnsi="Times New Roman"/>
                <w:b/>
                <w:sz w:val="22"/>
                <w:szCs w:val="22"/>
                <w:lang w:eastAsia="en-US"/>
              </w:rPr>
            </w:pPr>
            <w:r w:rsidRPr="002114A7">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E2B08" w:rsidRPr="002114A7" w:rsidP="00E13521">
            <w:pPr>
              <w:bidi w:val="0"/>
              <w:jc w:val="center"/>
              <w:rPr>
                <w:rFonts w:ascii="Times New Roman" w:hAnsi="Times New Roman"/>
                <w:b/>
                <w:sz w:val="22"/>
                <w:szCs w:val="22"/>
                <w:lang w:eastAsia="en-US"/>
              </w:rPr>
            </w:pPr>
            <w:r w:rsidRPr="002114A7">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E2B08" w:rsidRPr="002114A7" w:rsidP="00E13521">
            <w:pPr>
              <w:bidi w:val="0"/>
              <w:ind w:left="54"/>
              <w:rPr>
                <w:rFonts w:ascii="Times New Roman" w:hAnsi="Times New Roman"/>
                <w:b/>
                <w:sz w:val="22"/>
                <w:szCs w:val="22"/>
                <w:lang w:eastAsia="en-US"/>
              </w:rPr>
            </w:pPr>
            <w:r w:rsidRPr="002114A7">
              <w:rPr>
                <w:rFonts w:ascii="Times New Roman" w:hAnsi="Times New Roman"/>
                <w:b/>
                <w:sz w:val="22"/>
                <w:szCs w:val="22"/>
                <w:lang w:eastAsia="en-US"/>
              </w:rPr>
              <w:t>Negatívne</w:t>
            </w:r>
          </w:p>
        </w:tc>
      </w:tr>
    </w:tbl>
    <w:p w:rsidR="00BE2B08" w:rsidRPr="00BE2B08" w:rsidP="00BE2B08">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E2B08" w:rsidRPr="002114A7" w:rsidP="00E13521">
            <w:pPr>
              <w:bidi w:val="0"/>
              <w:spacing w:after="0" w:line="240" w:lineRule="auto"/>
              <w:rPr>
                <w:rFonts w:ascii="Times New Roman" w:hAnsi="Times New Roman"/>
                <w:b/>
                <w:sz w:val="22"/>
                <w:szCs w:val="22"/>
              </w:rPr>
            </w:pPr>
            <w:r w:rsidRPr="002114A7">
              <w:rPr>
                <w:rFonts w:ascii="Times New Roman" w:hAnsi="Times New Roman"/>
                <w:b/>
                <w:sz w:val="22"/>
                <w:szCs w:val="22"/>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BE2B08" w:rsidRPr="002114A7" w:rsidP="00E13521">
            <w:pPr>
              <w:bidi w:val="0"/>
              <w:spacing w:after="0" w:line="240" w:lineRule="auto"/>
              <w:jc w:val="center"/>
              <w:rPr>
                <w:rFonts w:ascii="Times New Roman" w:eastAsia="MS Mincho" w:hAnsi="Times New Roman"/>
                <w:b/>
                <w:sz w:val="22"/>
                <w:szCs w:val="22"/>
              </w:rPr>
            </w:pPr>
          </w:p>
        </w:tc>
        <w:tc>
          <w:tcPr>
            <w:tcW w:w="1281" w:type="dxa"/>
            <w:tcBorders>
              <w:top w:val="single" w:sz="4" w:space="0" w:color="auto"/>
              <w:left w:val="nil"/>
              <w:bottom w:val="nil"/>
              <w:right w:val="nil"/>
            </w:tcBorders>
            <w:textDirection w:val="lrTb"/>
            <w:vAlign w:val="top"/>
          </w:tcPr>
          <w:p w:rsidR="00BE2B08" w:rsidRPr="002114A7" w:rsidP="00E13521">
            <w:pPr>
              <w:bidi w:val="0"/>
              <w:spacing w:after="0" w:line="240" w:lineRule="auto"/>
              <w:ind w:right="-108"/>
              <w:rPr>
                <w:rFonts w:ascii="Times New Roman" w:hAnsi="Times New Roman"/>
                <w:b/>
                <w:sz w:val="22"/>
                <w:szCs w:val="22"/>
              </w:rPr>
            </w:pPr>
          </w:p>
        </w:tc>
        <w:tc>
          <w:tcPr>
            <w:tcW w:w="569" w:type="dxa"/>
            <w:tcBorders>
              <w:top w:val="single" w:sz="4" w:space="0" w:color="auto"/>
              <w:left w:val="nil"/>
              <w:bottom w:val="nil"/>
              <w:right w:val="nil"/>
            </w:tcBorders>
            <w:textDirection w:val="lrTb"/>
            <w:vAlign w:val="top"/>
          </w:tcPr>
          <w:p w:rsidR="00BE2B08" w:rsidRPr="002114A7" w:rsidP="00E13521">
            <w:pPr>
              <w:bidi w:val="0"/>
              <w:spacing w:after="0" w:line="240" w:lineRule="auto"/>
              <w:jc w:val="center"/>
              <w:rPr>
                <w:rFonts w:ascii="Times New Roman" w:eastAsia="MS Mincho" w:hAnsi="Times New Roman"/>
                <w:b/>
                <w:sz w:val="22"/>
                <w:szCs w:val="22"/>
              </w:rPr>
            </w:pPr>
          </w:p>
        </w:tc>
        <w:tc>
          <w:tcPr>
            <w:tcW w:w="1133" w:type="dxa"/>
            <w:tcBorders>
              <w:top w:val="single" w:sz="4" w:space="0" w:color="auto"/>
              <w:left w:val="nil"/>
              <w:bottom w:val="nil"/>
              <w:right w:val="nil"/>
            </w:tcBorders>
            <w:textDirection w:val="lrTb"/>
            <w:vAlign w:val="top"/>
          </w:tcPr>
          <w:p w:rsidR="00BE2B08" w:rsidRPr="002114A7" w:rsidP="00E13521">
            <w:pPr>
              <w:bidi w:val="0"/>
              <w:spacing w:after="0" w:line="240" w:lineRule="auto"/>
              <w:rPr>
                <w:rFonts w:ascii="Times New Roman" w:hAnsi="Times New Roman"/>
                <w:b/>
                <w:sz w:val="22"/>
                <w:szCs w:val="22"/>
              </w:rPr>
            </w:pPr>
          </w:p>
        </w:tc>
        <w:tc>
          <w:tcPr>
            <w:tcW w:w="547" w:type="dxa"/>
            <w:tcBorders>
              <w:top w:val="single" w:sz="4" w:space="0" w:color="auto"/>
              <w:left w:val="nil"/>
              <w:bottom w:val="nil"/>
              <w:right w:val="nil"/>
            </w:tcBorders>
            <w:textDirection w:val="lrTb"/>
            <w:vAlign w:val="top"/>
          </w:tcPr>
          <w:p w:rsidR="00BE2B08" w:rsidRPr="002114A7" w:rsidP="00E13521">
            <w:pPr>
              <w:bidi w:val="0"/>
              <w:spacing w:after="0" w:line="240" w:lineRule="auto"/>
              <w:jc w:val="center"/>
              <w:rPr>
                <w:rFonts w:ascii="Times New Roman" w:eastAsia="MS Mincho" w:hAnsi="Times New Roman"/>
                <w:b/>
                <w:sz w:val="22"/>
                <w:szCs w:val="22"/>
              </w:rPr>
            </w:pPr>
          </w:p>
        </w:tc>
        <w:tc>
          <w:tcPr>
            <w:tcW w:w="1297" w:type="dxa"/>
            <w:tcBorders>
              <w:top w:val="single" w:sz="4" w:space="0" w:color="auto"/>
              <w:left w:val="nil"/>
              <w:bottom w:val="nil"/>
              <w:right w:val="single" w:sz="4" w:space="0" w:color="auto"/>
            </w:tcBorders>
            <w:textDirection w:val="lrTb"/>
            <w:vAlign w:val="top"/>
          </w:tcPr>
          <w:p w:rsidR="00BE2B08" w:rsidRPr="002114A7" w:rsidP="00E13521">
            <w:pPr>
              <w:bidi w:val="0"/>
              <w:spacing w:after="0" w:line="240" w:lineRule="auto"/>
              <w:ind w:left="54"/>
              <w:rPr>
                <w:rFonts w:ascii="Times New Roman" w:hAnsi="Times New Roman"/>
                <w:b/>
                <w:sz w:val="22"/>
                <w:szCs w:val="22"/>
              </w:rPr>
            </w:pP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BE2B08" w:rsidRPr="002114A7" w:rsidP="00AA2F0B">
            <w:pPr>
              <w:bidi w:val="0"/>
              <w:spacing w:after="0" w:line="240" w:lineRule="auto"/>
              <w:rPr>
                <w:rFonts w:ascii="Times New Roman" w:hAnsi="Times New Roman"/>
                <w:b/>
                <w:sz w:val="22"/>
                <w:szCs w:val="22"/>
                <w:lang w:eastAsia="en-US"/>
              </w:rPr>
            </w:pPr>
            <w:r w:rsidRPr="002114A7">
              <w:rPr>
                <w:rFonts w:ascii="Times New Roman" w:hAnsi="Times New Roman"/>
                <w:b/>
                <w:sz w:val="22"/>
                <w:szCs w:val="22"/>
                <w:lang w:eastAsia="en-US"/>
              </w:rPr>
              <w:t>vplyvy služ</w:t>
            </w:r>
            <w:r w:rsidR="00AA2F0B">
              <w:rPr>
                <w:rFonts w:ascii="Times New Roman" w:hAnsi="Times New Roman"/>
                <w:b/>
                <w:sz w:val="22"/>
                <w:szCs w:val="22"/>
                <w:lang w:eastAsia="en-US"/>
              </w:rPr>
              <w:t>ieb verej</w:t>
            </w:r>
            <w:r w:rsidRPr="002114A7">
              <w:rPr>
                <w:rFonts w:ascii="Times New Roman" w:hAnsi="Times New Roman"/>
                <w:b/>
                <w:sz w:val="22"/>
                <w:szCs w:val="22"/>
                <w:lang w:eastAsia="en-US"/>
              </w:rPr>
              <w:t>nej správy na občana</w:t>
            </w:r>
          </w:p>
        </w:tc>
        <w:tc>
          <w:tcPr>
            <w:tcW w:w="541" w:type="dxa"/>
            <w:tcBorders>
              <w:top w:val="nil"/>
              <w:left w:val="single" w:sz="4" w:space="0" w:color="auto"/>
              <w:bottom w:val="nil"/>
              <w:right w:val="nil"/>
            </w:tcBorders>
            <w:textDirection w:val="lrTb"/>
            <w:vAlign w:val="top"/>
          </w:tcPr>
          <w:p w:rsidR="00BE2B08" w:rsidRPr="002114A7" w:rsidP="00E13521">
            <w:pPr>
              <w:bidi w:val="0"/>
              <w:spacing w:after="0" w:line="240" w:lineRule="auto"/>
              <w:jc w:val="center"/>
              <w:rPr>
                <w:rFonts w:ascii="Times New Roman" w:hAnsi="Times New Roman"/>
                <w:b/>
                <w:sz w:val="22"/>
                <w:szCs w:val="22"/>
              </w:rPr>
            </w:pPr>
            <w:r w:rsidRPr="002114A7">
              <w:rPr>
                <w:rFonts w:ascii="Segoe UI Symbol" w:eastAsia="MS Gothic" w:hAnsi="Segoe UI Symbol" w:cs="Segoe UI Symbol" w:hint="default"/>
                <w:b/>
                <w:sz w:val="22"/>
                <w:szCs w:val="22"/>
              </w:rPr>
              <w:t>☐</w:t>
            </w:r>
          </w:p>
        </w:tc>
        <w:tc>
          <w:tcPr>
            <w:tcW w:w="1281" w:type="dxa"/>
            <w:tcBorders>
              <w:top w:val="nil"/>
              <w:left w:val="nil"/>
              <w:bottom w:val="nil"/>
              <w:right w:val="nil"/>
            </w:tcBorders>
            <w:textDirection w:val="lrTb"/>
            <w:vAlign w:val="top"/>
          </w:tcPr>
          <w:p w:rsidR="00BE2B08" w:rsidRPr="002114A7" w:rsidP="00E13521">
            <w:pPr>
              <w:bidi w:val="0"/>
              <w:spacing w:after="0" w:line="240" w:lineRule="auto"/>
              <w:ind w:right="-108"/>
              <w:rPr>
                <w:rFonts w:ascii="Times New Roman" w:hAnsi="Times New Roman"/>
                <w:b/>
                <w:sz w:val="22"/>
                <w:szCs w:val="22"/>
              </w:rPr>
            </w:pPr>
            <w:r w:rsidRPr="002114A7">
              <w:rPr>
                <w:rFonts w:ascii="Times New Roman" w:hAnsi="Times New Roman"/>
                <w:b/>
                <w:sz w:val="22"/>
                <w:szCs w:val="22"/>
              </w:rPr>
              <w:t>Pozitívne</w:t>
            </w:r>
          </w:p>
        </w:tc>
        <w:tc>
          <w:tcPr>
            <w:tcW w:w="569" w:type="dxa"/>
            <w:tcBorders>
              <w:top w:val="nil"/>
              <w:left w:val="nil"/>
              <w:bottom w:val="nil"/>
              <w:right w:val="nil"/>
            </w:tcBorders>
            <w:textDirection w:val="lrTb"/>
            <w:vAlign w:val="top"/>
          </w:tcPr>
          <w:p w:rsidR="00BE2B08" w:rsidRPr="002114A7" w:rsidP="00E13521">
            <w:pPr>
              <w:bidi w:val="0"/>
              <w:spacing w:after="0" w:line="240" w:lineRule="auto"/>
              <w:jc w:val="center"/>
              <w:rPr>
                <w:rFonts w:ascii="Times New Roman" w:hAnsi="Times New Roman"/>
                <w:b/>
                <w:sz w:val="22"/>
                <w:szCs w:val="22"/>
              </w:rPr>
            </w:pPr>
            <w:r w:rsidRPr="002114A7">
              <w:rPr>
                <w:rFonts w:ascii="Segoe UI Symbol" w:eastAsia="MS Gothic" w:hAnsi="Segoe UI Symbol" w:cs="Segoe UI Symbol" w:hint="default"/>
                <w:b/>
                <w:sz w:val="22"/>
                <w:szCs w:val="22"/>
              </w:rPr>
              <w:t>☒</w:t>
            </w:r>
          </w:p>
        </w:tc>
        <w:tc>
          <w:tcPr>
            <w:tcW w:w="1133" w:type="dxa"/>
            <w:tcBorders>
              <w:top w:val="nil"/>
              <w:left w:val="nil"/>
              <w:bottom w:val="nil"/>
              <w:right w:val="nil"/>
            </w:tcBorders>
            <w:textDirection w:val="lrTb"/>
            <w:vAlign w:val="top"/>
          </w:tcPr>
          <w:p w:rsidR="00BE2B08" w:rsidRPr="002114A7" w:rsidP="00E13521">
            <w:pPr>
              <w:bidi w:val="0"/>
              <w:spacing w:after="0" w:line="240" w:lineRule="auto"/>
              <w:rPr>
                <w:rFonts w:ascii="Times New Roman" w:hAnsi="Times New Roman"/>
                <w:b/>
                <w:sz w:val="22"/>
                <w:szCs w:val="22"/>
              </w:rPr>
            </w:pPr>
            <w:r w:rsidRPr="002114A7">
              <w:rPr>
                <w:rFonts w:ascii="Times New Roman" w:hAnsi="Times New Roman"/>
                <w:b/>
                <w:sz w:val="22"/>
                <w:szCs w:val="22"/>
              </w:rPr>
              <w:t>Žiadne</w:t>
            </w:r>
          </w:p>
        </w:tc>
        <w:tc>
          <w:tcPr>
            <w:tcW w:w="547" w:type="dxa"/>
            <w:tcBorders>
              <w:top w:val="nil"/>
              <w:left w:val="nil"/>
              <w:bottom w:val="nil"/>
              <w:right w:val="nil"/>
            </w:tcBorders>
            <w:textDirection w:val="lrTb"/>
            <w:vAlign w:val="top"/>
          </w:tcPr>
          <w:p w:rsidR="00BE2B08" w:rsidRPr="002114A7" w:rsidP="00E13521">
            <w:pPr>
              <w:bidi w:val="0"/>
              <w:spacing w:after="0" w:line="240" w:lineRule="auto"/>
              <w:jc w:val="center"/>
              <w:rPr>
                <w:rFonts w:ascii="Times New Roman" w:hAnsi="Times New Roman"/>
                <w:b/>
                <w:sz w:val="22"/>
                <w:szCs w:val="22"/>
              </w:rPr>
            </w:pPr>
            <w:r w:rsidRPr="002114A7">
              <w:rPr>
                <w:rFonts w:ascii="Segoe UI Symbol" w:eastAsia="MS Mincho" w:hAnsi="Segoe UI Symbol" w:cs="Segoe UI Symbol" w:hint="default"/>
                <w:b/>
                <w:sz w:val="22"/>
                <w:szCs w:val="22"/>
              </w:rPr>
              <w:t>☐</w:t>
            </w:r>
          </w:p>
        </w:tc>
        <w:tc>
          <w:tcPr>
            <w:tcW w:w="1297" w:type="dxa"/>
            <w:tcBorders>
              <w:top w:val="nil"/>
              <w:left w:val="nil"/>
              <w:bottom w:val="nil"/>
              <w:right w:val="single" w:sz="4" w:space="0" w:color="auto"/>
            </w:tcBorders>
            <w:textDirection w:val="lrTb"/>
            <w:vAlign w:val="top"/>
          </w:tcPr>
          <w:p w:rsidR="00BE2B08" w:rsidRPr="002114A7" w:rsidP="00E13521">
            <w:pPr>
              <w:bidi w:val="0"/>
              <w:spacing w:after="0" w:line="240" w:lineRule="auto"/>
              <w:ind w:left="54"/>
              <w:rPr>
                <w:rFonts w:ascii="Times New Roman" w:hAnsi="Times New Roman"/>
                <w:b/>
                <w:sz w:val="22"/>
                <w:szCs w:val="22"/>
              </w:rPr>
            </w:pPr>
            <w:r w:rsidRPr="002114A7">
              <w:rPr>
                <w:rFonts w:ascii="Times New Roman" w:hAnsi="Times New Roman"/>
                <w:b/>
                <w:sz w:val="22"/>
                <w:szCs w:val="22"/>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E2B08" w:rsidRPr="002114A7" w:rsidP="00E13521">
            <w:pPr>
              <w:bidi w:val="0"/>
              <w:spacing w:after="0" w:line="240" w:lineRule="auto"/>
              <w:ind w:left="168" w:hanging="168"/>
              <w:rPr>
                <w:rFonts w:ascii="Times New Roman" w:hAnsi="Times New Roman"/>
                <w:b/>
                <w:sz w:val="22"/>
                <w:szCs w:val="22"/>
                <w:lang w:eastAsia="en-US"/>
              </w:rPr>
            </w:pPr>
            <w:r w:rsidRPr="002114A7">
              <w:rPr>
                <w:rFonts w:ascii="Times New Roman" w:hAnsi="Times New Roman"/>
                <w:b/>
                <w:sz w:val="22"/>
                <w:szCs w:val="22"/>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BE2B08" w:rsidRPr="002114A7" w:rsidP="00E13521">
            <w:pPr>
              <w:bidi w:val="0"/>
              <w:spacing w:after="0" w:line="240" w:lineRule="auto"/>
              <w:jc w:val="center"/>
              <w:rPr>
                <w:rFonts w:ascii="Times New Roman" w:hAnsi="Times New Roman"/>
                <w:b/>
                <w:sz w:val="22"/>
                <w:szCs w:val="22"/>
              </w:rPr>
            </w:pPr>
            <w:r w:rsidRPr="002114A7">
              <w:rPr>
                <w:rFonts w:ascii="Segoe UI Symbol" w:eastAsia="MS Mincho" w:hAnsi="Segoe UI Symbol" w:cs="Segoe UI Symbol" w:hint="default"/>
                <w:b/>
                <w:sz w:val="22"/>
                <w:szCs w:val="22"/>
              </w:rPr>
              <w:t>☐</w:t>
            </w:r>
          </w:p>
        </w:tc>
        <w:tc>
          <w:tcPr>
            <w:tcW w:w="1281" w:type="dxa"/>
            <w:tcBorders>
              <w:top w:val="nil"/>
              <w:left w:val="nil"/>
              <w:bottom w:val="single" w:sz="4" w:space="0" w:color="auto"/>
              <w:right w:val="nil"/>
            </w:tcBorders>
            <w:textDirection w:val="lrTb"/>
            <w:vAlign w:val="top"/>
          </w:tcPr>
          <w:p w:rsidR="00BE2B08" w:rsidRPr="002114A7" w:rsidP="00E13521">
            <w:pPr>
              <w:bidi w:val="0"/>
              <w:spacing w:after="0" w:line="240" w:lineRule="auto"/>
              <w:ind w:right="-108"/>
              <w:rPr>
                <w:rFonts w:ascii="Times New Roman" w:hAnsi="Times New Roman"/>
                <w:b/>
                <w:sz w:val="22"/>
                <w:szCs w:val="22"/>
              </w:rPr>
            </w:pPr>
            <w:r w:rsidRPr="002114A7">
              <w:rPr>
                <w:rFonts w:ascii="Times New Roman" w:hAnsi="Times New Roman"/>
                <w:b/>
                <w:sz w:val="22"/>
                <w:szCs w:val="22"/>
              </w:rPr>
              <w:t>Pozitívne</w:t>
            </w:r>
          </w:p>
        </w:tc>
        <w:tc>
          <w:tcPr>
            <w:tcW w:w="569" w:type="dxa"/>
            <w:tcBorders>
              <w:top w:val="nil"/>
              <w:left w:val="nil"/>
              <w:bottom w:val="single" w:sz="4" w:space="0" w:color="auto"/>
              <w:right w:val="nil"/>
            </w:tcBorders>
            <w:textDirection w:val="lrTb"/>
            <w:vAlign w:val="top"/>
          </w:tcPr>
          <w:p w:rsidR="00BE2B08" w:rsidRPr="002114A7" w:rsidP="00E13521">
            <w:pPr>
              <w:bidi w:val="0"/>
              <w:spacing w:after="0" w:line="240" w:lineRule="auto"/>
              <w:jc w:val="center"/>
              <w:rPr>
                <w:rFonts w:ascii="Times New Roman" w:hAnsi="Times New Roman"/>
                <w:b/>
                <w:sz w:val="22"/>
                <w:szCs w:val="22"/>
              </w:rPr>
            </w:pPr>
            <w:r w:rsidRPr="002114A7">
              <w:rPr>
                <w:rFonts w:ascii="Segoe UI Symbol" w:eastAsia="MS Gothic" w:hAnsi="Segoe UI Symbol" w:cs="Segoe UI Symbol" w:hint="default"/>
                <w:b/>
                <w:sz w:val="22"/>
                <w:szCs w:val="22"/>
              </w:rPr>
              <w:t>☒</w:t>
            </w:r>
          </w:p>
        </w:tc>
        <w:tc>
          <w:tcPr>
            <w:tcW w:w="1133" w:type="dxa"/>
            <w:tcBorders>
              <w:top w:val="nil"/>
              <w:left w:val="nil"/>
              <w:bottom w:val="single" w:sz="4" w:space="0" w:color="auto"/>
              <w:right w:val="nil"/>
            </w:tcBorders>
            <w:textDirection w:val="lrTb"/>
            <w:vAlign w:val="top"/>
          </w:tcPr>
          <w:p w:rsidR="00BE2B08" w:rsidRPr="002114A7" w:rsidP="00E13521">
            <w:pPr>
              <w:bidi w:val="0"/>
              <w:spacing w:after="0" w:line="240" w:lineRule="auto"/>
              <w:rPr>
                <w:rFonts w:ascii="Times New Roman" w:hAnsi="Times New Roman"/>
                <w:b/>
                <w:sz w:val="22"/>
                <w:szCs w:val="22"/>
              </w:rPr>
            </w:pPr>
            <w:r w:rsidRPr="002114A7">
              <w:rPr>
                <w:rFonts w:ascii="Times New Roman" w:hAnsi="Times New Roman"/>
                <w:b/>
                <w:sz w:val="22"/>
                <w:szCs w:val="22"/>
              </w:rPr>
              <w:t>Žiadne</w:t>
            </w:r>
          </w:p>
        </w:tc>
        <w:tc>
          <w:tcPr>
            <w:tcW w:w="547" w:type="dxa"/>
            <w:tcBorders>
              <w:top w:val="nil"/>
              <w:left w:val="nil"/>
              <w:bottom w:val="single" w:sz="4" w:space="0" w:color="auto"/>
              <w:right w:val="nil"/>
            </w:tcBorders>
            <w:textDirection w:val="lrTb"/>
            <w:vAlign w:val="top"/>
          </w:tcPr>
          <w:p w:rsidR="00BE2B08" w:rsidRPr="002114A7" w:rsidP="00E13521">
            <w:pPr>
              <w:bidi w:val="0"/>
              <w:spacing w:after="0" w:line="240" w:lineRule="auto"/>
              <w:jc w:val="center"/>
              <w:rPr>
                <w:rFonts w:ascii="Times New Roman" w:hAnsi="Times New Roman"/>
                <w:b/>
                <w:sz w:val="22"/>
                <w:szCs w:val="22"/>
              </w:rPr>
            </w:pPr>
            <w:r w:rsidRPr="002114A7">
              <w:rPr>
                <w:rFonts w:ascii="Segoe UI Symbol" w:eastAsia="MS Mincho" w:hAnsi="Segoe UI Symbol" w:cs="Segoe UI Symbol" w:hint="default"/>
                <w:b/>
                <w:sz w:val="22"/>
                <w:szCs w:val="22"/>
              </w:rPr>
              <w:t>☐</w:t>
            </w:r>
          </w:p>
        </w:tc>
        <w:tc>
          <w:tcPr>
            <w:tcW w:w="1297" w:type="dxa"/>
            <w:tcBorders>
              <w:top w:val="nil"/>
              <w:left w:val="nil"/>
              <w:bottom w:val="single" w:sz="4" w:space="0" w:color="auto"/>
              <w:right w:val="single" w:sz="4" w:space="0" w:color="auto"/>
            </w:tcBorders>
            <w:textDirection w:val="lrTb"/>
            <w:vAlign w:val="top"/>
          </w:tcPr>
          <w:p w:rsidR="00BE2B08" w:rsidRPr="002114A7" w:rsidP="00E13521">
            <w:pPr>
              <w:bidi w:val="0"/>
              <w:spacing w:after="0" w:line="240" w:lineRule="auto"/>
              <w:ind w:left="54"/>
              <w:rPr>
                <w:rFonts w:ascii="Times New Roman" w:hAnsi="Times New Roman"/>
                <w:b/>
                <w:sz w:val="22"/>
                <w:szCs w:val="22"/>
              </w:rPr>
            </w:pPr>
            <w:r w:rsidRPr="002114A7">
              <w:rPr>
                <w:rFonts w:ascii="Times New Roman" w:hAnsi="Times New Roman"/>
                <w:b/>
                <w:sz w:val="22"/>
                <w:szCs w:val="22"/>
              </w:rPr>
              <w:t>Negatívne</w:t>
            </w:r>
          </w:p>
        </w:tc>
      </w:tr>
    </w:tbl>
    <w:p w:rsidR="00BE2B08" w:rsidRPr="002114A7" w:rsidP="00BE2B08">
      <w:pPr>
        <w:bidi w:val="0"/>
        <w:ind w:right="141"/>
        <w:rPr>
          <w:rFonts w:ascii="Times New Roman" w:hAnsi="Times New Roman"/>
          <w:b/>
          <w:sz w:val="22"/>
          <w:szCs w:val="22"/>
        </w:rPr>
      </w:pPr>
    </w:p>
    <w:tbl>
      <w:tblPr>
        <w:tblStyle w:val="TableGrid"/>
        <w:tblW w:w="9176" w:type="dxa"/>
        <w:tblLayout w:type="fixed"/>
        <w:tblLook w:val="04A0"/>
      </w:tblPr>
      <w:tblGrid>
        <w:gridCol w:w="9176"/>
      </w:tblGrid>
      <w:tr>
        <w:tblPrEx>
          <w:tblW w:w="9176" w:type="dxa"/>
          <w:tblLayout w:type="fixed"/>
          <w:tblLook w:val="04A0"/>
        </w:tblPrEx>
        <w:trPr>
          <w:trHeight w:val="425"/>
        </w:trPr>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b/>
              </w:rPr>
            </w:pPr>
            <w:r w:rsidRPr="002B7D13">
              <w:rPr>
                <w:rFonts w:ascii="Times New Roman" w:hAnsi="Times New Roman" w:hint="default"/>
                <w:b/>
              </w:rPr>
              <w:t>Pozná</w:t>
            </w:r>
            <w:r w:rsidRPr="002B7D13">
              <w:rPr>
                <w:rFonts w:ascii="Times New Roman" w:hAnsi="Times New Roman" w:hint="default"/>
                <w:b/>
              </w:rPr>
              <w:t>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BE2B08" w:rsidRPr="007C19DC" w:rsidP="00E13521">
            <w:pPr>
              <w:bidi w:val="0"/>
              <w:jc w:val="both"/>
              <w:rPr>
                <w:rFonts w:ascii="Times New Roman" w:hAnsi="Times New Roman"/>
                <w:sz w:val="22"/>
                <w:szCs w:val="22"/>
                <w:lang w:val="en-US" w:eastAsia="en-US"/>
              </w:rPr>
            </w:pPr>
            <w:r w:rsidRPr="00AA2F0B">
              <w:rPr>
                <w:rFonts w:ascii="Times New Roman" w:hAnsi="Times New Roman"/>
                <w:sz w:val="22"/>
                <w:szCs w:val="22"/>
                <w:lang w:eastAsia="en-US"/>
              </w:rPr>
              <w:t>K predbežnej informácii k predmetnému návrhu zákona vzniesla vyjadrenie Asociácia priemyselných zväzov (email doručený 22.06.2016) a Zväzu automobilového priemyslu Slovenskej republiky (email doručený dňa 30.06.2016) a Slovenská banková asociácia (email doručený 30.06.2016)</w:t>
            </w:r>
            <w:r w:rsidRPr="007C19DC">
              <w:rPr>
                <w:rFonts w:ascii="Times New Roman" w:hAnsi="Times New Roman"/>
                <w:sz w:val="22"/>
                <w:szCs w:val="22"/>
                <w:lang w:val="en-US" w:eastAsia="en-US"/>
              </w:rPr>
              <w:t xml:space="preserve"> . </w:t>
            </w:r>
          </w:p>
          <w:p w:rsidR="00BE2B08" w:rsidRPr="002114A7" w:rsidP="00E13521">
            <w:pPr>
              <w:bidi w:val="0"/>
              <w:jc w:val="both"/>
              <w:rPr>
                <w:rFonts w:ascii="Times New Roman" w:hAnsi="Times New Roman"/>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Kontakt na spracovateľ</w:t>
            </w:r>
            <w:r w:rsidRPr="002114A7">
              <w:rPr>
                <w:rFonts w:ascii="Times New Roman" w:hAnsi="Times New Roman" w:hint="default"/>
                <w:b/>
              </w:rPr>
              <w:t>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E2B08" w:rsidRPr="002114A7" w:rsidP="00E13521">
            <w:pPr>
              <w:bidi w:val="0"/>
              <w:rPr>
                <w:rFonts w:ascii="Times New Roman" w:hAnsi="Times New Roman"/>
                <w:sz w:val="22"/>
                <w:szCs w:val="22"/>
                <w:lang w:eastAsia="en-US"/>
              </w:rPr>
            </w:pPr>
            <w:r w:rsidRPr="002114A7">
              <w:rPr>
                <w:rFonts w:ascii="Times New Roman" w:hAnsi="Times New Roman"/>
                <w:sz w:val="22"/>
                <w:szCs w:val="22"/>
                <w:lang w:eastAsia="en-US"/>
              </w:rPr>
              <w:t>zofia.konecna</w:t>
            </w:r>
            <w:r w:rsidRPr="002114A7">
              <w:rPr>
                <w:rFonts w:ascii="Times New Roman" w:hAnsi="Times New Roman"/>
                <w:sz w:val="22"/>
                <w:szCs w:val="22"/>
                <w:lang w:val="en-US" w:eastAsia="en-US"/>
              </w:rPr>
              <w:t>@</w:t>
            </w:r>
            <w:r w:rsidRPr="002114A7">
              <w:rPr>
                <w:rFonts w:ascii="Times New Roman" w:hAnsi="Times New Roman"/>
                <w:sz w:val="22"/>
                <w:szCs w:val="22"/>
                <w:lang w:eastAsia="en-US"/>
              </w:rPr>
              <w:t xml:space="preserve">mfsr.sk, </w:t>
            </w:r>
            <w:hyperlink r:id="rId5" w:history="1">
              <w:r w:rsidRPr="002114A7">
                <w:rPr>
                  <w:rFonts w:ascii="Times New Roman" w:hAnsi="Times New Roman"/>
                  <w:sz w:val="22"/>
                  <w:szCs w:val="22"/>
                  <w:lang w:eastAsia="en-US"/>
                </w:rPr>
                <w:t>stanislav.gunis@nbs.sk</w:t>
              </w:r>
            </w:hyperlink>
            <w:r w:rsidRPr="002114A7">
              <w:rPr>
                <w:rFonts w:ascii="Times New Roman" w:hAnsi="Times New Roman"/>
                <w:sz w:val="22"/>
                <w:szCs w:val="22"/>
                <w:lang w:eastAsia="en-US"/>
              </w:rPr>
              <w:t>, mariana.buznova@nbs.sk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b/>
              </w:rPr>
            </w:pPr>
            <w:r w:rsidRPr="002114A7">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E2B08" w:rsidRPr="002114A7" w:rsidP="00E13521">
            <w:pPr>
              <w:bidi w:val="0"/>
              <w:rPr>
                <w:rFonts w:ascii="Times New Roman" w:hAnsi="Times New Roman"/>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E2B08" w:rsidRPr="002114A7" w:rsidP="00E13521">
            <w:pPr>
              <w:pStyle w:val="ListParagraph"/>
              <w:numPr>
                <w:numId w:val="1"/>
              </w:numPr>
              <w:bidi w:val="0"/>
              <w:spacing w:after="0" w:line="240" w:lineRule="auto"/>
              <w:ind w:left="426"/>
              <w:contextualSpacing/>
              <w:rPr>
                <w:rFonts w:ascii="Times New Roman" w:hAnsi="Times New Roman" w:hint="default"/>
                <w:b/>
              </w:rPr>
            </w:pPr>
            <w:r w:rsidRPr="002114A7">
              <w:rPr>
                <w:rFonts w:ascii="Times New Roman" w:hAnsi="Times New Roman" w:hint="default"/>
                <w:b/>
              </w:rPr>
              <w:t>Stanovisko Komisie pre posudzovanie vybraný</w:t>
            </w:r>
            <w:r w:rsidRPr="002114A7">
              <w:rPr>
                <w:rFonts w:ascii="Times New Roman" w:hAnsi="Times New Roman" w:hint="default"/>
                <w:b/>
              </w:rPr>
              <w:t>ch vplyvov z PPK</w:t>
            </w: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BE2B08" w:rsidP="00E13521">
            <w:pPr>
              <w:bidi w:val="0"/>
              <w:rPr>
                <w:rFonts w:ascii="Times New Roman" w:hAnsi="Times New Roman"/>
                <w:sz w:val="22"/>
                <w:szCs w:val="22"/>
                <w:lang w:eastAsia="en-US"/>
              </w:rPr>
            </w:pPr>
            <w:r w:rsidRPr="004367E4">
              <w:rPr>
                <w:rFonts w:ascii="Times New Roman" w:hAnsi="Times New Roman"/>
                <w:sz w:val="22"/>
                <w:szCs w:val="22"/>
                <w:lang w:eastAsia="en-US"/>
              </w:rPr>
              <w:t>Stála pracovná komisia na posudzovanie vybraných vplyvov vyjadrila súhlasné stanovisko s pripomienkami.</w:t>
            </w:r>
          </w:p>
          <w:p w:rsidR="00BE2B08" w:rsidRPr="004367E4" w:rsidP="00E13521">
            <w:pPr>
              <w:bidi w:val="0"/>
              <w:rPr>
                <w:rFonts w:ascii="Times New Roman" w:hAnsi="Times New Roman"/>
                <w:sz w:val="22"/>
                <w:szCs w:val="22"/>
                <w:lang w:eastAsia="en-US"/>
              </w:rPr>
            </w:pPr>
          </w:p>
          <w:p w:rsidR="00BE2B08" w:rsidRPr="004367E4" w:rsidP="00E13521">
            <w:pPr>
              <w:bidi w:val="0"/>
              <w:rPr>
                <w:rFonts w:ascii="Times New Roman" w:hAnsi="Times New Roman"/>
                <w:sz w:val="22"/>
                <w:szCs w:val="22"/>
                <w:lang w:eastAsia="en-US"/>
              </w:rPr>
            </w:pPr>
            <w:r w:rsidRPr="004367E4">
              <w:rPr>
                <w:rFonts w:ascii="Times New Roman" w:hAnsi="Times New Roman"/>
                <w:sz w:val="22"/>
                <w:szCs w:val="22"/>
                <w:lang w:eastAsia="en-US"/>
              </w:rPr>
              <w:t>Všeobecne</w:t>
            </w:r>
          </w:p>
          <w:p w:rsidR="00BE2B08" w:rsidP="00284A1A">
            <w:pPr>
              <w:bidi w:val="0"/>
              <w:jc w:val="both"/>
              <w:rPr>
                <w:rFonts w:ascii="Times New Roman" w:hAnsi="Times New Roman"/>
                <w:sz w:val="22"/>
                <w:szCs w:val="22"/>
                <w:lang w:eastAsia="en-US"/>
              </w:rPr>
            </w:pPr>
            <w:r w:rsidRPr="004367E4">
              <w:rPr>
                <w:rFonts w:ascii="Times New Roman" w:hAnsi="Times New Roman"/>
                <w:sz w:val="22"/>
                <w:szCs w:val="22"/>
                <w:lang w:eastAsia="en-US"/>
              </w:rPr>
              <w:t>Komisia si dovoľuje upozorniť predkladateľa na to, aby z predkladaného materiálu vypustil metodický postup pre analýzu sociálnych vplyvov a metodický postup pre analýzu vplyvov na podnikateľské prostredie</w:t>
            </w:r>
            <w:r>
              <w:rPr>
                <w:rFonts w:ascii="Times New Roman" w:hAnsi="Times New Roman"/>
                <w:sz w:val="22"/>
                <w:szCs w:val="22"/>
                <w:lang w:eastAsia="en-US"/>
              </w:rPr>
              <w:t xml:space="preserve"> a </w:t>
            </w:r>
            <w:r w:rsidRPr="004367E4">
              <w:rPr>
                <w:rFonts w:ascii="Times New Roman" w:hAnsi="Times New Roman"/>
                <w:sz w:val="22"/>
                <w:szCs w:val="22"/>
                <w:lang w:eastAsia="en-US"/>
              </w:rPr>
              <w:t>zo všeobecnej časti dôvodovej správy vypustil informáciu, že predložený návrh zákona nemá žiadne sociálne vplyvy a žiadne vplyvy na podnikateľské prostredie.</w:t>
            </w:r>
          </w:p>
          <w:p w:rsidR="00BE2B08" w:rsidRPr="004367E4" w:rsidP="00E13521">
            <w:pPr>
              <w:bidi w:val="0"/>
              <w:rPr>
                <w:rFonts w:ascii="Times New Roman" w:hAnsi="Times New Roman"/>
                <w:sz w:val="22"/>
                <w:szCs w:val="22"/>
                <w:lang w:eastAsia="en-US"/>
              </w:rPr>
            </w:pPr>
            <w:r>
              <w:rPr>
                <w:rFonts w:ascii="Times New Roman" w:hAnsi="Times New Roman"/>
                <w:sz w:val="22"/>
                <w:szCs w:val="22"/>
                <w:lang w:eastAsia="en-US"/>
              </w:rPr>
              <w:t>Pripomienky boli akceptované a zapracované.</w:t>
            </w:r>
          </w:p>
          <w:p w:rsidR="00BE2B08" w:rsidRPr="004367E4" w:rsidP="00E13521">
            <w:pPr>
              <w:bidi w:val="0"/>
              <w:rPr>
                <w:rFonts w:ascii="Times New Roman" w:hAnsi="Times New Roman"/>
                <w:sz w:val="22"/>
                <w:szCs w:val="22"/>
                <w:lang w:eastAsia="en-US"/>
              </w:rPr>
            </w:pPr>
          </w:p>
          <w:p w:rsidR="00BE2B08" w:rsidRPr="004367E4" w:rsidP="00E13521">
            <w:pPr>
              <w:bidi w:val="0"/>
              <w:rPr>
                <w:rFonts w:ascii="Times New Roman" w:hAnsi="Times New Roman"/>
                <w:sz w:val="22"/>
                <w:szCs w:val="22"/>
                <w:lang w:eastAsia="en-US"/>
              </w:rPr>
            </w:pPr>
            <w:r w:rsidRPr="004367E4">
              <w:rPr>
                <w:rFonts w:ascii="Times New Roman" w:hAnsi="Times New Roman"/>
                <w:sz w:val="22"/>
                <w:szCs w:val="22"/>
                <w:lang w:eastAsia="en-US"/>
              </w:rPr>
              <w:t>K analýze vplyvov na podnikateľské prostredie</w:t>
            </w:r>
          </w:p>
          <w:p w:rsidR="00BE2B08" w:rsidRPr="004367E4" w:rsidP="00284A1A">
            <w:pPr>
              <w:bidi w:val="0"/>
              <w:jc w:val="both"/>
              <w:rPr>
                <w:rFonts w:ascii="Times New Roman" w:hAnsi="Times New Roman"/>
                <w:sz w:val="22"/>
                <w:szCs w:val="22"/>
                <w:lang w:eastAsia="en-US"/>
              </w:rPr>
            </w:pPr>
            <w:r w:rsidRPr="004367E4">
              <w:rPr>
                <w:rFonts w:ascii="Times New Roman" w:hAnsi="Times New Roman"/>
                <w:sz w:val="22"/>
                <w:szCs w:val="22"/>
                <w:lang w:eastAsia="en-US"/>
              </w:rPr>
              <w:t>Dotknuté subjekty boli v rámci identifikácie vplyvov kvantifikované v rozdelení na "Banky a pobočky zahraničných bánk", ktoré aktuálne poskytujú spotrebiteľské úvery ako aj "Nebankoví veritelia" podľa veľkosti. Pri výpočtoch administratívnych nákladov použil predkladateľ časové náročnosti typických informačných povinností predstavujúce vážený priemer hodnôt za všetky veľkostné kategórie podnikov. Pokiaľ sú dostupné spoľahlivé údaje o rozdelení dotknutých subjektov medzi podniky mikro, malé a stredné, resp. veľké, Komisia odporúča vzhľadom na značné rozdiely zvážiť prepočet celkových nákladov tvorených administratívnymi nákladmi nových povinností pomocou "tabuľky štandardných časových náročností informačných povinností podľa veľkosti podniku (v minútach)" zo str. 6 „Metodického postupu pre analýzu vplyvov na podnikateľské prostredie".</w:t>
            </w:r>
          </w:p>
          <w:p w:rsidR="00BE2B08" w:rsidP="00284A1A">
            <w:pPr>
              <w:bidi w:val="0"/>
              <w:jc w:val="both"/>
              <w:rPr>
                <w:rFonts w:ascii="Times New Roman" w:hAnsi="Times New Roman"/>
                <w:sz w:val="22"/>
                <w:szCs w:val="22"/>
                <w:lang w:eastAsia="en-US"/>
              </w:rPr>
            </w:pPr>
            <w:r w:rsidRPr="004367E4">
              <w:rPr>
                <w:rFonts w:ascii="Times New Roman" w:hAnsi="Times New Roman"/>
                <w:sz w:val="22"/>
                <w:szCs w:val="22"/>
                <w:lang w:eastAsia="en-US"/>
              </w:rPr>
              <w:t xml:space="preserve">Zároveň Komisia odporúča pri výpočtoch vplyvov vychádzať z údajov dostupných v "kalkulačke nákladov regulácie“ sprostredkovanej Ministerstvom hospodárstva SR, skôr v prípade jednotne nastaveného údaju o 160 hodinovom fonde pracovného času, ako v prípade priemernej hrubej mesačnej mzde v národnom hospodárstve (835 EUR je údaj za rok 2013, napriek dostupnému aktuálnejšiemu údaju za rok 2015 vo výške 883 EUR od Štatistického úradu SR). Kalkulačka je dostupná na nasledovnom </w:t>
            </w:r>
            <w:hyperlink r:id="rId6" w:history="1">
              <w:r w:rsidRPr="004367E4">
                <w:rPr>
                  <w:rFonts w:ascii="Times New Roman" w:hAnsi="Times New Roman"/>
                  <w:sz w:val="22"/>
                  <w:szCs w:val="22"/>
                  <w:lang w:eastAsia="en-US"/>
                </w:rPr>
                <w:t>odkaze</w:t>
              </w:r>
            </w:hyperlink>
            <w:r w:rsidRPr="004367E4">
              <w:rPr>
                <w:rFonts w:ascii="Times New Roman" w:hAnsi="Times New Roman"/>
                <w:sz w:val="22"/>
                <w:szCs w:val="22"/>
                <w:lang w:eastAsia="en-US"/>
              </w:rPr>
              <w:t>.</w:t>
            </w:r>
          </w:p>
          <w:p w:rsidR="00BE2B08" w:rsidRPr="004367E4" w:rsidP="00E13521">
            <w:pPr>
              <w:bidi w:val="0"/>
              <w:rPr>
                <w:rFonts w:ascii="Times New Roman" w:hAnsi="Times New Roman"/>
                <w:sz w:val="22"/>
                <w:szCs w:val="22"/>
                <w:lang w:eastAsia="en-US"/>
              </w:rPr>
            </w:pPr>
            <w:r w:rsidRPr="004367E4">
              <w:rPr>
                <w:rFonts w:ascii="Times New Roman" w:hAnsi="Times New Roman"/>
                <w:sz w:val="22"/>
                <w:szCs w:val="22"/>
                <w:lang w:eastAsia="en-US"/>
              </w:rPr>
              <w:t>Pripomienka bola akceptovaná a zapracovaná.</w:t>
            </w:r>
          </w:p>
          <w:p w:rsidR="00BE2B08" w:rsidRPr="004367E4" w:rsidP="00E13521">
            <w:pPr>
              <w:bidi w:val="0"/>
              <w:rPr>
                <w:rFonts w:ascii="Times New Roman" w:hAnsi="Times New Roman"/>
                <w:sz w:val="22"/>
                <w:szCs w:val="22"/>
                <w:lang w:eastAsia="en-US"/>
              </w:rPr>
            </w:pPr>
          </w:p>
        </w:tc>
      </w:tr>
    </w:tbl>
    <w:p w:rsidR="00BE2B08" w:rsidP="00BE2B08">
      <w:pPr>
        <w:bidi w:val="0"/>
        <w:rPr>
          <w:rFonts w:ascii="Times New Roman" w:hAnsi="Times New Roman"/>
          <w:sz w:val="22"/>
          <w:szCs w:val="22"/>
        </w:rPr>
      </w:pPr>
    </w:p>
    <w:p w:rsidR="00F514A7" w:rsidP="00BE2B08">
      <w:pPr>
        <w:bidi w:val="0"/>
        <w:rPr>
          <w:rFonts w:ascii="Times New Roman" w:hAnsi="Times New Roman"/>
          <w:sz w:val="22"/>
          <w:szCs w:val="22"/>
        </w:rPr>
      </w:pPr>
    </w:p>
    <w:p w:rsidR="00F514A7" w:rsidP="00BE2B08">
      <w:pPr>
        <w:bidi w:val="0"/>
        <w:rPr>
          <w:rFonts w:ascii="Times New Roman" w:hAnsi="Times New Roman"/>
          <w:sz w:val="22"/>
          <w:szCs w:val="22"/>
        </w:rPr>
      </w:pPr>
    </w:p>
    <w:p w:rsidR="00F514A7" w:rsidP="00BE2B08">
      <w:pPr>
        <w:bidi w:val="0"/>
        <w:rPr>
          <w:rFonts w:ascii="Times New Roman" w:hAnsi="Times New Roman"/>
          <w:sz w:val="22"/>
          <w:szCs w:val="22"/>
        </w:rPr>
      </w:pPr>
    </w:p>
    <w:p w:rsidR="00F514A7" w:rsidP="00BE2B08">
      <w:pPr>
        <w:bidi w:val="0"/>
        <w:rPr>
          <w:rFonts w:ascii="Times New Roman" w:hAnsi="Times New Roman"/>
          <w:sz w:val="22"/>
          <w:szCs w:val="22"/>
        </w:rPr>
      </w:pPr>
    </w:p>
    <w:p w:rsidR="00F514A7" w:rsidRPr="002114A7" w:rsidP="00BE2B08">
      <w:pPr>
        <w:bidi w:val="0"/>
        <w:rPr>
          <w:rFonts w:ascii="Times New Roman" w:hAnsi="Times New Roman"/>
          <w:sz w:val="22"/>
          <w:szCs w:val="22"/>
        </w:rPr>
      </w:pPr>
    </w:p>
    <w:tbl>
      <w:tblPr>
        <w:tblStyle w:val="TableNormal"/>
        <w:tblW w:w="0" w:type="auto"/>
        <w:tblLayout w:type="fixed"/>
      </w:tblPr>
      <w:tblGrid>
        <w:gridCol w:w="9320"/>
      </w:tblGrid>
      <w:tr>
        <w:tblPrEx>
          <w:tblW w:w="0" w:type="auto"/>
          <w:tblLayout w:type="fixed"/>
        </w:tblPrEx>
        <w:trPr>
          <w:trHeight w:val="567"/>
        </w:trPr>
        <w:tc>
          <w:tcPr>
            <w:tcW w:w="9320" w:type="dxa"/>
            <w:tcBorders>
              <w:top w:val="single" w:sz="2" w:space="0" w:color="000000"/>
              <w:left w:val="single" w:sz="2" w:space="0" w:color="000000"/>
              <w:bottom w:val="single" w:sz="2" w:space="0" w:color="000000"/>
              <w:right w:val="single" w:sz="2" w:space="0" w:color="000000"/>
            </w:tcBorders>
            <w:shd w:val="clear" w:color="auto" w:fill="D9D9D9"/>
            <w:textDirection w:val="lrTb"/>
            <w:vAlign w:val="top"/>
          </w:tcPr>
          <w:p w:rsidR="00BE2B08" w:rsidP="00E13521">
            <w:pPr>
              <w:pStyle w:val="Vchodzie"/>
              <w:bidi w:val="0"/>
              <w:spacing w:after="0" w:line="240" w:lineRule="auto"/>
              <w:jc w:val="center"/>
              <w:rPr>
                <w:szCs w:val="24"/>
              </w:rPr>
            </w:pPr>
            <w:r>
              <w:rPr>
                <w:rFonts w:hint="default"/>
                <w:b/>
                <w:sz w:val="28"/>
                <w:szCs w:val="24"/>
              </w:rPr>
              <w:t>Analý</w:t>
            </w:r>
            <w:r>
              <w:rPr>
                <w:rFonts w:hint="default"/>
                <w:b/>
                <w:sz w:val="28"/>
                <w:szCs w:val="24"/>
              </w:rPr>
              <w:t>za vplyvov na podnikateľ</w:t>
            </w:r>
            <w:r>
              <w:rPr>
                <w:rFonts w:hint="default"/>
                <w:b/>
                <w:sz w:val="28"/>
                <w:szCs w:val="24"/>
              </w:rPr>
              <w:t>ské</w:t>
            </w:r>
            <w:r>
              <w:rPr>
                <w:rFonts w:hint="default"/>
                <w:b/>
                <w:sz w:val="28"/>
                <w:szCs w:val="24"/>
              </w:rPr>
              <w:t xml:space="preserve"> prostredie </w:t>
            </w:r>
          </w:p>
          <w:p w:rsidR="00BE2B08" w:rsidP="00E13521">
            <w:pPr>
              <w:pStyle w:val="Vchodzie"/>
              <w:bidi w:val="0"/>
              <w:spacing w:after="200" w:line="276" w:lineRule="auto"/>
              <w:jc w:val="center"/>
              <w:rPr>
                <w:szCs w:val="24"/>
              </w:rPr>
            </w:pPr>
            <w:r>
              <w:rPr>
                <w:rFonts w:hint="default"/>
                <w:b/>
                <w:sz w:val="24"/>
                <w:szCs w:val="24"/>
              </w:rPr>
              <w:t>(vrá</w:t>
            </w:r>
            <w:r>
              <w:rPr>
                <w:rFonts w:hint="default"/>
                <w:b/>
                <w:sz w:val="24"/>
                <w:szCs w:val="24"/>
              </w:rPr>
              <w:t>tane testu MSP)</w:t>
            </w:r>
          </w:p>
        </w:tc>
      </w:tr>
      <w:tr>
        <w:tblPrEx>
          <w:tblW w:w="0" w:type="auto"/>
          <w:tblLayout w:type="fixed"/>
        </w:tblPrEx>
        <w:trPr>
          <w:trHeight w:val="567"/>
        </w:trPr>
        <w:tc>
          <w:tcPr>
            <w:tcW w:w="9320" w:type="dxa"/>
            <w:tcBorders>
              <w:top w:val="single" w:sz="2" w:space="0" w:color="000000"/>
              <w:left w:val="single" w:sz="2" w:space="0" w:color="000000"/>
              <w:bottom w:val="single" w:sz="2" w:space="0" w:color="000000"/>
              <w:right w:val="single" w:sz="2" w:space="0" w:color="000000"/>
            </w:tcBorders>
            <w:shd w:val="clear" w:color="auto" w:fill="D9D9D9"/>
            <w:textDirection w:val="lrTb"/>
            <w:vAlign w:val="top"/>
          </w:tcPr>
          <w:p w:rsidR="00BE2B08" w:rsidP="00E13521">
            <w:pPr>
              <w:pStyle w:val="Vchodzie"/>
              <w:bidi w:val="0"/>
              <w:spacing w:after="200" w:line="276" w:lineRule="auto"/>
              <w:rPr>
                <w:szCs w:val="24"/>
              </w:rPr>
            </w:pPr>
            <w:r>
              <w:rPr>
                <w:rFonts w:hint="default"/>
                <w:b/>
                <w:sz w:val="24"/>
                <w:szCs w:val="24"/>
              </w:rPr>
              <w:t>Materiá</w:t>
            </w:r>
            <w:r>
              <w:rPr>
                <w:rFonts w:hint="default"/>
                <w:b/>
                <w:sz w:val="24"/>
                <w:szCs w:val="24"/>
              </w:rPr>
              <w:t>l bude mať</w:t>
            </w:r>
            <w:r>
              <w:rPr>
                <w:rFonts w:hint="default"/>
                <w:b/>
                <w:sz w:val="24"/>
                <w:szCs w:val="24"/>
              </w:rPr>
              <w:t xml:space="preserve"> vplyv s </w:t>
            </w:r>
            <w:r>
              <w:rPr>
                <w:rFonts w:hint="default"/>
                <w:b/>
                <w:sz w:val="24"/>
                <w:szCs w:val="24"/>
              </w:rPr>
              <w:t xml:space="preserve"> ohľ</w:t>
            </w:r>
            <w:r>
              <w:rPr>
                <w:rFonts w:hint="default"/>
                <w:b/>
                <w:sz w:val="24"/>
                <w:szCs w:val="24"/>
              </w:rPr>
              <w:t>adom na veľ</w:t>
            </w:r>
            <w:r>
              <w:rPr>
                <w:rFonts w:hint="default"/>
                <w:b/>
                <w:sz w:val="24"/>
                <w:szCs w:val="24"/>
              </w:rPr>
              <w:t>kostnú</w:t>
            </w:r>
            <w:r>
              <w:rPr>
                <w:rFonts w:hint="default"/>
                <w:b/>
                <w:sz w:val="24"/>
                <w:szCs w:val="24"/>
              </w:rPr>
              <w:t xml:space="preserve"> kategó</w:t>
            </w:r>
            <w:r>
              <w:rPr>
                <w:rFonts w:hint="default"/>
                <w:b/>
                <w:sz w:val="24"/>
                <w:szCs w:val="24"/>
              </w:rPr>
              <w:t>riu podnikov:</w:t>
            </w:r>
          </w:p>
        </w:tc>
      </w:tr>
      <w:tr>
        <w:tblPrEx>
          <w:tblW w:w="0" w:type="auto"/>
          <w:tblLayout w:type="fixed"/>
        </w:tblPrEx>
        <w:trPr>
          <w:trHeight w:val="567"/>
        </w:trPr>
        <w:tc>
          <w:tcPr>
            <w:tcW w:w="9320" w:type="dxa"/>
            <w:tcBorders>
              <w:top w:val="nil"/>
              <w:left w:val="single" w:sz="2" w:space="0" w:color="000000"/>
              <w:bottom w:val="single" w:sz="2" w:space="0" w:color="000000"/>
              <w:right w:val="single" w:sz="2" w:space="0" w:color="000000"/>
            </w:tcBorders>
            <w:shd w:val="clear" w:color="auto" w:fill="D9D9D9"/>
            <w:textDirection w:val="lrTb"/>
            <w:vAlign w:val="top"/>
          </w:tcPr>
          <w:p w:rsidR="00BE2B08" w:rsidP="00E13521">
            <w:pPr>
              <w:pStyle w:val="Vchodzie"/>
              <w:bidi w:val="0"/>
              <w:spacing w:after="0" w:line="240" w:lineRule="auto"/>
              <w:jc w:val="center"/>
              <w:rPr>
                <w:szCs w:val="24"/>
              </w:rPr>
            </w:pPr>
            <w:r>
              <w:rPr>
                <w:rFonts w:ascii="MS Mincho" w:eastAsia="MS Mincho" w:hAnsi="MS Mincho" w:hint="eastAsia"/>
                <w:szCs w:val="24"/>
              </w:rPr>
              <w:t>☐</w:t>
            </w:r>
          </w:p>
          <w:p w:rsidR="00BE2B08" w:rsidP="00E13521">
            <w:pPr>
              <w:pStyle w:val="Vchodzie"/>
              <w:bidi w:val="0"/>
              <w:spacing w:after="0" w:line="240" w:lineRule="auto"/>
              <w:rPr>
                <w:szCs w:val="24"/>
              </w:rPr>
            </w:pPr>
            <w:r>
              <w:rPr>
                <w:b/>
                <w:szCs w:val="24"/>
              </w:rPr>
              <w:t xml:space="preserve">iba na MSP (0 - 249 zamestnancov) </w:t>
            </w:r>
          </w:p>
          <w:p w:rsidR="00BE2B08" w:rsidP="00E13521">
            <w:pPr>
              <w:pStyle w:val="Vchodzie"/>
              <w:bidi w:val="0"/>
              <w:spacing w:after="200" w:line="276" w:lineRule="auto"/>
              <w:rPr>
                <w:szCs w:val="24"/>
              </w:rPr>
            </w:pPr>
          </w:p>
          <w:p w:rsidR="00BE2B08" w:rsidP="00E13521">
            <w:pPr>
              <w:pStyle w:val="Vchodzie"/>
              <w:bidi w:val="0"/>
              <w:spacing w:after="0" w:line="240" w:lineRule="auto"/>
              <w:jc w:val="center"/>
              <w:rPr>
                <w:szCs w:val="24"/>
              </w:rPr>
            </w:pPr>
            <w:r>
              <w:rPr>
                <w:rFonts w:ascii="MS Mincho" w:eastAsia="MS Mincho" w:hAnsi="MS Mincho" w:hint="eastAsia"/>
                <w:szCs w:val="24"/>
              </w:rPr>
              <w:t>☐</w:t>
            </w:r>
          </w:p>
          <w:p w:rsidR="00BE2B08" w:rsidP="00E13521">
            <w:pPr>
              <w:pStyle w:val="Vchodzie"/>
              <w:bidi w:val="0"/>
              <w:spacing w:after="0" w:line="240" w:lineRule="auto"/>
              <w:rPr>
                <w:szCs w:val="24"/>
              </w:rPr>
            </w:pPr>
            <w:r>
              <w:rPr>
                <w:rFonts w:hint="default"/>
                <w:b/>
                <w:szCs w:val="24"/>
              </w:rPr>
              <w:t>iba na veľ</w:t>
            </w:r>
            <w:r>
              <w:rPr>
                <w:rFonts w:hint="default"/>
                <w:b/>
                <w:szCs w:val="24"/>
              </w:rPr>
              <w:t>ké</w:t>
            </w:r>
            <w:r>
              <w:rPr>
                <w:rFonts w:hint="default"/>
                <w:b/>
                <w:szCs w:val="24"/>
              </w:rPr>
              <w:t xml:space="preserve"> podniky (250 a  viac zamestnancov)</w:t>
            </w:r>
          </w:p>
          <w:p w:rsidR="00BE2B08" w:rsidP="00E13521">
            <w:pPr>
              <w:pStyle w:val="Vchodzie"/>
              <w:bidi w:val="0"/>
              <w:spacing w:after="200" w:line="276" w:lineRule="auto"/>
              <w:rPr>
                <w:szCs w:val="24"/>
              </w:rPr>
            </w:pPr>
          </w:p>
          <w:p w:rsidR="00BE2B08" w:rsidP="00E13521">
            <w:pPr>
              <w:pStyle w:val="Vchodzie"/>
              <w:bidi w:val="0"/>
              <w:spacing w:after="0" w:line="240" w:lineRule="auto"/>
              <w:jc w:val="center"/>
              <w:rPr>
                <w:szCs w:val="24"/>
              </w:rPr>
            </w:pPr>
            <w:r>
              <w:rPr>
                <w:rFonts w:ascii="MS Gothic" w:eastAsia="MS Gothic" w:hAnsi="MS Gothic" w:hint="eastAsia"/>
                <w:szCs w:val="24"/>
              </w:rPr>
              <w:t>☒</w:t>
            </w:r>
          </w:p>
          <w:p w:rsidR="00BE2B08" w:rsidP="00E13521">
            <w:pPr>
              <w:pStyle w:val="Vchodzie"/>
              <w:bidi w:val="0"/>
              <w:spacing w:after="0" w:line="240" w:lineRule="auto"/>
              <w:rPr>
                <w:szCs w:val="24"/>
              </w:rPr>
            </w:pPr>
            <w:r>
              <w:rPr>
                <w:rFonts w:hint="default"/>
                <w:b/>
                <w:szCs w:val="24"/>
              </w:rPr>
              <w:t>na vš</w:t>
            </w:r>
            <w:r>
              <w:rPr>
                <w:rFonts w:hint="default"/>
                <w:b/>
                <w:szCs w:val="24"/>
              </w:rPr>
              <w:t>etky kategó</w:t>
            </w:r>
            <w:r>
              <w:rPr>
                <w:rFonts w:hint="default"/>
                <w:b/>
                <w:szCs w:val="24"/>
              </w:rPr>
              <w:t>rie podnikov</w:t>
            </w:r>
          </w:p>
          <w:p w:rsidR="00BE2B08" w:rsidP="00E13521">
            <w:pPr>
              <w:pStyle w:val="Vchodzie"/>
              <w:bidi w:val="0"/>
              <w:spacing w:after="200" w:line="276" w:lineRule="auto"/>
              <w:rPr>
                <w:szCs w:val="24"/>
              </w:rPr>
            </w:pP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shd w:val="clear" w:color="auto" w:fill="D9D9D9"/>
            <w:textDirection w:val="lrTb"/>
            <w:vAlign w:val="top"/>
          </w:tcPr>
          <w:p w:rsidR="00BE2B08" w:rsidP="00E13521">
            <w:pPr>
              <w:pStyle w:val="Vchodzie"/>
              <w:bidi w:val="0"/>
              <w:spacing w:after="0" w:line="240" w:lineRule="auto"/>
              <w:rPr>
                <w:szCs w:val="24"/>
              </w:rPr>
            </w:pPr>
            <w:r>
              <w:rPr>
                <w:rFonts w:hint="default"/>
                <w:b/>
                <w:sz w:val="24"/>
                <w:szCs w:val="24"/>
              </w:rPr>
              <w:t>3.1 Dotknuté</w:t>
            </w:r>
            <w:r>
              <w:rPr>
                <w:rFonts w:hint="default"/>
                <w:b/>
                <w:sz w:val="24"/>
                <w:szCs w:val="24"/>
              </w:rPr>
              <w:t xml:space="preserve"> podnikateľ</w:t>
            </w:r>
            <w:r>
              <w:rPr>
                <w:rFonts w:hint="default"/>
                <w:b/>
                <w:sz w:val="24"/>
                <w:szCs w:val="24"/>
              </w:rPr>
              <w:t>ské</w:t>
            </w:r>
            <w:r>
              <w:rPr>
                <w:rFonts w:hint="default"/>
                <w:b/>
                <w:sz w:val="24"/>
                <w:szCs w:val="24"/>
              </w:rPr>
              <w:t xml:space="preserve"> subjekty</w:t>
            </w:r>
          </w:p>
          <w:p w:rsidR="00BE2B08" w:rsidP="00E13521">
            <w:pPr>
              <w:pStyle w:val="Vchodzie"/>
              <w:bidi w:val="0"/>
              <w:spacing w:after="200" w:line="276" w:lineRule="auto"/>
              <w:ind w:left="284"/>
              <w:rPr>
                <w:szCs w:val="24"/>
              </w:rPr>
            </w:pPr>
            <w:r>
              <w:rPr>
                <w:sz w:val="24"/>
                <w:szCs w:val="24"/>
              </w:rPr>
              <w:t xml:space="preserve"> - </w:t>
            </w:r>
            <w:r>
              <w:rPr>
                <w:b/>
                <w:sz w:val="24"/>
                <w:szCs w:val="24"/>
              </w:rPr>
              <w:t>z  toho MSP</w:t>
            </w: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r>
              <w:rPr>
                <w:rFonts w:hint="default"/>
                <w:i/>
                <w:szCs w:val="24"/>
              </w:rPr>
              <w:t>Uveď</w:t>
            </w:r>
            <w:r>
              <w:rPr>
                <w:rFonts w:hint="default"/>
                <w:i/>
                <w:szCs w:val="24"/>
              </w:rPr>
              <w:t>te, aké</w:t>
            </w:r>
            <w:r>
              <w:rPr>
                <w:rFonts w:hint="default"/>
                <w:i/>
                <w:szCs w:val="24"/>
              </w:rPr>
              <w:t xml:space="preserve"> podnikateľ</w:t>
            </w:r>
            <w:r>
              <w:rPr>
                <w:rFonts w:hint="default"/>
                <w:i/>
                <w:szCs w:val="24"/>
              </w:rPr>
              <w:t>ské</w:t>
            </w:r>
            <w:r>
              <w:rPr>
                <w:rFonts w:hint="default"/>
                <w:i/>
                <w:szCs w:val="24"/>
              </w:rPr>
              <w:t xml:space="preserve"> subjekty budú</w:t>
            </w:r>
            <w:r>
              <w:rPr>
                <w:rFonts w:hint="default"/>
                <w:i/>
                <w:szCs w:val="24"/>
              </w:rPr>
              <w:t xml:space="preserve"> predkladaný</w:t>
            </w:r>
            <w:r>
              <w:rPr>
                <w:rFonts w:hint="default"/>
                <w:i/>
                <w:szCs w:val="24"/>
              </w:rPr>
              <w:t>m ná</w:t>
            </w:r>
            <w:r>
              <w:rPr>
                <w:rFonts w:hint="default"/>
                <w:i/>
                <w:szCs w:val="24"/>
              </w:rPr>
              <w:t>vrhom ovplyvnené.</w:t>
            </w:r>
          </w:p>
          <w:p w:rsidR="00BE2B08" w:rsidP="00E13521">
            <w:pPr>
              <w:pStyle w:val="Vchodzie"/>
              <w:bidi w:val="0"/>
              <w:spacing w:after="200" w:line="276" w:lineRule="auto"/>
              <w:rPr>
                <w:szCs w:val="24"/>
              </w:rPr>
            </w:pPr>
            <w:r>
              <w:rPr>
                <w:rFonts w:hint="default"/>
                <w:i/>
                <w:szCs w:val="24"/>
              </w:rPr>
              <w:t>Aký</w:t>
            </w:r>
            <w:r>
              <w:rPr>
                <w:rFonts w:hint="default"/>
                <w:i/>
                <w:szCs w:val="24"/>
              </w:rPr>
              <w:t xml:space="preserve"> je ich poč</w:t>
            </w:r>
            <w:r>
              <w:rPr>
                <w:rFonts w:hint="default"/>
                <w:i/>
                <w:szCs w:val="24"/>
              </w:rPr>
              <w:t>et?</w:t>
            </w:r>
          </w:p>
        </w:tc>
      </w:tr>
      <w:tr>
        <w:tblPrEx>
          <w:tblW w:w="0" w:type="auto"/>
          <w:tblLayout w:type="fixed"/>
        </w:tblPrEx>
        <w:trPr>
          <w:trHeight w:val="1440"/>
        </w:trPr>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p>
          <w:p w:rsidR="00BE2B08" w:rsidP="00E13521">
            <w:pPr>
              <w:pStyle w:val="Vchodzie"/>
              <w:bidi w:val="0"/>
              <w:spacing w:after="0" w:line="240" w:lineRule="auto"/>
              <w:rPr>
                <w:szCs w:val="24"/>
              </w:rPr>
            </w:pPr>
            <w:r>
              <w:rPr>
                <w:b/>
                <w:i/>
                <w:szCs w:val="24"/>
              </w:rPr>
              <w:t>Banky a </w:t>
            </w:r>
            <w:r>
              <w:rPr>
                <w:rFonts w:hint="default"/>
                <w:b/>
                <w:i/>
                <w:szCs w:val="24"/>
              </w:rPr>
              <w:t xml:space="preserve"> poboč</w:t>
            </w:r>
            <w:r>
              <w:rPr>
                <w:rFonts w:hint="default"/>
                <w:b/>
                <w:i/>
                <w:szCs w:val="24"/>
              </w:rPr>
              <w:t>ky zahranič</w:t>
            </w:r>
            <w:r>
              <w:rPr>
                <w:rFonts w:hint="default"/>
                <w:b/>
                <w:i/>
                <w:szCs w:val="24"/>
              </w:rPr>
              <w:t>ný</w:t>
            </w:r>
            <w:r>
              <w:rPr>
                <w:rFonts w:hint="default"/>
                <w:b/>
                <w:i/>
                <w:szCs w:val="24"/>
              </w:rPr>
              <w:t>ch bá</w:t>
            </w:r>
            <w:r>
              <w:rPr>
                <w:rFonts w:hint="default"/>
                <w:b/>
                <w:i/>
                <w:szCs w:val="24"/>
              </w:rPr>
              <w:t>nk: 17 subjektov, ktoré</w:t>
            </w:r>
            <w:r>
              <w:rPr>
                <w:rFonts w:hint="default"/>
                <w:b/>
                <w:i/>
                <w:szCs w:val="24"/>
              </w:rPr>
              <w:t xml:space="preserve"> aktuá</w:t>
            </w:r>
            <w:r>
              <w:rPr>
                <w:rFonts w:hint="default"/>
                <w:b/>
                <w:i/>
                <w:szCs w:val="24"/>
              </w:rPr>
              <w:t>lne poskytujú</w:t>
            </w:r>
            <w:r>
              <w:rPr>
                <w:rFonts w:hint="default"/>
                <w:b/>
                <w:i/>
                <w:szCs w:val="24"/>
              </w:rPr>
              <w:t xml:space="preserve"> spotrebiteľ</w:t>
            </w:r>
            <w:r>
              <w:rPr>
                <w:rFonts w:hint="default"/>
                <w:b/>
                <w:i/>
                <w:szCs w:val="24"/>
              </w:rPr>
              <w:t>ské</w:t>
            </w:r>
            <w:r>
              <w:rPr>
                <w:rFonts w:hint="default"/>
                <w:b/>
                <w:i/>
                <w:szCs w:val="24"/>
              </w:rPr>
              <w:t xml:space="preserve"> ú</w:t>
            </w:r>
            <w:r>
              <w:rPr>
                <w:rFonts w:hint="default"/>
                <w:b/>
                <w:i/>
                <w:szCs w:val="24"/>
              </w:rPr>
              <w:t>very, z  toho MSP 8 subjektov a </w:t>
            </w:r>
            <w:r>
              <w:rPr>
                <w:rFonts w:hint="default"/>
                <w:b/>
                <w:i/>
                <w:szCs w:val="24"/>
              </w:rPr>
              <w:t xml:space="preserve"> veľ</w:t>
            </w:r>
            <w:r>
              <w:rPr>
                <w:rFonts w:hint="default"/>
                <w:b/>
                <w:i/>
                <w:szCs w:val="24"/>
              </w:rPr>
              <w:t>ké</w:t>
            </w:r>
            <w:r>
              <w:rPr>
                <w:rFonts w:hint="default"/>
                <w:b/>
                <w:i/>
                <w:szCs w:val="24"/>
              </w:rPr>
              <w:t xml:space="preserve"> podniky 9 subjektov.</w:t>
            </w:r>
          </w:p>
          <w:p w:rsidR="00BE2B08" w:rsidP="00E13521">
            <w:pPr>
              <w:pStyle w:val="Vchodzie"/>
              <w:bidi w:val="0"/>
              <w:spacing w:after="0" w:line="240" w:lineRule="auto"/>
              <w:rPr>
                <w:szCs w:val="24"/>
              </w:rPr>
            </w:pPr>
          </w:p>
          <w:p w:rsidR="00BE2B08" w:rsidP="00AF5A23">
            <w:pPr>
              <w:pStyle w:val="Vchodzie"/>
              <w:bidi w:val="0"/>
              <w:spacing w:after="0" w:line="240" w:lineRule="auto"/>
              <w:rPr>
                <w:szCs w:val="24"/>
              </w:rPr>
            </w:pPr>
            <w:r>
              <w:rPr>
                <w:rFonts w:hint="default"/>
                <w:b/>
                <w:i/>
                <w:szCs w:val="24"/>
              </w:rPr>
              <w:t>Nebankoví</w:t>
            </w:r>
            <w:r>
              <w:rPr>
                <w:rFonts w:hint="default"/>
                <w:b/>
                <w:i/>
                <w:szCs w:val="24"/>
              </w:rPr>
              <w:t xml:space="preserve"> veritelia: 27 subjektov, z  toho MSP 24 subjektov a </w:t>
            </w:r>
            <w:r>
              <w:rPr>
                <w:rFonts w:hint="default"/>
                <w:b/>
                <w:i/>
                <w:szCs w:val="24"/>
              </w:rPr>
              <w:t xml:space="preserve"> veľ</w:t>
            </w:r>
            <w:r>
              <w:rPr>
                <w:rFonts w:hint="default"/>
                <w:b/>
                <w:i/>
                <w:szCs w:val="24"/>
              </w:rPr>
              <w:t>ké</w:t>
            </w:r>
            <w:r>
              <w:rPr>
                <w:rFonts w:hint="default"/>
                <w:b/>
                <w:i/>
                <w:szCs w:val="24"/>
              </w:rPr>
              <w:t xml:space="preserve"> podniky 3 subjekty.</w:t>
            </w:r>
          </w:p>
        </w:tc>
      </w:tr>
      <w:tr>
        <w:tblPrEx>
          <w:tblW w:w="0" w:type="auto"/>
          <w:tblLayout w:type="fixed"/>
        </w:tblPrEx>
        <w:trPr>
          <w:trHeight w:val="339"/>
        </w:trPr>
        <w:tc>
          <w:tcPr>
            <w:tcW w:w="9320" w:type="dxa"/>
            <w:tcBorders>
              <w:top w:val="single" w:sz="2" w:space="0" w:color="000000"/>
              <w:left w:val="single" w:sz="2" w:space="0" w:color="000000"/>
              <w:bottom w:val="single" w:sz="2" w:space="0" w:color="000000"/>
              <w:right w:val="single" w:sz="2" w:space="0" w:color="000000"/>
            </w:tcBorders>
            <w:shd w:val="clear" w:color="auto" w:fill="D9D9D9"/>
            <w:textDirection w:val="lrTb"/>
            <w:vAlign w:val="top"/>
          </w:tcPr>
          <w:p w:rsidR="00BE2B08" w:rsidP="00E13521">
            <w:pPr>
              <w:pStyle w:val="Vchodzie"/>
              <w:bidi w:val="0"/>
              <w:spacing w:after="0" w:line="240" w:lineRule="auto"/>
              <w:rPr>
                <w:szCs w:val="24"/>
              </w:rPr>
            </w:pPr>
            <w:r>
              <w:rPr>
                <w:rFonts w:hint="default"/>
                <w:b/>
                <w:sz w:val="24"/>
                <w:szCs w:val="24"/>
              </w:rPr>
              <w:t>3.2 Vyhodnotenie konzultá</w:t>
            </w:r>
            <w:r>
              <w:rPr>
                <w:rFonts w:hint="default"/>
                <w:b/>
                <w:sz w:val="24"/>
                <w:szCs w:val="24"/>
              </w:rPr>
              <w:t>cií</w:t>
            </w:r>
          </w:p>
          <w:p w:rsidR="00BE2B08" w:rsidP="00E13521">
            <w:pPr>
              <w:pStyle w:val="Vchodzie"/>
              <w:bidi w:val="0"/>
              <w:spacing w:after="200" w:line="276" w:lineRule="auto"/>
              <w:rPr>
                <w:szCs w:val="24"/>
              </w:rPr>
            </w:pPr>
            <w:r>
              <w:rPr>
                <w:sz w:val="24"/>
                <w:szCs w:val="24"/>
              </w:rPr>
              <w:t xml:space="preserve">       - </w:t>
            </w:r>
            <w:r>
              <w:rPr>
                <w:b/>
                <w:sz w:val="24"/>
                <w:szCs w:val="24"/>
              </w:rPr>
              <w:t>z  toho MSP</w:t>
            </w:r>
          </w:p>
        </w:tc>
      </w:tr>
      <w:tr>
        <w:tblPrEx>
          <w:tblW w:w="0" w:type="auto"/>
          <w:tblLayout w:type="fixed"/>
        </w:tblPrEx>
        <w:trPr>
          <w:trHeight w:val="557"/>
        </w:trPr>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r>
              <w:rPr>
                <w:rFonts w:hint="default"/>
                <w:i/>
                <w:szCs w:val="24"/>
              </w:rPr>
              <w:t>Uveď</w:t>
            </w:r>
            <w:r>
              <w:rPr>
                <w:rFonts w:hint="default"/>
                <w:i/>
                <w:szCs w:val="24"/>
              </w:rPr>
              <w:t>te, akou formou (verejné</w:t>
            </w:r>
            <w:r>
              <w:rPr>
                <w:rFonts w:hint="default"/>
                <w:i/>
                <w:szCs w:val="24"/>
              </w:rPr>
              <w:t xml:space="preserve"> alebo cielené</w:t>
            </w:r>
            <w:r>
              <w:rPr>
                <w:rFonts w:hint="default"/>
                <w:i/>
                <w:szCs w:val="24"/>
              </w:rPr>
              <w:t xml:space="preserve"> konzultá</w:t>
            </w:r>
            <w:r>
              <w:rPr>
                <w:rFonts w:hint="default"/>
                <w:i/>
                <w:szCs w:val="24"/>
              </w:rPr>
              <w:t>cie a preč</w:t>
            </w:r>
            <w:r>
              <w:rPr>
                <w:rFonts w:hint="default"/>
                <w:i/>
                <w:szCs w:val="24"/>
              </w:rPr>
              <w:t>o) a s ký</w:t>
            </w:r>
            <w:r>
              <w:rPr>
                <w:rFonts w:hint="default"/>
                <w:i/>
                <w:szCs w:val="24"/>
              </w:rPr>
              <w:t>m bol ná</w:t>
            </w:r>
            <w:r>
              <w:rPr>
                <w:rFonts w:hint="default"/>
                <w:i/>
                <w:szCs w:val="24"/>
              </w:rPr>
              <w:t>vrh konzultovaný.</w:t>
            </w:r>
          </w:p>
          <w:p w:rsidR="00BE2B08" w:rsidP="00E13521">
            <w:pPr>
              <w:pStyle w:val="Vchodzie"/>
              <w:bidi w:val="0"/>
              <w:spacing w:after="0" w:line="240" w:lineRule="auto"/>
              <w:rPr>
                <w:szCs w:val="24"/>
              </w:rPr>
            </w:pPr>
            <w:r>
              <w:rPr>
                <w:rFonts w:hint="default"/>
                <w:i/>
                <w:szCs w:val="24"/>
              </w:rPr>
              <w:t>Ako dlho trvali konzultá</w:t>
            </w:r>
            <w:r>
              <w:rPr>
                <w:rFonts w:hint="default"/>
                <w:i/>
                <w:szCs w:val="24"/>
              </w:rPr>
              <w:t>cie?</w:t>
            </w:r>
          </w:p>
          <w:p w:rsidR="00BE2B08" w:rsidP="00E13521">
            <w:pPr>
              <w:pStyle w:val="Vchodzie"/>
              <w:bidi w:val="0"/>
              <w:spacing w:after="200" w:line="276" w:lineRule="auto"/>
              <w:rPr>
                <w:szCs w:val="24"/>
              </w:rPr>
            </w:pPr>
            <w:r>
              <w:rPr>
                <w:rFonts w:hint="default"/>
                <w:i/>
                <w:szCs w:val="24"/>
              </w:rPr>
              <w:t>Uveď</w:t>
            </w:r>
            <w:r>
              <w:rPr>
                <w:rFonts w:hint="default"/>
                <w:i/>
                <w:szCs w:val="24"/>
              </w:rPr>
              <w:t>te hlavné</w:t>
            </w:r>
            <w:r>
              <w:rPr>
                <w:rFonts w:hint="default"/>
                <w:i/>
                <w:szCs w:val="24"/>
              </w:rPr>
              <w:t xml:space="preserve"> body konzultá</w:t>
            </w:r>
            <w:r>
              <w:rPr>
                <w:rFonts w:hint="default"/>
                <w:i/>
                <w:szCs w:val="24"/>
              </w:rPr>
              <w:t>cií</w:t>
            </w:r>
            <w:r>
              <w:rPr>
                <w:rFonts w:hint="default"/>
                <w:i/>
                <w:szCs w:val="24"/>
              </w:rPr>
              <w:t xml:space="preserve"> a vý</w:t>
            </w:r>
            <w:r>
              <w:rPr>
                <w:rFonts w:hint="default"/>
                <w:i/>
                <w:szCs w:val="24"/>
              </w:rPr>
              <w:t>sledky konzultá</w:t>
            </w:r>
            <w:r>
              <w:rPr>
                <w:rFonts w:hint="default"/>
                <w:i/>
                <w:szCs w:val="24"/>
              </w:rPr>
              <w:t>cií</w:t>
            </w:r>
            <w:r>
              <w:rPr>
                <w:rFonts w:hint="default"/>
                <w:i/>
                <w:szCs w:val="24"/>
              </w:rPr>
              <w:t xml:space="preserve">. </w:t>
            </w:r>
          </w:p>
        </w:tc>
      </w:tr>
      <w:tr>
        <w:tblPrEx>
          <w:tblW w:w="0" w:type="auto"/>
          <w:tblLayout w:type="fixed"/>
        </w:tblPrEx>
        <w:trPr>
          <w:trHeight w:val="1440"/>
        </w:trPr>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p>
          <w:p w:rsidR="00BE2B08" w:rsidP="00CC58AE">
            <w:pPr>
              <w:pStyle w:val="Vchodzie"/>
              <w:bidi w:val="0"/>
              <w:spacing w:after="0" w:line="240" w:lineRule="auto"/>
              <w:jc w:val="both"/>
              <w:rPr>
                <w:szCs w:val="24"/>
              </w:rPr>
            </w:pPr>
            <w:r>
              <w:rPr>
                <w:rFonts w:hint="default"/>
                <w:b/>
                <w:i/>
                <w:szCs w:val="24"/>
              </w:rPr>
              <w:t>Predmetný</w:t>
            </w:r>
            <w:r>
              <w:rPr>
                <w:rFonts w:hint="default"/>
                <w:b/>
                <w:i/>
                <w:szCs w:val="24"/>
              </w:rPr>
              <w:t xml:space="preserve"> ná</w:t>
            </w:r>
            <w:r>
              <w:rPr>
                <w:rFonts w:hint="default"/>
                <w:b/>
                <w:i/>
                <w:szCs w:val="24"/>
              </w:rPr>
              <w:t>vrh zá</w:t>
            </w:r>
            <w:r>
              <w:rPr>
                <w:rFonts w:hint="default"/>
                <w:b/>
                <w:i/>
                <w:szCs w:val="24"/>
              </w:rPr>
              <w:t>kona preš</w:t>
            </w:r>
            <w:r>
              <w:rPr>
                <w:rFonts w:hint="default"/>
                <w:b/>
                <w:i/>
                <w:szCs w:val="24"/>
              </w:rPr>
              <w:t>iel medzirezortný</w:t>
            </w:r>
            <w:r>
              <w:rPr>
                <w:rFonts w:hint="default"/>
                <w:b/>
                <w:i/>
                <w:szCs w:val="24"/>
              </w:rPr>
              <w:t>m konaní</w:t>
            </w:r>
            <w:r>
              <w:rPr>
                <w:rFonts w:hint="default"/>
                <w:b/>
                <w:i/>
                <w:szCs w:val="24"/>
              </w:rPr>
              <w:t>m v sú</w:t>
            </w:r>
            <w:r>
              <w:rPr>
                <w:rFonts w:hint="default"/>
                <w:b/>
                <w:i/>
                <w:szCs w:val="24"/>
              </w:rPr>
              <w:t>lade s Legislatí</w:t>
            </w:r>
            <w:r>
              <w:rPr>
                <w:rFonts w:hint="default"/>
                <w:b/>
                <w:i/>
                <w:szCs w:val="24"/>
              </w:rPr>
              <w:t>vnymi pravidlami vlá</w:t>
            </w:r>
            <w:r>
              <w:rPr>
                <w:rFonts w:hint="default"/>
                <w:b/>
                <w:i/>
                <w:szCs w:val="24"/>
              </w:rPr>
              <w:t>dy a </w:t>
            </w:r>
            <w:r>
              <w:rPr>
                <w:rFonts w:hint="default"/>
                <w:b/>
                <w:i/>
                <w:szCs w:val="24"/>
              </w:rPr>
              <w:t xml:space="preserve"> bol ukonč</w:t>
            </w:r>
            <w:r>
              <w:rPr>
                <w:rFonts w:hint="default"/>
                <w:b/>
                <w:i/>
                <w:szCs w:val="24"/>
              </w:rPr>
              <w:t>ený</w:t>
            </w:r>
            <w:r>
              <w:rPr>
                <w:rFonts w:hint="default"/>
                <w:b/>
                <w:i/>
                <w:szCs w:val="24"/>
              </w:rPr>
              <w:t xml:space="preserve"> zač</w:t>
            </w:r>
            <w:r>
              <w:rPr>
                <w:rFonts w:hint="default"/>
                <w:b/>
                <w:i/>
                <w:szCs w:val="24"/>
              </w:rPr>
              <w:t>iatkom roku 2016 vyhodnotení</w:t>
            </w:r>
            <w:r>
              <w:rPr>
                <w:rFonts w:hint="default"/>
                <w:b/>
                <w:i/>
                <w:szCs w:val="24"/>
              </w:rPr>
              <w:t>m medzirezortné</w:t>
            </w:r>
            <w:r>
              <w:rPr>
                <w:rFonts w:hint="default"/>
                <w:b/>
                <w:i/>
                <w:szCs w:val="24"/>
              </w:rPr>
              <w:t>ho pripomienkové</w:t>
            </w:r>
            <w:r>
              <w:rPr>
                <w:rFonts w:hint="default"/>
                <w:b/>
                <w:i/>
                <w:szCs w:val="24"/>
              </w:rPr>
              <w:t>ho konania. Predkladateľ</w:t>
            </w:r>
            <w:r>
              <w:rPr>
                <w:rFonts w:hint="default"/>
                <w:b/>
                <w:i/>
                <w:szCs w:val="24"/>
              </w:rPr>
              <w:t xml:space="preserve"> obozná</w:t>
            </w:r>
            <w:r>
              <w:rPr>
                <w:rFonts w:hint="default"/>
                <w:b/>
                <w:i/>
                <w:szCs w:val="24"/>
              </w:rPr>
              <w:t>mil dotknuté</w:t>
            </w:r>
            <w:r>
              <w:rPr>
                <w:rFonts w:hint="default"/>
                <w:b/>
                <w:i/>
                <w:szCs w:val="24"/>
              </w:rPr>
              <w:t xml:space="preserve"> subjekty v rá</w:t>
            </w:r>
            <w:r>
              <w:rPr>
                <w:rFonts w:hint="default"/>
                <w:b/>
                <w:i/>
                <w:szCs w:val="24"/>
              </w:rPr>
              <w:t>mci s obsahom materiá</w:t>
            </w:r>
            <w:r>
              <w:rPr>
                <w:rFonts w:hint="default"/>
                <w:b/>
                <w:i/>
                <w:szCs w:val="24"/>
              </w:rPr>
              <w:t>lu a rovnako prediskutoval aj vš</w:t>
            </w:r>
            <w:r>
              <w:rPr>
                <w:rFonts w:hint="default"/>
                <w:b/>
                <w:i/>
                <w:szCs w:val="24"/>
              </w:rPr>
              <w:t>etky otá</w:t>
            </w:r>
            <w:r>
              <w:rPr>
                <w:rFonts w:hint="default"/>
                <w:b/>
                <w:i/>
                <w:szCs w:val="24"/>
              </w:rPr>
              <w:t>zky, ktoré</w:t>
            </w:r>
            <w:r>
              <w:rPr>
                <w:rFonts w:hint="default"/>
                <w:b/>
                <w:i/>
                <w:szCs w:val="24"/>
              </w:rPr>
              <w:t xml:space="preserve"> z </w:t>
            </w:r>
            <w:r>
              <w:rPr>
                <w:rFonts w:hint="default"/>
                <w:b/>
                <w:i/>
                <w:szCs w:val="24"/>
              </w:rPr>
              <w:t xml:space="preserve"> neho vyplynuli. Materiá</w:t>
            </w:r>
            <w:r>
              <w:rPr>
                <w:rFonts w:hint="default"/>
                <w:b/>
                <w:i/>
                <w:szCs w:val="24"/>
              </w:rPr>
              <w:t>l sa zá</w:t>
            </w:r>
            <w:r>
              <w:rPr>
                <w:rFonts w:hint="default"/>
                <w:b/>
                <w:i/>
                <w:szCs w:val="24"/>
              </w:rPr>
              <w:t>sadne nemenil a do obsahu sa zhoduje už</w:t>
            </w:r>
            <w:r>
              <w:rPr>
                <w:rFonts w:hint="default"/>
                <w:b/>
                <w:i/>
                <w:szCs w:val="24"/>
              </w:rPr>
              <w:t xml:space="preserve"> s pô</w:t>
            </w:r>
            <w:r>
              <w:rPr>
                <w:rFonts w:hint="default"/>
                <w:b/>
                <w:i/>
                <w:szCs w:val="24"/>
              </w:rPr>
              <w:t>vodný</w:t>
            </w:r>
            <w:r>
              <w:rPr>
                <w:rFonts w:hint="default"/>
                <w:b/>
                <w:i/>
                <w:szCs w:val="24"/>
              </w:rPr>
              <w:t>m materiá</w:t>
            </w:r>
            <w:r>
              <w:rPr>
                <w:rFonts w:hint="default"/>
                <w:b/>
                <w:i/>
                <w:szCs w:val="24"/>
              </w:rPr>
              <w:t>lom, ktorý</w:t>
            </w:r>
            <w:r>
              <w:rPr>
                <w:rFonts w:hint="default"/>
                <w:b/>
                <w:i/>
                <w:szCs w:val="24"/>
              </w:rPr>
              <w:t xml:space="preserve"> už</w:t>
            </w:r>
            <w:r>
              <w:rPr>
                <w:rFonts w:hint="default"/>
                <w:b/>
                <w:i/>
                <w:szCs w:val="24"/>
              </w:rPr>
              <w:t xml:space="preserve"> v sebe obsahuje zapra</w:t>
            </w:r>
            <w:r>
              <w:rPr>
                <w:rFonts w:hint="default"/>
                <w:b/>
                <w:i/>
                <w:szCs w:val="24"/>
              </w:rPr>
              <w:t>c</w:t>
            </w:r>
            <w:r>
              <w:rPr>
                <w:rFonts w:hint="default"/>
                <w:b/>
                <w:i/>
                <w:szCs w:val="24"/>
              </w:rPr>
              <w:t>ované</w:t>
            </w:r>
            <w:r>
              <w:rPr>
                <w:rFonts w:hint="default"/>
                <w:b/>
                <w:i/>
                <w:szCs w:val="24"/>
              </w:rPr>
              <w:t xml:space="preserve"> pripomienky od dotknutý</w:t>
            </w:r>
            <w:r>
              <w:rPr>
                <w:rFonts w:hint="default"/>
                <w:b/>
                <w:i/>
                <w:szCs w:val="24"/>
              </w:rPr>
              <w:t>ch subjektov.</w:t>
            </w:r>
          </w:p>
          <w:p w:rsidR="00BE2B08" w:rsidP="00E13521">
            <w:pPr>
              <w:pStyle w:val="Vchodzie"/>
              <w:bidi w:val="0"/>
              <w:spacing w:after="200" w:line="276" w:lineRule="auto"/>
              <w:rPr>
                <w:szCs w:val="24"/>
              </w:rPr>
            </w:pP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shd w:val="clear" w:color="auto" w:fill="D9D9D9"/>
            <w:textDirection w:val="lrTb"/>
            <w:vAlign w:val="top"/>
          </w:tcPr>
          <w:p w:rsidR="00BE2B08" w:rsidP="00E13521">
            <w:pPr>
              <w:pStyle w:val="Vchodzie"/>
              <w:bidi w:val="0"/>
              <w:spacing w:after="0" w:line="240" w:lineRule="auto"/>
              <w:rPr>
                <w:szCs w:val="24"/>
              </w:rPr>
            </w:pPr>
            <w:r>
              <w:rPr>
                <w:rFonts w:hint="default"/>
                <w:b/>
                <w:sz w:val="24"/>
                <w:szCs w:val="24"/>
              </w:rPr>
              <w:t>3.3 Ná</w:t>
            </w:r>
            <w:r>
              <w:rPr>
                <w:rFonts w:hint="default"/>
                <w:b/>
                <w:sz w:val="24"/>
                <w:szCs w:val="24"/>
              </w:rPr>
              <w:t>klady regulá</w:t>
            </w:r>
            <w:r>
              <w:rPr>
                <w:rFonts w:hint="default"/>
                <w:b/>
                <w:sz w:val="24"/>
                <w:szCs w:val="24"/>
              </w:rPr>
              <w:t>cie</w:t>
            </w:r>
          </w:p>
          <w:p w:rsidR="00BE2B08" w:rsidP="00E13521">
            <w:pPr>
              <w:pStyle w:val="Vchodzie"/>
              <w:bidi w:val="0"/>
              <w:spacing w:after="200" w:line="276" w:lineRule="auto"/>
              <w:rPr>
                <w:szCs w:val="24"/>
              </w:rPr>
            </w:pPr>
            <w:r>
              <w:rPr>
                <w:sz w:val="24"/>
                <w:szCs w:val="24"/>
              </w:rPr>
              <w:t xml:space="preserve">      - </w:t>
            </w:r>
            <w:r>
              <w:rPr>
                <w:b/>
                <w:sz w:val="24"/>
                <w:szCs w:val="24"/>
              </w:rPr>
              <w:t>z  toho MSP</w:t>
            </w: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AA2F0B" w:rsidP="00AA2F0B">
            <w:pPr>
              <w:pStyle w:val="Vchodzie"/>
              <w:bidi w:val="0"/>
              <w:spacing w:after="0" w:line="240" w:lineRule="auto"/>
              <w:rPr>
                <w:szCs w:val="24"/>
              </w:rPr>
            </w:pPr>
            <w:r w:rsidR="00BE2B08">
              <w:rPr>
                <w:rFonts w:hint="default"/>
                <w:b/>
                <w:i/>
                <w:szCs w:val="24"/>
              </w:rPr>
              <w:t>3.3.1 Priame finanč</w:t>
            </w:r>
            <w:r w:rsidR="00BE2B08">
              <w:rPr>
                <w:rFonts w:hint="default"/>
                <w:b/>
                <w:i/>
                <w:szCs w:val="24"/>
              </w:rPr>
              <w:t>né</w:t>
            </w:r>
            <w:r w:rsidR="00BE2B08">
              <w:rPr>
                <w:rFonts w:hint="default"/>
                <w:b/>
                <w:i/>
                <w:szCs w:val="24"/>
              </w:rPr>
              <w:t xml:space="preserve"> ná</w:t>
            </w:r>
            <w:r w:rsidR="00BE2B08">
              <w:rPr>
                <w:rFonts w:hint="default"/>
                <w:b/>
                <w:i/>
                <w:szCs w:val="24"/>
              </w:rPr>
              <w:t>klady</w:t>
            </w:r>
          </w:p>
          <w:p w:rsidR="00AA2F0B" w:rsidRPr="00AA2F0B" w:rsidP="00AA2F0B">
            <w:pPr>
              <w:pStyle w:val="Vchodzie"/>
              <w:bidi w:val="0"/>
              <w:spacing w:after="0" w:line="240" w:lineRule="auto"/>
              <w:rPr>
                <w:szCs w:val="24"/>
              </w:rPr>
            </w:pPr>
          </w:p>
          <w:p w:rsidR="00BE2B08" w:rsidP="00AA2F0B">
            <w:pPr>
              <w:pStyle w:val="Vchodzie"/>
              <w:bidi w:val="0"/>
              <w:spacing w:after="0" w:line="276" w:lineRule="auto"/>
              <w:rPr>
                <w:szCs w:val="24"/>
              </w:rPr>
            </w:pPr>
            <w:r>
              <w:rPr>
                <w:rFonts w:hint="default"/>
                <w:i/>
                <w:szCs w:val="24"/>
              </w:rPr>
              <w:t>Dochá</w:t>
            </w:r>
            <w:r>
              <w:rPr>
                <w:rFonts w:hint="default"/>
                <w:i/>
                <w:szCs w:val="24"/>
              </w:rPr>
              <w:t>dza k </w:t>
            </w:r>
            <w:r>
              <w:rPr>
                <w:rFonts w:hint="default"/>
                <w:i/>
                <w:szCs w:val="24"/>
              </w:rPr>
              <w:t xml:space="preserve"> zvýš</w:t>
            </w:r>
            <w:r>
              <w:rPr>
                <w:rFonts w:hint="default"/>
                <w:i/>
                <w:szCs w:val="24"/>
              </w:rPr>
              <w:t>eniu/zníž</w:t>
            </w:r>
            <w:r>
              <w:rPr>
                <w:rFonts w:hint="default"/>
                <w:i/>
                <w:szCs w:val="24"/>
              </w:rPr>
              <w:t>eniu priamych finanč</w:t>
            </w:r>
            <w:r>
              <w:rPr>
                <w:rFonts w:hint="default"/>
                <w:i/>
                <w:szCs w:val="24"/>
              </w:rPr>
              <w:t>ný</w:t>
            </w:r>
            <w:r>
              <w:rPr>
                <w:rFonts w:hint="default"/>
                <w:i/>
                <w:szCs w:val="24"/>
              </w:rPr>
              <w:t>ch ná</w:t>
            </w:r>
            <w:r>
              <w:rPr>
                <w:rFonts w:hint="default"/>
                <w:i/>
                <w:szCs w:val="24"/>
              </w:rPr>
              <w:t>kladov (poplatky, odvody, dane clá</w:t>
            </w:r>
            <w:r>
              <w:rPr>
                <w:rFonts w:hint="default"/>
                <w:i/>
                <w:szCs w:val="24"/>
              </w:rPr>
              <w:t>...)? Ak á</w:t>
            </w:r>
            <w:r>
              <w:rPr>
                <w:rFonts w:hint="default"/>
                <w:i/>
                <w:szCs w:val="24"/>
              </w:rPr>
              <w:t>no, popíš</w:t>
            </w:r>
            <w:r>
              <w:rPr>
                <w:rFonts w:hint="default"/>
                <w:i/>
                <w:szCs w:val="24"/>
              </w:rPr>
              <w:t>te a vyčí</w:t>
            </w:r>
            <w:r>
              <w:rPr>
                <w:rFonts w:hint="default"/>
                <w:i/>
                <w:szCs w:val="24"/>
              </w:rPr>
              <w:t>slite ich. Uveď</w:t>
            </w:r>
            <w:r>
              <w:rPr>
                <w:rFonts w:hint="default"/>
                <w:i/>
                <w:szCs w:val="24"/>
              </w:rPr>
              <w:t>te tiež</w:t>
            </w:r>
            <w:r>
              <w:rPr>
                <w:rFonts w:hint="default"/>
                <w:i/>
                <w:szCs w:val="24"/>
              </w:rPr>
              <w:t xml:space="preserve"> spô</w:t>
            </w:r>
            <w:r>
              <w:rPr>
                <w:rFonts w:hint="default"/>
                <w:i/>
                <w:szCs w:val="24"/>
              </w:rPr>
              <w:t>sob ich vý</w:t>
            </w:r>
            <w:r>
              <w:rPr>
                <w:rFonts w:hint="default"/>
                <w:i/>
                <w:szCs w:val="24"/>
              </w:rPr>
              <w:t>poč</w:t>
            </w:r>
            <w:r>
              <w:rPr>
                <w:rFonts w:hint="default"/>
                <w:i/>
                <w:szCs w:val="24"/>
              </w:rPr>
              <w:t xml:space="preserve">tu. </w:t>
            </w: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AF5A23">
            <w:pPr>
              <w:pStyle w:val="Vchodzie"/>
              <w:bidi w:val="0"/>
              <w:spacing w:after="0" w:line="240" w:lineRule="auto"/>
              <w:rPr>
                <w:szCs w:val="24"/>
              </w:rPr>
            </w:pPr>
            <w:r>
              <w:rPr>
                <w:rFonts w:hint="default"/>
                <w:b/>
                <w:i/>
                <w:szCs w:val="24"/>
              </w:rPr>
              <w:t>Prijatí</w:t>
            </w:r>
            <w:r>
              <w:rPr>
                <w:rFonts w:hint="default"/>
                <w:b/>
                <w:i/>
                <w:szCs w:val="24"/>
              </w:rPr>
              <w:t>m zá</w:t>
            </w:r>
            <w:r>
              <w:rPr>
                <w:rFonts w:hint="default"/>
                <w:b/>
                <w:i/>
                <w:szCs w:val="24"/>
              </w:rPr>
              <w:t>kona nedochá</w:t>
            </w:r>
            <w:r>
              <w:rPr>
                <w:rFonts w:hint="default"/>
                <w:b/>
                <w:i/>
                <w:szCs w:val="24"/>
              </w:rPr>
              <w:t>dza k </w:t>
            </w:r>
            <w:r>
              <w:rPr>
                <w:rFonts w:hint="default"/>
                <w:b/>
                <w:i/>
                <w:szCs w:val="24"/>
              </w:rPr>
              <w:t xml:space="preserve"> zmene ž</w:t>
            </w:r>
            <w:r>
              <w:rPr>
                <w:rFonts w:hint="default"/>
                <w:b/>
                <w:i/>
                <w:szCs w:val="24"/>
              </w:rPr>
              <w:t>iadnych priamych finanč</w:t>
            </w:r>
            <w:r>
              <w:rPr>
                <w:rFonts w:hint="default"/>
                <w:b/>
                <w:i/>
                <w:szCs w:val="24"/>
              </w:rPr>
              <w:t>ný</w:t>
            </w:r>
            <w:r>
              <w:rPr>
                <w:rFonts w:hint="default"/>
                <w:b/>
                <w:i/>
                <w:szCs w:val="24"/>
              </w:rPr>
              <w:t>ch ná</w:t>
            </w:r>
            <w:r>
              <w:rPr>
                <w:rFonts w:hint="default"/>
                <w:b/>
                <w:i/>
                <w:szCs w:val="24"/>
              </w:rPr>
              <w:t>kladov.</w:t>
            </w: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AA2F0B" w:rsidRPr="00AA2F0B" w:rsidP="00E13521">
            <w:pPr>
              <w:pStyle w:val="Vchodzie"/>
              <w:bidi w:val="0"/>
              <w:spacing w:after="0" w:line="240" w:lineRule="auto"/>
              <w:rPr>
                <w:b/>
                <w:i/>
                <w:szCs w:val="24"/>
              </w:rPr>
            </w:pPr>
            <w:r w:rsidR="00BE2B08">
              <w:rPr>
                <w:rFonts w:hint="default"/>
                <w:b/>
                <w:i/>
                <w:szCs w:val="24"/>
              </w:rPr>
              <w:t>3.3.2 Nepriame finanč</w:t>
            </w:r>
            <w:r w:rsidR="00BE2B08">
              <w:rPr>
                <w:rFonts w:hint="default"/>
                <w:b/>
                <w:i/>
                <w:szCs w:val="24"/>
              </w:rPr>
              <w:t>né</w:t>
            </w:r>
            <w:r w:rsidR="00BE2B08">
              <w:rPr>
                <w:rFonts w:hint="default"/>
                <w:b/>
                <w:i/>
                <w:szCs w:val="24"/>
              </w:rPr>
              <w:t xml:space="preserve"> ná</w:t>
            </w:r>
            <w:r w:rsidR="00BE2B08">
              <w:rPr>
                <w:rFonts w:hint="default"/>
                <w:b/>
                <w:i/>
                <w:szCs w:val="24"/>
              </w:rPr>
              <w:t>klady</w:t>
            </w:r>
          </w:p>
          <w:p w:rsidR="00BE2B08" w:rsidP="00CC58AE">
            <w:pPr>
              <w:pStyle w:val="Vchodzie"/>
              <w:bidi w:val="0"/>
              <w:spacing w:after="200" w:line="276" w:lineRule="auto"/>
              <w:jc w:val="both"/>
              <w:rPr>
                <w:szCs w:val="24"/>
              </w:rPr>
            </w:pPr>
            <w:r>
              <w:rPr>
                <w:rFonts w:hint="default"/>
                <w:i/>
                <w:szCs w:val="24"/>
              </w:rPr>
              <w:t>Vyž</w:t>
            </w:r>
            <w:r>
              <w:rPr>
                <w:rFonts w:hint="default"/>
                <w:i/>
                <w:szCs w:val="24"/>
              </w:rPr>
              <w:t>aduje si predkladaný</w:t>
            </w:r>
            <w:r>
              <w:rPr>
                <w:rFonts w:hint="default"/>
                <w:i/>
                <w:szCs w:val="24"/>
              </w:rPr>
              <w:t xml:space="preserve"> ná</w:t>
            </w:r>
            <w:r>
              <w:rPr>
                <w:rFonts w:hint="default"/>
                <w:i/>
                <w:szCs w:val="24"/>
              </w:rPr>
              <w:t>vrh dodatoč</w:t>
            </w:r>
            <w:r>
              <w:rPr>
                <w:rFonts w:hint="default"/>
                <w:i/>
                <w:szCs w:val="24"/>
              </w:rPr>
              <w:t>né</w:t>
            </w:r>
            <w:r>
              <w:rPr>
                <w:rFonts w:hint="default"/>
                <w:i/>
                <w:szCs w:val="24"/>
              </w:rPr>
              <w:t xml:space="preserve"> ná</w:t>
            </w:r>
            <w:r>
              <w:rPr>
                <w:rFonts w:hint="default"/>
                <w:i/>
                <w:szCs w:val="24"/>
              </w:rPr>
              <w:t>klady na ná</w:t>
            </w:r>
            <w:r>
              <w:rPr>
                <w:rFonts w:hint="default"/>
                <w:i/>
                <w:szCs w:val="24"/>
              </w:rPr>
              <w:t>kup tovarov alebo služ</w:t>
            </w:r>
            <w:r>
              <w:rPr>
                <w:rFonts w:hint="default"/>
                <w:i/>
                <w:szCs w:val="24"/>
              </w:rPr>
              <w:t>ieb? Zvyš</w:t>
            </w:r>
            <w:r>
              <w:rPr>
                <w:rFonts w:hint="default"/>
                <w:i/>
                <w:szCs w:val="24"/>
              </w:rPr>
              <w:t>uje predkladaný</w:t>
            </w:r>
            <w:r>
              <w:rPr>
                <w:rFonts w:hint="default"/>
                <w:i/>
                <w:szCs w:val="24"/>
              </w:rPr>
              <w:t xml:space="preserve"> ná</w:t>
            </w:r>
            <w:r>
              <w:rPr>
                <w:rFonts w:hint="default"/>
                <w:i/>
                <w:szCs w:val="24"/>
              </w:rPr>
              <w:t>vrh ná</w:t>
            </w:r>
            <w:r>
              <w:rPr>
                <w:rFonts w:hint="default"/>
                <w:i/>
                <w:szCs w:val="24"/>
              </w:rPr>
              <w:t>klady sú</w:t>
            </w:r>
            <w:r>
              <w:rPr>
                <w:rFonts w:hint="default"/>
                <w:i/>
                <w:szCs w:val="24"/>
              </w:rPr>
              <w:t>visiace s</w:t>
            </w:r>
            <w:r>
              <w:rPr>
                <w:rFonts w:hint="default"/>
                <w:i/>
                <w:szCs w:val="24"/>
              </w:rPr>
              <w:t>o zamestná</w:t>
            </w:r>
            <w:r>
              <w:rPr>
                <w:rFonts w:hint="default"/>
                <w:i/>
                <w:szCs w:val="24"/>
              </w:rPr>
              <w:t>vaní</w:t>
            </w:r>
            <w:r>
              <w:rPr>
                <w:rFonts w:hint="default"/>
                <w:i/>
                <w:szCs w:val="24"/>
              </w:rPr>
              <w:t>m? Ak á</w:t>
            </w:r>
            <w:r>
              <w:rPr>
                <w:rFonts w:hint="default"/>
                <w:i/>
                <w:szCs w:val="24"/>
              </w:rPr>
              <w:t>no, popíš</w:t>
            </w:r>
            <w:r>
              <w:rPr>
                <w:rFonts w:hint="default"/>
                <w:i/>
                <w:szCs w:val="24"/>
              </w:rPr>
              <w:t>te a vyčí</w:t>
            </w:r>
            <w:r>
              <w:rPr>
                <w:rFonts w:hint="default"/>
                <w:i/>
                <w:szCs w:val="24"/>
              </w:rPr>
              <w:t>slite ich. Uveď</w:t>
            </w:r>
            <w:r>
              <w:rPr>
                <w:rFonts w:hint="default"/>
                <w:i/>
                <w:szCs w:val="24"/>
              </w:rPr>
              <w:t>te tiež</w:t>
            </w:r>
            <w:r>
              <w:rPr>
                <w:rFonts w:hint="default"/>
                <w:i/>
                <w:szCs w:val="24"/>
              </w:rPr>
              <w:t xml:space="preserve"> spô</w:t>
            </w:r>
            <w:r>
              <w:rPr>
                <w:rFonts w:hint="default"/>
                <w:i/>
                <w:szCs w:val="24"/>
              </w:rPr>
              <w:t>sob ich vý</w:t>
            </w:r>
            <w:r>
              <w:rPr>
                <w:rFonts w:hint="default"/>
                <w:i/>
                <w:szCs w:val="24"/>
              </w:rPr>
              <w:t>poč</w:t>
            </w:r>
            <w:r>
              <w:rPr>
                <w:rFonts w:hint="default"/>
                <w:i/>
                <w:szCs w:val="24"/>
              </w:rPr>
              <w:t>tu.</w:t>
            </w: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p>
          <w:p w:rsidR="00BE2B08" w:rsidP="00CC58AE">
            <w:pPr>
              <w:pStyle w:val="Vchodzie"/>
              <w:bidi w:val="0"/>
              <w:spacing w:after="0" w:line="240" w:lineRule="auto"/>
              <w:jc w:val="both"/>
              <w:rPr>
                <w:szCs w:val="24"/>
              </w:rPr>
            </w:pPr>
            <w:r>
              <w:rPr>
                <w:rFonts w:hint="default"/>
                <w:b/>
                <w:i/>
                <w:szCs w:val="24"/>
              </w:rPr>
              <w:t>Ná</w:t>
            </w:r>
            <w:r>
              <w:rPr>
                <w:rFonts w:hint="default"/>
                <w:b/>
                <w:i/>
                <w:szCs w:val="24"/>
              </w:rPr>
              <w:t>vrh zá</w:t>
            </w:r>
            <w:r>
              <w:rPr>
                <w:rFonts w:hint="default"/>
                <w:b/>
                <w:i/>
                <w:szCs w:val="24"/>
              </w:rPr>
              <w:t>kona nevyž</w:t>
            </w:r>
            <w:r>
              <w:rPr>
                <w:rFonts w:hint="default"/>
                <w:b/>
                <w:i/>
                <w:szCs w:val="24"/>
              </w:rPr>
              <w:t>aduje dodatoč</w:t>
            </w:r>
            <w:r>
              <w:rPr>
                <w:rFonts w:hint="default"/>
                <w:b/>
                <w:i/>
                <w:szCs w:val="24"/>
              </w:rPr>
              <w:t>né</w:t>
            </w:r>
            <w:r>
              <w:rPr>
                <w:rFonts w:hint="default"/>
                <w:b/>
                <w:i/>
                <w:szCs w:val="24"/>
              </w:rPr>
              <w:t xml:space="preserve"> ná</w:t>
            </w:r>
            <w:r>
              <w:rPr>
                <w:rFonts w:hint="default"/>
                <w:b/>
                <w:i/>
                <w:szCs w:val="24"/>
              </w:rPr>
              <w:t>klady na ná</w:t>
            </w:r>
            <w:r>
              <w:rPr>
                <w:rFonts w:hint="default"/>
                <w:b/>
                <w:i/>
                <w:szCs w:val="24"/>
              </w:rPr>
              <w:t>kup tovarov alebo služ</w:t>
            </w:r>
            <w:r>
              <w:rPr>
                <w:rFonts w:hint="default"/>
                <w:b/>
                <w:i/>
                <w:szCs w:val="24"/>
              </w:rPr>
              <w:t>ieb. Navrhovaný</w:t>
            </w:r>
            <w:r>
              <w:rPr>
                <w:rFonts w:hint="default"/>
                <w:b/>
                <w:i/>
                <w:szCs w:val="24"/>
              </w:rPr>
              <w:t>m zá</w:t>
            </w:r>
            <w:r>
              <w:rPr>
                <w:rFonts w:hint="default"/>
                <w:b/>
                <w:i/>
                <w:szCs w:val="24"/>
              </w:rPr>
              <w:t>konom sa zavá</w:t>
            </w:r>
            <w:r>
              <w:rPr>
                <w:rFonts w:hint="default"/>
                <w:b/>
                <w:i/>
                <w:szCs w:val="24"/>
              </w:rPr>
              <w:t>dza povinnosť</w:t>
            </w:r>
            <w:r>
              <w:rPr>
                <w:rFonts w:hint="default"/>
                <w:b/>
                <w:i/>
                <w:szCs w:val="24"/>
              </w:rPr>
              <w:t xml:space="preserve"> veriteľ</w:t>
            </w:r>
            <w:r>
              <w:rPr>
                <w:rFonts w:hint="default"/>
                <w:b/>
                <w:i/>
                <w:szCs w:val="24"/>
              </w:rPr>
              <w:t>ov urč</w:t>
            </w:r>
            <w:r>
              <w:rPr>
                <w:rFonts w:hint="default"/>
                <w:b/>
                <w:i/>
                <w:szCs w:val="24"/>
              </w:rPr>
              <w:t>iť</w:t>
            </w:r>
            <w:r>
              <w:rPr>
                <w:rFonts w:hint="default"/>
                <w:b/>
                <w:i/>
                <w:szCs w:val="24"/>
              </w:rPr>
              <w:t>, dodrž</w:t>
            </w:r>
            <w:r>
              <w:rPr>
                <w:rFonts w:hint="default"/>
                <w:b/>
                <w:i/>
                <w:szCs w:val="24"/>
              </w:rPr>
              <w:t>iavať</w:t>
            </w:r>
            <w:r>
              <w:rPr>
                <w:rFonts w:hint="default"/>
                <w:b/>
                <w:i/>
                <w:szCs w:val="24"/>
              </w:rPr>
              <w:t xml:space="preserve"> a </w:t>
            </w:r>
            <w:r>
              <w:rPr>
                <w:rFonts w:hint="default"/>
                <w:b/>
                <w:i/>
                <w:szCs w:val="24"/>
              </w:rPr>
              <w:t xml:space="preserve"> pravidelne prehodnocovať</w:t>
            </w:r>
            <w:r>
              <w:rPr>
                <w:rFonts w:hint="default"/>
                <w:b/>
                <w:i/>
                <w:szCs w:val="24"/>
              </w:rPr>
              <w:t xml:space="preserve"> u</w:t>
            </w:r>
            <w:r>
              <w:rPr>
                <w:rFonts w:hint="default"/>
                <w:b/>
                <w:i/>
                <w:szCs w:val="24"/>
              </w:rPr>
              <w:t>kazovateľ</w:t>
            </w:r>
            <w:r>
              <w:rPr>
                <w:rFonts w:hint="default"/>
                <w:b/>
                <w:i/>
                <w:szCs w:val="24"/>
              </w:rPr>
              <w:t xml:space="preserve"> schopnosti spotrebiteľ</w:t>
            </w:r>
            <w:r>
              <w:rPr>
                <w:rFonts w:hint="default"/>
                <w:b/>
                <w:i/>
                <w:szCs w:val="24"/>
              </w:rPr>
              <w:t>a splá</w:t>
            </w:r>
            <w:r>
              <w:rPr>
                <w:rFonts w:hint="default"/>
                <w:b/>
                <w:i/>
                <w:szCs w:val="24"/>
              </w:rPr>
              <w:t>cať</w:t>
            </w:r>
            <w:r>
              <w:rPr>
                <w:rFonts w:hint="default"/>
                <w:b/>
                <w:i/>
                <w:szCs w:val="24"/>
              </w:rPr>
              <w:t xml:space="preserve"> spotrebiteľ</w:t>
            </w:r>
            <w:r>
              <w:rPr>
                <w:rFonts w:hint="default"/>
                <w:b/>
                <w:i/>
                <w:szCs w:val="24"/>
              </w:rPr>
              <w:t>ský</w:t>
            </w:r>
            <w:r>
              <w:rPr>
                <w:rFonts w:hint="default"/>
                <w:b/>
                <w:i/>
                <w:szCs w:val="24"/>
              </w:rPr>
              <w:t xml:space="preserve"> ú</w:t>
            </w:r>
            <w:r>
              <w:rPr>
                <w:rFonts w:hint="default"/>
                <w:b/>
                <w:i/>
                <w:szCs w:val="24"/>
              </w:rPr>
              <w:t>ver (bod 12 ná</w:t>
            </w:r>
            <w:r>
              <w:rPr>
                <w:rFonts w:hint="default"/>
                <w:b/>
                <w:i/>
                <w:szCs w:val="24"/>
              </w:rPr>
              <w:t>vrhu).</w:t>
            </w:r>
          </w:p>
          <w:p w:rsidR="00BE2B08" w:rsidP="00CC58AE">
            <w:pPr>
              <w:pStyle w:val="Vchodzie"/>
              <w:bidi w:val="0"/>
              <w:spacing w:after="0" w:line="240" w:lineRule="auto"/>
              <w:jc w:val="both"/>
              <w:rPr>
                <w:szCs w:val="24"/>
              </w:rPr>
            </w:pPr>
          </w:p>
          <w:p w:rsidR="00BE2B08" w:rsidP="00CC58AE">
            <w:pPr>
              <w:pStyle w:val="Vchodzie"/>
              <w:bidi w:val="0"/>
              <w:spacing w:after="0" w:line="240" w:lineRule="auto"/>
              <w:jc w:val="both"/>
              <w:rPr>
                <w:szCs w:val="24"/>
              </w:rPr>
            </w:pPr>
            <w:r>
              <w:rPr>
                <w:rFonts w:hint="default"/>
                <w:b/>
                <w:i/>
                <w:szCs w:val="24"/>
              </w:rPr>
              <w:t>Na zosú</w:t>
            </w:r>
            <w:r>
              <w:rPr>
                <w:rFonts w:hint="default"/>
                <w:b/>
                <w:i/>
                <w:szCs w:val="24"/>
              </w:rPr>
              <w:t>ladenie s </w:t>
            </w:r>
            <w:r>
              <w:rPr>
                <w:rFonts w:hint="default"/>
                <w:b/>
                <w:i/>
                <w:szCs w:val="24"/>
              </w:rPr>
              <w:t xml:space="preserve"> navrhovaný</w:t>
            </w:r>
            <w:r>
              <w:rPr>
                <w:rFonts w:hint="default"/>
                <w:b/>
                <w:i/>
                <w:szCs w:val="24"/>
              </w:rPr>
              <w:t>m zá</w:t>
            </w:r>
            <w:r>
              <w:rPr>
                <w:rFonts w:hint="default"/>
                <w:b/>
                <w:i/>
                <w:szCs w:val="24"/>
              </w:rPr>
              <w:t>konom budú</w:t>
            </w:r>
            <w:r>
              <w:rPr>
                <w:rFonts w:hint="default"/>
                <w:b/>
                <w:i/>
                <w:szCs w:val="24"/>
              </w:rPr>
              <w:t xml:space="preserve"> musieť</w:t>
            </w:r>
            <w:r>
              <w:rPr>
                <w:rFonts w:hint="default"/>
                <w:b/>
                <w:i/>
                <w:szCs w:val="24"/>
              </w:rPr>
              <w:t xml:space="preserve"> veritelia vypracovať</w:t>
            </w:r>
            <w:r>
              <w:rPr>
                <w:rFonts w:hint="default"/>
                <w:b/>
                <w:i/>
                <w:szCs w:val="24"/>
              </w:rPr>
              <w:t xml:space="preserve"> metodiku, ako stanoviť</w:t>
            </w:r>
            <w:r>
              <w:rPr>
                <w:rFonts w:hint="default"/>
                <w:b/>
                <w:i/>
                <w:szCs w:val="24"/>
              </w:rPr>
              <w:t xml:space="preserve"> a </w:t>
            </w:r>
            <w:r>
              <w:rPr>
                <w:rFonts w:hint="default"/>
                <w:b/>
                <w:i/>
                <w:szCs w:val="24"/>
              </w:rPr>
              <w:t xml:space="preserve"> vypočí</w:t>
            </w:r>
            <w:r>
              <w:rPr>
                <w:rFonts w:hint="default"/>
                <w:b/>
                <w:i/>
                <w:szCs w:val="24"/>
              </w:rPr>
              <w:t>tať</w:t>
            </w:r>
            <w:r>
              <w:rPr>
                <w:rFonts w:hint="default"/>
                <w:b/>
                <w:i/>
                <w:szCs w:val="24"/>
              </w:rPr>
              <w:t xml:space="preserve"> tento ukazovateľ</w:t>
            </w:r>
            <w:r>
              <w:rPr>
                <w:rFonts w:hint="default"/>
                <w:b/>
                <w:i/>
                <w:szCs w:val="24"/>
              </w:rPr>
              <w:t>, č</w:t>
            </w:r>
            <w:r>
              <w:rPr>
                <w:rFonts w:hint="default"/>
                <w:b/>
                <w:i/>
                <w:szCs w:val="24"/>
              </w:rPr>
              <w:t>o môž</w:t>
            </w:r>
            <w:r>
              <w:rPr>
                <w:rFonts w:hint="default"/>
                <w:b/>
                <w:i/>
                <w:szCs w:val="24"/>
              </w:rPr>
              <w:t>u vykonať</w:t>
            </w:r>
            <w:r>
              <w:rPr>
                <w:rFonts w:hint="default"/>
                <w:b/>
                <w:i/>
                <w:szCs w:val="24"/>
              </w:rPr>
              <w:t xml:space="preserve"> vo vlastnej réž</w:t>
            </w:r>
            <w:r>
              <w:rPr>
                <w:rFonts w:hint="default"/>
                <w:b/>
                <w:i/>
                <w:szCs w:val="24"/>
              </w:rPr>
              <w:t>ii, alebo ná</w:t>
            </w:r>
            <w:r>
              <w:rPr>
                <w:rFonts w:hint="default"/>
                <w:b/>
                <w:i/>
                <w:szCs w:val="24"/>
              </w:rPr>
              <w:t>kupom ex</w:t>
            </w:r>
            <w:r>
              <w:rPr>
                <w:rFonts w:hint="default"/>
                <w:b/>
                <w:i/>
                <w:szCs w:val="24"/>
              </w:rPr>
              <w:t>terný</w:t>
            </w:r>
            <w:r>
              <w:rPr>
                <w:rFonts w:hint="default"/>
                <w:b/>
                <w:i/>
                <w:szCs w:val="24"/>
              </w:rPr>
              <w:t>ch služ</w:t>
            </w:r>
            <w:r>
              <w:rPr>
                <w:rFonts w:hint="default"/>
                <w:b/>
                <w:i/>
                <w:szCs w:val="24"/>
              </w:rPr>
              <w:t>ieb. Vypracovanie metodiky je obdobná</w:t>
            </w:r>
            <w:r>
              <w:rPr>
                <w:rFonts w:hint="default"/>
                <w:b/>
                <w:i/>
                <w:szCs w:val="24"/>
              </w:rPr>
              <w:t xml:space="preserve"> č</w:t>
            </w:r>
            <w:r>
              <w:rPr>
                <w:rFonts w:hint="default"/>
                <w:b/>
                <w:i/>
                <w:szCs w:val="24"/>
              </w:rPr>
              <w:t>innosť</w:t>
            </w:r>
            <w:r>
              <w:rPr>
                <w:rFonts w:hint="default"/>
                <w:b/>
                <w:i/>
                <w:szCs w:val="24"/>
              </w:rPr>
              <w:t xml:space="preserve"> ako vypracovanie dokumentu / sprá</w:t>
            </w:r>
            <w:r>
              <w:rPr>
                <w:rFonts w:hint="default"/>
                <w:b/>
                <w:i/>
                <w:szCs w:val="24"/>
              </w:rPr>
              <w:t>vy v </w:t>
            </w:r>
            <w:r>
              <w:rPr>
                <w:rFonts w:hint="default"/>
                <w:b/>
                <w:i/>
                <w:szCs w:val="24"/>
              </w:rPr>
              <w:t xml:space="preserve"> prí</w:t>
            </w:r>
            <w:r>
              <w:rPr>
                <w:rFonts w:hint="default"/>
                <w:b/>
                <w:i/>
                <w:szCs w:val="24"/>
              </w:rPr>
              <w:t>pade administratí</w:t>
            </w:r>
            <w:r>
              <w:rPr>
                <w:rFonts w:hint="default"/>
                <w:b/>
                <w:i/>
                <w:szCs w:val="24"/>
              </w:rPr>
              <w:t>vnych ná</w:t>
            </w:r>
            <w:r>
              <w:rPr>
                <w:rFonts w:hint="default"/>
                <w:b/>
                <w:i/>
                <w:szCs w:val="24"/>
              </w:rPr>
              <w:t>kladov. Odhadované</w:t>
            </w:r>
            <w:r>
              <w:rPr>
                <w:rFonts w:hint="default"/>
                <w:b/>
                <w:i/>
                <w:szCs w:val="24"/>
              </w:rPr>
              <w:t xml:space="preserve"> ná</w:t>
            </w:r>
            <w:r>
              <w:rPr>
                <w:rFonts w:hint="default"/>
                <w:b/>
                <w:i/>
                <w:szCs w:val="24"/>
              </w:rPr>
              <w:t>klady sa tak urč</w:t>
            </w:r>
            <w:r>
              <w:rPr>
                <w:rFonts w:hint="default"/>
                <w:b/>
                <w:i/>
                <w:szCs w:val="24"/>
              </w:rPr>
              <w:t>ia obdobne ako v </w:t>
            </w:r>
            <w:r>
              <w:rPr>
                <w:rFonts w:hint="default"/>
                <w:b/>
                <w:i/>
                <w:szCs w:val="24"/>
              </w:rPr>
              <w:t xml:space="preserve"> prí</w:t>
            </w:r>
            <w:r>
              <w:rPr>
                <w:rFonts w:hint="default"/>
                <w:b/>
                <w:i/>
                <w:szCs w:val="24"/>
              </w:rPr>
              <w:t>pade administratí</w:t>
            </w:r>
            <w:r>
              <w:rPr>
                <w:rFonts w:hint="default"/>
                <w:b/>
                <w:i/>
                <w:szCs w:val="24"/>
              </w:rPr>
              <w:t>vnych ná</w:t>
            </w:r>
            <w:r>
              <w:rPr>
                <w:rFonts w:hint="default"/>
                <w:b/>
                <w:i/>
                <w:szCs w:val="24"/>
              </w:rPr>
              <w:t>kladov podľ</w:t>
            </w:r>
            <w:r>
              <w:rPr>
                <w:rFonts w:hint="default"/>
                <w:b/>
                <w:i/>
                <w:szCs w:val="24"/>
              </w:rPr>
              <w:t>a tabuľ</w:t>
            </w:r>
            <w:r>
              <w:rPr>
                <w:rFonts w:hint="default"/>
                <w:b/>
                <w:i/>
                <w:szCs w:val="24"/>
              </w:rPr>
              <w:t>ky š</w:t>
            </w:r>
            <w:r>
              <w:rPr>
                <w:rFonts w:hint="default"/>
                <w:b/>
                <w:i/>
                <w:szCs w:val="24"/>
              </w:rPr>
              <w:t>tandardný</w:t>
            </w:r>
            <w:r>
              <w:rPr>
                <w:rFonts w:hint="default"/>
                <w:b/>
                <w:i/>
                <w:szCs w:val="24"/>
              </w:rPr>
              <w:t>ch č</w:t>
            </w:r>
            <w:r>
              <w:rPr>
                <w:rFonts w:hint="default"/>
                <w:b/>
                <w:i/>
                <w:szCs w:val="24"/>
              </w:rPr>
              <w:t>asový</w:t>
            </w:r>
            <w:r>
              <w:rPr>
                <w:rFonts w:hint="default"/>
                <w:b/>
                <w:i/>
                <w:szCs w:val="24"/>
              </w:rPr>
              <w:t>ch ná</w:t>
            </w:r>
            <w:r>
              <w:rPr>
                <w:rFonts w:hint="default"/>
                <w:b/>
                <w:i/>
                <w:szCs w:val="24"/>
              </w:rPr>
              <w:t>ro</w:t>
            </w:r>
            <w:r>
              <w:rPr>
                <w:rFonts w:hint="default"/>
                <w:b/>
                <w:i/>
                <w:szCs w:val="24"/>
              </w:rPr>
              <w:t>č</w:t>
            </w:r>
            <w:r>
              <w:rPr>
                <w:rFonts w:hint="default"/>
                <w:b/>
                <w:i/>
                <w:szCs w:val="24"/>
              </w:rPr>
              <w:t>ností.</w:t>
            </w:r>
          </w:p>
          <w:p w:rsidR="00BE2B08" w:rsidP="00E13521">
            <w:pPr>
              <w:pStyle w:val="Vchodzie"/>
              <w:bidi w:val="0"/>
              <w:spacing w:after="0" w:line="240" w:lineRule="auto"/>
              <w:rPr>
                <w:szCs w:val="24"/>
              </w:rPr>
            </w:pPr>
          </w:p>
          <w:p w:rsidR="00BE2B08" w:rsidP="00E13521">
            <w:pPr>
              <w:pStyle w:val="Vchodzie"/>
              <w:bidi w:val="0"/>
              <w:spacing w:after="0" w:line="240" w:lineRule="auto"/>
              <w:rPr>
                <w:szCs w:val="24"/>
              </w:rPr>
            </w:pPr>
            <w:r>
              <w:rPr>
                <w:rFonts w:hint="default"/>
                <w:b/>
                <w:i/>
                <w:szCs w:val="24"/>
              </w:rPr>
              <w:t>Č</w:t>
            </w:r>
            <w:r>
              <w:rPr>
                <w:rFonts w:hint="default"/>
                <w:b/>
                <w:i/>
                <w:szCs w:val="24"/>
              </w:rPr>
              <w:t>asová</w:t>
            </w:r>
            <w:r>
              <w:rPr>
                <w:rFonts w:hint="default"/>
                <w:b/>
                <w:i/>
                <w:szCs w:val="24"/>
              </w:rPr>
              <w:t xml:space="preserve"> ná</w:t>
            </w:r>
            <w:r>
              <w:rPr>
                <w:rFonts w:hint="default"/>
                <w:b/>
                <w:i/>
                <w:szCs w:val="24"/>
              </w:rPr>
              <w:t>roč</w:t>
            </w:r>
            <w:r>
              <w:rPr>
                <w:rFonts w:hint="default"/>
                <w:b/>
                <w:i/>
                <w:szCs w:val="24"/>
              </w:rPr>
              <w:t>nosť</w:t>
            </w:r>
            <w:r>
              <w:rPr>
                <w:rFonts w:hint="default"/>
                <w:b/>
                <w:i/>
                <w:szCs w:val="24"/>
              </w:rPr>
              <w:t xml:space="preserve"> podľ</w:t>
            </w:r>
            <w:r>
              <w:rPr>
                <w:rFonts w:hint="default"/>
                <w:b/>
                <w:i/>
                <w:szCs w:val="24"/>
              </w:rPr>
              <w:t>a tabuľ</w:t>
            </w:r>
            <w:r>
              <w:rPr>
                <w:rFonts w:hint="default"/>
                <w:b/>
                <w:i/>
                <w:szCs w:val="24"/>
              </w:rPr>
              <w:t xml:space="preserve">ky </w:t>
            </w:r>
            <w:r>
              <w:rPr>
                <w:rFonts w:hint="default"/>
                <w:b/>
                <w:i/>
                <w:szCs w:val="24"/>
              </w:rPr>
              <w:t>–</w:t>
            </w:r>
            <w:r>
              <w:rPr>
                <w:rFonts w:hint="default"/>
                <w:b/>
                <w:i/>
                <w:szCs w:val="24"/>
              </w:rPr>
              <w:t xml:space="preserve"> 2 400 min. (veľ</w:t>
            </w:r>
            <w:r>
              <w:rPr>
                <w:rFonts w:hint="default"/>
                <w:b/>
                <w:i/>
                <w:szCs w:val="24"/>
              </w:rPr>
              <w:t>ké</w:t>
            </w:r>
            <w:r>
              <w:rPr>
                <w:rFonts w:hint="default"/>
                <w:b/>
                <w:i/>
                <w:szCs w:val="24"/>
              </w:rPr>
              <w:t xml:space="preserve"> podniky), resp. 960 min. (MSP)</w:t>
            </w:r>
          </w:p>
          <w:p w:rsidR="00BE2B08" w:rsidP="00E13521">
            <w:pPr>
              <w:pStyle w:val="Vchodzie"/>
              <w:bidi w:val="0"/>
              <w:spacing w:after="0" w:line="240" w:lineRule="auto"/>
              <w:rPr>
                <w:szCs w:val="24"/>
              </w:rPr>
            </w:pPr>
            <w:r>
              <w:rPr>
                <w:b/>
                <w:i/>
                <w:szCs w:val="24"/>
              </w:rPr>
              <w:t xml:space="preserve">Tarifa </w:t>
            </w:r>
            <w:r>
              <w:rPr>
                <w:rFonts w:hint="default"/>
                <w:b/>
                <w:i/>
                <w:szCs w:val="24"/>
              </w:rPr>
              <w:t>–</w:t>
            </w:r>
            <w:r>
              <w:rPr>
                <w:rFonts w:hint="default"/>
                <w:b/>
                <w:i/>
                <w:szCs w:val="24"/>
              </w:rPr>
              <w:t xml:space="preserve"> 883 EUR mesač</w:t>
            </w:r>
            <w:r>
              <w:rPr>
                <w:rFonts w:hint="default"/>
                <w:b/>
                <w:i/>
                <w:szCs w:val="24"/>
              </w:rPr>
              <w:t>ne</w:t>
            </w:r>
          </w:p>
          <w:p w:rsidR="00BE2B08" w:rsidP="00E13521">
            <w:pPr>
              <w:pStyle w:val="Vchodzie"/>
              <w:tabs>
                <w:tab w:val="left" w:pos="3615"/>
              </w:tabs>
              <w:bidi w:val="0"/>
              <w:spacing w:after="0" w:line="240" w:lineRule="auto"/>
              <w:rPr>
                <w:szCs w:val="24"/>
              </w:rPr>
            </w:pPr>
            <w:r>
              <w:rPr>
                <w:b/>
                <w:i/>
                <w:szCs w:val="24"/>
              </w:rPr>
              <w:t xml:space="preserve">Frekvencia </w:t>
            </w:r>
            <w:r>
              <w:rPr>
                <w:rFonts w:hint="default"/>
                <w:b/>
                <w:i/>
                <w:szCs w:val="24"/>
              </w:rPr>
              <w:t>–</w:t>
            </w:r>
            <w:r>
              <w:rPr>
                <w:rFonts w:hint="default"/>
                <w:b/>
                <w:i/>
                <w:szCs w:val="24"/>
              </w:rPr>
              <w:t xml:space="preserve"> raz roč</w:t>
            </w:r>
            <w:r>
              <w:rPr>
                <w:rFonts w:hint="default"/>
                <w:b/>
                <w:i/>
                <w:szCs w:val="24"/>
              </w:rPr>
              <w:t xml:space="preserve">ne </w:t>
            </w:r>
            <w:r>
              <w:rPr>
                <w:rFonts w:hint="default"/>
                <w:b/>
                <w:i/>
                <w:szCs w:val="24"/>
              </w:rPr>
              <w:t>–</w:t>
            </w:r>
            <w:r>
              <w:rPr>
                <w:rFonts w:hint="default"/>
                <w:b/>
                <w:i/>
                <w:szCs w:val="24"/>
              </w:rPr>
              <w:t xml:space="preserve"> koeficient 1</w:t>
              <w:tab/>
            </w:r>
          </w:p>
          <w:p w:rsidR="00BE2B08" w:rsidP="00CC58AE">
            <w:pPr>
              <w:pStyle w:val="Vchodzie"/>
              <w:bidi w:val="0"/>
              <w:spacing w:after="0" w:line="240" w:lineRule="auto"/>
              <w:jc w:val="both"/>
              <w:rPr>
                <w:szCs w:val="24"/>
              </w:rPr>
            </w:pPr>
            <w:r>
              <w:rPr>
                <w:rFonts w:hint="default"/>
                <w:b/>
                <w:i/>
                <w:szCs w:val="24"/>
              </w:rPr>
              <w:t>Ná</w:t>
            </w:r>
            <w:r>
              <w:rPr>
                <w:rFonts w:hint="default"/>
                <w:b/>
                <w:i/>
                <w:szCs w:val="24"/>
              </w:rPr>
              <w:t>klady na jedné</w:t>
            </w:r>
            <w:r>
              <w:rPr>
                <w:rFonts w:hint="default"/>
                <w:b/>
                <w:i/>
                <w:szCs w:val="24"/>
              </w:rPr>
              <w:t>ho veľ</w:t>
            </w:r>
            <w:r>
              <w:rPr>
                <w:rFonts w:hint="default"/>
                <w:b/>
                <w:i/>
                <w:szCs w:val="24"/>
              </w:rPr>
              <w:t>ké</w:t>
            </w:r>
            <w:r>
              <w:rPr>
                <w:rFonts w:hint="default"/>
                <w:b/>
                <w:i/>
                <w:szCs w:val="24"/>
              </w:rPr>
              <w:t>ho podnikateľ</w:t>
            </w:r>
            <w:r>
              <w:rPr>
                <w:rFonts w:hint="default"/>
                <w:b/>
                <w:i/>
                <w:szCs w:val="24"/>
              </w:rPr>
              <w:t>a = 2 400 / 60 / 8 / 20 * 883 EUR * 1 = 220,75  EUR,</w:t>
            </w:r>
          </w:p>
          <w:p w:rsidR="00BE2B08" w:rsidP="00CC58AE">
            <w:pPr>
              <w:pStyle w:val="Vchodzie"/>
              <w:bidi w:val="0"/>
              <w:spacing w:after="0" w:line="240" w:lineRule="auto"/>
              <w:jc w:val="both"/>
              <w:rPr>
                <w:szCs w:val="24"/>
              </w:rPr>
            </w:pPr>
            <w:r>
              <w:rPr>
                <w:rFonts w:hint="default"/>
                <w:b/>
                <w:i/>
                <w:szCs w:val="24"/>
              </w:rPr>
              <w:t>ná</w:t>
            </w:r>
            <w:r>
              <w:rPr>
                <w:rFonts w:hint="default"/>
                <w:b/>
                <w:i/>
                <w:szCs w:val="24"/>
              </w:rPr>
              <w:t>klady na jedné</w:t>
            </w:r>
            <w:r>
              <w:rPr>
                <w:rFonts w:hint="default"/>
                <w:b/>
                <w:i/>
                <w:szCs w:val="24"/>
              </w:rPr>
              <w:t>ho MSP = 960 / 60 / 8 / 20 * 883 EUR * 1 = 88,30  EUR (za predpokladu 8-hodinové</w:t>
            </w:r>
            <w:r>
              <w:rPr>
                <w:rFonts w:hint="default"/>
                <w:b/>
                <w:i/>
                <w:szCs w:val="24"/>
              </w:rPr>
              <w:t>ho pracovné</w:t>
            </w:r>
            <w:r>
              <w:rPr>
                <w:rFonts w:hint="default"/>
                <w:b/>
                <w:i/>
                <w:szCs w:val="24"/>
              </w:rPr>
              <w:t>ho č</w:t>
            </w:r>
            <w:r>
              <w:rPr>
                <w:rFonts w:hint="default"/>
                <w:b/>
                <w:i/>
                <w:szCs w:val="24"/>
              </w:rPr>
              <w:t>asu a </w:t>
            </w:r>
            <w:r>
              <w:rPr>
                <w:rFonts w:hint="default"/>
                <w:b/>
                <w:i/>
                <w:szCs w:val="24"/>
              </w:rPr>
              <w:t xml:space="preserve"> 20 pracovný</w:t>
            </w:r>
            <w:r>
              <w:rPr>
                <w:rFonts w:hint="default"/>
                <w:b/>
                <w:i/>
                <w:szCs w:val="24"/>
              </w:rPr>
              <w:t>ch dní</w:t>
            </w:r>
            <w:r>
              <w:rPr>
                <w:rFonts w:hint="default"/>
                <w:b/>
                <w:i/>
                <w:szCs w:val="24"/>
              </w:rPr>
              <w:t xml:space="preserve"> v </w:t>
            </w:r>
            <w:r>
              <w:rPr>
                <w:rFonts w:hint="default"/>
                <w:b/>
                <w:i/>
                <w:szCs w:val="24"/>
              </w:rPr>
              <w:t xml:space="preserve"> mesiaci). Celkové</w:t>
            </w:r>
            <w:r>
              <w:rPr>
                <w:rFonts w:hint="default"/>
                <w:b/>
                <w:i/>
                <w:szCs w:val="24"/>
              </w:rPr>
              <w:t xml:space="preserve"> ná</w:t>
            </w:r>
            <w:r>
              <w:rPr>
                <w:rFonts w:hint="default"/>
                <w:b/>
                <w:i/>
                <w:szCs w:val="24"/>
              </w:rPr>
              <w:t>klady sa odhadujú</w:t>
            </w:r>
            <w:r>
              <w:rPr>
                <w:rFonts w:hint="default"/>
                <w:b/>
                <w:i/>
                <w:szCs w:val="24"/>
              </w:rPr>
              <w:t xml:space="preserve"> vo výš</w:t>
            </w:r>
            <w:r>
              <w:rPr>
                <w:rFonts w:hint="default"/>
                <w:b/>
                <w:i/>
                <w:szCs w:val="24"/>
              </w:rPr>
              <w:t>ke 5 474,60  EUR.</w:t>
            </w:r>
          </w:p>
          <w:p w:rsidR="00BE2B08" w:rsidP="00E13521">
            <w:pPr>
              <w:pStyle w:val="Vchodzie"/>
              <w:bidi w:val="0"/>
              <w:spacing w:after="200" w:line="276" w:lineRule="auto"/>
              <w:rPr>
                <w:szCs w:val="24"/>
              </w:rPr>
            </w:pP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AA2F0B">
            <w:pPr>
              <w:pStyle w:val="Vchodzie"/>
              <w:bidi w:val="0"/>
              <w:spacing w:after="0" w:line="240" w:lineRule="auto"/>
              <w:rPr>
                <w:szCs w:val="24"/>
              </w:rPr>
            </w:pPr>
            <w:r>
              <w:rPr>
                <w:rFonts w:hint="default"/>
                <w:b/>
                <w:i/>
                <w:szCs w:val="24"/>
              </w:rPr>
              <w:t>3.3.3 Administratí</w:t>
            </w:r>
            <w:r>
              <w:rPr>
                <w:rFonts w:hint="default"/>
                <w:b/>
                <w:i/>
                <w:szCs w:val="24"/>
              </w:rPr>
              <w:t>vne ná</w:t>
            </w:r>
            <w:r>
              <w:rPr>
                <w:rFonts w:hint="default"/>
                <w:b/>
                <w:i/>
                <w:szCs w:val="24"/>
              </w:rPr>
              <w:t>klady</w:t>
            </w:r>
          </w:p>
          <w:p w:rsidR="00AA2F0B" w:rsidP="00AA2F0B">
            <w:pPr>
              <w:pStyle w:val="Vchodzie"/>
              <w:bidi w:val="0"/>
              <w:spacing w:after="0" w:line="276" w:lineRule="auto"/>
              <w:jc w:val="both"/>
              <w:rPr>
                <w:i/>
                <w:szCs w:val="24"/>
              </w:rPr>
            </w:pPr>
          </w:p>
          <w:p w:rsidR="00BE2B08" w:rsidP="00AA2F0B">
            <w:pPr>
              <w:pStyle w:val="Vchodzie"/>
              <w:bidi w:val="0"/>
              <w:spacing w:after="0" w:line="276" w:lineRule="auto"/>
              <w:jc w:val="both"/>
              <w:rPr>
                <w:szCs w:val="24"/>
              </w:rPr>
            </w:pPr>
            <w:r>
              <w:rPr>
                <w:rFonts w:hint="default"/>
                <w:i/>
                <w:szCs w:val="24"/>
              </w:rPr>
              <w:t>Dochá</w:t>
            </w:r>
            <w:r>
              <w:rPr>
                <w:rFonts w:hint="default"/>
                <w:i/>
                <w:szCs w:val="24"/>
              </w:rPr>
              <w:t>dza k  zavedeniu no</w:t>
            </w:r>
            <w:r>
              <w:rPr>
                <w:rFonts w:hint="default"/>
                <w:i/>
                <w:szCs w:val="24"/>
              </w:rPr>
              <w:t>vý</w:t>
            </w:r>
            <w:r>
              <w:rPr>
                <w:rFonts w:hint="default"/>
                <w:i/>
                <w:szCs w:val="24"/>
              </w:rPr>
              <w:t>ch informač</w:t>
            </w:r>
            <w:r>
              <w:rPr>
                <w:rFonts w:hint="default"/>
                <w:i/>
                <w:szCs w:val="24"/>
              </w:rPr>
              <w:t>ný</w:t>
            </w:r>
            <w:r>
              <w:rPr>
                <w:rFonts w:hint="default"/>
                <w:i/>
                <w:szCs w:val="24"/>
              </w:rPr>
              <w:t>ch povinností</w:t>
            </w:r>
            <w:r>
              <w:rPr>
                <w:rFonts w:hint="default"/>
                <w:i/>
                <w:szCs w:val="24"/>
              </w:rPr>
              <w:t xml:space="preserve"> alebo odstrá</w:t>
            </w:r>
            <w:r>
              <w:rPr>
                <w:rFonts w:hint="default"/>
                <w:i/>
                <w:szCs w:val="24"/>
              </w:rPr>
              <w:t>neniu, prí</w:t>
            </w:r>
            <w:r>
              <w:rPr>
                <w:rFonts w:hint="default"/>
                <w:i/>
                <w:szCs w:val="24"/>
              </w:rPr>
              <w:t>p. ú</w:t>
            </w:r>
            <w:r>
              <w:rPr>
                <w:rFonts w:hint="default"/>
                <w:i/>
                <w:szCs w:val="24"/>
              </w:rPr>
              <w:t>prave existujú</w:t>
            </w:r>
            <w:r>
              <w:rPr>
                <w:rFonts w:hint="default"/>
                <w:i/>
                <w:szCs w:val="24"/>
              </w:rPr>
              <w:t>cich informač</w:t>
            </w:r>
            <w:r>
              <w:rPr>
                <w:rFonts w:hint="default"/>
                <w:i/>
                <w:szCs w:val="24"/>
              </w:rPr>
              <w:t>ný</w:t>
            </w:r>
            <w:r>
              <w:rPr>
                <w:rFonts w:hint="default"/>
                <w:i/>
                <w:szCs w:val="24"/>
              </w:rPr>
              <w:t>ch povinností</w:t>
            </w:r>
            <w:r>
              <w:rPr>
                <w:rFonts w:hint="default"/>
                <w:i/>
                <w:szCs w:val="24"/>
              </w:rPr>
              <w:t>? (napr. zmena pož</w:t>
            </w:r>
            <w:r>
              <w:rPr>
                <w:rFonts w:hint="default"/>
                <w:i/>
                <w:szCs w:val="24"/>
              </w:rPr>
              <w:t>adovaný</w:t>
            </w:r>
            <w:r>
              <w:rPr>
                <w:rFonts w:hint="default"/>
                <w:i/>
                <w:szCs w:val="24"/>
              </w:rPr>
              <w:t>ch dá</w:t>
            </w:r>
            <w:r>
              <w:rPr>
                <w:rFonts w:hint="default"/>
                <w:i/>
                <w:szCs w:val="24"/>
              </w:rPr>
              <w:t>t, zmena frekvencie reportovania, zmena formy predkladania a </w:t>
            </w:r>
            <w:r>
              <w:rPr>
                <w:rFonts w:hint="default"/>
                <w:i/>
                <w:szCs w:val="24"/>
              </w:rPr>
              <w:t xml:space="preserve"> pod.) Ak á</w:t>
            </w:r>
            <w:r>
              <w:rPr>
                <w:rFonts w:hint="default"/>
                <w:i/>
                <w:szCs w:val="24"/>
              </w:rPr>
              <w:t>no, popíš</w:t>
            </w:r>
            <w:r>
              <w:rPr>
                <w:rFonts w:hint="default"/>
                <w:i/>
                <w:szCs w:val="24"/>
              </w:rPr>
              <w:t>te a vyčí</w:t>
            </w:r>
            <w:r>
              <w:rPr>
                <w:rFonts w:hint="default"/>
                <w:i/>
                <w:szCs w:val="24"/>
              </w:rPr>
              <w:t>slite administratí</w:t>
            </w:r>
            <w:r>
              <w:rPr>
                <w:rFonts w:hint="default"/>
                <w:i/>
                <w:szCs w:val="24"/>
              </w:rPr>
              <w:t>vne ná</w:t>
            </w:r>
            <w:r>
              <w:rPr>
                <w:rFonts w:hint="default"/>
                <w:i/>
                <w:szCs w:val="24"/>
              </w:rPr>
              <w:t>klady. Uveď</w:t>
            </w:r>
            <w:r>
              <w:rPr>
                <w:rFonts w:hint="default"/>
                <w:i/>
                <w:szCs w:val="24"/>
              </w:rPr>
              <w:t xml:space="preserve">te </w:t>
            </w:r>
            <w:r>
              <w:rPr>
                <w:rFonts w:hint="default"/>
                <w:i/>
                <w:szCs w:val="24"/>
              </w:rPr>
              <w:t>t</w:t>
            </w:r>
            <w:r>
              <w:rPr>
                <w:rFonts w:hint="default"/>
                <w:i/>
                <w:szCs w:val="24"/>
              </w:rPr>
              <w:t>iež</w:t>
            </w:r>
            <w:r>
              <w:rPr>
                <w:rFonts w:hint="default"/>
                <w:i/>
                <w:szCs w:val="24"/>
              </w:rPr>
              <w:t xml:space="preserve"> spô</w:t>
            </w:r>
            <w:r>
              <w:rPr>
                <w:rFonts w:hint="default"/>
                <w:i/>
                <w:szCs w:val="24"/>
              </w:rPr>
              <w:t>sob ich vý</w:t>
            </w:r>
            <w:r>
              <w:rPr>
                <w:rFonts w:hint="default"/>
                <w:i/>
                <w:szCs w:val="24"/>
              </w:rPr>
              <w:t>poč</w:t>
            </w:r>
            <w:r>
              <w:rPr>
                <w:rFonts w:hint="default"/>
                <w:i/>
                <w:szCs w:val="24"/>
              </w:rPr>
              <w:t>tu.</w:t>
            </w: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p>
          <w:p w:rsidR="00BE2B08" w:rsidP="00CC58AE">
            <w:pPr>
              <w:pStyle w:val="Vchodzie"/>
              <w:bidi w:val="0"/>
              <w:spacing w:after="0" w:line="240" w:lineRule="auto"/>
              <w:jc w:val="both"/>
              <w:rPr>
                <w:szCs w:val="24"/>
              </w:rPr>
            </w:pPr>
            <w:r>
              <w:rPr>
                <w:rFonts w:hint="default"/>
                <w:b/>
                <w:i/>
                <w:szCs w:val="24"/>
              </w:rPr>
              <w:t>Navrhovaný</w:t>
            </w:r>
            <w:r>
              <w:rPr>
                <w:rFonts w:hint="default"/>
                <w:b/>
                <w:i/>
                <w:szCs w:val="24"/>
              </w:rPr>
              <w:t>m zá</w:t>
            </w:r>
            <w:r>
              <w:rPr>
                <w:rFonts w:hint="default"/>
                <w:b/>
                <w:i/>
                <w:szCs w:val="24"/>
              </w:rPr>
              <w:t>konom sa zavá</w:t>
            </w:r>
            <w:r>
              <w:rPr>
                <w:rFonts w:hint="default"/>
                <w:b/>
                <w:i/>
                <w:szCs w:val="24"/>
              </w:rPr>
              <w:t>dzajú</w:t>
            </w:r>
            <w:r>
              <w:rPr>
                <w:rFonts w:hint="default"/>
                <w:b/>
                <w:i/>
                <w:szCs w:val="24"/>
              </w:rPr>
              <w:t xml:space="preserve"> nasledovné</w:t>
            </w:r>
            <w:r>
              <w:rPr>
                <w:rFonts w:hint="default"/>
                <w:b/>
                <w:i/>
                <w:szCs w:val="24"/>
              </w:rPr>
              <w:t xml:space="preserve"> nové</w:t>
            </w:r>
            <w:r>
              <w:rPr>
                <w:rFonts w:hint="default"/>
                <w:b/>
                <w:i/>
                <w:szCs w:val="24"/>
              </w:rPr>
              <w:t xml:space="preserve"> informač</w:t>
            </w:r>
            <w:r>
              <w:rPr>
                <w:rFonts w:hint="default"/>
                <w:b/>
                <w:i/>
                <w:szCs w:val="24"/>
              </w:rPr>
              <w:t>né</w:t>
            </w:r>
            <w:r>
              <w:rPr>
                <w:rFonts w:hint="default"/>
                <w:b/>
                <w:i/>
                <w:szCs w:val="24"/>
              </w:rPr>
              <w:t xml:space="preserve"> povinnosti:</w:t>
            </w:r>
          </w:p>
          <w:p w:rsidR="00BE2B08" w:rsidP="00CC58AE">
            <w:pPr>
              <w:pStyle w:val="ListParagraph"/>
              <w:widowControl w:val="0"/>
              <w:numPr>
                <w:numId w:val="4"/>
              </w:numPr>
              <w:tabs>
                <w:tab w:val="left" w:pos="720"/>
              </w:tabs>
              <w:autoSpaceDN w:val="0"/>
              <w:bidi w:val="0"/>
              <w:adjustRightInd w:val="0"/>
              <w:jc w:val="both"/>
              <w:rPr>
                <w:rFonts w:cs="Times New Roman"/>
                <w:szCs w:val="24"/>
              </w:rPr>
            </w:pPr>
            <w:r>
              <w:rPr>
                <w:rFonts w:ascii="Times New Roman" w:hAnsi="Times New Roman" w:cs="Times New Roman" w:hint="default"/>
                <w:b/>
                <w:i/>
                <w:sz w:val="20"/>
                <w:szCs w:val="24"/>
              </w:rPr>
              <w:t>Povinnosť</w:t>
            </w:r>
            <w:r>
              <w:rPr>
                <w:rFonts w:ascii="Times New Roman" w:hAnsi="Times New Roman" w:cs="Times New Roman" w:hint="default"/>
                <w:b/>
                <w:i/>
                <w:sz w:val="20"/>
                <w:szCs w:val="24"/>
              </w:rPr>
              <w:t xml:space="preserve"> overovať</w:t>
            </w:r>
            <w:r>
              <w:rPr>
                <w:rFonts w:ascii="Times New Roman" w:hAnsi="Times New Roman" w:cs="Times New Roman" w:hint="default"/>
                <w:b/>
                <w:i/>
                <w:sz w:val="20"/>
                <w:szCs w:val="24"/>
              </w:rPr>
              <w:t xml:space="preserve"> prí</w:t>
            </w:r>
            <w:r>
              <w:rPr>
                <w:rFonts w:ascii="Times New Roman" w:hAnsi="Times New Roman" w:cs="Times New Roman" w:hint="default"/>
                <w:b/>
                <w:i/>
                <w:sz w:val="20"/>
                <w:szCs w:val="24"/>
              </w:rPr>
              <w:t>jem spotrebiteľ</w:t>
            </w:r>
            <w:r>
              <w:rPr>
                <w:rFonts w:ascii="Times New Roman" w:hAnsi="Times New Roman" w:cs="Times New Roman" w:hint="default"/>
                <w:b/>
                <w:i/>
                <w:sz w:val="20"/>
                <w:szCs w:val="24"/>
              </w:rPr>
              <w:t xml:space="preserve">a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veritelia musia spracová</w:t>
            </w:r>
            <w:r>
              <w:rPr>
                <w:rFonts w:ascii="Times New Roman" w:hAnsi="Times New Roman" w:cs="Times New Roman" w:hint="default"/>
                <w:b/>
                <w:i/>
                <w:sz w:val="20"/>
                <w:szCs w:val="24"/>
              </w:rPr>
              <w:t>vať</w:t>
            </w:r>
            <w:r>
              <w:rPr>
                <w:rFonts w:ascii="Times New Roman" w:hAnsi="Times New Roman" w:cs="Times New Roman" w:hint="default"/>
                <w:b/>
                <w:i/>
                <w:sz w:val="20"/>
                <w:szCs w:val="24"/>
              </w:rPr>
              <w:t>, overovať</w:t>
            </w:r>
            <w:r>
              <w:rPr>
                <w:rFonts w:ascii="Times New Roman" w:hAnsi="Times New Roman" w:cs="Times New Roman" w:hint="default"/>
                <w:b/>
                <w:i/>
                <w:sz w:val="20"/>
                <w:szCs w:val="24"/>
              </w:rPr>
              <w:t>, evidovať</w:t>
            </w:r>
            <w:r>
              <w:rPr>
                <w:rFonts w:ascii="Times New Roman" w:hAnsi="Times New Roman" w:cs="Times New Roman" w:hint="default"/>
                <w:b/>
                <w:i/>
                <w:sz w:val="20"/>
                <w:szCs w:val="24"/>
              </w:rPr>
              <w:t xml:space="preserve"> a </w:t>
            </w:r>
            <w:r>
              <w:rPr>
                <w:rFonts w:ascii="Times New Roman" w:hAnsi="Times New Roman" w:cs="Times New Roman" w:hint="default"/>
                <w:b/>
                <w:i/>
                <w:sz w:val="20"/>
                <w:szCs w:val="24"/>
              </w:rPr>
              <w:t xml:space="preserve"> archivovať</w:t>
            </w:r>
            <w:r>
              <w:rPr>
                <w:rFonts w:ascii="Times New Roman" w:hAnsi="Times New Roman" w:cs="Times New Roman" w:hint="default"/>
                <w:b/>
                <w:i/>
                <w:sz w:val="20"/>
                <w:szCs w:val="24"/>
              </w:rPr>
              <w:t xml:space="preserve"> potvrdenia o </w:t>
            </w:r>
            <w:r>
              <w:rPr>
                <w:rFonts w:ascii="Times New Roman" w:hAnsi="Times New Roman" w:cs="Times New Roman" w:hint="default"/>
                <w:b/>
                <w:i/>
                <w:sz w:val="20"/>
                <w:szCs w:val="24"/>
              </w:rPr>
              <w:t xml:space="preserve"> prí</w:t>
            </w:r>
            <w:r>
              <w:rPr>
                <w:rFonts w:ascii="Times New Roman" w:hAnsi="Times New Roman" w:cs="Times New Roman" w:hint="default"/>
                <w:b/>
                <w:i/>
                <w:sz w:val="20"/>
                <w:szCs w:val="24"/>
              </w:rPr>
              <w:t>jme spotrebiteľ</w:t>
            </w:r>
            <w:r>
              <w:rPr>
                <w:rFonts w:ascii="Times New Roman" w:hAnsi="Times New Roman" w:cs="Times New Roman" w:hint="default"/>
                <w:b/>
                <w:i/>
                <w:sz w:val="20"/>
                <w:szCs w:val="24"/>
              </w:rPr>
              <w:t>a, prí</w:t>
            </w:r>
            <w:r>
              <w:rPr>
                <w:rFonts w:ascii="Times New Roman" w:hAnsi="Times New Roman" w:cs="Times New Roman" w:hint="default"/>
                <w:b/>
                <w:i/>
                <w:sz w:val="20"/>
                <w:szCs w:val="24"/>
              </w:rPr>
              <w:t>p. ď</w:t>
            </w:r>
            <w:r>
              <w:rPr>
                <w:rFonts w:ascii="Times New Roman" w:hAnsi="Times New Roman" w:cs="Times New Roman" w:hint="default"/>
                <w:b/>
                <w:i/>
                <w:sz w:val="20"/>
                <w:szCs w:val="24"/>
              </w:rPr>
              <w:t>alš</w:t>
            </w:r>
            <w:r>
              <w:rPr>
                <w:rFonts w:ascii="Times New Roman" w:hAnsi="Times New Roman" w:cs="Times New Roman" w:hint="default"/>
                <w:b/>
                <w:i/>
                <w:sz w:val="20"/>
                <w:szCs w:val="24"/>
              </w:rPr>
              <w:t>ie sú</w:t>
            </w:r>
            <w:r>
              <w:rPr>
                <w:rFonts w:ascii="Times New Roman" w:hAnsi="Times New Roman" w:cs="Times New Roman" w:hint="default"/>
                <w:b/>
                <w:i/>
                <w:sz w:val="20"/>
                <w:szCs w:val="24"/>
              </w:rPr>
              <w:t>vi</w:t>
            </w:r>
            <w:r>
              <w:rPr>
                <w:rFonts w:ascii="Times New Roman" w:hAnsi="Times New Roman" w:cs="Times New Roman" w:hint="default"/>
                <w:b/>
                <w:i/>
                <w:sz w:val="20"/>
                <w:szCs w:val="24"/>
              </w:rPr>
              <w:t>siace doklady</w:t>
            </w:r>
          </w:p>
          <w:p w:rsidR="00BE2B08" w:rsidP="00CC58AE">
            <w:pPr>
              <w:pStyle w:val="ListParagraph"/>
              <w:widowControl w:val="0"/>
              <w:numPr>
                <w:numId w:val="4"/>
              </w:numPr>
              <w:tabs>
                <w:tab w:val="left" w:pos="720"/>
              </w:tabs>
              <w:autoSpaceDN w:val="0"/>
              <w:bidi w:val="0"/>
              <w:adjustRightInd w:val="0"/>
              <w:jc w:val="both"/>
              <w:rPr>
                <w:rFonts w:cs="Times New Roman"/>
                <w:szCs w:val="24"/>
              </w:rPr>
            </w:pPr>
            <w:r>
              <w:rPr>
                <w:rFonts w:ascii="Times New Roman" w:hAnsi="Times New Roman" w:cs="Times New Roman" w:hint="default"/>
                <w:b/>
                <w:i/>
                <w:sz w:val="20"/>
                <w:szCs w:val="24"/>
              </w:rPr>
              <w:t>Sú</w:t>
            </w:r>
            <w:r>
              <w:rPr>
                <w:rFonts w:ascii="Times New Roman" w:hAnsi="Times New Roman" w:cs="Times New Roman" w:hint="default"/>
                <w:b/>
                <w:i/>
                <w:sz w:val="20"/>
                <w:szCs w:val="24"/>
              </w:rPr>
              <w:t>lad s </w:t>
            </w:r>
            <w:r>
              <w:rPr>
                <w:rFonts w:ascii="Times New Roman" w:hAnsi="Times New Roman" w:cs="Times New Roman" w:hint="default"/>
                <w:b/>
                <w:i/>
                <w:sz w:val="20"/>
                <w:szCs w:val="24"/>
              </w:rPr>
              <w:t xml:space="preserve"> limitmi na ukazovateľ</w:t>
            </w:r>
            <w:r>
              <w:rPr>
                <w:rFonts w:ascii="Times New Roman" w:hAnsi="Times New Roman" w:cs="Times New Roman" w:hint="default"/>
                <w:b/>
                <w:i/>
                <w:sz w:val="20"/>
                <w:szCs w:val="24"/>
              </w:rPr>
              <w:t xml:space="preserve"> schopnosti spotrebiteľ</w:t>
            </w:r>
            <w:r>
              <w:rPr>
                <w:rFonts w:ascii="Times New Roman" w:hAnsi="Times New Roman" w:cs="Times New Roman" w:hint="default"/>
                <w:b/>
                <w:i/>
                <w:sz w:val="20"/>
                <w:szCs w:val="24"/>
              </w:rPr>
              <w:t>a splá</w:t>
            </w:r>
            <w:r>
              <w:rPr>
                <w:rFonts w:ascii="Times New Roman" w:hAnsi="Times New Roman" w:cs="Times New Roman" w:hint="default"/>
                <w:b/>
                <w:i/>
                <w:sz w:val="20"/>
                <w:szCs w:val="24"/>
              </w:rPr>
              <w:t>cať</w:t>
            </w:r>
            <w:r>
              <w:rPr>
                <w:rFonts w:ascii="Times New Roman" w:hAnsi="Times New Roman" w:cs="Times New Roman" w:hint="default"/>
                <w:b/>
                <w:i/>
                <w:sz w:val="20"/>
                <w:szCs w:val="24"/>
              </w:rPr>
              <w:t xml:space="preserve"> spotrebiteľ</w:t>
            </w:r>
            <w:r>
              <w:rPr>
                <w:rFonts w:ascii="Times New Roman" w:hAnsi="Times New Roman" w:cs="Times New Roman" w:hint="default"/>
                <w:b/>
                <w:i/>
                <w:sz w:val="20"/>
                <w:szCs w:val="24"/>
              </w:rPr>
              <w:t>ský</w:t>
            </w:r>
            <w:r>
              <w:rPr>
                <w:rFonts w:ascii="Times New Roman" w:hAnsi="Times New Roman" w:cs="Times New Roman" w:hint="default"/>
                <w:b/>
                <w:i/>
                <w:sz w:val="20"/>
                <w:szCs w:val="24"/>
              </w:rPr>
              <w:t xml:space="preserve"> ú</w:t>
            </w:r>
            <w:r>
              <w:rPr>
                <w:rFonts w:ascii="Times New Roman" w:hAnsi="Times New Roman" w:cs="Times New Roman" w:hint="default"/>
                <w:b/>
                <w:i/>
                <w:sz w:val="20"/>
                <w:szCs w:val="24"/>
              </w:rPr>
              <w:t xml:space="preserve">ver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veritelia musia overiť</w:t>
            </w:r>
            <w:r>
              <w:rPr>
                <w:rFonts w:ascii="Times New Roman" w:hAnsi="Times New Roman" w:cs="Times New Roman" w:hint="default"/>
                <w:b/>
                <w:i/>
                <w:sz w:val="20"/>
                <w:szCs w:val="24"/>
              </w:rPr>
              <w:t>, č</w:t>
            </w:r>
            <w:r>
              <w:rPr>
                <w:rFonts w:ascii="Times New Roman" w:hAnsi="Times New Roman" w:cs="Times New Roman" w:hint="default"/>
                <w:b/>
                <w:i/>
                <w:sz w:val="20"/>
                <w:szCs w:val="24"/>
              </w:rPr>
              <w:t>i spotrebiteľ</w:t>
            </w:r>
            <w:r>
              <w:rPr>
                <w:rFonts w:ascii="Times New Roman" w:hAnsi="Times New Roman" w:cs="Times New Roman" w:hint="default"/>
                <w:b/>
                <w:i/>
                <w:sz w:val="20"/>
                <w:szCs w:val="24"/>
              </w:rPr>
              <w:t xml:space="preserve"> spĺň</w:t>
            </w:r>
            <w:r>
              <w:rPr>
                <w:rFonts w:ascii="Times New Roman" w:hAnsi="Times New Roman" w:cs="Times New Roman" w:hint="default"/>
                <w:b/>
                <w:i/>
                <w:sz w:val="20"/>
                <w:szCs w:val="24"/>
              </w:rPr>
              <w:t>a ich interne stanovený</w:t>
            </w:r>
            <w:r>
              <w:rPr>
                <w:rFonts w:ascii="Times New Roman" w:hAnsi="Times New Roman" w:cs="Times New Roman" w:hint="default"/>
                <w:b/>
                <w:i/>
                <w:sz w:val="20"/>
                <w:szCs w:val="24"/>
              </w:rPr>
              <w:t xml:space="preserve"> limit na ukazovateľ</w:t>
            </w:r>
            <w:r>
              <w:rPr>
                <w:rFonts w:ascii="Times New Roman" w:hAnsi="Times New Roman" w:cs="Times New Roman" w:hint="default"/>
                <w:b/>
                <w:i/>
                <w:sz w:val="20"/>
                <w:szCs w:val="24"/>
              </w:rPr>
              <w:t xml:space="preserve"> schopnosti splá</w:t>
            </w:r>
            <w:r>
              <w:rPr>
                <w:rFonts w:ascii="Times New Roman" w:hAnsi="Times New Roman" w:cs="Times New Roman" w:hint="default"/>
                <w:b/>
                <w:i/>
                <w:sz w:val="20"/>
                <w:szCs w:val="24"/>
              </w:rPr>
              <w:t>cať</w:t>
            </w:r>
            <w:r>
              <w:rPr>
                <w:rFonts w:ascii="Times New Roman" w:hAnsi="Times New Roman" w:cs="Times New Roman" w:hint="default"/>
                <w:b/>
                <w:i/>
                <w:sz w:val="20"/>
                <w:szCs w:val="24"/>
              </w:rPr>
              <w:t xml:space="preserve"> ú</w:t>
            </w:r>
            <w:r>
              <w:rPr>
                <w:rFonts w:ascii="Times New Roman" w:hAnsi="Times New Roman" w:cs="Times New Roman" w:hint="default"/>
                <w:b/>
                <w:i/>
                <w:sz w:val="20"/>
                <w:szCs w:val="24"/>
              </w:rPr>
              <w:t>ver</w:t>
            </w:r>
          </w:p>
          <w:p w:rsidR="00BE2B08" w:rsidP="00CC58AE">
            <w:pPr>
              <w:pStyle w:val="ListParagraph"/>
              <w:widowControl w:val="0"/>
              <w:numPr>
                <w:numId w:val="4"/>
              </w:numPr>
              <w:tabs>
                <w:tab w:val="left" w:pos="720"/>
              </w:tabs>
              <w:autoSpaceDN w:val="0"/>
              <w:bidi w:val="0"/>
              <w:adjustRightInd w:val="0"/>
              <w:jc w:val="both"/>
              <w:rPr>
                <w:rFonts w:cs="Times New Roman"/>
                <w:szCs w:val="24"/>
              </w:rPr>
            </w:pPr>
            <w:r>
              <w:rPr>
                <w:rFonts w:ascii="Times New Roman" w:hAnsi="Times New Roman" w:cs="Times New Roman" w:hint="default"/>
                <w:b/>
                <w:i/>
                <w:sz w:val="20"/>
                <w:szCs w:val="24"/>
              </w:rPr>
              <w:t>Zavá</w:t>
            </w:r>
            <w:r>
              <w:rPr>
                <w:rFonts w:ascii="Times New Roman" w:hAnsi="Times New Roman" w:cs="Times New Roman" w:hint="default"/>
                <w:b/>
                <w:i/>
                <w:sz w:val="20"/>
                <w:szCs w:val="24"/>
              </w:rPr>
              <w:t>dzajú</w:t>
            </w:r>
            <w:r>
              <w:rPr>
                <w:rFonts w:ascii="Times New Roman" w:hAnsi="Times New Roman" w:cs="Times New Roman" w:hint="default"/>
                <w:b/>
                <w:i/>
                <w:sz w:val="20"/>
                <w:szCs w:val="24"/>
              </w:rPr>
              <w:t xml:space="preserve"> sa nové</w:t>
            </w:r>
            <w:r>
              <w:rPr>
                <w:rFonts w:ascii="Times New Roman" w:hAnsi="Times New Roman" w:cs="Times New Roman" w:hint="default"/>
                <w:b/>
                <w:i/>
                <w:sz w:val="20"/>
                <w:szCs w:val="24"/>
              </w:rPr>
              <w:t xml:space="preserve"> vykazovacie povinnosti voč</w:t>
            </w:r>
            <w:r>
              <w:rPr>
                <w:rFonts w:ascii="Times New Roman" w:hAnsi="Times New Roman" w:cs="Times New Roman" w:hint="default"/>
                <w:b/>
                <w:i/>
                <w:sz w:val="20"/>
                <w:szCs w:val="24"/>
              </w:rPr>
              <w:t>i Ná</w:t>
            </w:r>
            <w:r>
              <w:rPr>
                <w:rFonts w:ascii="Times New Roman" w:hAnsi="Times New Roman" w:cs="Times New Roman" w:hint="default"/>
                <w:b/>
                <w:i/>
                <w:sz w:val="20"/>
                <w:szCs w:val="24"/>
              </w:rPr>
              <w:t xml:space="preserve">rodnej banke Slovenska </w:t>
            </w:r>
            <w:r>
              <w:rPr>
                <w:rFonts w:ascii="Times New Roman" w:hAnsi="Times New Roman" w:cs="Times New Roman" w:hint="default"/>
                <w:b/>
                <w:i/>
                <w:sz w:val="20"/>
                <w:szCs w:val="24"/>
              </w:rPr>
              <w:t>–</w:t>
            </w:r>
            <w:r>
              <w:rPr>
                <w:rFonts w:ascii="Times New Roman" w:hAnsi="Times New Roman" w:cs="Times New Roman" w:hint="default"/>
                <w:b/>
                <w:i/>
                <w:sz w:val="20"/>
                <w:szCs w:val="24"/>
              </w:rPr>
              <w:t>podrobnosti určí</w:t>
            </w:r>
            <w:r>
              <w:rPr>
                <w:rFonts w:ascii="Times New Roman" w:hAnsi="Times New Roman" w:cs="Times New Roman" w:hint="default"/>
                <w:b/>
                <w:i/>
                <w:sz w:val="20"/>
                <w:szCs w:val="24"/>
              </w:rPr>
              <w:t xml:space="preserve"> Ná</w:t>
            </w:r>
            <w:r>
              <w:rPr>
                <w:rFonts w:ascii="Times New Roman" w:hAnsi="Times New Roman" w:cs="Times New Roman" w:hint="default"/>
                <w:b/>
                <w:i/>
                <w:sz w:val="20"/>
                <w:szCs w:val="24"/>
              </w:rPr>
              <w:t>rodná</w:t>
            </w:r>
            <w:r>
              <w:rPr>
                <w:rFonts w:ascii="Times New Roman" w:hAnsi="Times New Roman" w:cs="Times New Roman" w:hint="default"/>
                <w:b/>
                <w:i/>
                <w:sz w:val="20"/>
                <w:szCs w:val="24"/>
              </w:rPr>
              <w:t xml:space="preserve"> banka Slovenska opatrení</w:t>
            </w:r>
            <w:r>
              <w:rPr>
                <w:rFonts w:ascii="Times New Roman" w:hAnsi="Times New Roman" w:cs="Times New Roman" w:hint="default"/>
                <w:b/>
                <w:i/>
                <w:sz w:val="20"/>
                <w:szCs w:val="24"/>
              </w:rPr>
              <w:t>m, preto sa rozsah tý</w:t>
            </w:r>
            <w:r>
              <w:rPr>
                <w:rFonts w:ascii="Times New Roman" w:hAnsi="Times New Roman" w:cs="Times New Roman" w:hint="default"/>
                <w:b/>
                <w:i/>
                <w:sz w:val="20"/>
                <w:szCs w:val="24"/>
              </w:rPr>
              <w:t>chto povinností</w:t>
            </w:r>
            <w:r>
              <w:rPr>
                <w:rFonts w:ascii="Times New Roman" w:hAnsi="Times New Roman" w:cs="Times New Roman" w:hint="default"/>
                <w:b/>
                <w:i/>
                <w:sz w:val="20"/>
                <w:szCs w:val="24"/>
              </w:rPr>
              <w:t xml:space="preserve"> nedá</w:t>
            </w:r>
            <w:r>
              <w:rPr>
                <w:rFonts w:ascii="Times New Roman" w:hAnsi="Times New Roman" w:cs="Times New Roman" w:hint="default"/>
                <w:b/>
                <w:i/>
                <w:sz w:val="20"/>
                <w:szCs w:val="24"/>
              </w:rPr>
              <w:t xml:space="preserve"> v </w:t>
            </w:r>
            <w:r>
              <w:rPr>
                <w:rFonts w:ascii="Times New Roman" w:hAnsi="Times New Roman" w:cs="Times New Roman" w:hint="default"/>
                <w:b/>
                <w:i/>
                <w:sz w:val="20"/>
                <w:szCs w:val="24"/>
              </w:rPr>
              <w:t xml:space="preserve"> súč</w:t>
            </w:r>
            <w:r>
              <w:rPr>
                <w:rFonts w:ascii="Times New Roman" w:hAnsi="Times New Roman" w:cs="Times New Roman" w:hint="default"/>
                <w:b/>
                <w:i/>
                <w:sz w:val="20"/>
                <w:szCs w:val="24"/>
              </w:rPr>
              <w:t>asnosti urč</w:t>
            </w:r>
            <w:r>
              <w:rPr>
                <w:rFonts w:ascii="Times New Roman" w:hAnsi="Times New Roman" w:cs="Times New Roman" w:hint="default"/>
                <w:b/>
                <w:i/>
                <w:sz w:val="20"/>
                <w:szCs w:val="24"/>
              </w:rPr>
              <w:t>i</w:t>
            </w:r>
          </w:p>
          <w:p w:rsidR="00BE2B08" w:rsidP="00CC58AE">
            <w:pPr>
              <w:pStyle w:val="Vchodzie"/>
              <w:bidi w:val="0"/>
              <w:spacing w:after="0" w:line="240" w:lineRule="auto"/>
              <w:jc w:val="both"/>
              <w:rPr>
                <w:szCs w:val="24"/>
              </w:rPr>
            </w:pPr>
            <w:r>
              <w:rPr>
                <w:rFonts w:hint="default"/>
                <w:b/>
                <w:i/>
                <w:szCs w:val="24"/>
              </w:rPr>
              <w:t>Odhad ná</w:t>
            </w:r>
            <w:r>
              <w:rPr>
                <w:rFonts w:hint="default"/>
                <w:b/>
                <w:i/>
                <w:szCs w:val="24"/>
              </w:rPr>
              <w:t>kladov podľ</w:t>
            </w:r>
            <w:r>
              <w:rPr>
                <w:rFonts w:hint="default"/>
                <w:b/>
                <w:i/>
                <w:szCs w:val="24"/>
              </w:rPr>
              <w:t>a tabuľ</w:t>
            </w:r>
            <w:r>
              <w:rPr>
                <w:rFonts w:hint="default"/>
                <w:b/>
                <w:i/>
                <w:szCs w:val="24"/>
              </w:rPr>
              <w:t>ky š</w:t>
            </w:r>
            <w:r>
              <w:rPr>
                <w:rFonts w:hint="default"/>
                <w:b/>
                <w:i/>
                <w:szCs w:val="24"/>
              </w:rPr>
              <w:t>tandardný</w:t>
            </w:r>
            <w:r>
              <w:rPr>
                <w:rFonts w:hint="default"/>
                <w:b/>
                <w:i/>
                <w:szCs w:val="24"/>
              </w:rPr>
              <w:t>ch č</w:t>
            </w:r>
            <w:r>
              <w:rPr>
                <w:rFonts w:hint="default"/>
                <w:b/>
                <w:i/>
                <w:szCs w:val="24"/>
              </w:rPr>
              <w:t>asový</w:t>
            </w:r>
            <w:r>
              <w:rPr>
                <w:rFonts w:hint="default"/>
                <w:b/>
                <w:i/>
                <w:szCs w:val="24"/>
              </w:rPr>
              <w:t>ch ná</w:t>
            </w:r>
            <w:r>
              <w:rPr>
                <w:rFonts w:hint="default"/>
                <w:b/>
                <w:i/>
                <w:szCs w:val="24"/>
              </w:rPr>
              <w:t>roč</w:t>
            </w:r>
            <w:r>
              <w:rPr>
                <w:rFonts w:hint="default"/>
                <w:b/>
                <w:i/>
                <w:szCs w:val="24"/>
              </w:rPr>
              <w:t>ností</w:t>
            </w:r>
            <w:r>
              <w:rPr>
                <w:rFonts w:hint="default"/>
                <w:b/>
                <w:i/>
                <w:szCs w:val="24"/>
              </w:rPr>
              <w:t>. Povinnosti podľ</w:t>
            </w:r>
            <w:r>
              <w:rPr>
                <w:rFonts w:hint="default"/>
                <w:b/>
                <w:i/>
                <w:szCs w:val="24"/>
              </w:rPr>
              <w:t>a bodov 1. a </w:t>
            </w:r>
            <w:r>
              <w:rPr>
                <w:rFonts w:hint="default"/>
                <w:b/>
                <w:i/>
                <w:szCs w:val="24"/>
              </w:rPr>
              <w:t xml:space="preserve"> 2. je veriteľ</w:t>
            </w:r>
            <w:r>
              <w:rPr>
                <w:rFonts w:hint="default"/>
                <w:b/>
                <w:i/>
                <w:szCs w:val="24"/>
              </w:rPr>
              <w:t xml:space="preserve"> povinný</w:t>
            </w:r>
            <w:r>
              <w:rPr>
                <w:rFonts w:hint="default"/>
                <w:b/>
                <w:i/>
                <w:szCs w:val="24"/>
              </w:rPr>
              <w:t xml:space="preserve"> vykoná</w:t>
            </w:r>
            <w:r>
              <w:rPr>
                <w:rFonts w:hint="default"/>
                <w:b/>
                <w:i/>
                <w:szCs w:val="24"/>
              </w:rPr>
              <w:t>vať</w:t>
            </w:r>
            <w:r>
              <w:rPr>
                <w:rFonts w:hint="default"/>
                <w:b/>
                <w:i/>
                <w:szCs w:val="24"/>
              </w:rPr>
              <w:t xml:space="preserve"> pri kaž</w:t>
            </w:r>
            <w:r>
              <w:rPr>
                <w:rFonts w:hint="default"/>
                <w:b/>
                <w:i/>
                <w:szCs w:val="24"/>
              </w:rPr>
              <w:t>dej ž</w:t>
            </w:r>
            <w:r>
              <w:rPr>
                <w:rFonts w:hint="default"/>
                <w:b/>
                <w:i/>
                <w:szCs w:val="24"/>
              </w:rPr>
              <w:t>iadosti o </w:t>
            </w:r>
            <w:r>
              <w:rPr>
                <w:rFonts w:hint="default"/>
                <w:b/>
                <w:i/>
                <w:szCs w:val="24"/>
              </w:rPr>
              <w:t xml:space="preserve"> ú</w:t>
            </w:r>
            <w:r>
              <w:rPr>
                <w:rFonts w:hint="default"/>
                <w:b/>
                <w:i/>
                <w:szCs w:val="24"/>
              </w:rPr>
              <w:t>ver. Č</w:t>
            </w:r>
            <w:r>
              <w:rPr>
                <w:rFonts w:hint="default"/>
                <w:b/>
                <w:i/>
                <w:szCs w:val="24"/>
              </w:rPr>
              <w:t>asová</w:t>
            </w:r>
            <w:r>
              <w:rPr>
                <w:rFonts w:hint="default"/>
                <w:b/>
                <w:i/>
                <w:szCs w:val="24"/>
              </w:rPr>
              <w:t xml:space="preserve"> ná</w:t>
            </w:r>
            <w:r>
              <w:rPr>
                <w:rFonts w:hint="default"/>
                <w:b/>
                <w:i/>
                <w:szCs w:val="24"/>
              </w:rPr>
              <w:t>roč</w:t>
            </w:r>
            <w:r>
              <w:rPr>
                <w:rFonts w:hint="default"/>
                <w:b/>
                <w:i/>
                <w:szCs w:val="24"/>
              </w:rPr>
              <w:t>nosť</w:t>
            </w:r>
            <w:r>
              <w:rPr>
                <w:rFonts w:hint="default"/>
                <w:b/>
                <w:i/>
                <w:szCs w:val="24"/>
              </w:rPr>
              <w:t xml:space="preserve"> tý</w:t>
            </w:r>
            <w:r>
              <w:rPr>
                <w:rFonts w:hint="default"/>
                <w:b/>
                <w:i/>
                <w:szCs w:val="24"/>
              </w:rPr>
              <w:t>chto jednotlivý</w:t>
            </w:r>
            <w:r>
              <w:rPr>
                <w:rFonts w:hint="default"/>
                <w:b/>
                <w:i/>
                <w:szCs w:val="24"/>
              </w:rPr>
              <w:t>ch ú</w:t>
            </w:r>
            <w:r>
              <w:rPr>
                <w:rFonts w:hint="default"/>
                <w:b/>
                <w:i/>
                <w:szCs w:val="24"/>
              </w:rPr>
              <w:t>konov vš</w:t>
            </w:r>
            <w:r>
              <w:rPr>
                <w:rFonts w:hint="default"/>
                <w:b/>
                <w:i/>
                <w:szCs w:val="24"/>
              </w:rPr>
              <w:t>ak nie je vysoká</w:t>
            </w:r>
            <w:r>
              <w:rPr>
                <w:rFonts w:hint="default"/>
                <w:b/>
                <w:i/>
                <w:szCs w:val="24"/>
              </w:rPr>
              <w:t>, preto sa hodnota z </w:t>
            </w:r>
            <w:r>
              <w:rPr>
                <w:rFonts w:hint="default"/>
                <w:b/>
                <w:i/>
                <w:szCs w:val="24"/>
              </w:rPr>
              <w:t xml:space="preserve"> tabuľ</w:t>
            </w:r>
            <w:r>
              <w:rPr>
                <w:rFonts w:hint="default"/>
                <w:b/>
                <w:i/>
                <w:szCs w:val="24"/>
              </w:rPr>
              <w:t>ky č</w:t>
            </w:r>
            <w:r>
              <w:rPr>
                <w:rFonts w:hint="default"/>
                <w:b/>
                <w:i/>
                <w:szCs w:val="24"/>
              </w:rPr>
              <w:t>asový</w:t>
            </w:r>
            <w:r>
              <w:rPr>
                <w:rFonts w:hint="default"/>
                <w:b/>
                <w:i/>
                <w:szCs w:val="24"/>
              </w:rPr>
              <w:t>ch ná</w:t>
            </w:r>
            <w:r>
              <w:rPr>
                <w:rFonts w:hint="default"/>
                <w:b/>
                <w:i/>
                <w:szCs w:val="24"/>
              </w:rPr>
              <w:t>roč</w:t>
            </w:r>
            <w:r>
              <w:rPr>
                <w:rFonts w:hint="default"/>
                <w:b/>
                <w:i/>
                <w:szCs w:val="24"/>
              </w:rPr>
              <w:t>ností</w:t>
            </w:r>
            <w:r>
              <w:rPr>
                <w:rFonts w:hint="default"/>
                <w:b/>
                <w:i/>
                <w:szCs w:val="24"/>
              </w:rPr>
              <w:t xml:space="preserve"> použ</w:t>
            </w:r>
            <w:r>
              <w:rPr>
                <w:rFonts w:hint="default"/>
                <w:b/>
                <w:i/>
                <w:szCs w:val="24"/>
              </w:rPr>
              <w:t>ije ako odhad celkovej č</w:t>
            </w:r>
            <w:r>
              <w:rPr>
                <w:rFonts w:hint="default"/>
                <w:b/>
                <w:i/>
                <w:szCs w:val="24"/>
              </w:rPr>
              <w:t>asovej ná</w:t>
            </w:r>
            <w:r>
              <w:rPr>
                <w:rFonts w:hint="default"/>
                <w:b/>
                <w:i/>
                <w:szCs w:val="24"/>
              </w:rPr>
              <w:t>roč</w:t>
            </w:r>
            <w:r>
              <w:rPr>
                <w:rFonts w:hint="default"/>
                <w:b/>
                <w:i/>
                <w:szCs w:val="24"/>
              </w:rPr>
              <w:t>nosti na danú</w:t>
            </w:r>
            <w:r>
              <w:rPr>
                <w:rFonts w:hint="default"/>
                <w:b/>
                <w:i/>
                <w:szCs w:val="24"/>
              </w:rPr>
              <w:t xml:space="preserve"> č</w:t>
            </w:r>
            <w:r>
              <w:rPr>
                <w:rFonts w:hint="default"/>
                <w:b/>
                <w:i/>
                <w:szCs w:val="24"/>
              </w:rPr>
              <w:t>innosť</w:t>
            </w:r>
            <w:r>
              <w:rPr>
                <w:rFonts w:hint="default"/>
                <w:b/>
                <w:i/>
                <w:szCs w:val="24"/>
              </w:rPr>
              <w:t xml:space="preserve"> za jeden mesiac. </w:t>
            </w:r>
          </w:p>
          <w:p w:rsidR="00BE2B08" w:rsidP="00CC58AE">
            <w:pPr>
              <w:pStyle w:val="Vchodzie"/>
              <w:bidi w:val="0"/>
              <w:spacing w:after="0" w:line="240" w:lineRule="auto"/>
              <w:jc w:val="both"/>
              <w:rPr>
                <w:szCs w:val="24"/>
              </w:rPr>
            </w:pPr>
            <w:r>
              <w:rPr>
                <w:rFonts w:hint="default"/>
                <w:b/>
                <w:i/>
                <w:szCs w:val="24"/>
              </w:rPr>
              <w:t>Č</w:t>
            </w:r>
            <w:r>
              <w:rPr>
                <w:rFonts w:hint="default"/>
                <w:b/>
                <w:i/>
                <w:szCs w:val="24"/>
              </w:rPr>
              <w:t>asová</w:t>
            </w:r>
            <w:r>
              <w:rPr>
                <w:rFonts w:hint="default"/>
                <w:b/>
                <w:i/>
                <w:szCs w:val="24"/>
              </w:rPr>
              <w:t xml:space="preserve"> ná</w:t>
            </w:r>
            <w:r>
              <w:rPr>
                <w:rFonts w:hint="default"/>
                <w:b/>
                <w:i/>
                <w:szCs w:val="24"/>
              </w:rPr>
              <w:t>roč</w:t>
            </w:r>
            <w:r>
              <w:rPr>
                <w:rFonts w:hint="default"/>
                <w:b/>
                <w:i/>
                <w:szCs w:val="24"/>
              </w:rPr>
              <w:t>nosť</w:t>
            </w:r>
            <w:r>
              <w:rPr>
                <w:rFonts w:hint="default"/>
                <w:b/>
                <w:i/>
                <w:szCs w:val="24"/>
              </w:rPr>
              <w:t xml:space="preserve"> podľ</w:t>
            </w:r>
            <w:r>
              <w:rPr>
                <w:rFonts w:hint="default"/>
                <w:b/>
                <w:i/>
                <w:szCs w:val="24"/>
              </w:rPr>
              <w:t>a tabuľ</w:t>
            </w:r>
            <w:r>
              <w:rPr>
                <w:rFonts w:hint="default"/>
                <w:b/>
                <w:i/>
                <w:szCs w:val="24"/>
              </w:rPr>
              <w:t>ky š</w:t>
            </w:r>
            <w:r>
              <w:rPr>
                <w:rFonts w:hint="default"/>
                <w:b/>
                <w:i/>
                <w:szCs w:val="24"/>
              </w:rPr>
              <w:t>tandardný</w:t>
            </w:r>
            <w:r>
              <w:rPr>
                <w:rFonts w:hint="default"/>
                <w:b/>
                <w:i/>
                <w:szCs w:val="24"/>
              </w:rPr>
              <w:t>ch č</w:t>
            </w:r>
            <w:r>
              <w:rPr>
                <w:rFonts w:hint="default"/>
                <w:b/>
                <w:i/>
                <w:szCs w:val="24"/>
              </w:rPr>
              <w:t>asový</w:t>
            </w:r>
            <w:r>
              <w:rPr>
                <w:rFonts w:hint="default"/>
                <w:b/>
                <w:i/>
                <w:szCs w:val="24"/>
              </w:rPr>
              <w:t>ch ná</w:t>
            </w:r>
            <w:r>
              <w:rPr>
                <w:rFonts w:hint="default"/>
                <w:b/>
                <w:i/>
                <w:szCs w:val="24"/>
              </w:rPr>
              <w:t>roč</w:t>
            </w:r>
            <w:r>
              <w:rPr>
                <w:rFonts w:hint="default"/>
                <w:b/>
                <w:i/>
                <w:szCs w:val="24"/>
              </w:rPr>
              <w:t>ností</w:t>
            </w:r>
            <w:r>
              <w:rPr>
                <w:rFonts w:hint="default"/>
                <w:b/>
                <w:i/>
                <w:szCs w:val="24"/>
              </w:rPr>
              <w:t xml:space="preserve"> pre veľ</w:t>
            </w:r>
            <w:r>
              <w:rPr>
                <w:rFonts w:hint="default"/>
                <w:b/>
                <w:i/>
                <w:szCs w:val="24"/>
              </w:rPr>
              <w:t>ké</w:t>
            </w:r>
            <w:r>
              <w:rPr>
                <w:rFonts w:hint="default"/>
                <w:b/>
                <w:i/>
                <w:szCs w:val="24"/>
              </w:rPr>
              <w:t xml:space="preserve"> podniky:</w:t>
            </w:r>
          </w:p>
          <w:p w:rsidR="00BE2B08" w:rsidP="00CC58AE">
            <w:pPr>
              <w:pStyle w:val="ListParagraph"/>
              <w:widowControl w:val="0"/>
              <w:numPr>
                <w:numId w:val="3"/>
              </w:numPr>
              <w:tabs>
                <w:tab w:val="left" w:pos="720"/>
              </w:tabs>
              <w:autoSpaceDN w:val="0"/>
              <w:bidi w:val="0"/>
              <w:adjustRightInd w:val="0"/>
              <w:jc w:val="both"/>
              <w:rPr>
                <w:rFonts w:cs="Times New Roman"/>
                <w:szCs w:val="24"/>
              </w:rPr>
            </w:pPr>
            <w:r>
              <w:rPr>
                <w:rFonts w:ascii="Times New Roman" w:hAnsi="Times New Roman" w:cs="Times New Roman" w:hint="default"/>
                <w:b/>
                <w:i/>
                <w:sz w:val="20"/>
                <w:szCs w:val="24"/>
              </w:rPr>
              <w:t>Archivá</w:t>
            </w:r>
            <w:r>
              <w:rPr>
                <w:rFonts w:ascii="Times New Roman" w:hAnsi="Times New Roman" w:cs="Times New Roman" w:hint="default"/>
                <w:b/>
                <w:i/>
                <w:sz w:val="20"/>
                <w:szCs w:val="24"/>
              </w:rPr>
              <w:t xml:space="preserve">cia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180 min. (veľ</w:t>
            </w:r>
            <w:r>
              <w:rPr>
                <w:rFonts w:ascii="Times New Roman" w:hAnsi="Times New Roman" w:cs="Times New Roman" w:hint="default"/>
                <w:b/>
                <w:i/>
                <w:sz w:val="20"/>
                <w:szCs w:val="24"/>
              </w:rPr>
              <w:t>ké</w:t>
            </w:r>
            <w:r>
              <w:rPr>
                <w:rFonts w:ascii="Times New Roman" w:hAnsi="Times New Roman" w:cs="Times New Roman" w:hint="default"/>
                <w:b/>
                <w:i/>
                <w:sz w:val="20"/>
                <w:szCs w:val="24"/>
              </w:rPr>
              <w:t xml:space="preserve"> podniky) + evidencia 720 min., spolu 900 min.</w:t>
            </w:r>
          </w:p>
          <w:p w:rsidR="00BE2B08" w:rsidP="00BE2B08">
            <w:pPr>
              <w:pStyle w:val="ListParagraph"/>
              <w:widowControl w:val="0"/>
              <w:numPr>
                <w:numId w:val="3"/>
              </w:numPr>
              <w:tabs>
                <w:tab w:val="left" w:pos="720"/>
              </w:tabs>
              <w:autoSpaceDN w:val="0"/>
              <w:bidi w:val="0"/>
              <w:adjustRightInd w:val="0"/>
              <w:rPr>
                <w:rFonts w:cs="Times New Roman"/>
                <w:szCs w:val="24"/>
              </w:rPr>
            </w:pPr>
            <w:r>
              <w:rPr>
                <w:rFonts w:ascii="Times New Roman" w:hAnsi="Times New Roman" w:cs="Times New Roman" w:hint="default"/>
                <w:b/>
                <w:i/>
                <w:sz w:val="20"/>
                <w:szCs w:val="24"/>
              </w:rPr>
              <w:t>Overenie sú</w:t>
            </w:r>
            <w:r>
              <w:rPr>
                <w:rFonts w:ascii="Times New Roman" w:hAnsi="Times New Roman" w:cs="Times New Roman" w:hint="default"/>
                <w:b/>
                <w:i/>
                <w:sz w:val="20"/>
                <w:szCs w:val="24"/>
              </w:rPr>
              <w:t xml:space="preserve">ladu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960 min.</w:t>
            </w:r>
          </w:p>
          <w:p w:rsidR="00BE2B08" w:rsidP="00BE2B08">
            <w:pPr>
              <w:pStyle w:val="ListParagraph"/>
              <w:widowControl w:val="0"/>
              <w:numPr>
                <w:numId w:val="3"/>
              </w:numPr>
              <w:tabs>
                <w:tab w:val="left" w:pos="720"/>
              </w:tabs>
              <w:autoSpaceDN w:val="0"/>
              <w:bidi w:val="0"/>
              <w:adjustRightInd w:val="0"/>
              <w:rPr>
                <w:rFonts w:cs="Times New Roman"/>
                <w:szCs w:val="24"/>
              </w:rPr>
            </w:pPr>
            <w:r>
              <w:rPr>
                <w:rFonts w:ascii="Times New Roman" w:hAnsi="Times New Roman" w:cs="Times New Roman" w:hint="default"/>
                <w:b/>
                <w:i/>
                <w:sz w:val="20"/>
                <w:szCs w:val="24"/>
              </w:rPr>
              <w:t>Rozsah sa určí</w:t>
            </w:r>
            <w:r>
              <w:rPr>
                <w:rFonts w:ascii="Times New Roman" w:hAnsi="Times New Roman" w:cs="Times New Roman" w:hint="default"/>
                <w:b/>
                <w:i/>
                <w:sz w:val="20"/>
                <w:szCs w:val="24"/>
              </w:rPr>
              <w:t xml:space="preserve"> opatrení</w:t>
            </w:r>
            <w:r>
              <w:rPr>
                <w:rFonts w:ascii="Times New Roman" w:hAnsi="Times New Roman" w:cs="Times New Roman" w:hint="default"/>
                <w:b/>
                <w:i/>
                <w:sz w:val="20"/>
                <w:szCs w:val="24"/>
              </w:rPr>
              <w:t>m NBS. Č</w:t>
            </w:r>
            <w:r>
              <w:rPr>
                <w:rFonts w:ascii="Times New Roman" w:hAnsi="Times New Roman" w:cs="Times New Roman" w:hint="default"/>
                <w:b/>
                <w:i/>
                <w:sz w:val="20"/>
                <w:szCs w:val="24"/>
              </w:rPr>
              <w:t>asová</w:t>
            </w:r>
            <w:r>
              <w:rPr>
                <w:rFonts w:ascii="Times New Roman" w:hAnsi="Times New Roman" w:cs="Times New Roman" w:hint="default"/>
                <w:b/>
                <w:i/>
                <w:sz w:val="20"/>
                <w:szCs w:val="24"/>
              </w:rPr>
              <w:t xml:space="preserve"> ná</w:t>
            </w:r>
            <w:r>
              <w:rPr>
                <w:rFonts w:ascii="Times New Roman" w:hAnsi="Times New Roman" w:cs="Times New Roman" w:hint="default"/>
                <w:b/>
                <w:i/>
                <w:sz w:val="20"/>
                <w:szCs w:val="24"/>
              </w:rPr>
              <w:t>roč</w:t>
            </w:r>
            <w:r>
              <w:rPr>
                <w:rFonts w:ascii="Times New Roman" w:hAnsi="Times New Roman" w:cs="Times New Roman" w:hint="default"/>
                <w:b/>
                <w:i/>
                <w:sz w:val="20"/>
                <w:szCs w:val="24"/>
              </w:rPr>
              <w:t>nosť</w:t>
            </w:r>
            <w:r>
              <w:rPr>
                <w:rFonts w:ascii="Times New Roman" w:hAnsi="Times New Roman" w:cs="Times New Roman" w:hint="default"/>
                <w:b/>
                <w:i/>
                <w:sz w:val="20"/>
                <w:szCs w:val="24"/>
              </w:rPr>
              <w:t xml:space="preserve">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poskytnutie do</w:t>
            </w:r>
            <w:r>
              <w:rPr>
                <w:rFonts w:ascii="Times New Roman" w:hAnsi="Times New Roman" w:cs="Times New Roman" w:hint="default"/>
                <w:b/>
                <w:i/>
                <w:sz w:val="20"/>
                <w:szCs w:val="24"/>
              </w:rPr>
              <w:t>kumentu/informá</w:t>
            </w:r>
            <w:r>
              <w:rPr>
                <w:rFonts w:ascii="Times New Roman" w:hAnsi="Times New Roman" w:cs="Times New Roman" w:hint="default"/>
                <w:b/>
                <w:i/>
                <w:sz w:val="20"/>
                <w:szCs w:val="24"/>
              </w:rPr>
              <w:t>cie elektronicky - 30 min</w:t>
            </w:r>
          </w:p>
          <w:p w:rsidR="00BE2B08" w:rsidP="00E13521">
            <w:pPr>
              <w:pStyle w:val="Vchodzie"/>
              <w:bidi w:val="0"/>
              <w:spacing w:after="0" w:line="240" w:lineRule="auto"/>
              <w:rPr>
                <w:szCs w:val="24"/>
              </w:rPr>
            </w:pPr>
            <w:r>
              <w:rPr>
                <w:rFonts w:hint="default"/>
                <w:b/>
                <w:i/>
                <w:szCs w:val="24"/>
              </w:rPr>
              <w:t>Č</w:t>
            </w:r>
            <w:r>
              <w:rPr>
                <w:rFonts w:hint="default"/>
                <w:b/>
                <w:i/>
                <w:szCs w:val="24"/>
              </w:rPr>
              <w:t>asová</w:t>
            </w:r>
            <w:r>
              <w:rPr>
                <w:rFonts w:hint="default"/>
                <w:b/>
                <w:i/>
                <w:szCs w:val="24"/>
              </w:rPr>
              <w:t xml:space="preserve"> ná</w:t>
            </w:r>
            <w:r>
              <w:rPr>
                <w:rFonts w:hint="default"/>
                <w:b/>
                <w:i/>
                <w:szCs w:val="24"/>
              </w:rPr>
              <w:t>roč</w:t>
            </w:r>
            <w:r>
              <w:rPr>
                <w:rFonts w:hint="default"/>
                <w:b/>
                <w:i/>
                <w:szCs w:val="24"/>
              </w:rPr>
              <w:t>nosť</w:t>
            </w:r>
            <w:r>
              <w:rPr>
                <w:rFonts w:hint="default"/>
                <w:b/>
                <w:i/>
                <w:szCs w:val="24"/>
              </w:rPr>
              <w:t xml:space="preserve"> podľ</w:t>
            </w:r>
            <w:r>
              <w:rPr>
                <w:rFonts w:hint="default"/>
                <w:b/>
                <w:i/>
                <w:szCs w:val="24"/>
              </w:rPr>
              <w:t>a tabuľ</w:t>
            </w:r>
            <w:r>
              <w:rPr>
                <w:rFonts w:hint="default"/>
                <w:b/>
                <w:i/>
                <w:szCs w:val="24"/>
              </w:rPr>
              <w:t>ky š</w:t>
            </w:r>
            <w:r>
              <w:rPr>
                <w:rFonts w:hint="default"/>
                <w:b/>
                <w:i/>
                <w:szCs w:val="24"/>
              </w:rPr>
              <w:t>tandardný</w:t>
            </w:r>
            <w:r>
              <w:rPr>
                <w:rFonts w:hint="default"/>
                <w:b/>
                <w:i/>
                <w:szCs w:val="24"/>
              </w:rPr>
              <w:t>ch č</w:t>
            </w:r>
            <w:r>
              <w:rPr>
                <w:rFonts w:hint="default"/>
                <w:b/>
                <w:i/>
                <w:szCs w:val="24"/>
              </w:rPr>
              <w:t>asový</w:t>
            </w:r>
            <w:r>
              <w:rPr>
                <w:rFonts w:hint="default"/>
                <w:b/>
                <w:i/>
                <w:szCs w:val="24"/>
              </w:rPr>
              <w:t>ch ná</w:t>
            </w:r>
            <w:r>
              <w:rPr>
                <w:rFonts w:hint="default"/>
                <w:b/>
                <w:i/>
                <w:szCs w:val="24"/>
              </w:rPr>
              <w:t>roč</w:t>
            </w:r>
            <w:r>
              <w:rPr>
                <w:rFonts w:hint="default"/>
                <w:b/>
                <w:i/>
                <w:szCs w:val="24"/>
              </w:rPr>
              <w:t>ností</w:t>
            </w:r>
            <w:r>
              <w:rPr>
                <w:rFonts w:hint="default"/>
                <w:b/>
                <w:i/>
                <w:szCs w:val="24"/>
              </w:rPr>
              <w:t xml:space="preserve"> pre MSP:</w:t>
            </w:r>
          </w:p>
          <w:p w:rsidR="00BE2B08" w:rsidP="00BE2B08">
            <w:pPr>
              <w:pStyle w:val="ListParagraph"/>
              <w:widowControl w:val="0"/>
              <w:numPr>
                <w:numId w:val="5"/>
              </w:numPr>
              <w:tabs>
                <w:tab w:val="left" w:pos="720"/>
              </w:tabs>
              <w:autoSpaceDN w:val="0"/>
              <w:bidi w:val="0"/>
              <w:adjustRightInd w:val="0"/>
              <w:rPr>
                <w:rFonts w:cs="Times New Roman"/>
                <w:szCs w:val="24"/>
              </w:rPr>
            </w:pPr>
            <w:r>
              <w:rPr>
                <w:rFonts w:ascii="Times New Roman" w:hAnsi="Times New Roman" w:cs="Times New Roman" w:hint="default"/>
                <w:b/>
                <w:i/>
                <w:sz w:val="20"/>
                <w:szCs w:val="24"/>
              </w:rPr>
              <w:t>Archivá</w:t>
            </w:r>
            <w:r>
              <w:rPr>
                <w:rFonts w:ascii="Times New Roman" w:hAnsi="Times New Roman" w:cs="Times New Roman" w:hint="default"/>
                <w:b/>
                <w:i/>
                <w:sz w:val="20"/>
                <w:szCs w:val="24"/>
              </w:rPr>
              <w:t xml:space="preserve">cia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90 min. (veľ</w:t>
            </w:r>
            <w:r>
              <w:rPr>
                <w:rFonts w:ascii="Times New Roman" w:hAnsi="Times New Roman" w:cs="Times New Roman" w:hint="default"/>
                <w:b/>
                <w:i/>
                <w:sz w:val="20"/>
                <w:szCs w:val="24"/>
              </w:rPr>
              <w:t>ké</w:t>
            </w:r>
            <w:r>
              <w:rPr>
                <w:rFonts w:ascii="Times New Roman" w:hAnsi="Times New Roman" w:cs="Times New Roman" w:hint="default"/>
                <w:b/>
                <w:i/>
                <w:sz w:val="20"/>
                <w:szCs w:val="24"/>
              </w:rPr>
              <w:t xml:space="preserve"> podniky) + evidencia 480 min., spolu 570 min.</w:t>
            </w:r>
          </w:p>
          <w:p w:rsidR="00BE2B08" w:rsidP="00BE2B08">
            <w:pPr>
              <w:pStyle w:val="ListParagraph"/>
              <w:widowControl w:val="0"/>
              <w:numPr>
                <w:numId w:val="5"/>
              </w:numPr>
              <w:tabs>
                <w:tab w:val="left" w:pos="720"/>
              </w:tabs>
              <w:autoSpaceDN w:val="0"/>
              <w:bidi w:val="0"/>
              <w:adjustRightInd w:val="0"/>
              <w:rPr>
                <w:rFonts w:cs="Times New Roman"/>
                <w:szCs w:val="24"/>
              </w:rPr>
            </w:pPr>
            <w:r>
              <w:rPr>
                <w:rFonts w:ascii="Times New Roman" w:hAnsi="Times New Roman" w:cs="Times New Roman" w:hint="default"/>
                <w:b/>
                <w:i/>
                <w:sz w:val="20"/>
                <w:szCs w:val="24"/>
              </w:rPr>
              <w:t>Overenie sú</w:t>
            </w:r>
            <w:r>
              <w:rPr>
                <w:rFonts w:ascii="Times New Roman" w:hAnsi="Times New Roman" w:cs="Times New Roman" w:hint="default"/>
                <w:b/>
                <w:i/>
                <w:sz w:val="20"/>
                <w:szCs w:val="24"/>
              </w:rPr>
              <w:t xml:space="preserve">ladu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480 min.</w:t>
            </w:r>
          </w:p>
          <w:p w:rsidR="00BE2B08" w:rsidP="00BE2B08">
            <w:pPr>
              <w:pStyle w:val="ListParagraph"/>
              <w:widowControl w:val="0"/>
              <w:numPr>
                <w:numId w:val="5"/>
              </w:numPr>
              <w:tabs>
                <w:tab w:val="left" w:pos="720"/>
              </w:tabs>
              <w:autoSpaceDN w:val="0"/>
              <w:bidi w:val="0"/>
              <w:adjustRightInd w:val="0"/>
              <w:rPr>
                <w:rFonts w:cs="Times New Roman"/>
                <w:szCs w:val="24"/>
              </w:rPr>
            </w:pPr>
            <w:r>
              <w:rPr>
                <w:rFonts w:ascii="Times New Roman" w:hAnsi="Times New Roman" w:cs="Times New Roman" w:hint="default"/>
                <w:b/>
                <w:i/>
                <w:sz w:val="20"/>
                <w:szCs w:val="24"/>
              </w:rPr>
              <w:t>Rozsah sa určí</w:t>
            </w:r>
            <w:r>
              <w:rPr>
                <w:rFonts w:ascii="Times New Roman" w:hAnsi="Times New Roman" w:cs="Times New Roman" w:hint="default"/>
                <w:b/>
                <w:i/>
                <w:sz w:val="20"/>
                <w:szCs w:val="24"/>
              </w:rPr>
              <w:t xml:space="preserve"> opatrení</w:t>
            </w:r>
            <w:r>
              <w:rPr>
                <w:rFonts w:ascii="Times New Roman" w:hAnsi="Times New Roman" w:cs="Times New Roman" w:hint="default"/>
                <w:b/>
                <w:i/>
                <w:sz w:val="20"/>
                <w:szCs w:val="24"/>
              </w:rPr>
              <w:t>m NBS. Č</w:t>
            </w:r>
            <w:r>
              <w:rPr>
                <w:rFonts w:ascii="Times New Roman" w:hAnsi="Times New Roman" w:cs="Times New Roman" w:hint="default"/>
                <w:b/>
                <w:i/>
                <w:sz w:val="20"/>
                <w:szCs w:val="24"/>
              </w:rPr>
              <w:t>a</w:t>
            </w:r>
            <w:r>
              <w:rPr>
                <w:rFonts w:ascii="Times New Roman" w:hAnsi="Times New Roman" w:cs="Times New Roman" w:hint="default"/>
                <w:b/>
                <w:i/>
                <w:sz w:val="20"/>
                <w:szCs w:val="24"/>
              </w:rPr>
              <w:t>sová</w:t>
            </w:r>
            <w:r>
              <w:rPr>
                <w:rFonts w:ascii="Times New Roman" w:hAnsi="Times New Roman" w:cs="Times New Roman" w:hint="default"/>
                <w:b/>
                <w:i/>
                <w:sz w:val="20"/>
                <w:szCs w:val="24"/>
              </w:rPr>
              <w:t xml:space="preserve"> ná</w:t>
            </w:r>
            <w:r>
              <w:rPr>
                <w:rFonts w:ascii="Times New Roman" w:hAnsi="Times New Roman" w:cs="Times New Roman" w:hint="default"/>
                <w:b/>
                <w:i/>
                <w:sz w:val="20"/>
                <w:szCs w:val="24"/>
              </w:rPr>
              <w:t>roč</w:t>
            </w:r>
            <w:r>
              <w:rPr>
                <w:rFonts w:ascii="Times New Roman" w:hAnsi="Times New Roman" w:cs="Times New Roman" w:hint="default"/>
                <w:b/>
                <w:i/>
                <w:sz w:val="20"/>
                <w:szCs w:val="24"/>
              </w:rPr>
              <w:t>nosť</w:t>
            </w:r>
            <w:r>
              <w:rPr>
                <w:rFonts w:ascii="Times New Roman" w:hAnsi="Times New Roman" w:cs="Times New Roman" w:hint="default"/>
                <w:b/>
                <w:i/>
                <w:sz w:val="20"/>
                <w:szCs w:val="24"/>
              </w:rPr>
              <w:t xml:space="preserve">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poskytnutie dokumentu/informá</w:t>
            </w:r>
            <w:r>
              <w:rPr>
                <w:rFonts w:ascii="Times New Roman" w:hAnsi="Times New Roman" w:cs="Times New Roman" w:hint="default"/>
                <w:b/>
                <w:i/>
                <w:sz w:val="20"/>
                <w:szCs w:val="24"/>
              </w:rPr>
              <w:t>cie elektronicky - 30 min</w:t>
            </w:r>
          </w:p>
          <w:p w:rsidR="00BE2B08" w:rsidP="00E13521">
            <w:pPr>
              <w:pStyle w:val="Vchodzie"/>
              <w:bidi w:val="0"/>
              <w:spacing w:after="0" w:line="240" w:lineRule="auto"/>
              <w:rPr>
                <w:szCs w:val="24"/>
              </w:rPr>
            </w:pPr>
            <w:r>
              <w:rPr>
                <w:rFonts w:hint="default"/>
                <w:b/>
                <w:i/>
                <w:szCs w:val="24"/>
              </w:rPr>
              <w:t>Frekvencia (pre podniky vš</w:t>
            </w:r>
            <w:r>
              <w:rPr>
                <w:rFonts w:hint="default"/>
                <w:b/>
                <w:i/>
                <w:szCs w:val="24"/>
              </w:rPr>
              <w:t>etký</w:t>
            </w:r>
            <w:r>
              <w:rPr>
                <w:rFonts w:hint="default"/>
                <w:b/>
                <w:i/>
                <w:szCs w:val="24"/>
              </w:rPr>
              <w:t>ch veľ</w:t>
            </w:r>
            <w:r>
              <w:rPr>
                <w:rFonts w:hint="default"/>
                <w:b/>
                <w:i/>
                <w:szCs w:val="24"/>
              </w:rPr>
              <w:t>kostí</w:t>
            </w:r>
            <w:r>
              <w:rPr>
                <w:rFonts w:hint="default"/>
                <w:b/>
                <w:i/>
                <w:szCs w:val="24"/>
              </w:rPr>
              <w:t>):</w:t>
            </w:r>
          </w:p>
          <w:p w:rsidR="00BE2B08" w:rsidP="00BE2B08">
            <w:pPr>
              <w:pStyle w:val="ListParagraph"/>
              <w:widowControl w:val="0"/>
              <w:numPr>
                <w:numId w:val="7"/>
              </w:numPr>
              <w:tabs>
                <w:tab w:val="left" w:pos="720"/>
              </w:tabs>
              <w:autoSpaceDN w:val="0"/>
              <w:bidi w:val="0"/>
              <w:adjustRightInd w:val="0"/>
              <w:rPr>
                <w:rFonts w:cs="Times New Roman"/>
                <w:szCs w:val="24"/>
              </w:rPr>
            </w:pPr>
            <w:r>
              <w:rPr>
                <w:rFonts w:ascii="Times New Roman" w:hAnsi="Times New Roman" w:cs="Times New Roman" w:hint="default"/>
                <w:b/>
                <w:i/>
                <w:sz w:val="20"/>
                <w:szCs w:val="24"/>
              </w:rPr>
              <w:t>Mesač</w:t>
            </w:r>
            <w:r>
              <w:rPr>
                <w:rFonts w:ascii="Times New Roman" w:hAnsi="Times New Roman" w:cs="Times New Roman" w:hint="default"/>
                <w:b/>
                <w:i/>
                <w:sz w:val="20"/>
                <w:szCs w:val="24"/>
              </w:rPr>
              <w:t>ná</w:t>
            </w:r>
            <w:r>
              <w:rPr>
                <w:rFonts w:ascii="Times New Roman" w:hAnsi="Times New Roman" w:cs="Times New Roman" w:hint="default"/>
                <w:b/>
                <w:i/>
                <w:sz w:val="20"/>
                <w:szCs w:val="24"/>
              </w:rPr>
              <w:t xml:space="preserve">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koeficient 12. Č</w:t>
            </w:r>
            <w:r>
              <w:rPr>
                <w:rFonts w:ascii="Times New Roman" w:hAnsi="Times New Roman" w:cs="Times New Roman" w:hint="default"/>
                <w:b/>
                <w:i/>
                <w:sz w:val="20"/>
                <w:szCs w:val="24"/>
              </w:rPr>
              <w:t>innosť</w:t>
            </w:r>
            <w:r>
              <w:rPr>
                <w:rFonts w:ascii="Times New Roman" w:hAnsi="Times New Roman" w:cs="Times New Roman" w:hint="default"/>
                <w:b/>
                <w:i/>
                <w:sz w:val="20"/>
                <w:szCs w:val="24"/>
              </w:rPr>
              <w:t xml:space="preserve"> sa vykoná</w:t>
            </w:r>
            <w:r>
              <w:rPr>
                <w:rFonts w:ascii="Times New Roman" w:hAnsi="Times New Roman" w:cs="Times New Roman" w:hint="default"/>
                <w:b/>
                <w:i/>
                <w:sz w:val="20"/>
                <w:szCs w:val="24"/>
              </w:rPr>
              <w:t>va poč</w:t>
            </w:r>
            <w:r>
              <w:rPr>
                <w:rFonts w:ascii="Times New Roman" w:hAnsi="Times New Roman" w:cs="Times New Roman" w:hint="default"/>
                <w:b/>
                <w:i/>
                <w:sz w:val="20"/>
                <w:szCs w:val="24"/>
              </w:rPr>
              <w:t>as kaž</w:t>
            </w:r>
            <w:r>
              <w:rPr>
                <w:rFonts w:ascii="Times New Roman" w:hAnsi="Times New Roman" w:cs="Times New Roman" w:hint="default"/>
                <w:b/>
                <w:i/>
                <w:sz w:val="20"/>
                <w:szCs w:val="24"/>
              </w:rPr>
              <w:t>dé</w:t>
            </w:r>
            <w:r>
              <w:rPr>
                <w:rFonts w:ascii="Times New Roman" w:hAnsi="Times New Roman" w:cs="Times New Roman" w:hint="default"/>
                <w:b/>
                <w:i/>
                <w:sz w:val="20"/>
                <w:szCs w:val="24"/>
              </w:rPr>
              <w:t>ho mesiaca.</w:t>
            </w:r>
          </w:p>
          <w:p w:rsidR="00BE2B08" w:rsidP="00BE2B08">
            <w:pPr>
              <w:pStyle w:val="ListParagraph"/>
              <w:widowControl w:val="0"/>
              <w:numPr>
                <w:numId w:val="7"/>
              </w:numPr>
              <w:tabs>
                <w:tab w:val="left" w:pos="720"/>
              </w:tabs>
              <w:autoSpaceDN w:val="0"/>
              <w:bidi w:val="0"/>
              <w:adjustRightInd w:val="0"/>
              <w:rPr>
                <w:rFonts w:cs="Times New Roman"/>
                <w:szCs w:val="24"/>
              </w:rPr>
            </w:pPr>
            <w:r>
              <w:rPr>
                <w:rFonts w:ascii="Times New Roman" w:hAnsi="Times New Roman" w:cs="Times New Roman" w:hint="default"/>
                <w:b/>
                <w:i/>
                <w:sz w:val="20"/>
                <w:szCs w:val="24"/>
              </w:rPr>
              <w:t>Mesač</w:t>
            </w:r>
            <w:r>
              <w:rPr>
                <w:rFonts w:ascii="Times New Roman" w:hAnsi="Times New Roman" w:cs="Times New Roman" w:hint="default"/>
                <w:b/>
                <w:i/>
                <w:sz w:val="20"/>
                <w:szCs w:val="24"/>
              </w:rPr>
              <w:t>ná</w:t>
            </w:r>
            <w:r>
              <w:rPr>
                <w:rFonts w:ascii="Times New Roman" w:hAnsi="Times New Roman" w:cs="Times New Roman" w:hint="default"/>
                <w:b/>
                <w:i/>
                <w:sz w:val="20"/>
                <w:szCs w:val="24"/>
              </w:rPr>
              <w:t xml:space="preserve">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koeficient 12. Č</w:t>
            </w:r>
            <w:r>
              <w:rPr>
                <w:rFonts w:ascii="Times New Roman" w:hAnsi="Times New Roman" w:cs="Times New Roman" w:hint="default"/>
                <w:b/>
                <w:i/>
                <w:sz w:val="20"/>
                <w:szCs w:val="24"/>
              </w:rPr>
              <w:t>innosť</w:t>
            </w:r>
            <w:r>
              <w:rPr>
                <w:rFonts w:ascii="Times New Roman" w:hAnsi="Times New Roman" w:cs="Times New Roman" w:hint="default"/>
                <w:b/>
                <w:i/>
                <w:sz w:val="20"/>
                <w:szCs w:val="24"/>
              </w:rPr>
              <w:t xml:space="preserve"> sa vykoná</w:t>
            </w:r>
            <w:r>
              <w:rPr>
                <w:rFonts w:ascii="Times New Roman" w:hAnsi="Times New Roman" w:cs="Times New Roman" w:hint="default"/>
                <w:b/>
                <w:i/>
                <w:sz w:val="20"/>
                <w:szCs w:val="24"/>
              </w:rPr>
              <w:t>va poč</w:t>
            </w:r>
            <w:r>
              <w:rPr>
                <w:rFonts w:ascii="Times New Roman" w:hAnsi="Times New Roman" w:cs="Times New Roman" w:hint="default"/>
                <w:b/>
                <w:i/>
                <w:sz w:val="20"/>
                <w:szCs w:val="24"/>
              </w:rPr>
              <w:t>as kaž</w:t>
            </w:r>
            <w:r>
              <w:rPr>
                <w:rFonts w:ascii="Times New Roman" w:hAnsi="Times New Roman" w:cs="Times New Roman" w:hint="default"/>
                <w:b/>
                <w:i/>
                <w:sz w:val="20"/>
                <w:szCs w:val="24"/>
              </w:rPr>
              <w:t>dé</w:t>
            </w:r>
            <w:r>
              <w:rPr>
                <w:rFonts w:ascii="Times New Roman" w:hAnsi="Times New Roman" w:cs="Times New Roman" w:hint="default"/>
                <w:b/>
                <w:i/>
                <w:sz w:val="20"/>
                <w:szCs w:val="24"/>
              </w:rPr>
              <w:t>ho mesiaca.</w:t>
            </w:r>
          </w:p>
          <w:p w:rsidR="00BE2B08" w:rsidP="00BE2B08">
            <w:pPr>
              <w:pStyle w:val="ListParagraph"/>
              <w:widowControl w:val="0"/>
              <w:numPr>
                <w:numId w:val="7"/>
              </w:numPr>
              <w:tabs>
                <w:tab w:val="left" w:pos="720"/>
              </w:tabs>
              <w:autoSpaceDN w:val="0"/>
              <w:bidi w:val="0"/>
              <w:adjustRightInd w:val="0"/>
              <w:rPr>
                <w:rFonts w:cs="Times New Roman"/>
                <w:szCs w:val="24"/>
              </w:rPr>
            </w:pPr>
            <w:r>
              <w:rPr>
                <w:rFonts w:ascii="Times New Roman" w:hAnsi="Times New Roman" w:cs="Times New Roman" w:hint="default"/>
                <w:b/>
                <w:i/>
                <w:sz w:val="20"/>
                <w:szCs w:val="24"/>
              </w:rPr>
              <w:t>Frekvencia sa určí</w:t>
            </w:r>
            <w:r>
              <w:rPr>
                <w:rFonts w:ascii="Times New Roman" w:hAnsi="Times New Roman" w:cs="Times New Roman" w:hint="default"/>
                <w:b/>
                <w:i/>
                <w:sz w:val="20"/>
                <w:szCs w:val="24"/>
              </w:rPr>
              <w:t xml:space="preserve"> opatrení</w:t>
            </w:r>
            <w:r>
              <w:rPr>
                <w:rFonts w:ascii="Times New Roman" w:hAnsi="Times New Roman" w:cs="Times New Roman" w:hint="default"/>
                <w:b/>
                <w:i/>
                <w:sz w:val="20"/>
                <w:szCs w:val="24"/>
              </w:rPr>
              <w:t>m NBS. Na odhad ná</w:t>
            </w:r>
            <w:r>
              <w:rPr>
                <w:rFonts w:ascii="Times New Roman" w:hAnsi="Times New Roman" w:cs="Times New Roman" w:hint="default"/>
                <w:b/>
                <w:i/>
                <w:sz w:val="20"/>
                <w:szCs w:val="24"/>
              </w:rPr>
              <w:t>kladov sa použ</w:t>
            </w:r>
            <w:r>
              <w:rPr>
                <w:rFonts w:ascii="Times New Roman" w:hAnsi="Times New Roman" w:cs="Times New Roman" w:hint="default"/>
                <w:b/>
                <w:i/>
                <w:sz w:val="20"/>
                <w:szCs w:val="24"/>
              </w:rPr>
              <w:t>ije š</w:t>
            </w:r>
            <w:r>
              <w:rPr>
                <w:rFonts w:ascii="Times New Roman" w:hAnsi="Times New Roman" w:cs="Times New Roman" w:hint="default"/>
                <w:b/>
                <w:i/>
                <w:sz w:val="20"/>
                <w:szCs w:val="24"/>
              </w:rPr>
              <w:t>tvrť</w:t>
            </w:r>
            <w:r>
              <w:rPr>
                <w:rFonts w:ascii="Times New Roman" w:hAnsi="Times New Roman" w:cs="Times New Roman" w:hint="default"/>
                <w:b/>
                <w:i/>
                <w:sz w:val="20"/>
                <w:szCs w:val="24"/>
              </w:rPr>
              <w:t>roč</w:t>
            </w:r>
            <w:r>
              <w:rPr>
                <w:rFonts w:ascii="Times New Roman" w:hAnsi="Times New Roman" w:cs="Times New Roman" w:hint="default"/>
                <w:b/>
                <w:i/>
                <w:sz w:val="20"/>
                <w:szCs w:val="24"/>
              </w:rPr>
              <w:t>ná</w:t>
            </w:r>
            <w:r>
              <w:rPr>
                <w:rFonts w:ascii="Times New Roman" w:hAnsi="Times New Roman" w:cs="Times New Roman" w:hint="default"/>
                <w:b/>
                <w:i/>
                <w:sz w:val="20"/>
                <w:szCs w:val="24"/>
              </w:rPr>
              <w:t xml:space="preserve"> frekvencia </w:t>
            </w:r>
            <w:r>
              <w:rPr>
                <w:rFonts w:ascii="Times New Roman" w:hAnsi="Times New Roman" w:cs="Times New Roman" w:hint="default"/>
                <w:b/>
                <w:i/>
                <w:sz w:val="20"/>
                <w:szCs w:val="24"/>
              </w:rPr>
              <w:t>–</w:t>
            </w:r>
            <w:r>
              <w:rPr>
                <w:rFonts w:ascii="Times New Roman" w:hAnsi="Times New Roman" w:cs="Times New Roman" w:hint="default"/>
                <w:b/>
                <w:i/>
                <w:sz w:val="20"/>
                <w:szCs w:val="24"/>
              </w:rPr>
              <w:t xml:space="preserve"> koeficient 4</w:t>
            </w:r>
          </w:p>
          <w:p w:rsidR="00BE2B08" w:rsidP="00E13521">
            <w:pPr>
              <w:pStyle w:val="Vchodzie"/>
              <w:bidi w:val="0"/>
              <w:spacing w:after="0" w:line="240" w:lineRule="auto"/>
              <w:rPr>
                <w:szCs w:val="24"/>
              </w:rPr>
            </w:pPr>
            <w:r>
              <w:rPr>
                <w:rFonts w:hint="default"/>
                <w:b/>
                <w:i/>
                <w:szCs w:val="24"/>
              </w:rPr>
              <w:t>Odhad ná</w:t>
            </w:r>
            <w:r>
              <w:rPr>
                <w:rFonts w:hint="default"/>
                <w:b/>
                <w:i/>
                <w:szCs w:val="24"/>
              </w:rPr>
              <w:t>kladov na jedné</w:t>
            </w:r>
            <w:r>
              <w:rPr>
                <w:rFonts w:hint="default"/>
                <w:b/>
                <w:i/>
                <w:szCs w:val="24"/>
              </w:rPr>
              <w:t>ho veľ</w:t>
            </w:r>
            <w:r>
              <w:rPr>
                <w:rFonts w:hint="default"/>
                <w:b/>
                <w:i/>
                <w:szCs w:val="24"/>
              </w:rPr>
              <w:t>ké</w:t>
            </w:r>
            <w:r>
              <w:rPr>
                <w:rFonts w:hint="default"/>
                <w:b/>
                <w:i/>
                <w:szCs w:val="24"/>
              </w:rPr>
              <w:t>ho podnikateľ</w:t>
            </w:r>
            <w:r>
              <w:rPr>
                <w:rFonts w:hint="default"/>
                <w:b/>
                <w:i/>
                <w:szCs w:val="24"/>
              </w:rPr>
              <w:t>a:</w:t>
            </w:r>
          </w:p>
          <w:p w:rsidR="00BE2B08" w:rsidP="00BE2B08">
            <w:pPr>
              <w:pStyle w:val="ListParagraph"/>
              <w:widowControl w:val="0"/>
              <w:numPr>
                <w:numId w:val="2"/>
              </w:numPr>
              <w:tabs>
                <w:tab w:val="left" w:pos="720"/>
              </w:tabs>
              <w:autoSpaceDN w:val="0"/>
              <w:bidi w:val="0"/>
              <w:adjustRightInd w:val="0"/>
              <w:rPr>
                <w:rFonts w:cs="Times New Roman"/>
                <w:szCs w:val="24"/>
              </w:rPr>
            </w:pPr>
            <w:r>
              <w:rPr>
                <w:rFonts w:ascii="Times New Roman" w:hAnsi="Times New Roman" w:cs="Times New Roman"/>
                <w:b/>
                <w:i/>
                <w:sz w:val="20"/>
                <w:szCs w:val="24"/>
              </w:rPr>
              <w:t>900/ 60 / 8 / 20 * 883 * 12 = 993,38 EUR</w:t>
            </w:r>
          </w:p>
          <w:p w:rsidR="00BE2B08" w:rsidP="00BE2B08">
            <w:pPr>
              <w:pStyle w:val="ListParagraph"/>
              <w:widowControl w:val="0"/>
              <w:numPr>
                <w:numId w:val="2"/>
              </w:numPr>
              <w:tabs>
                <w:tab w:val="left" w:pos="720"/>
              </w:tabs>
              <w:autoSpaceDN w:val="0"/>
              <w:bidi w:val="0"/>
              <w:adjustRightInd w:val="0"/>
              <w:rPr>
                <w:rFonts w:cs="Times New Roman"/>
                <w:szCs w:val="24"/>
              </w:rPr>
            </w:pPr>
            <w:r>
              <w:rPr>
                <w:rFonts w:ascii="Times New Roman" w:hAnsi="Times New Roman" w:cs="Times New Roman"/>
                <w:b/>
                <w:i/>
                <w:sz w:val="20"/>
                <w:szCs w:val="24"/>
              </w:rPr>
              <w:t>960 / 60 / 8 / 20 * 883 * 12 = 1 059,60 EUR</w:t>
            </w:r>
          </w:p>
          <w:p w:rsidR="00BE2B08" w:rsidP="00BE2B08">
            <w:pPr>
              <w:pStyle w:val="ListParagraph"/>
              <w:widowControl w:val="0"/>
              <w:numPr>
                <w:numId w:val="2"/>
              </w:numPr>
              <w:tabs>
                <w:tab w:val="left" w:pos="720"/>
              </w:tabs>
              <w:autoSpaceDN w:val="0"/>
              <w:bidi w:val="0"/>
              <w:adjustRightInd w:val="0"/>
              <w:rPr>
                <w:rFonts w:cs="Times New Roman"/>
                <w:szCs w:val="24"/>
              </w:rPr>
            </w:pPr>
            <w:r>
              <w:rPr>
                <w:rFonts w:ascii="Times New Roman" w:hAnsi="Times New Roman" w:cs="Times New Roman"/>
                <w:b/>
                <w:i/>
                <w:sz w:val="20"/>
                <w:szCs w:val="24"/>
              </w:rPr>
              <w:t>30 / 60 / 8 / 20 * 883 * 4 = 11,04 EUR</w:t>
            </w:r>
          </w:p>
          <w:p w:rsidR="00BE2B08" w:rsidP="00E13521">
            <w:pPr>
              <w:pStyle w:val="Vchodzie"/>
              <w:bidi w:val="0"/>
              <w:spacing w:after="0" w:line="240" w:lineRule="auto"/>
              <w:rPr>
                <w:szCs w:val="24"/>
              </w:rPr>
            </w:pPr>
            <w:r>
              <w:rPr>
                <w:rFonts w:hint="default"/>
                <w:b/>
                <w:i/>
                <w:szCs w:val="24"/>
              </w:rPr>
              <w:t>Odhad ná</w:t>
            </w:r>
            <w:r>
              <w:rPr>
                <w:rFonts w:hint="default"/>
                <w:b/>
                <w:i/>
                <w:szCs w:val="24"/>
              </w:rPr>
              <w:t>kladov na jedné</w:t>
            </w:r>
            <w:r>
              <w:rPr>
                <w:rFonts w:hint="default"/>
                <w:b/>
                <w:i/>
                <w:szCs w:val="24"/>
              </w:rPr>
              <w:t>ho MSP:</w:t>
            </w:r>
          </w:p>
          <w:p w:rsidR="00BE2B08" w:rsidP="00BE2B08">
            <w:pPr>
              <w:pStyle w:val="ListParagraph"/>
              <w:widowControl w:val="0"/>
              <w:numPr>
                <w:numId w:val="6"/>
              </w:numPr>
              <w:tabs>
                <w:tab w:val="left" w:pos="720"/>
              </w:tabs>
              <w:autoSpaceDN w:val="0"/>
              <w:bidi w:val="0"/>
              <w:adjustRightInd w:val="0"/>
              <w:rPr>
                <w:rFonts w:cs="Times New Roman"/>
                <w:szCs w:val="24"/>
              </w:rPr>
            </w:pPr>
            <w:r>
              <w:rPr>
                <w:rFonts w:ascii="Times New Roman" w:hAnsi="Times New Roman" w:cs="Times New Roman"/>
                <w:b/>
                <w:i/>
                <w:sz w:val="20"/>
                <w:szCs w:val="24"/>
              </w:rPr>
              <w:t>570 / 60 / 8 / 20 * 883 * 12 = 629,14 EUR</w:t>
            </w:r>
          </w:p>
          <w:p w:rsidR="00BE2B08" w:rsidP="00BE2B08">
            <w:pPr>
              <w:pStyle w:val="ListParagraph"/>
              <w:widowControl w:val="0"/>
              <w:numPr>
                <w:numId w:val="6"/>
              </w:numPr>
              <w:tabs>
                <w:tab w:val="left" w:pos="720"/>
              </w:tabs>
              <w:autoSpaceDN w:val="0"/>
              <w:bidi w:val="0"/>
              <w:adjustRightInd w:val="0"/>
              <w:rPr>
                <w:rFonts w:cs="Times New Roman"/>
                <w:szCs w:val="24"/>
              </w:rPr>
            </w:pPr>
            <w:r>
              <w:rPr>
                <w:rFonts w:ascii="Times New Roman" w:hAnsi="Times New Roman" w:cs="Times New Roman"/>
                <w:b/>
                <w:i/>
                <w:sz w:val="20"/>
                <w:szCs w:val="24"/>
              </w:rPr>
              <w:t>480 / 60 / 8 / 20 * 883* 12 = 529,80 EUR</w:t>
            </w:r>
          </w:p>
          <w:p w:rsidR="00BE2B08" w:rsidP="00BE2B08">
            <w:pPr>
              <w:pStyle w:val="ListParagraph"/>
              <w:widowControl w:val="0"/>
              <w:numPr>
                <w:numId w:val="6"/>
              </w:numPr>
              <w:tabs>
                <w:tab w:val="left" w:pos="720"/>
              </w:tabs>
              <w:autoSpaceDN w:val="0"/>
              <w:bidi w:val="0"/>
              <w:adjustRightInd w:val="0"/>
              <w:rPr>
                <w:rFonts w:cs="Times New Roman"/>
                <w:szCs w:val="24"/>
              </w:rPr>
            </w:pPr>
            <w:r>
              <w:rPr>
                <w:rFonts w:ascii="Times New Roman" w:hAnsi="Times New Roman" w:cs="Times New Roman"/>
                <w:b/>
                <w:i/>
                <w:sz w:val="20"/>
                <w:szCs w:val="24"/>
              </w:rPr>
              <w:t>30 / 60 / 8 / 20 * 883 * 4 = 11,04 EUR</w:t>
            </w:r>
          </w:p>
          <w:p w:rsidR="00BE2B08" w:rsidP="00CC58AE">
            <w:pPr>
              <w:pStyle w:val="Vchodzie"/>
              <w:bidi w:val="0"/>
              <w:spacing w:after="0" w:line="240" w:lineRule="auto"/>
              <w:jc w:val="both"/>
              <w:rPr>
                <w:szCs w:val="24"/>
              </w:rPr>
            </w:pPr>
            <w:r>
              <w:rPr>
                <w:rFonts w:hint="default"/>
                <w:b/>
                <w:i/>
                <w:szCs w:val="24"/>
              </w:rPr>
              <w:t>Celkové</w:t>
            </w:r>
            <w:r>
              <w:rPr>
                <w:rFonts w:hint="default"/>
                <w:b/>
                <w:i/>
                <w:szCs w:val="24"/>
              </w:rPr>
              <w:t xml:space="preserve"> ná</w:t>
            </w:r>
            <w:r>
              <w:rPr>
                <w:rFonts w:hint="default"/>
                <w:b/>
                <w:i/>
                <w:szCs w:val="24"/>
              </w:rPr>
              <w:t>klady na jedné</w:t>
            </w:r>
            <w:r>
              <w:rPr>
                <w:rFonts w:hint="default"/>
                <w:b/>
                <w:i/>
                <w:szCs w:val="24"/>
              </w:rPr>
              <w:t>ho veľ</w:t>
            </w:r>
            <w:r>
              <w:rPr>
                <w:rFonts w:hint="default"/>
                <w:b/>
                <w:i/>
                <w:szCs w:val="24"/>
              </w:rPr>
              <w:t>ké</w:t>
            </w:r>
            <w:r>
              <w:rPr>
                <w:rFonts w:hint="default"/>
                <w:b/>
                <w:i/>
                <w:szCs w:val="24"/>
              </w:rPr>
              <w:t>ho podnikateľ</w:t>
            </w:r>
            <w:r>
              <w:rPr>
                <w:rFonts w:hint="default"/>
                <w:b/>
                <w:i/>
                <w:szCs w:val="24"/>
              </w:rPr>
              <w:t>a sa odhad</w:t>
            </w:r>
            <w:r>
              <w:rPr>
                <w:rFonts w:hint="default"/>
                <w:b/>
                <w:i/>
                <w:szCs w:val="24"/>
              </w:rPr>
              <w:t>ujú</w:t>
            </w:r>
            <w:r>
              <w:rPr>
                <w:rFonts w:hint="default"/>
                <w:b/>
                <w:i/>
                <w:szCs w:val="24"/>
              </w:rPr>
              <w:t xml:space="preserve"> vo výš</w:t>
            </w:r>
            <w:r>
              <w:rPr>
                <w:rFonts w:hint="default"/>
                <w:b/>
                <w:i/>
                <w:szCs w:val="24"/>
              </w:rPr>
              <w:t>ke 2  064,01 EUR a </w:t>
            </w:r>
            <w:r>
              <w:rPr>
                <w:rFonts w:hint="default"/>
                <w:b/>
                <w:i/>
                <w:szCs w:val="24"/>
              </w:rPr>
              <w:t xml:space="preserve"> na jedné</w:t>
            </w:r>
            <w:r>
              <w:rPr>
                <w:rFonts w:hint="default"/>
                <w:b/>
                <w:i/>
                <w:szCs w:val="24"/>
              </w:rPr>
              <w:t>ho MSP 1 </w:t>
            </w:r>
            <w:r>
              <w:rPr>
                <w:rFonts w:hint="default"/>
                <w:b/>
                <w:i/>
                <w:szCs w:val="24"/>
              </w:rPr>
              <w:t xml:space="preserve"> 169,98 EUR (za predpokladu 8-hodinové</w:t>
            </w:r>
            <w:r>
              <w:rPr>
                <w:rFonts w:hint="default"/>
                <w:b/>
                <w:i/>
                <w:szCs w:val="24"/>
              </w:rPr>
              <w:t>ho pracovné</w:t>
            </w:r>
            <w:r>
              <w:rPr>
                <w:rFonts w:hint="default"/>
                <w:b/>
                <w:i/>
                <w:szCs w:val="24"/>
              </w:rPr>
              <w:t>ho č</w:t>
            </w:r>
            <w:r>
              <w:rPr>
                <w:rFonts w:hint="default"/>
                <w:b/>
                <w:i/>
                <w:szCs w:val="24"/>
              </w:rPr>
              <w:t>asu a </w:t>
            </w:r>
            <w:r>
              <w:rPr>
                <w:rFonts w:hint="default"/>
                <w:b/>
                <w:i/>
                <w:szCs w:val="24"/>
              </w:rPr>
              <w:t xml:space="preserve"> 20 pracovný</w:t>
            </w:r>
            <w:r>
              <w:rPr>
                <w:rFonts w:hint="default"/>
                <w:b/>
                <w:i/>
                <w:szCs w:val="24"/>
              </w:rPr>
              <w:t>ch dní</w:t>
            </w:r>
            <w:r>
              <w:rPr>
                <w:rFonts w:hint="default"/>
                <w:b/>
                <w:i/>
                <w:szCs w:val="24"/>
              </w:rPr>
              <w:t xml:space="preserve"> v </w:t>
            </w:r>
            <w:r>
              <w:rPr>
                <w:rFonts w:hint="default"/>
                <w:b/>
                <w:i/>
                <w:szCs w:val="24"/>
              </w:rPr>
              <w:t xml:space="preserve"> mesiaci). Celkové</w:t>
            </w:r>
            <w:r>
              <w:rPr>
                <w:rFonts w:hint="default"/>
                <w:b/>
                <w:i/>
                <w:szCs w:val="24"/>
              </w:rPr>
              <w:t xml:space="preserve"> ná</w:t>
            </w:r>
            <w:r>
              <w:rPr>
                <w:rFonts w:hint="default"/>
                <w:b/>
                <w:i/>
                <w:szCs w:val="24"/>
              </w:rPr>
              <w:t>klady sa odhadujú</w:t>
            </w:r>
            <w:r>
              <w:rPr>
                <w:rFonts w:hint="default"/>
                <w:b/>
                <w:i/>
                <w:szCs w:val="24"/>
              </w:rPr>
              <w:t xml:space="preserve"> vo výš</w:t>
            </w:r>
            <w:r>
              <w:rPr>
                <w:rFonts w:hint="default"/>
                <w:b/>
                <w:i/>
                <w:szCs w:val="24"/>
              </w:rPr>
              <w:t>ke 62  207,35 EUR.</w:t>
            </w:r>
          </w:p>
          <w:p w:rsidR="00BE2B08" w:rsidP="00E13521">
            <w:pPr>
              <w:pStyle w:val="Vchodzie"/>
              <w:bidi w:val="0"/>
              <w:spacing w:after="200" w:line="276" w:lineRule="auto"/>
              <w:rPr>
                <w:szCs w:val="24"/>
              </w:rPr>
            </w:pPr>
          </w:p>
        </w:tc>
      </w:tr>
      <w:tr>
        <w:tblPrEx>
          <w:tblW w:w="0" w:type="auto"/>
          <w:tblLayout w:type="fixed"/>
        </w:tblPrEx>
        <w:trPr>
          <w:trHeight w:val="2061"/>
        </w:trPr>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AA2F0B" w:rsidP="00E13521">
            <w:pPr>
              <w:pStyle w:val="Vchodzie"/>
              <w:bidi w:val="0"/>
              <w:spacing w:after="0" w:line="240" w:lineRule="auto"/>
              <w:rPr>
                <w:b/>
                <w:i/>
                <w:szCs w:val="24"/>
              </w:rPr>
            </w:pPr>
          </w:p>
          <w:p w:rsidR="00BE2B08" w:rsidP="00E13521">
            <w:pPr>
              <w:pStyle w:val="Vchodzie"/>
              <w:bidi w:val="0"/>
              <w:spacing w:after="0" w:line="240" w:lineRule="auto"/>
              <w:rPr>
                <w:szCs w:val="24"/>
              </w:rPr>
            </w:pPr>
            <w:r>
              <w:rPr>
                <w:rFonts w:hint="default"/>
                <w:b/>
                <w:i/>
                <w:szCs w:val="24"/>
              </w:rPr>
              <w:t>3.3.4 Sú</w:t>
            </w:r>
            <w:r>
              <w:rPr>
                <w:rFonts w:hint="default"/>
                <w:b/>
                <w:i/>
                <w:szCs w:val="24"/>
              </w:rPr>
              <w:t>hrnná</w:t>
            </w:r>
            <w:r>
              <w:rPr>
                <w:rFonts w:hint="default"/>
                <w:b/>
                <w:i/>
                <w:szCs w:val="24"/>
              </w:rPr>
              <w:t xml:space="preserve"> tabuľ</w:t>
            </w:r>
            <w:r>
              <w:rPr>
                <w:rFonts w:hint="default"/>
                <w:b/>
                <w:i/>
                <w:szCs w:val="24"/>
              </w:rPr>
              <w:t>ka ná</w:t>
            </w:r>
            <w:r>
              <w:rPr>
                <w:rFonts w:hint="default"/>
                <w:b/>
                <w:i/>
                <w:szCs w:val="24"/>
              </w:rPr>
              <w:t>kladov regulá</w:t>
            </w:r>
            <w:r>
              <w:rPr>
                <w:rFonts w:hint="default"/>
                <w:b/>
                <w:i/>
                <w:szCs w:val="24"/>
              </w:rPr>
              <w:t>cie</w:t>
            </w:r>
          </w:p>
          <w:p w:rsidR="00BE2B08" w:rsidP="00E13521">
            <w:pPr>
              <w:pStyle w:val="Vchodzie"/>
              <w:bidi w:val="0"/>
              <w:spacing w:after="0" w:line="240" w:lineRule="auto"/>
              <w:rPr>
                <w:szCs w:val="24"/>
              </w:rPr>
            </w:pPr>
          </w:p>
          <w:p w:rsidR="00BE2B08" w:rsidP="00E13521">
            <w:pPr>
              <w:pStyle w:val="Vchodzie"/>
              <w:bidi w:val="0"/>
              <w:spacing w:after="0" w:line="240" w:lineRule="auto"/>
              <w:rPr>
                <w:szCs w:val="24"/>
              </w:rPr>
            </w:pPr>
          </w:p>
          <w:p w:rsidR="00BE2B08" w:rsidP="00E13521">
            <w:pPr>
              <w:pStyle w:val="Vchodzie"/>
              <w:bidi w:val="0"/>
              <w:spacing w:after="0" w:line="240" w:lineRule="auto"/>
              <w:jc w:val="center"/>
              <w:rPr>
                <w:szCs w:val="24"/>
              </w:rPr>
            </w:pPr>
            <w:r>
              <w:rPr>
                <w:rFonts w:hint="default"/>
                <w:i/>
                <w:szCs w:val="24"/>
              </w:rPr>
              <w:t>Ná</w:t>
            </w:r>
            <w:r>
              <w:rPr>
                <w:rFonts w:hint="default"/>
                <w:i/>
                <w:szCs w:val="24"/>
              </w:rPr>
              <w:t>klady na 1 veľ</w:t>
            </w:r>
            <w:r>
              <w:rPr>
                <w:rFonts w:hint="default"/>
                <w:i/>
                <w:szCs w:val="24"/>
              </w:rPr>
              <w:t>ké</w:t>
            </w:r>
            <w:r>
              <w:rPr>
                <w:rFonts w:hint="default"/>
                <w:i/>
                <w:szCs w:val="24"/>
              </w:rPr>
              <w:t>h</w:t>
            </w:r>
            <w:r>
              <w:rPr>
                <w:rFonts w:hint="default"/>
                <w:i/>
                <w:szCs w:val="24"/>
              </w:rPr>
              <w:t>o podnikateľ</w:t>
            </w:r>
            <w:r>
              <w:rPr>
                <w:rFonts w:hint="default"/>
                <w:i/>
                <w:szCs w:val="24"/>
              </w:rPr>
              <w:t>a</w:t>
            </w:r>
          </w:p>
          <w:p w:rsidR="00BE2B08" w:rsidP="00E13521">
            <w:pPr>
              <w:pStyle w:val="Vchodzie"/>
              <w:bidi w:val="0"/>
              <w:spacing w:after="0" w:line="240" w:lineRule="auto"/>
              <w:jc w:val="center"/>
              <w:rPr>
                <w:szCs w:val="24"/>
              </w:rPr>
            </w:pPr>
            <w:r>
              <w:rPr>
                <w:rFonts w:hint="default"/>
                <w:i/>
                <w:szCs w:val="24"/>
              </w:rPr>
              <w:t>Ná</w:t>
            </w:r>
            <w:r>
              <w:rPr>
                <w:rFonts w:hint="default"/>
                <w:i/>
                <w:szCs w:val="24"/>
              </w:rPr>
              <w:t>klady na 1 MSP</w:t>
            </w:r>
          </w:p>
          <w:p w:rsidR="00BE2B08" w:rsidP="00E13521">
            <w:pPr>
              <w:pStyle w:val="Vchodzie"/>
              <w:bidi w:val="0"/>
              <w:spacing w:after="0" w:line="240" w:lineRule="auto"/>
              <w:jc w:val="center"/>
              <w:rPr>
                <w:szCs w:val="24"/>
              </w:rPr>
            </w:pPr>
            <w:r>
              <w:rPr>
                <w:rFonts w:hint="default"/>
                <w:i/>
                <w:szCs w:val="24"/>
              </w:rPr>
              <w:t>Ná</w:t>
            </w:r>
            <w:r>
              <w:rPr>
                <w:rFonts w:hint="default"/>
                <w:i/>
                <w:szCs w:val="24"/>
              </w:rPr>
              <w:t>klady na celé</w:t>
            </w:r>
            <w:r>
              <w:rPr>
                <w:rFonts w:hint="default"/>
                <w:i/>
                <w:szCs w:val="24"/>
              </w:rPr>
              <w:t xml:space="preserve"> podnikateľ</w:t>
            </w:r>
            <w:r>
              <w:rPr>
                <w:rFonts w:hint="default"/>
                <w:i/>
                <w:szCs w:val="24"/>
              </w:rPr>
              <w:t>ské</w:t>
            </w:r>
            <w:r>
              <w:rPr>
                <w:rFonts w:hint="default"/>
                <w:i/>
                <w:szCs w:val="24"/>
              </w:rPr>
              <w:t xml:space="preserve"> prostredie</w:t>
            </w:r>
          </w:p>
          <w:p w:rsidR="00BE2B08" w:rsidP="00E13521">
            <w:pPr>
              <w:pStyle w:val="Vchodzie"/>
              <w:bidi w:val="0"/>
              <w:spacing w:after="200" w:line="276" w:lineRule="auto"/>
              <w:rPr>
                <w:szCs w:val="24"/>
              </w:rPr>
            </w:pPr>
          </w:p>
          <w:p w:rsidR="00BE2B08" w:rsidP="00E13521">
            <w:pPr>
              <w:pStyle w:val="Vchodzie"/>
              <w:bidi w:val="0"/>
              <w:spacing w:after="0" w:line="240" w:lineRule="auto"/>
              <w:rPr>
                <w:szCs w:val="24"/>
              </w:rPr>
            </w:pPr>
            <w:r>
              <w:rPr>
                <w:rFonts w:hint="default"/>
                <w:i/>
                <w:szCs w:val="24"/>
              </w:rPr>
              <w:t>Priame finanč</w:t>
            </w:r>
            <w:r>
              <w:rPr>
                <w:rFonts w:hint="default"/>
                <w:i/>
                <w:szCs w:val="24"/>
              </w:rPr>
              <w:t>né</w:t>
            </w:r>
            <w:r>
              <w:rPr>
                <w:rFonts w:hint="default"/>
                <w:i/>
                <w:szCs w:val="24"/>
              </w:rPr>
              <w:t xml:space="preserve"> ná</w:t>
            </w:r>
            <w:r>
              <w:rPr>
                <w:rFonts w:hint="default"/>
                <w:i/>
                <w:szCs w:val="24"/>
              </w:rPr>
              <w:t>klady</w:t>
            </w:r>
          </w:p>
          <w:p w:rsidR="00BE2B08" w:rsidP="00E13521">
            <w:pPr>
              <w:pStyle w:val="Vchodzie"/>
              <w:bidi w:val="0"/>
              <w:spacing w:after="0" w:line="240" w:lineRule="auto"/>
              <w:jc w:val="center"/>
              <w:rPr>
                <w:szCs w:val="24"/>
              </w:rPr>
            </w:pPr>
            <w:r>
              <w:rPr>
                <w:i/>
                <w:szCs w:val="24"/>
              </w:rPr>
              <w:t>0</w:t>
            </w:r>
          </w:p>
          <w:p w:rsidR="00BE2B08" w:rsidP="00E13521">
            <w:pPr>
              <w:pStyle w:val="Vchodzie"/>
              <w:bidi w:val="0"/>
              <w:spacing w:after="0" w:line="240" w:lineRule="auto"/>
              <w:jc w:val="center"/>
              <w:rPr>
                <w:szCs w:val="24"/>
              </w:rPr>
            </w:pPr>
            <w:r>
              <w:rPr>
                <w:i/>
                <w:szCs w:val="24"/>
              </w:rPr>
              <w:t>0</w:t>
            </w:r>
          </w:p>
          <w:p w:rsidR="00BE2B08" w:rsidP="00E13521">
            <w:pPr>
              <w:pStyle w:val="Vchodzie"/>
              <w:bidi w:val="0"/>
              <w:spacing w:after="0" w:line="240" w:lineRule="auto"/>
              <w:jc w:val="center"/>
              <w:rPr>
                <w:szCs w:val="24"/>
              </w:rPr>
            </w:pPr>
            <w:r>
              <w:rPr>
                <w:i/>
                <w:szCs w:val="24"/>
              </w:rPr>
              <w:t>0</w:t>
            </w:r>
          </w:p>
          <w:p w:rsidR="00BE2B08" w:rsidP="00E13521">
            <w:pPr>
              <w:pStyle w:val="Vchodzie"/>
              <w:bidi w:val="0"/>
              <w:spacing w:after="200" w:line="276" w:lineRule="auto"/>
              <w:rPr>
                <w:szCs w:val="24"/>
              </w:rPr>
            </w:pPr>
          </w:p>
          <w:p w:rsidR="00BE2B08" w:rsidP="00E13521">
            <w:pPr>
              <w:pStyle w:val="Vchodzie"/>
              <w:bidi w:val="0"/>
              <w:spacing w:after="0" w:line="240" w:lineRule="auto"/>
              <w:rPr>
                <w:szCs w:val="24"/>
              </w:rPr>
            </w:pPr>
            <w:r>
              <w:rPr>
                <w:rFonts w:hint="default"/>
                <w:i/>
                <w:szCs w:val="24"/>
              </w:rPr>
              <w:t>Nepriame finanč</w:t>
            </w:r>
            <w:r>
              <w:rPr>
                <w:rFonts w:hint="default"/>
                <w:i/>
                <w:szCs w:val="24"/>
              </w:rPr>
              <w:t>né</w:t>
            </w:r>
            <w:r>
              <w:rPr>
                <w:rFonts w:hint="default"/>
                <w:i/>
                <w:szCs w:val="24"/>
              </w:rPr>
              <w:t xml:space="preserve"> ná</w:t>
            </w:r>
            <w:r>
              <w:rPr>
                <w:rFonts w:hint="default"/>
                <w:i/>
                <w:szCs w:val="24"/>
              </w:rPr>
              <w:t>klady</w:t>
            </w:r>
          </w:p>
          <w:p w:rsidR="00BE2B08" w:rsidP="00E13521">
            <w:pPr>
              <w:pStyle w:val="Vchodzie"/>
              <w:bidi w:val="0"/>
              <w:spacing w:after="0" w:line="240" w:lineRule="auto"/>
              <w:jc w:val="center"/>
              <w:rPr>
                <w:szCs w:val="24"/>
              </w:rPr>
            </w:pPr>
            <w:r>
              <w:rPr>
                <w:i/>
                <w:szCs w:val="24"/>
              </w:rPr>
              <w:t>220,75</w:t>
            </w:r>
          </w:p>
          <w:p w:rsidR="00BE2B08" w:rsidP="00E13521">
            <w:pPr>
              <w:pStyle w:val="Vchodzie"/>
              <w:bidi w:val="0"/>
              <w:spacing w:after="0" w:line="240" w:lineRule="auto"/>
              <w:jc w:val="center"/>
              <w:rPr>
                <w:szCs w:val="24"/>
              </w:rPr>
            </w:pPr>
            <w:r>
              <w:rPr>
                <w:i/>
                <w:szCs w:val="24"/>
              </w:rPr>
              <w:t>88,30</w:t>
            </w:r>
          </w:p>
          <w:p w:rsidR="00BE2B08" w:rsidP="00E13521">
            <w:pPr>
              <w:pStyle w:val="Vchodzie"/>
              <w:bidi w:val="0"/>
              <w:spacing w:after="0" w:line="240" w:lineRule="auto"/>
              <w:jc w:val="center"/>
              <w:rPr>
                <w:szCs w:val="24"/>
              </w:rPr>
            </w:pPr>
            <w:r>
              <w:rPr>
                <w:i/>
                <w:szCs w:val="24"/>
              </w:rPr>
              <w:t>5  474,60</w:t>
            </w:r>
          </w:p>
          <w:p w:rsidR="00BE2B08" w:rsidP="00E13521">
            <w:pPr>
              <w:pStyle w:val="Vchodzie"/>
              <w:bidi w:val="0"/>
              <w:spacing w:after="200" w:line="276" w:lineRule="auto"/>
              <w:rPr>
                <w:szCs w:val="24"/>
              </w:rPr>
            </w:pPr>
          </w:p>
          <w:p w:rsidR="00BE2B08" w:rsidP="00E13521">
            <w:pPr>
              <w:pStyle w:val="Vchodzie"/>
              <w:bidi w:val="0"/>
              <w:spacing w:after="0" w:line="240" w:lineRule="auto"/>
              <w:rPr>
                <w:szCs w:val="24"/>
              </w:rPr>
            </w:pPr>
            <w:r>
              <w:rPr>
                <w:rFonts w:hint="default"/>
                <w:i/>
                <w:szCs w:val="24"/>
              </w:rPr>
              <w:t>Administratí</w:t>
            </w:r>
            <w:r>
              <w:rPr>
                <w:rFonts w:hint="default"/>
                <w:i/>
                <w:szCs w:val="24"/>
              </w:rPr>
              <w:t>vne ná</w:t>
            </w:r>
            <w:r>
              <w:rPr>
                <w:rFonts w:hint="default"/>
                <w:i/>
                <w:szCs w:val="24"/>
              </w:rPr>
              <w:t>klady</w:t>
            </w:r>
          </w:p>
          <w:p w:rsidR="00BE2B08" w:rsidP="00E13521">
            <w:pPr>
              <w:pStyle w:val="Vchodzie"/>
              <w:bidi w:val="0"/>
              <w:spacing w:after="0" w:line="240" w:lineRule="auto"/>
              <w:jc w:val="center"/>
              <w:rPr>
                <w:szCs w:val="24"/>
              </w:rPr>
            </w:pPr>
            <w:r>
              <w:rPr>
                <w:i/>
                <w:szCs w:val="24"/>
              </w:rPr>
              <w:t>2  064,01</w:t>
            </w:r>
          </w:p>
          <w:p w:rsidR="00BE2B08" w:rsidP="00E13521">
            <w:pPr>
              <w:pStyle w:val="Vchodzie"/>
              <w:bidi w:val="0"/>
              <w:spacing w:after="0" w:line="240" w:lineRule="auto"/>
              <w:jc w:val="center"/>
              <w:rPr>
                <w:szCs w:val="24"/>
              </w:rPr>
            </w:pPr>
            <w:r>
              <w:rPr>
                <w:i/>
                <w:szCs w:val="24"/>
              </w:rPr>
              <w:t>1  169,98</w:t>
            </w:r>
          </w:p>
          <w:p w:rsidR="00BE2B08" w:rsidP="00E13521">
            <w:pPr>
              <w:pStyle w:val="Vchodzie"/>
              <w:bidi w:val="0"/>
              <w:spacing w:after="0" w:line="240" w:lineRule="auto"/>
              <w:jc w:val="center"/>
              <w:rPr>
                <w:szCs w:val="24"/>
              </w:rPr>
            </w:pPr>
            <w:r>
              <w:rPr>
                <w:i/>
                <w:szCs w:val="24"/>
              </w:rPr>
              <w:t>62  207,35</w:t>
            </w:r>
          </w:p>
          <w:p w:rsidR="00BE2B08" w:rsidP="00E13521">
            <w:pPr>
              <w:pStyle w:val="Vchodzie"/>
              <w:bidi w:val="0"/>
              <w:spacing w:after="200" w:line="276" w:lineRule="auto"/>
              <w:rPr>
                <w:szCs w:val="24"/>
              </w:rPr>
            </w:pPr>
          </w:p>
          <w:p w:rsidR="00BE2B08" w:rsidP="00E13521">
            <w:pPr>
              <w:pStyle w:val="Vchodzie"/>
              <w:bidi w:val="0"/>
              <w:spacing w:after="0" w:line="240" w:lineRule="auto"/>
              <w:rPr>
                <w:szCs w:val="24"/>
              </w:rPr>
            </w:pPr>
            <w:r>
              <w:rPr>
                <w:rFonts w:hint="default"/>
                <w:b/>
                <w:i/>
                <w:szCs w:val="24"/>
              </w:rPr>
              <w:t>Celkové</w:t>
            </w:r>
            <w:r>
              <w:rPr>
                <w:rFonts w:hint="default"/>
                <w:b/>
                <w:i/>
                <w:szCs w:val="24"/>
              </w:rPr>
              <w:t xml:space="preserve"> ná</w:t>
            </w:r>
            <w:r>
              <w:rPr>
                <w:rFonts w:hint="default"/>
                <w:b/>
                <w:i/>
                <w:szCs w:val="24"/>
              </w:rPr>
              <w:t>klady regulá</w:t>
            </w:r>
            <w:r>
              <w:rPr>
                <w:rFonts w:hint="default"/>
                <w:b/>
                <w:i/>
                <w:szCs w:val="24"/>
              </w:rPr>
              <w:t>cie</w:t>
            </w:r>
          </w:p>
          <w:p w:rsidR="00BE2B08" w:rsidP="00E13521">
            <w:pPr>
              <w:pStyle w:val="Vchodzie"/>
              <w:bidi w:val="0"/>
              <w:spacing w:after="0" w:line="240" w:lineRule="auto"/>
              <w:jc w:val="center"/>
              <w:rPr>
                <w:szCs w:val="24"/>
              </w:rPr>
            </w:pPr>
            <w:r>
              <w:rPr>
                <w:b/>
                <w:i/>
                <w:szCs w:val="24"/>
              </w:rPr>
              <w:t>2  284,76</w:t>
            </w:r>
          </w:p>
          <w:p w:rsidR="00BE2B08" w:rsidP="00E13521">
            <w:pPr>
              <w:pStyle w:val="Vchodzie"/>
              <w:bidi w:val="0"/>
              <w:spacing w:after="0" w:line="240" w:lineRule="auto"/>
              <w:jc w:val="center"/>
              <w:rPr>
                <w:szCs w:val="24"/>
              </w:rPr>
            </w:pPr>
            <w:r>
              <w:rPr>
                <w:b/>
                <w:i/>
                <w:szCs w:val="24"/>
              </w:rPr>
              <w:t>1  258,28</w:t>
            </w:r>
          </w:p>
          <w:p w:rsidR="00BE2B08" w:rsidP="00AF5A23">
            <w:pPr>
              <w:pStyle w:val="Vchodzie"/>
              <w:bidi w:val="0"/>
              <w:spacing w:after="0" w:line="240" w:lineRule="auto"/>
              <w:jc w:val="center"/>
              <w:rPr>
                <w:szCs w:val="24"/>
              </w:rPr>
            </w:pPr>
            <w:r>
              <w:rPr>
                <w:b/>
                <w:i/>
                <w:szCs w:val="24"/>
              </w:rPr>
              <w:t>67  681,95</w:t>
            </w:r>
          </w:p>
          <w:p w:rsidR="00CC58AE" w:rsidP="00E13521">
            <w:pPr>
              <w:pStyle w:val="Vchodzie"/>
              <w:bidi w:val="0"/>
              <w:spacing w:after="200" w:line="276" w:lineRule="auto"/>
              <w:rPr>
                <w:szCs w:val="24"/>
              </w:rPr>
            </w:pPr>
          </w:p>
          <w:p w:rsidR="00AA2F0B" w:rsidP="00E13521">
            <w:pPr>
              <w:pStyle w:val="Vchodzie"/>
              <w:bidi w:val="0"/>
              <w:spacing w:after="200" w:line="276" w:lineRule="auto"/>
              <w:rPr>
                <w:szCs w:val="24"/>
              </w:rPr>
            </w:pP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shd w:val="clear" w:color="auto" w:fill="D9D9D9"/>
            <w:textDirection w:val="lrTb"/>
            <w:vAlign w:val="top"/>
          </w:tcPr>
          <w:p w:rsidR="00BE2B08" w:rsidP="00E13521">
            <w:pPr>
              <w:pStyle w:val="Vchodzie"/>
              <w:bidi w:val="0"/>
              <w:spacing w:after="0" w:line="240" w:lineRule="auto"/>
              <w:rPr>
                <w:szCs w:val="24"/>
              </w:rPr>
            </w:pPr>
            <w:r>
              <w:rPr>
                <w:rFonts w:hint="default"/>
                <w:b/>
                <w:sz w:val="24"/>
                <w:szCs w:val="24"/>
              </w:rPr>
              <w:t>3.4 Konkurencieschopnosť</w:t>
            </w:r>
            <w:r>
              <w:rPr>
                <w:rFonts w:hint="default"/>
                <w:b/>
                <w:sz w:val="24"/>
                <w:szCs w:val="24"/>
              </w:rPr>
              <w:t xml:space="preserve"> a sprá</w:t>
            </w:r>
            <w:r>
              <w:rPr>
                <w:rFonts w:hint="default"/>
                <w:b/>
                <w:sz w:val="24"/>
                <w:szCs w:val="24"/>
              </w:rPr>
              <w:t>vanie sa podnikov na trhu</w:t>
            </w:r>
          </w:p>
          <w:p w:rsidR="00BE2B08" w:rsidP="00E13521">
            <w:pPr>
              <w:pStyle w:val="Vchodzie"/>
              <w:bidi w:val="0"/>
              <w:spacing w:after="200" w:line="276" w:lineRule="auto"/>
              <w:rPr>
                <w:szCs w:val="24"/>
              </w:rPr>
            </w:pPr>
            <w:r>
              <w:rPr>
                <w:b/>
                <w:sz w:val="24"/>
                <w:szCs w:val="24"/>
              </w:rPr>
              <w:t xml:space="preserve">       </w:t>
            </w:r>
            <w:r>
              <w:rPr>
                <w:sz w:val="24"/>
                <w:szCs w:val="24"/>
              </w:rPr>
              <w:t xml:space="preserve">- </w:t>
            </w:r>
            <w:r>
              <w:rPr>
                <w:b/>
                <w:sz w:val="24"/>
                <w:szCs w:val="24"/>
              </w:rPr>
              <w:t>z  toho MSP</w:t>
            </w: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AF5A23" w:rsidP="00CC58AE">
            <w:pPr>
              <w:pStyle w:val="Vchodzie"/>
              <w:bidi w:val="0"/>
              <w:spacing w:after="0" w:line="240" w:lineRule="auto"/>
              <w:jc w:val="both"/>
              <w:rPr>
                <w:i/>
                <w:szCs w:val="24"/>
              </w:rPr>
            </w:pPr>
          </w:p>
          <w:p w:rsidR="00BE2B08" w:rsidP="00CC58AE">
            <w:pPr>
              <w:pStyle w:val="Vchodzie"/>
              <w:bidi w:val="0"/>
              <w:spacing w:after="0" w:line="240" w:lineRule="auto"/>
              <w:jc w:val="both"/>
              <w:rPr>
                <w:szCs w:val="24"/>
              </w:rPr>
            </w:pPr>
            <w:r>
              <w:rPr>
                <w:rFonts w:hint="default"/>
                <w:i/>
                <w:szCs w:val="24"/>
              </w:rPr>
              <w:t>Dochá</w:t>
            </w:r>
            <w:r>
              <w:rPr>
                <w:rFonts w:hint="default"/>
                <w:i/>
                <w:szCs w:val="24"/>
              </w:rPr>
              <w:t>dza k vytvoreniu barié</w:t>
            </w:r>
            <w:r>
              <w:rPr>
                <w:rFonts w:hint="default"/>
                <w:i/>
                <w:szCs w:val="24"/>
              </w:rPr>
              <w:t>r pre vstup na trh pre nový</w:t>
            </w:r>
            <w:r>
              <w:rPr>
                <w:rFonts w:hint="default"/>
                <w:i/>
                <w:szCs w:val="24"/>
              </w:rPr>
              <w:t>ch dodá</w:t>
            </w:r>
            <w:r>
              <w:rPr>
                <w:rFonts w:hint="default"/>
                <w:i/>
                <w:szCs w:val="24"/>
              </w:rPr>
              <w:t>vateľ</w:t>
            </w:r>
            <w:r>
              <w:rPr>
                <w:rFonts w:hint="default"/>
                <w:i/>
                <w:szCs w:val="24"/>
              </w:rPr>
              <w:t>ov alebo poskytovateľ</w:t>
            </w:r>
            <w:r>
              <w:rPr>
                <w:rFonts w:hint="default"/>
                <w:i/>
                <w:szCs w:val="24"/>
              </w:rPr>
              <w:t>ov služ</w:t>
            </w:r>
            <w:r>
              <w:rPr>
                <w:rFonts w:hint="default"/>
                <w:i/>
                <w:szCs w:val="24"/>
              </w:rPr>
              <w:t>ieb? Bude mať</w:t>
            </w:r>
            <w:r>
              <w:rPr>
                <w:rFonts w:hint="default"/>
                <w:i/>
                <w:szCs w:val="24"/>
              </w:rPr>
              <w:t xml:space="preserve"> navrhovaná</w:t>
            </w:r>
            <w:r>
              <w:rPr>
                <w:rFonts w:hint="default"/>
                <w:i/>
                <w:szCs w:val="24"/>
              </w:rPr>
              <w:t xml:space="preserve"> zmena za ná</w:t>
            </w:r>
            <w:r>
              <w:rPr>
                <w:rFonts w:hint="default"/>
                <w:i/>
                <w:szCs w:val="24"/>
              </w:rPr>
              <w:t>sledok prí</w:t>
            </w:r>
            <w:r>
              <w:rPr>
                <w:rFonts w:hint="default"/>
                <w:i/>
                <w:szCs w:val="24"/>
              </w:rPr>
              <w:t>snejš</w:t>
            </w:r>
            <w:r>
              <w:rPr>
                <w:rFonts w:hint="default"/>
                <w:i/>
                <w:szCs w:val="24"/>
              </w:rPr>
              <w:t>iu regulá</w:t>
            </w:r>
            <w:r>
              <w:rPr>
                <w:rFonts w:hint="default"/>
                <w:i/>
                <w:szCs w:val="24"/>
              </w:rPr>
              <w:t>ciu sprá</w:t>
            </w:r>
            <w:r>
              <w:rPr>
                <w:rFonts w:hint="default"/>
                <w:i/>
                <w:szCs w:val="24"/>
              </w:rPr>
              <w:t>vania sa niektorý</w:t>
            </w:r>
            <w:r>
              <w:rPr>
                <w:rFonts w:hint="default"/>
                <w:i/>
                <w:szCs w:val="24"/>
              </w:rPr>
              <w:t>ch podnikov? Bude sa s niektorý</w:t>
            </w:r>
            <w:r>
              <w:rPr>
                <w:rFonts w:hint="default"/>
                <w:i/>
                <w:szCs w:val="24"/>
              </w:rPr>
              <w:t>mi podnikmi alebo produktmi zaobchá</w:t>
            </w:r>
            <w:r>
              <w:rPr>
                <w:rFonts w:hint="default"/>
                <w:i/>
                <w:szCs w:val="24"/>
              </w:rPr>
              <w:t>dzať</w:t>
            </w:r>
            <w:r>
              <w:rPr>
                <w:rFonts w:hint="default"/>
                <w:i/>
                <w:szCs w:val="24"/>
              </w:rPr>
              <w:t xml:space="preserve"> v porovnateľ</w:t>
            </w:r>
            <w:r>
              <w:rPr>
                <w:rFonts w:hint="default"/>
                <w:i/>
                <w:szCs w:val="24"/>
              </w:rPr>
              <w:t>nej situá</w:t>
            </w:r>
            <w:r>
              <w:rPr>
                <w:rFonts w:hint="default"/>
                <w:i/>
                <w:szCs w:val="24"/>
              </w:rPr>
              <w:t>cii rô</w:t>
            </w:r>
            <w:r>
              <w:rPr>
                <w:rFonts w:hint="default"/>
                <w:i/>
                <w:szCs w:val="24"/>
              </w:rPr>
              <w:t>zne (š</w:t>
            </w:r>
            <w:r>
              <w:rPr>
                <w:rFonts w:hint="default"/>
                <w:i/>
                <w:szCs w:val="24"/>
              </w:rPr>
              <w:t>peciá</w:t>
            </w:r>
            <w:r>
              <w:rPr>
                <w:rFonts w:hint="default"/>
                <w:i/>
                <w:szCs w:val="24"/>
              </w:rPr>
              <w:t>lne rež</w:t>
            </w:r>
            <w:r>
              <w:rPr>
                <w:rFonts w:hint="default"/>
                <w:i/>
                <w:szCs w:val="24"/>
              </w:rPr>
              <w:t>imy pre mikro, malé</w:t>
            </w:r>
            <w:r>
              <w:rPr>
                <w:rFonts w:hint="default"/>
                <w:i/>
                <w:szCs w:val="24"/>
              </w:rPr>
              <w:t xml:space="preserve"> a </w:t>
            </w:r>
            <w:r>
              <w:rPr>
                <w:rFonts w:hint="default"/>
                <w:i/>
                <w:szCs w:val="24"/>
              </w:rPr>
              <w:t xml:space="preserve"> stredné</w:t>
            </w:r>
            <w:r>
              <w:rPr>
                <w:rFonts w:hint="default"/>
                <w:i/>
                <w:szCs w:val="24"/>
              </w:rPr>
              <w:t xml:space="preserve"> podniky tzv. MSP)? Ak á</w:t>
            </w:r>
            <w:r>
              <w:rPr>
                <w:rFonts w:hint="default"/>
                <w:i/>
                <w:szCs w:val="24"/>
              </w:rPr>
              <w:t>no, popíš</w:t>
            </w:r>
            <w:r>
              <w:rPr>
                <w:rFonts w:hint="default"/>
                <w:i/>
                <w:szCs w:val="24"/>
              </w:rPr>
              <w:t>te.</w:t>
            </w:r>
          </w:p>
          <w:p w:rsidR="00BE2B08" w:rsidP="00CC58AE">
            <w:pPr>
              <w:pStyle w:val="Vchodzie"/>
              <w:bidi w:val="0"/>
              <w:spacing w:after="0" w:line="240" w:lineRule="auto"/>
              <w:jc w:val="both"/>
              <w:rPr>
                <w:szCs w:val="24"/>
              </w:rPr>
            </w:pPr>
            <w:r>
              <w:rPr>
                <w:rFonts w:hint="default"/>
                <w:i/>
                <w:szCs w:val="24"/>
              </w:rPr>
              <w:t>Aký</w:t>
            </w:r>
            <w:r>
              <w:rPr>
                <w:rFonts w:hint="default"/>
                <w:i/>
                <w:szCs w:val="24"/>
              </w:rPr>
              <w:t xml:space="preserve"> vplyv bude mať</w:t>
            </w:r>
            <w:r>
              <w:rPr>
                <w:rFonts w:hint="default"/>
                <w:i/>
                <w:szCs w:val="24"/>
              </w:rPr>
              <w:t xml:space="preserve"> navrhovaná</w:t>
            </w:r>
            <w:r>
              <w:rPr>
                <w:rFonts w:hint="default"/>
                <w:i/>
                <w:szCs w:val="24"/>
              </w:rPr>
              <w:t xml:space="preserve"> zmena na obchodné</w:t>
            </w:r>
            <w:r>
              <w:rPr>
                <w:rFonts w:hint="default"/>
                <w:i/>
                <w:szCs w:val="24"/>
              </w:rPr>
              <w:t xml:space="preserve"> barié</w:t>
            </w:r>
            <w:r>
              <w:rPr>
                <w:rFonts w:hint="default"/>
                <w:i/>
                <w:szCs w:val="24"/>
              </w:rPr>
              <w:t>ry?</w:t>
            </w:r>
            <w:r>
              <w:rPr>
                <w:rFonts w:hint="default"/>
                <w:i/>
                <w:szCs w:val="24"/>
              </w:rPr>
              <w:t xml:space="preserve"> Bude mať</w:t>
            </w:r>
            <w:r>
              <w:rPr>
                <w:rFonts w:hint="default"/>
                <w:i/>
                <w:szCs w:val="24"/>
              </w:rPr>
              <w:t xml:space="preserve"> vplyv na vyvolanie cezhranič</w:t>
            </w:r>
            <w:r>
              <w:rPr>
                <w:rFonts w:hint="default"/>
                <w:i/>
                <w:szCs w:val="24"/>
              </w:rPr>
              <w:t>ný</w:t>
            </w:r>
            <w:r>
              <w:rPr>
                <w:rFonts w:hint="default"/>
                <w:i/>
                <w:szCs w:val="24"/>
              </w:rPr>
              <w:t>ch investí</w:t>
            </w:r>
            <w:r>
              <w:rPr>
                <w:rFonts w:hint="default"/>
                <w:i/>
                <w:szCs w:val="24"/>
              </w:rPr>
              <w:t>cií</w:t>
            </w:r>
            <w:r>
              <w:rPr>
                <w:rFonts w:hint="default"/>
                <w:i/>
                <w:szCs w:val="24"/>
              </w:rPr>
              <w:t xml:space="preserve"> (prí</w:t>
            </w:r>
            <w:r>
              <w:rPr>
                <w:rFonts w:hint="default"/>
                <w:i/>
                <w:szCs w:val="24"/>
              </w:rPr>
              <w:t>liv /odliv zahranič</w:t>
            </w:r>
            <w:r>
              <w:rPr>
                <w:rFonts w:hint="default"/>
                <w:i/>
                <w:szCs w:val="24"/>
              </w:rPr>
              <w:t>ný</w:t>
            </w:r>
            <w:r>
              <w:rPr>
                <w:rFonts w:hint="default"/>
                <w:i/>
                <w:szCs w:val="24"/>
              </w:rPr>
              <w:t>ch investí</w:t>
            </w:r>
            <w:r>
              <w:rPr>
                <w:rFonts w:hint="default"/>
                <w:i/>
                <w:szCs w:val="24"/>
              </w:rPr>
              <w:t>cií</w:t>
            </w:r>
            <w:r>
              <w:rPr>
                <w:rFonts w:hint="default"/>
                <w:i/>
                <w:szCs w:val="24"/>
              </w:rPr>
              <w:t xml:space="preserve"> resp. uplatnenie slovenský</w:t>
            </w:r>
            <w:r>
              <w:rPr>
                <w:rFonts w:hint="default"/>
                <w:i/>
                <w:szCs w:val="24"/>
              </w:rPr>
              <w:t>ch podnikov na zahranič</w:t>
            </w:r>
            <w:r>
              <w:rPr>
                <w:rFonts w:hint="default"/>
                <w:i/>
                <w:szCs w:val="24"/>
              </w:rPr>
              <w:t>ný</w:t>
            </w:r>
            <w:r>
              <w:rPr>
                <w:rFonts w:hint="default"/>
                <w:i/>
                <w:szCs w:val="24"/>
              </w:rPr>
              <w:t>ch trhoch)? Ak á</w:t>
            </w:r>
            <w:r>
              <w:rPr>
                <w:rFonts w:hint="default"/>
                <w:i/>
                <w:szCs w:val="24"/>
              </w:rPr>
              <w:t>no, popíš</w:t>
            </w:r>
            <w:r>
              <w:rPr>
                <w:rFonts w:hint="default"/>
                <w:i/>
                <w:szCs w:val="24"/>
              </w:rPr>
              <w:t>te.</w:t>
            </w:r>
          </w:p>
          <w:p w:rsidR="00BE2B08" w:rsidP="00CC58AE">
            <w:pPr>
              <w:pStyle w:val="Vchodzie"/>
              <w:bidi w:val="0"/>
              <w:spacing w:after="0" w:line="240" w:lineRule="auto"/>
              <w:jc w:val="both"/>
              <w:rPr>
                <w:szCs w:val="24"/>
              </w:rPr>
            </w:pPr>
            <w:r>
              <w:rPr>
                <w:rFonts w:hint="default"/>
                <w:i/>
                <w:szCs w:val="24"/>
              </w:rPr>
              <w:t>Ako ovplyvní</w:t>
            </w:r>
            <w:r>
              <w:rPr>
                <w:rFonts w:hint="default"/>
                <w:i/>
                <w:szCs w:val="24"/>
              </w:rPr>
              <w:t xml:space="preserve"> cenu alebo dostupnosť</w:t>
            </w:r>
            <w:r>
              <w:rPr>
                <w:rFonts w:hint="default"/>
                <w:i/>
                <w:szCs w:val="24"/>
              </w:rPr>
              <w:t xml:space="preserve"> zá</w:t>
            </w:r>
            <w:r>
              <w:rPr>
                <w:rFonts w:hint="default"/>
                <w:i/>
                <w:szCs w:val="24"/>
              </w:rPr>
              <w:t>kladný</w:t>
            </w:r>
            <w:r>
              <w:rPr>
                <w:rFonts w:hint="default"/>
                <w:i/>
                <w:szCs w:val="24"/>
              </w:rPr>
              <w:t>ch zdrojov (suroviny, mechanizmy, pracov</w:t>
            </w:r>
            <w:r>
              <w:rPr>
                <w:rFonts w:hint="default"/>
                <w:i/>
                <w:szCs w:val="24"/>
              </w:rPr>
              <w:t>ná</w:t>
            </w:r>
            <w:r>
              <w:rPr>
                <w:rFonts w:hint="default"/>
                <w:i/>
                <w:szCs w:val="24"/>
              </w:rPr>
              <w:t xml:space="preserve"> sila, energie atď</w:t>
            </w:r>
            <w:r>
              <w:rPr>
                <w:rFonts w:hint="default"/>
                <w:i/>
                <w:szCs w:val="24"/>
              </w:rPr>
              <w:t>.)?</w:t>
            </w:r>
          </w:p>
          <w:p w:rsidR="00BE2B08" w:rsidP="00AF5A23">
            <w:pPr>
              <w:pStyle w:val="Vchodzie"/>
              <w:bidi w:val="0"/>
              <w:spacing w:after="200" w:line="276" w:lineRule="auto"/>
              <w:jc w:val="both"/>
              <w:rPr>
                <w:szCs w:val="24"/>
              </w:rPr>
            </w:pPr>
            <w:r>
              <w:rPr>
                <w:rFonts w:hint="default"/>
                <w:i/>
                <w:szCs w:val="24"/>
              </w:rPr>
              <w:t>Ovplyvň</w:t>
            </w:r>
            <w:r>
              <w:rPr>
                <w:rFonts w:hint="default"/>
                <w:i/>
                <w:szCs w:val="24"/>
              </w:rPr>
              <w:t>uje prí</w:t>
            </w:r>
            <w:r>
              <w:rPr>
                <w:rFonts w:hint="default"/>
                <w:i/>
                <w:szCs w:val="24"/>
              </w:rPr>
              <w:t>stup k financiá</w:t>
            </w:r>
            <w:r>
              <w:rPr>
                <w:rFonts w:hint="default"/>
                <w:i/>
                <w:szCs w:val="24"/>
              </w:rPr>
              <w:t>m? Ak á</w:t>
            </w:r>
            <w:r>
              <w:rPr>
                <w:rFonts w:hint="default"/>
                <w:i/>
                <w:szCs w:val="24"/>
              </w:rPr>
              <w:t>no, ako?</w:t>
            </w:r>
          </w:p>
        </w:tc>
      </w:tr>
      <w:tr>
        <w:tblPrEx>
          <w:tblW w:w="0" w:type="auto"/>
          <w:tblLayout w:type="fixed"/>
        </w:tblPrEx>
        <w:trPr>
          <w:trHeight w:val="1282"/>
        </w:trPr>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p>
          <w:p w:rsidR="00BE2B08" w:rsidP="00CC58AE">
            <w:pPr>
              <w:pStyle w:val="Vchodzie"/>
              <w:bidi w:val="0"/>
              <w:spacing w:after="0" w:line="240" w:lineRule="auto"/>
              <w:jc w:val="both"/>
              <w:rPr>
                <w:szCs w:val="24"/>
              </w:rPr>
            </w:pPr>
            <w:r>
              <w:rPr>
                <w:rFonts w:hint="default"/>
                <w:b/>
                <w:i/>
                <w:szCs w:val="24"/>
              </w:rPr>
              <w:t>Predpokladá</w:t>
            </w:r>
            <w:r>
              <w:rPr>
                <w:rFonts w:hint="default"/>
                <w:b/>
                <w:i/>
                <w:szCs w:val="24"/>
              </w:rPr>
              <w:t xml:space="preserve"> sa iba zanedbateľ</w:t>
            </w:r>
            <w:r>
              <w:rPr>
                <w:rFonts w:hint="default"/>
                <w:b/>
                <w:i/>
                <w:szCs w:val="24"/>
              </w:rPr>
              <w:t>ný</w:t>
            </w:r>
            <w:r>
              <w:rPr>
                <w:rFonts w:hint="default"/>
                <w:b/>
                <w:i/>
                <w:szCs w:val="24"/>
              </w:rPr>
              <w:t xml:space="preserve"> vplyv pre vstup na trh pre nový</w:t>
            </w:r>
            <w:r>
              <w:rPr>
                <w:rFonts w:hint="default"/>
                <w:b/>
                <w:i/>
                <w:szCs w:val="24"/>
              </w:rPr>
              <w:t>ch poskytovateľ</w:t>
            </w:r>
            <w:r>
              <w:rPr>
                <w:rFonts w:hint="default"/>
                <w:b/>
                <w:i/>
                <w:szCs w:val="24"/>
              </w:rPr>
              <w:t>ov služ</w:t>
            </w:r>
            <w:r>
              <w:rPr>
                <w:rFonts w:hint="default"/>
                <w:b/>
                <w:i/>
                <w:szCs w:val="24"/>
              </w:rPr>
              <w:t>ieb. Noví</w:t>
            </w:r>
            <w:r>
              <w:rPr>
                <w:rFonts w:hint="default"/>
                <w:b/>
                <w:i/>
                <w:szCs w:val="24"/>
              </w:rPr>
              <w:t xml:space="preserve"> poskytovatelia služ</w:t>
            </w:r>
            <w:r>
              <w:rPr>
                <w:rFonts w:hint="default"/>
                <w:b/>
                <w:i/>
                <w:szCs w:val="24"/>
              </w:rPr>
              <w:t>ieb budú</w:t>
            </w:r>
            <w:r>
              <w:rPr>
                <w:rFonts w:hint="default"/>
                <w:b/>
                <w:i/>
                <w:szCs w:val="24"/>
              </w:rPr>
              <w:t xml:space="preserve"> povinný</w:t>
            </w:r>
            <w:r>
              <w:rPr>
                <w:rFonts w:hint="default"/>
                <w:b/>
                <w:i/>
                <w:szCs w:val="24"/>
              </w:rPr>
              <w:t xml:space="preserve"> už</w:t>
            </w:r>
            <w:r>
              <w:rPr>
                <w:rFonts w:hint="default"/>
                <w:b/>
                <w:i/>
                <w:szCs w:val="24"/>
              </w:rPr>
              <w:t xml:space="preserve"> pri ž</w:t>
            </w:r>
            <w:r>
              <w:rPr>
                <w:rFonts w:hint="default"/>
                <w:b/>
                <w:i/>
                <w:szCs w:val="24"/>
              </w:rPr>
              <w:t>iadosti o </w:t>
            </w:r>
            <w:r>
              <w:rPr>
                <w:rFonts w:hint="default"/>
                <w:b/>
                <w:i/>
                <w:szCs w:val="24"/>
              </w:rPr>
              <w:t xml:space="preserve"> licenciu popí</w:t>
            </w:r>
            <w:r>
              <w:rPr>
                <w:rFonts w:hint="default"/>
                <w:b/>
                <w:i/>
                <w:szCs w:val="24"/>
              </w:rPr>
              <w:t>sať</w:t>
            </w:r>
            <w:r>
              <w:rPr>
                <w:rFonts w:hint="default"/>
                <w:b/>
                <w:i/>
                <w:szCs w:val="24"/>
              </w:rPr>
              <w:t xml:space="preserve"> systé</w:t>
            </w:r>
            <w:r>
              <w:rPr>
                <w:rFonts w:hint="default"/>
                <w:b/>
                <w:i/>
                <w:szCs w:val="24"/>
              </w:rPr>
              <w:t>m postup</w:t>
            </w:r>
            <w:r>
              <w:rPr>
                <w:rFonts w:hint="default"/>
                <w:b/>
                <w:i/>
                <w:szCs w:val="24"/>
              </w:rPr>
              <w:t>u pri schvaľ</w:t>
            </w:r>
            <w:r>
              <w:rPr>
                <w:rFonts w:hint="default"/>
                <w:b/>
                <w:i/>
                <w:szCs w:val="24"/>
              </w:rPr>
              <w:t>ovaní</w:t>
            </w:r>
            <w:r>
              <w:rPr>
                <w:rFonts w:hint="default"/>
                <w:b/>
                <w:i/>
                <w:szCs w:val="24"/>
              </w:rPr>
              <w:t xml:space="preserve"> spotrebiteľ</w:t>
            </w:r>
            <w:r>
              <w:rPr>
                <w:rFonts w:hint="default"/>
                <w:b/>
                <w:i/>
                <w:szCs w:val="24"/>
              </w:rPr>
              <w:t>ské</w:t>
            </w:r>
            <w:r>
              <w:rPr>
                <w:rFonts w:hint="default"/>
                <w:b/>
                <w:i/>
                <w:szCs w:val="24"/>
              </w:rPr>
              <w:t>ho ú</w:t>
            </w:r>
            <w:r>
              <w:rPr>
                <w:rFonts w:hint="default"/>
                <w:b/>
                <w:i/>
                <w:szCs w:val="24"/>
              </w:rPr>
              <w:t>veru, ktorý</w:t>
            </w:r>
            <w:r>
              <w:rPr>
                <w:rFonts w:hint="default"/>
                <w:b/>
                <w:i/>
                <w:szCs w:val="24"/>
              </w:rPr>
              <w:t>ch súč</w:t>
            </w:r>
            <w:r>
              <w:rPr>
                <w:rFonts w:hint="default"/>
                <w:b/>
                <w:i/>
                <w:szCs w:val="24"/>
              </w:rPr>
              <w:t>asť</w:t>
            </w:r>
            <w:r>
              <w:rPr>
                <w:rFonts w:hint="default"/>
                <w:b/>
                <w:i/>
                <w:szCs w:val="24"/>
              </w:rPr>
              <w:t>ou je aj postup tý</w:t>
            </w:r>
            <w:r>
              <w:rPr>
                <w:rFonts w:hint="default"/>
                <w:b/>
                <w:i/>
                <w:szCs w:val="24"/>
              </w:rPr>
              <w:t>kajú</w:t>
            </w:r>
            <w:r>
              <w:rPr>
                <w:rFonts w:hint="default"/>
                <w:b/>
                <w:i/>
                <w:szCs w:val="24"/>
              </w:rPr>
              <w:t>ci sa uplatň</w:t>
            </w:r>
            <w:r>
              <w:rPr>
                <w:rFonts w:hint="default"/>
                <w:b/>
                <w:i/>
                <w:szCs w:val="24"/>
              </w:rPr>
              <w:t>ovania limitu pre ukazovateľ</w:t>
            </w:r>
            <w:r>
              <w:rPr>
                <w:rFonts w:hint="default"/>
                <w:b/>
                <w:i/>
                <w:szCs w:val="24"/>
              </w:rPr>
              <w:t xml:space="preserve"> schopnosti spotrebiteľ</w:t>
            </w:r>
            <w:r>
              <w:rPr>
                <w:rFonts w:hint="default"/>
                <w:b/>
                <w:i/>
                <w:szCs w:val="24"/>
              </w:rPr>
              <w:t>a splá</w:t>
            </w:r>
            <w:r>
              <w:rPr>
                <w:rFonts w:hint="default"/>
                <w:b/>
                <w:i/>
                <w:szCs w:val="24"/>
              </w:rPr>
              <w:t>cať</w:t>
            </w:r>
            <w:r>
              <w:rPr>
                <w:rFonts w:hint="default"/>
                <w:b/>
                <w:i/>
                <w:szCs w:val="24"/>
              </w:rPr>
              <w:t xml:space="preserve"> spotrebiteľ</w:t>
            </w:r>
            <w:r>
              <w:rPr>
                <w:rFonts w:hint="default"/>
                <w:b/>
                <w:i/>
                <w:szCs w:val="24"/>
              </w:rPr>
              <w:t>ský</w:t>
            </w:r>
            <w:r>
              <w:rPr>
                <w:rFonts w:hint="default"/>
                <w:b/>
                <w:i/>
                <w:szCs w:val="24"/>
              </w:rPr>
              <w:t xml:space="preserve"> ú</w:t>
            </w:r>
            <w:r>
              <w:rPr>
                <w:rFonts w:hint="default"/>
                <w:b/>
                <w:i/>
                <w:szCs w:val="24"/>
              </w:rPr>
              <w:t>ver, postup tý</w:t>
            </w:r>
            <w:r>
              <w:rPr>
                <w:rFonts w:hint="default"/>
                <w:b/>
                <w:i/>
                <w:szCs w:val="24"/>
              </w:rPr>
              <w:t>kajú</w:t>
            </w:r>
            <w:r>
              <w:rPr>
                <w:rFonts w:hint="default"/>
                <w:b/>
                <w:i/>
                <w:szCs w:val="24"/>
              </w:rPr>
              <w:t>ci sa uplatň</w:t>
            </w:r>
            <w:r>
              <w:rPr>
                <w:rFonts w:hint="default"/>
                <w:b/>
                <w:i/>
                <w:szCs w:val="24"/>
              </w:rPr>
              <w:t>ovania lehoty splatnosti spotrebiteľ</w:t>
            </w:r>
            <w:r>
              <w:rPr>
                <w:rFonts w:hint="default"/>
                <w:b/>
                <w:i/>
                <w:szCs w:val="24"/>
              </w:rPr>
              <w:t>ské</w:t>
            </w:r>
            <w:r>
              <w:rPr>
                <w:rFonts w:hint="default"/>
                <w:b/>
                <w:i/>
                <w:szCs w:val="24"/>
              </w:rPr>
              <w:t>ho ú</w:t>
            </w:r>
            <w:r>
              <w:rPr>
                <w:rFonts w:hint="default"/>
                <w:b/>
                <w:i/>
                <w:szCs w:val="24"/>
              </w:rPr>
              <w:t>veru a postup t</w:t>
            </w:r>
            <w:r>
              <w:rPr>
                <w:rFonts w:hint="default"/>
                <w:b/>
                <w:i/>
                <w:szCs w:val="24"/>
              </w:rPr>
              <w:t>ý</w:t>
            </w:r>
            <w:r>
              <w:rPr>
                <w:rFonts w:hint="default"/>
                <w:b/>
                <w:i/>
                <w:szCs w:val="24"/>
              </w:rPr>
              <w:t>kajú</w:t>
            </w:r>
            <w:r>
              <w:rPr>
                <w:rFonts w:hint="default"/>
                <w:b/>
                <w:i/>
                <w:szCs w:val="24"/>
              </w:rPr>
              <w:t>ci sa uplatň</w:t>
            </w:r>
            <w:r>
              <w:rPr>
                <w:rFonts w:hint="default"/>
                <w:b/>
                <w:i/>
                <w:szCs w:val="24"/>
              </w:rPr>
              <w:t>ovania pož</w:t>
            </w:r>
            <w:r>
              <w:rPr>
                <w:rFonts w:hint="default"/>
                <w:b/>
                <w:i/>
                <w:szCs w:val="24"/>
              </w:rPr>
              <w:t>iadaviek na spô</w:t>
            </w:r>
            <w:r>
              <w:rPr>
                <w:rFonts w:hint="default"/>
                <w:b/>
                <w:i/>
                <w:szCs w:val="24"/>
              </w:rPr>
              <w:t>sob a podmienky splá</w:t>
            </w:r>
            <w:r>
              <w:rPr>
                <w:rFonts w:hint="default"/>
                <w:b/>
                <w:i/>
                <w:szCs w:val="24"/>
              </w:rPr>
              <w:t>cania spotrebiteľ</w:t>
            </w:r>
            <w:r>
              <w:rPr>
                <w:rFonts w:hint="default"/>
                <w:b/>
                <w:i/>
                <w:szCs w:val="24"/>
              </w:rPr>
              <w:t>ské</w:t>
            </w:r>
            <w:r>
              <w:rPr>
                <w:rFonts w:hint="default"/>
                <w:b/>
                <w:i/>
                <w:szCs w:val="24"/>
              </w:rPr>
              <w:t>ho ú</w:t>
            </w:r>
            <w:r>
              <w:rPr>
                <w:rFonts w:hint="default"/>
                <w:b/>
                <w:i/>
                <w:szCs w:val="24"/>
              </w:rPr>
              <w:t>veru spotrebiteľ</w:t>
            </w:r>
            <w:r>
              <w:rPr>
                <w:rFonts w:hint="default"/>
                <w:b/>
                <w:i/>
                <w:szCs w:val="24"/>
              </w:rPr>
              <w:t>ský</w:t>
            </w:r>
            <w:r>
              <w:rPr>
                <w:rFonts w:hint="default"/>
                <w:b/>
                <w:i/>
                <w:szCs w:val="24"/>
              </w:rPr>
              <w:t>ch ú</w:t>
            </w:r>
            <w:r>
              <w:rPr>
                <w:rFonts w:hint="default"/>
                <w:b/>
                <w:i/>
                <w:szCs w:val="24"/>
              </w:rPr>
              <w:t>verov.</w:t>
            </w:r>
          </w:p>
          <w:p w:rsidR="00BE2B08" w:rsidP="00CC58AE">
            <w:pPr>
              <w:pStyle w:val="Vchodzie"/>
              <w:bidi w:val="0"/>
              <w:spacing w:after="0" w:line="240" w:lineRule="auto"/>
              <w:jc w:val="both"/>
              <w:rPr>
                <w:szCs w:val="24"/>
              </w:rPr>
            </w:pPr>
            <w:r>
              <w:rPr>
                <w:rFonts w:hint="default"/>
                <w:b/>
                <w:i/>
                <w:szCs w:val="24"/>
              </w:rPr>
              <w:t>Vzhľ</w:t>
            </w:r>
            <w:r>
              <w:rPr>
                <w:rFonts w:hint="default"/>
                <w:b/>
                <w:i/>
                <w:szCs w:val="24"/>
              </w:rPr>
              <w:t>adom k </w:t>
            </w:r>
            <w:r>
              <w:rPr>
                <w:rFonts w:hint="default"/>
                <w:b/>
                <w:i/>
                <w:szCs w:val="24"/>
              </w:rPr>
              <w:t xml:space="preserve"> ostatný</w:t>
            </w:r>
            <w:r>
              <w:rPr>
                <w:rFonts w:hint="default"/>
                <w:b/>
                <w:i/>
                <w:szCs w:val="24"/>
              </w:rPr>
              <w:t>m povinnostiam pri podaní</w:t>
            </w:r>
            <w:r>
              <w:rPr>
                <w:rFonts w:hint="default"/>
                <w:b/>
                <w:i/>
                <w:szCs w:val="24"/>
              </w:rPr>
              <w:t xml:space="preserve"> ž</w:t>
            </w:r>
            <w:r>
              <w:rPr>
                <w:rFonts w:hint="default"/>
                <w:b/>
                <w:i/>
                <w:szCs w:val="24"/>
              </w:rPr>
              <w:t>iadosti o </w:t>
            </w:r>
            <w:r>
              <w:rPr>
                <w:rFonts w:hint="default"/>
                <w:b/>
                <w:i/>
                <w:szCs w:val="24"/>
              </w:rPr>
              <w:t xml:space="preserve"> licenciu vš</w:t>
            </w:r>
            <w:r>
              <w:rPr>
                <w:rFonts w:hint="default"/>
                <w:b/>
                <w:i/>
                <w:szCs w:val="24"/>
              </w:rPr>
              <w:t>ak ide o </w:t>
            </w:r>
            <w:r>
              <w:rPr>
                <w:rFonts w:hint="default"/>
                <w:b/>
                <w:i/>
                <w:szCs w:val="24"/>
              </w:rPr>
              <w:t xml:space="preserve"> zanedbateľ</w:t>
            </w:r>
            <w:r>
              <w:rPr>
                <w:rFonts w:hint="default"/>
                <w:b/>
                <w:i/>
                <w:szCs w:val="24"/>
              </w:rPr>
              <w:t>né</w:t>
            </w:r>
            <w:r>
              <w:rPr>
                <w:rFonts w:hint="default"/>
                <w:b/>
                <w:i/>
                <w:szCs w:val="24"/>
              </w:rPr>
              <w:t xml:space="preserve"> zvýš</w:t>
            </w:r>
            <w:r>
              <w:rPr>
                <w:rFonts w:hint="default"/>
                <w:b/>
                <w:i/>
                <w:szCs w:val="24"/>
              </w:rPr>
              <w:t>enie povinnosti. Poskytovatelia spotrebiteľ</w:t>
            </w:r>
            <w:r>
              <w:rPr>
                <w:rFonts w:hint="default"/>
                <w:b/>
                <w:i/>
                <w:szCs w:val="24"/>
              </w:rPr>
              <w:t>ský</w:t>
            </w:r>
            <w:r>
              <w:rPr>
                <w:rFonts w:hint="default"/>
                <w:b/>
                <w:i/>
                <w:szCs w:val="24"/>
              </w:rPr>
              <w:t>ch ú</w:t>
            </w:r>
            <w:r>
              <w:rPr>
                <w:rFonts w:hint="default"/>
                <w:b/>
                <w:i/>
                <w:szCs w:val="24"/>
              </w:rPr>
              <w:t>verov v </w:t>
            </w:r>
            <w:r>
              <w:rPr>
                <w:rFonts w:hint="default"/>
                <w:b/>
                <w:i/>
                <w:szCs w:val="24"/>
              </w:rPr>
              <w:t xml:space="preserve"> kaž</w:t>
            </w:r>
            <w:r>
              <w:rPr>
                <w:rFonts w:hint="default"/>
                <w:b/>
                <w:i/>
                <w:szCs w:val="24"/>
              </w:rPr>
              <w:t>dom prí</w:t>
            </w:r>
            <w:r>
              <w:rPr>
                <w:rFonts w:hint="default"/>
                <w:b/>
                <w:i/>
                <w:szCs w:val="24"/>
              </w:rPr>
              <w:t>pade potrebujú</w:t>
            </w:r>
            <w:r>
              <w:rPr>
                <w:rFonts w:hint="default"/>
                <w:b/>
                <w:i/>
                <w:szCs w:val="24"/>
              </w:rPr>
              <w:t xml:space="preserve"> zadefinovať</w:t>
            </w:r>
            <w:r>
              <w:rPr>
                <w:rFonts w:hint="default"/>
                <w:b/>
                <w:i/>
                <w:szCs w:val="24"/>
              </w:rPr>
              <w:t xml:space="preserve"> interné</w:t>
            </w:r>
            <w:r>
              <w:rPr>
                <w:rFonts w:hint="default"/>
                <w:b/>
                <w:i/>
                <w:szCs w:val="24"/>
              </w:rPr>
              <w:t xml:space="preserve"> postupy komu ú</w:t>
            </w:r>
            <w:r>
              <w:rPr>
                <w:rFonts w:hint="default"/>
                <w:b/>
                <w:i/>
                <w:szCs w:val="24"/>
              </w:rPr>
              <w:t>ver poskytnúť</w:t>
            </w:r>
            <w:r>
              <w:rPr>
                <w:rFonts w:hint="default"/>
                <w:b/>
                <w:i/>
                <w:szCs w:val="24"/>
              </w:rPr>
              <w:t xml:space="preserve"> a </w:t>
            </w:r>
            <w:r>
              <w:rPr>
                <w:rFonts w:hint="default"/>
                <w:b/>
                <w:i/>
                <w:szCs w:val="24"/>
              </w:rPr>
              <w:t xml:space="preserve"> komu nie aj bez navrhovanej prá</w:t>
            </w:r>
            <w:r>
              <w:rPr>
                <w:rFonts w:hint="default"/>
                <w:b/>
                <w:i/>
                <w:szCs w:val="24"/>
              </w:rPr>
              <w:t>vnej ú</w:t>
            </w:r>
            <w:r>
              <w:rPr>
                <w:rFonts w:hint="default"/>
                <w:b/>
                <w:i/>
                <w:szCs w:val="24"/>
              </w:rPr>
              <w:t>pravy. Navrhovaná</w:t>
            </w:r>
            <w:r>
              <w:rPr>
                <w:rFonts w:hint="default"/>
                <w:b/>
                <w:i/>
                <w:szCs w:val="24"/>
              </w:rPr>
              <w:t xml:space="preserve"> prá</w:t>
            </w:r>
            <w:r>
              <w:rPr>
                <w:rFonts w:hint="default"/>
                <w:b/>
                <w:i/>
                <w:szCs w:val="24"/>
              </w:rPr>
              <w:t>vna ú</w:t>
            </w:r>
            <w:r>
              <w:rPr>
                <w:rFonts w:hint="default"/>
                <w:b/>
                <w:i/>
                <w:szCs w:val="24"/>
              </w:rPr>
              <w:t>prava definuje niektoré</w:t>
            </w:r>
            <w:r>
              <w:rPr>
                <w:rFonts w:hint="default"/>
                <w:b/>
                <w:i/>
                <w:szCs w:val="24"/>
              </w:rPr>
              <w:t xml:space="preserve"> obmedzenia, ktoré</w:t>
            </w:r>
            <w:r>
              <w:rPr>
                <w:rFonts w:hint="default"/>
                <w:b/>
                <w:i/>
                <w:szCs w:val="24"/>
              </w:rPr>
              <w:t xml:space="preserve"> veritelia musia pri tomto procese dodrž</w:t>
            </w:r>
            <w:r>
              <w:rPr>
                <w:rFonts w:hint="default"/>
                <w:b/>
                <w:i/>
                <w:szCs w:val="24"/>
              </w:rPr>
              <w:t>ať.</w:t>
            </w:r>
          </w:p>
          <w:p w:rsidR="00BE2B08" w:rsidP="00CC58AE">
            <w:pPr>
              <w:pStyle w:val="Vchodzie"/>
              <w:bidi w:val="0"/>
              <w:spacing w:after="0" w:line="240" w:lineRule="auto"/>
              <w:jc w:val="both"/>
              <w:rPr>
                <w:szCs w:val="24"/>
              </w:rPr>
            </w:pPr>
          </w:p>
          <w:p w:rsidR="00BE2B08" w:rsidP="00CC58AE">
            <w:pPr>
              <w:pStyle w:val="Vchodzie"/>
              <w:bidi w:val="0"/>
              <w:spacing w:after="0" w:line="240" w:lineRule="auto"/>
              <w:jc w:val="both"/>
              <w:rPr>
                <w:szCs w:val="24"/>
              </w:rPr>
            </w:pPr>
            <w:r>
              <w:rPr>
                <w:rFonts w:hint="default"/>
                <w:b/>
                <w:i/>
                <w:szCs w:val="24"/>
              </w:rPr>
              <w:t>Regulá</w:t>
            </w:r>
            <w:r>
              <w:rPr>
                <w:rFonts w:hint="default"/>
                <w:b/>
                <w:i/>
                <w:szCs w:val="24"/>
              </w:rPr>
              <w:t>ciou sa zavá</w:t>
            </w:r>
            <w:r>
              <w:rPr>
                <w:rFonts w:hint="default"/>
                <w:b/>
                <w:i/>
                <w:szCs w:val="24"/>
              </w:rPr>
              <w:t>dza nová</w:t>
            </w:r>
            <w:r>
              <w:rPr>
                <w:rFonts w:hint="default"/>
                <w:b/>
                <w:i/>
                <w:szCs w:val="24"/>
              </w:rPr>
              <w:t xml:space="preserve"> povinnosť</w:t>
            </w:r>
            <w:r>
              <w:rPr>
                <w:rFonts w:hint="default"/>
                <w:b/>
                <w:i/>
                <w:szCs w:val="24"/>
              </w:rPr>
              <w:t xml:space="preserve"> veriteľ</w:t>
            </w:r>
            <w:r>
              <w:rPr>
                <w:rFonts w:hint="default"/>
                <w:b/>
                <w:i/>
                <w:szCs w:val="24"/>
              </w:rPr>
              <w:t>ov overovať</w:t>
            </w:r>
            <w:r>
              <w:rPr>
                <w:rFonts w:hint="default"/>
                <w:b/>
                <w:i/>
                <w:szCs w:val="24"/>
              </w:rPr>
              <w:t xml:space="preserve"> schopnosť</w:t>
            </w:r>
            <w:r>
              <w:rPr>
                <w:rFonts w:hint="default"/>
                <w:b/>
                <w:i/>
                <w:szCs w:val="24"/>
              </w:rPr>
              <w:t xml:space="preserve"> spotrebiteľ</w:t>
            </w:r>
            <w:r>
              <w:rPr>
                <w:rFonts w:hint="default"/>
                <w:b/>
                <w:i/>
                <w:szCs w:val="24"/>
              </w:rPr>
              <w:t>a splá</w:t>
            </w:r>
            <w:r>
              <w:rPr>
                <w:rFonts w:hint="default"/>
                <w:b/>
                <w:i/>
                <w:szCs w:val="24"/>
              </w:rPr>
              <w:t>cať</w:t>
            </w:r>
            <w:r>
              <w:rPr>
                <w:rFonts w:hint="default"/>
                <w:b/>
                <w:i/>
                <w:szCs w:val="24"/>
              </w:rPr>
              <w:t xml:space="preserve"> spotrebiteľ</w:t>
            </w:r>
            <w:r>
              <w:rPr>
                <w:rFonts w:hint="default"/>
                <w:b/>
                <w:i/>
                <w:szCs w:val="24"/>
              </w:rPr>
              <w:t>ský</w:t>
            </w:r>
            <w:r>
              <w:rPr>
                <w:rFonts w:hint="default"/>
                <w:b/>
                <w:i/>
                <w:szCs w:val="24"/>
              </w:rPr>
              <w:t xml:space="preserve"> ú</w:t>
            </w:r>
            <w:r>
              <w:rPr>
                <w:rFonts w:hint="default"/>
                <w:b/>
                <w:i/>
                <w:szCs w:val="24"/>
              </w:rPr>
              <w:t>ver. Tá</w:t>
            </w:r>
            <w:r>
              <w:rPr>
                <w:rFonts w:hint="default"/>
                <w:b/>
                <w:i/>
                <w:szCs w:val="24"/>
              </w:rPr>
              <w:t>to povinnosť</w:t>
            </w:r>
            <w:r>
              <w:rPr>
                <w:rFonts w:hint="default"/>
                <w:b/>
                <w:i/>
                <w:szCs w:val="24"/>
              </w:rPr>
              <w:t xml:space="preserve"> doteraz v </w:t>
            </w:r>
            <w:r>
              <w:rPr>
                <w:rFonts w:hint="default"/>
                <w:b/>
                <w:i/>
                <w:szCs w:val="24"/>
              </w:rPr>
              <w:t xml:space="preserve"> regulá</w:t>
            </w:r>
            <w:r>
              <w:rPr>
                <w:rFonts w:hint="default"/>
                <w:b/>
                <w:i/>
                <w:szCs w:val="24"/>
              </w:rPr>
              <w:t>cii nebola a </w:t>
            </w:r>
            <w:r>
              <w:rPr>
                <w:rFonts w:hint="default"/>
                <w:b/>
                <w:i/>
                <w:szCs w:val="24"/>
              </w:rPr>
              <w:t xml:space="preserve"> veritelia neoverovali schopnosť</w:t>
            </w:r>
            <w:r>
              <w:rPr>
                <w:rFonts w:hint="default"/>
                <w:b/>
                <w:i/>
                <w:szCs w:val="24"/>
              </w:rPr>
              <w:t xml:space="preserve"> spotrebiteľ</w:t>
            </w:r>
            <w:r>
              <w:rPr>
                <w:rFonts w:hint="default"/>
                <w:b/>
                <w:i/>
                <w:szCs w:val="24"/>
              </w:rPr>
              <w:t>a splá</w:t>
            </w:r>
            <w:r>
              <w:rPr>
                <w:rFonts w:hint="default"/>
                <w:b/>
                <w:i/>
                <w:szCs w:val="24"/>
              </w:rPr>
              <w:t>cať</w:t>
            </w:r>
            <w:r>
              <w:rPr>
                <w:rFonts w:hint="default"/>
                <w:b/>
                <w:i/>
                <w:szCs w:val="24"/>
              </w:rPr>
              <w:t xml:space="preserve"> spotrebiteľ</w:t>
            </w:r>
            <w:r>
              <w:rPr>
                <w:rFonts w:hint="default"/>
                <w:b/>
                <w:i/>
                <w:szCs w:val="24"/>
              </w:rPr>
              <w:t>ský</w:t>
            </w:r>
            <w:r>
              <w:rPr>
                <w:rFonts w:hint="default"/>
                <w:b/>
                <w:i/>
                <w:szCs w:val="24"/>
              </w:rPr>
              <w:t xml:space="preserve"> ú</w:t>
            </w:r>
            <w:r>
              <w:rPr>
                <w:rFonts w:hint="default"/>
                <w:b/>
                <w:i/>
                <w:szCs w:val="24"/>
              </w:rPr>
              <w:t>ver pri vš</w:t>
            </w:r>
            <w:r>
              <w:rPr>
                <w:rFonts w:hint="default"/>
                <w:b/>
                <w:i/>
                <w:szCs w:val="24"/>
              </w:rPr>
              <w:t>etký</w:t>
            </w:r>
            <w:r>
              <w:rPr>
                <w:rFonts w:hint="default"/>
                <w:b/>
                <w:i/>
                <w:szCs w:val="24"/>
              </w:rPr>
              <w:t>ch ž</w:t>
            </w:r>
            <w:r>
              <w:rPr>
                <w:rFonts w:hint="default"/>
                <w:b/>
                <w:i/>
                <w:szCs w:val="24"/>
              </w:rPr>
              <w:t>iadostiach o </w:t>
            </w:r>
            <w:r>
              <w:rPr>
                <w:rFonts w:hint="default"/>
                <w:b/>
                <w:i/>
                <w:szCs w:val="24"/>
              </w:rPr>
              <w:t xml:space="preserve"> ú</w:t>
            </w:r>
            <w:r>
              <w:rPr>
                <w:rFonts w:hint="default"/>
                <w:b/>
                <w:i/>
                <w:szCs w:val="24"/>
              </w:rPr>
              <w:t>ver. Zavedenie re</w:t>
            </w:r>
            <w:r>
              <w:rPr>
                <w:rFonts w:hint="default"/>
                <w:b/>
                <w:i/>
                <w:szCs w:val="24"/>
              </w:rPr>
              <w:t>g</w:t>
            </w:r>
            <w:r>
              <w:rPr>
                <w:rFonts w:hint="default"/>
                <w:b/>
                <w:i/>
                <w:szCs w:val="24"/>
              </w:rPr>
              <w:t>ulá</w:t>
            </w:r>
            <w:r>
              <w:rPr>
                <w:rFonts w:hint="default"/>
                <w:b/>
                <w:i/>
                <w:szCs w:val="24"/>
              </w:rPr>
              <w:t>cie môž</w:t>
            </w:r>
            <w:r>
              <w:rPr>
                <w:rFonts w:hint="default"/>
                <w:b/>
                <w:i/>
                <w:szCs w:val="24"/>
              </w:rPr>
              <w:t>e viesť</w:t>
            </w:r>
            <w:r>
              <w:rPr>
                <w:rFonts w:hint="default"/>
                <w:b/>
                <w:i/>
                <w:szCs w:val="24"/>
              </w:rPr>
              <w:t xml:space="preserve"> k </w:t>
            </w:r>
            <w:r>
              <w:rPr>
                <w:rFonts w:hint="default"/>
                <w:b/>
                <w:i/>
                <w:szCs w:val="24"/>
              </w:rPr>
              <w:t xml:space="preserve"> tomu, ž</w:t>
            </w:r>
            <w:r>
              <w:rPr>
                <w:rFonts w:hint="default"/>
                <w:b/>
                <w:i/>
                <w:szCs w:val="24"/>
              </w:rPr>
              <w:t>e urč</w:t>
            </w:r>
            <w:r>
              <w:rPr>
                <w:rFonts w:hint="default"/>
                <w:b/>
                <w:i/>
                <w:szCs w:val="24"/>
              </w:rPr>
              <w:t>itá</w:t>
            </w:r>
            <w:r>
              <w:rPr>
                <w:rFonts w:hint="default"/>
                <w:b/>
                <w:i/>
                <w:szCs w:val="24"/>
              </w:rPr>
              <w:t xml:space="preserve"> č</w:t>
            </w:r>
            <w:r>
              <w:rPr>
                <w:rFonts w:hint="default"/>
                <w:b/>
                <w:i/>
                <w:szCs w:val="24"/>
              </w:rPr>
              <w:t>asť</w:t>
            </w:r>
            <w:r>
              <w:rPr>
                <w:rFonts w:hint="default"/>
                <w:b/>
                <w:i/>
                <w:szCs w:val="24"/>
              </w:rPr>
              <w:t xml:space="preserve"> spotrebiteľ</w:t>
            </w:r>
            <w:r>
              <w:rPr>
                <w:rFonts w:hint="default"/>
                <w:b/>
                <w:i/>
                <w:szCs w:val="24"/>
              </w:rPr>
              <w:t>ov nebude spĺň</w:t>
            </w:r>
            <w:r>
              <w:rPr>
                <w:rFonts w:hint="default"/>
                <w:b/>
                <w:i/>
                <w:szCs w:val="24"/>
              </w:rPr>
              <w:t>ať</w:t>
            </w:r>
            <w:r>
              <w:rPr>
                <w:rFonts w:hint="default"/>
                <w:b/>
                <w:i/>
                <w:szCs w:val="24"/>
              </w:rPr>
              <w:t xml:space="preserve"> limity na tento ukazovateľ</w:t>
            </w:r>
            <w:r>
              <w:rPr>
                <w:rFonts w:hint="default"/>
                <w:b/>
                <w:i/>
                <w:szCs w:val="24"/>
              </w:rPr>
              <w:t xml:space="preserve"> a </w:t>
            </w:r>
            <w:r>
              <w:rPr>
                <w:rFonts w:hint="default"/>
                <w:b/>
                <w:i/>
                <w:szCs w:val="24"/>
              </w:rPr>
              <w:t xml:space="preserve"> spotrebiteľ</w:t>
            </w:r>
            <w:r>
              <w:rPr>
                <w:rFonts w:hint="default"/>
                <w:b/>
                <w:i/>
                <w:szCs w:val="24"/>
              </w:rPr>
              <w:t>ský</w:t>
            </w:r>
            <w:r>
              <w:rPr>
                <w:rFonts w:hint="default"/>
                <w:b/>
                <w:i/>
                <w:szCs w:val="24"/>
              </w:rPr>
              <w:t xml:space="preserve"> ú</w:t>
            </w:r>
            <w:r>
              <w:rPr>
                <w:rFonts w:hint="default"/>
                <w:b/>
                <w:i/>
                <w:szCs w:val="24"/>
              </w:rPr>
              <w:t>ver tý</w:t>
            </w:r>
            <w:r>
              <w:rPr>
                <w:rFonts w:hint="default"/>
                <w:b/>
                <w:i/>
                <w:szCs w:val="24"/>
              </w:rPr>
              <w:t>mto klientom nebude poskytnutý</w:t>
            </w:r>
            <w:r>
              <w:rPr>
                <w:rFonts w:hint="default"/>
                <w:b/>
                <w:i/>
                <w:szCs w:val="24"/>
              </w:rPr>
              <w:t>. Vzhľ</w:t>
            </w:r>
            <w:r>
              <w:rPr>
                <w:rFonts w:hint="default"/>
                <w:b/>
                <w:i/>
                <w:szCs w:val="24"/>
              </w:rPr>
              <w:t>adom na neexistenciu relevantný</w:t>
            </w:r>
            <w:r>
              <w:rPr>
                <w:rFonts w:hint="default"/>
                <w:b/>
                <w:i/>
                <w:szCs w:val="24"/>
              </w:rPr>
              <w:t>ch š</w:t>
            </w:r>
            <w:r>
              <w:rPr>
                <w:rFonts w:hint="default"/>
                <w:b/>
                <w:i/>
                <w:szCs w:val="24"/>
              </w:rPr>
              <w:t>tatistický</w:t>
            </w:r>
            <w:r>
              <w:rPr>
                <w:rFonts w:hint="default"/>
                <w:b/>
                <w:i/>
                <w:szCs w:val="24"/>
              </w:rPr>
              <w:t>ch ú</w:t>
            </w:r>
            <w:r>
              <w:rPr>
                <w:rFonts w:hint="default"/>
                <w:b/>
                <w:i/>
                <w:szCs w:val="24"/>
              </w:rPr>
              <w:t>dajov nie je mož</w:t>
            </w:r>
            <w:r>
              <w:rPr>
                <w:rFonts w:hint="default"/>
                <w:b/>
                <w:i/>
                <w:szCs w:val="24"/>
              </w:rPr>
              <w:t>né</w:t>
            </w:r>
            <w:r>
              <w:rPr>
                <w:rFonts w:hint="default"/>
                <w:b/>
                <w:i/>
                <w:szCs w:val="24"/>
              </w:rPr>
              <w:t xml:space="preserve"> odhadnúť</w:t>
            </w:r>
            <w:r>
              <w:rPr>
                <w:rFonts w:hint="default"/>
                <w:b/>
                <w:i/>
                <w:szCs w:val="24"/>
              </w:rPr>
              <w:t>, o </w:t>
            </w:r>
            <w:r>
              <w:rPr>
                <w:rFonts w:hint="default"/>
                <w:b/>
                <w:i/>
                <w:szCs w:val="24"/>
              </w:rPr>
              <w:t xml:space="preserve"> akú</w:t>
            </w:r>
            <w:r>
              <w:rPr>
                <w:rFonts w:hint="default"/>
                <w:b/>
                <w:i/>
                <w:szCs w:val="24"/>
              </w:rPr>
              <w:t xml:space="preserve"> veľ</w:t>
            </w:r>
            <w:r>
              <w:rPr>
                <w:rFonts w:hint="default"/>
                <w:b/>
                <w:i/>
                <w:szCs w:val="24"/>
              </w:rPr>
              <w:t>kú</w:t>
            </w:r>
            <w:r>
              <w:rPr>
                <w:rFonts w:hint="default"/>
                <w:b/>
                <w:i/>
                <w:szCs w:val="24"/>
              </w:rPr>
              <w:t xml:space="preserve"> skupin</w:t>
            </w:r>
            <w:r>
              <w:rPr>
                <w:rFonts w:hint="default"/>
                <w:b/>
                <w:i/>
                <w:szCs w:val="24"/>
              </w:rPr>
              <w:t>u</w:t>
            </w:r>
            <w:r>
              <w:rPr>
                <w:rFonts w:hint="default"/>
                <w:b/>
                <w:i/>
                <w:szCs w:val="24"/>
              </w:rPr>
              <w:t xml:space="preserve"> klientov ide.</w:t>
            </w:r>
          </w:p>
          <w:p w:rsidR="00BE2B08" w:rsidP="00CC58AE">
            <w:pPr>
              <w:pStyle w:val="Vchodzie"/>
              <w:bidi w:val="0"/>
              <w:spacing w:after="0" w:line="240" w:lineRule="auto"/>
              <w:jc w:val="both"/>
              <w:rPr>
                <w:szCs w:val="24"/>
              </w:rPr>
            </w:pPr>
          </w:p>
          <w:p w:rsidR="00BE2B08" w:rsidP="00CC58AE">
            <w:pPr>
              <w:pStyle w:val="Vchodzie"/>
              <w:bidi w:val="0"/>
              <w:spacing w:after="0" w:line="240" w:lineRule="auto"/>
              <w:jc w:val="both"/>
              <w:rPr>
                <w:szCs w:val="24"/>
              </w:rPr>
            </w:pPr>
            <w:r>
              <w:rPr>
                <w:rFonts w:hint="default"/>
                <w:b/>
                <w:i/>
                <w:szCs w:val="24"/>
              </w:rPr>
              <w:t>Nepredpokladá</w:t>
            </w:r>
            <w:r>
              <w:rPr>
                <w:rFonts w:hint="default"/>
                <w:b/>
                <w:i/>
                <w:szCs w:val="24"/>
              </w:rPr>
              <w:t xml:space="preserve"> sa ž</w:t>
            </w:r>
            <w:r>
              <w:rPr>
                <w:rFonts w:hint="default"/>
                <w:b/>
                <w:i/>
                <w:szCs w:val="24"/>
              </w:rPr>
              <w:t>iaden vplyv na cezhranič</w:t>
            </w:r>
            <w:r>
              <w:rPr>
                <w:rFonts w:hint="default"/>
                <w:b/>
                <w:i/>
                <w:szCs w:val="24"/>
              </w:rPr>
              <w:t>né</w:t>
            </w:r>
            <w:r>
              <w:rPr>
                <w:rFonts w:hint="default"/>
                <w:b/>
                <w:i/>
                <w:szCs w:val="24"/>
              </w:rPr>
              <w:t xml:space="preserve"> investí</w:t>
            </w:r>
            <w:r>
              <w:rPr>
                <w:rFonts w:hint="default"/>
                <w:b/>
                <w:i/>
                <w:szCs w:val="24"/>
              </w:rPr>
              <w:t>cie.</w:t>
            </w:r>
          </w:p>
          <w:p w:rsidR="00BE2B08" w:rsidP="00CC58AE">
            <w:pPr>
              <w:pStyle w:val="Vchodzie"/>
              <w:bidi w:val="0"/>
              <w:spacing w:after="0" w:line="240" w:lineRule="auto"/>
              <w:jc w:val="both"/>
              <w:rPr>
                <w:szCs w:val="24"/>
              </w:rPr>
            </w:pPr>
            <w:r>
              <w:rPr>
                <w:rFonts w:hint="default"/>
                <w:b/>
                <w:i/>
                <w:szCs w:val="24"/>
              </w:rPr>
              <w:t>Nepredpokladá</w:t>
            </w:r>
            <w:r>
              <w:rPr>
                <w:rFonts w:hint="default"/>
                <w:b/>
                <w:i/>
                <w:szCs w:val="24"/>
              </w:rPr>
              <w:t xml:space="preserve"> sa ž</w:t>
            </w:r>
            <w:r>
              <w:rPr>
                <w:rFonts w:hint="default"/>
                <w:b/>
                <w:i/>
                <w:szCs w:val="24"/>
              </w:rPr>
              <w:t>iaden vplyv na cenu a </w:t>
            </w:r>
            <w:r>
              <w:rPr>
                <w:rFonts w:hint="default"/>
                <w:b/>
                <w:i/>
                <w:szCs w:val="24"/>
              </w:rPr>
              <w:t xml:space="preserve"> dostupnosť</w:t>
            </w:r>
            <w:r>
              <w:rPr>
                <w:rFonts w:hint="default"/>
                <w:b/>
                <w:i/>
                <w:szCs w:val="24"/>
              </w:rPr>
              <w:t xml:space="preserve"> zá</w:t>
            </w:r>
            <w:r>
              <w:rPr>
                <w:rFonts w:hint="default"/>
                <w:b/>
                <w:i/>
                <w:szCs w:val="24"/>
              </w:rPr>
              <w:t>kladný</w:t>
            </w:r>
            <w:r>
              <w:rPr>
                <w:rFonts w:hint="default"/>
                <w:b/>
                <w:i/>
                <w:szCs w:val="24"/>
              </w:rPr>
              <w:t>ch zdrojov.</w:t>
            </w:r>
          </w:p>
          <w:p w:rsidR="00BE2B08" w:rsidP="00E13521">
            <w:pPr>
              <w:pStyle w:val="Vchodzie"/>
              <w:bidi w:val="0"/>
              <w:spacing w:after="0" w:line="240" w:lineRule="auto"/>
              <w:rPr>
                <w:szCs w:val="24"/>
              </w:rPr>
            </w:pPr>
            <w:r>
              <w:rPr>
                <w:rFonts w:hint="default"/>
                <w:b/>
                <w:i/>
                <w:szCs w:val="24"/>
              </w:rPr>
              <w:t>Nepredpokladá</w:t>
            </w:r>
            <w:r>
              <w:rPr>
                <w:rFonts w:hint="default"/>
                <w:b/>
                <w:i/>
                <w:szCs w:val="24"/>
              </w:rPr>
              <w:t xml:space="preserve"> sa ž</w:t>
            </w:r>
            <w:r>
              <w:rPr>
                <w:rFonts w:hint="default"/>
                <w:b/>
                <w:i/>
                <w:szCs w:val="24"/>
              </w:rPr>
              <w:t>iaden vplyv na prí</w:t>
            </w:r>
            <w:r>
              <w:rPr>
                <w:rFonts w:hint="default"/>
                <w:b/>
                <w:i/>
                <w:szCs w:val="24"/>
              </w:rPr>
              <w:t>stup podnikov k financiá</w:t>
            </w:r>
            <w:r>
              <w:rPr>
                <w:rFonts w:hint="default"/>
                <w:b/>
                <w:i/>
                <w:szCs w:val="24"/>
              </w:rPr>
              <w:t>m.</w:t>
            </w:r>
          </w:p>
          <w:p w:rsidR="00BE2B08" w:rsidP="00E13521">
            <w:pPr>
              <w:pStyle w:val="Vchodzie"/>
              <w:bidi w:val="0"/>
              <w:spacing w:after="200" w:line="276" w:lineRule="auto"/>
              <w:rPr>
                <w:szCs w:val="24"/>
              </w:rPr>
            </w:pP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shd w:val="clear" w:color="auto" w:fill="D9D9D9"/>
            <w:textDirection w:val="lrTb"/>
            <w:vAlign w:val="top"/>
          </w:tcPr>
          <w:p w:rsidR="00BE2B08" w:rsidP="00E13521">
            <w:pPr>
              <w:pStyle w:val="Vchodzie"/>
              <w:bidi w:val="0"/>
              <w:spacing w:after="0" w:line="240" w:lineRule="auto"/>
              <w:rPr>
                <w:szCs w:val="24"/>
              </w:rPr>
            </w:pPr>
            <w:r>
              <w:rPr>
                <w:rFonts w:hint="default"/>
                <w:b/>
                <w:sz w:val="24"/>
                <w:szCs w:val="24"/>
              </w:rPr>
              <w:t>3.5 Inová</w:t>
            </w:r>
            <w:r>
              <w:rPr>
                <w:rFonts w:hint="default"/>
                <w:b/>
                <w:sz w:val="24"/>
                <w:szCs w:val="24"/>
              </w:rPr>
              <w:t xml:space="preserve">cie </w:t>
            </w:r>
          </w:p>
          <w:p w:rsidR="00BE2B08" w:rsidP="00E13521">
            <w:pPr>
              <w:pStyle w:val="Vchodzie"/>
              <w:bidi w:val="0"/>
              <w:spacing w:after="200" w:line="276" w:lineRule="auto"/>
              <w:rPr>
                <w:szCs w:val="24"/>
              </w:rPr>
            </w:pPr>
            <w:r>
              <w:rPr>
                <w:sz w:val="24"/>
                <w:szCs w:val="24"/>
              </w:rPr>
              <w:t xml:space="preserve">       - </w:t>
            </w:r>
            <w:r>
              <w:rPr>
                <w:b/>
                <w:sz w:val="24"/>
                <w:szCs w:val="24"/>
              </w:rPr>
              <w:t>z  toho MSP</w:t>
            </w:r>
          </w:p>
        </w:tc>
      </w:tr>
      <w:tr>
        <w:tblPrEx>
          <w:tblW w:w="0" w:type="auto"/>
          <w:tblLayout w:type="fixed"/>
        </w:tblPrEx>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r>
              <w:rPr>
                <w:rFonts w:hint="default"/>
                <w:i/>
                <w:szCs w:val="24"/>
              </w:rPr>
              <w:t>Uveď</w:t>
            </w:r>
            <w:r>
              <w:rPr>
                <w:rFonts w:hint="default"/>
                <w:i/>
                <w:szCs w:val="24"/>
              </w:rPr>
              <w:t>te, ako podporuje navrhovaná</w:t>
            </w:r>
            <w:r>
              <w:rPr>
                <w:rFonts w:hint="default"/>
                <w:i/>
                <w:szCs w:val="24"/>
              </w:rPr>
              <w:t xml:space="preserve"> zmena inová</w:t>
            </w:r>
            <w:r>
              <w:rPr>
                <w:rFonts w:hint="default"/>
                <w:i/>
                <w:szCs w:val="24"/>
              </w:rPr>
              <w:t>cie.</w:t>
            </w:r>
          </w:p>
          <w:p w:rsidR="00BE2B08" w:rsidP="00CC58AE">
            <w:pPr>
              <w:pStyle w:val="Vchodzie"/>
              <w:bidi w:val="0"/>
              <w:spacing w:after="0" w:line="240" w:lineRule="auto"/>
              <w:jc w:val="both"/>
              <w:rPr>
                <w:szCs w:val="24"/>
              </w:rPr>
            </w:pPr>
            <w:r>
              <w:rPr>
                <w:rFonts w:hint="default"/>
                <w:i/>
                <w:szCs w:val="24"/>
              </w:rPr>
              <w:t>Zjednoduš</w:t>
            </w:r>
            <w:r>
              <w:rPr>
                <w:rFonts w:hint="default"/>
                <w:i/>
                <w:szCs w:val="24"/>
              </w:rPr>
              <w:t>uje uvedenie alebo rozší</w:t>
            </w:r>
            <w:r>
              <w:rPr>
                <w:rFonts w:hint="default"/>
                <w:i/>
                <w:szCs w:val="24"/>
              </w:rPr>
              <w:t>renie nový</w:t>
            </w:r>
            <w:r>
              <w:rPr>
                <w:rFonts w:hint="default"/>
                <w:i/>
                <w:szCs w:val="24"/>
              </w:rPr>
              <w:t>ch vý</w:t>
            </w:r>
            <w:r>
              <w:rPr>
                <w:rFonts w:hint="default"/>
                <w:i/>
                <w:szCs w:val="24"/>
              </w:rPr>
              <w:t>robný</w:t>
            </w:r>
            <w:r>
              <w:rPr>
                <w:rFonts w:hint="default"/>
                <w:i/>
                <w:szCs w:val="24"/>
              </w:rPr>
              <w:t>ch metó</w:t>
            </w:r>
            <w:r>
              <w:rPr>
                <w:rFonts w:hint="default"/>
                <w:i/>
                <w:szCs w:val="24"/>
              </w:rPr>
              <w:t>d, technoló</w:t>
            </w:r>
            <w:r>
              <w:rPr>
                <w:rFonts w:hint="default"/>
                <w:i/>
                <w:szCs w:val="24"/>
              </w:rPr>
              <w:t>gií</w:t>
            </w:r>
            <w:r>
              <w:rPr>
                <w:rFonts w:hint="default"/>
                <w:i/>
                <w:szCs w:val="24"/>
              </w:rPr>
              <w:t xml:space="preserve"> a vý</w:t>
            </w:r>
            <w:r>
              <w:rPr>
                <w:rFonts w:hint="default"/>
                <w:i/>
                <w:szCs w:val="24"/>
              </w:rPr>
              <w:t>robkov na trh?</w:t>
            </w:r>
          </w:p>
          <w:p w:rsidR="00BE2B08" w:rsidP="00CC58AE">
            <w:pPr>
              <w:pStyle w:val="Vchodzie"/>
              <w:bidi w:val="0"/>
              <w:spacing w:after="0" w:line="240" w:lineRule="auto"/>
              <w:jc w:val="both"/>
              <w:rPr>
                <w:szCs w:val="24"/>
              </w:rPr>
            </w:pPr>
            <w:r>
              <w:rPr>
                <w:rFonts w:hint="default"/>
                <w:i/>
                <w:szCs w:val="24"/>
              </w:rPr>
              <w:t>Uveď</w:t>
            </w:r>
            <w:r>
              <w:rPr>
                <w:rFonts w:hint="default"/>
                <w:i/>
                <w:szCs w:val="24"/>
              </w:rPr>
              <w:t>te, ako vplý</w:t>
            </w:r>
            <w:r>
              <w:rPr>
                <w:rFonts w:hint="default"/>
                <w:i/>
                <w:szCs w:val="24"/>
              </w:rPr>
              <w:t>va navrhovaná</w:t>
            </w:r>
            <w:r>
              <w:rPr>
                <w:rFonts w:hint="default"/>
                <w:i/>
                <w:szCs w:val="24"/>
              </w:rPr>
              <w:t xml:space="preserve"> zmena na jednotlivé</w:t>
            </w:r>
            <w:r>
              <w:rPr>
                <w:rFonts w:hint="default"/>
                <w:i/>
                <w:szCs w:val="24"/>
              </w:rPr>
              <w:t xml:space="preserve"> prá</w:t>
            </w:r>
            <w:r>
              <w:rPr>
                <w:rFonts w:hint="default"/>
                <w:i/>
                <w:szCs w:val="24"/>
              </w:rPr>
              <w:t>va duš</w:t>
            </w:r>
            <w:r>
              <w:rPr>
                <w:rFonts w:hint="default"/>
                <w:i/>
                <w:szCs w:val="24"/>
              </w:rPr>
              <w:t>evné</w:t>
            </w:r>
            <w:r>
              <w:rPr>
                <w:rFonts w:hint="default"/>
                <w:i/>
                <w:szCs w:val="24"/>
              </w:rPr>
              <w:t>ho vlastní</w:t>
            </w:r>
            <w:r>
              <w:rPr>
                <w:rFonts w:hint="default"/>
                <w:i/>
                <w:szCs w:val="24"/>
              </w:rPr>
              <w:t>ctva (napr. patenty, ochranné</w:t>
            </w:r>
            <w:r>
              <w:rPr>
                <w:rFonts w:hint="default"/>
                <w:i/>
                <w:szCs w:val="24"/>
              </w:rPr>
              <w:t xml:space="preserve"> zná</w:t>
            </w:r>
            <w:r>
              <w:rPr>
                <w:rFonts w:hint="default"/>
                <w:i/>
                <w:szCs w:val="24"/>
              </w:rPr>
              <w:t>mky, autors</w:t>
            </w:r>
            <w:r>
              <w:rPr>
                <w:rFonts w:hint="default"/>
                <w:i/>
                <w:szCs w:val="24"/>
              </w:rPr>
              <w:t>ké</w:t>
            </w:r>
            <w:r>
              <w:rPr>
                <w:rFonts w:hint="default"/>
                <w:i/>
                <w:szCs w:val="24"/>
              </w:rPr>
              <w:t xml:space="preserve"> prá</w:t>
            </w:r>
            <w:r>
              <w:rPr>
                <w:rFonts w:hint="default"/>
                <w:i/>
                <w:szCs w:val="24"/>
              </w:rPr>
              <w:t>va, vlastní</w:t>
            </w:r>
            <w:r>
              <w:rPr>
                <w:rFonts w:hint="default"/>
                <w:i/>
                <w:szCs w:val="24"/>
              </w:rPr>
              <w:t>ctvo know-how).</w:t>
            </w:r>
          </w:p>
          <w:p w:rsidR="00BE2B08" w:rsidP="00CC58AE">
            <w:pPr>
              <w:pStyle w:val="Vchodzie"/>
              <w:bidi w:val="0"/>
              <w:spacing w:after="0" w:line="240" w:lineRule="auto"/>
              <w:jc w:val="both"/>
              <w:rPr>
                <w:szCs w:val="24"/>
              </w:rPr>
            </w:pPr>
            <w:r>
              <w:rPr>
                <w:rFonts w:hint="default"/>
                <w:i/>
                <w:szCs w:val="24"/>
              </w:rPr>
              <w:t>Podporuje vyšš</w:t>
            </w:r>
            <w:r>
              <w:rPr>
                <w:rFonts w:hint="default"/>
                <w:i/>
                <w:szCs w:val="24"/>
              </w:rPr>
              <w:t>iu efektivitu vý</w:t>
            </w:r>
            <w:r>
              <w:rPr>
                <w:rFonts w:hint="default"/>
                <w:i/>
                <w:szCs w:val="24"/>
              </w:rPr>
              <w:t>roby/využí</w:t>
            </w:r>
            <w:r>
              <w:rPr>
                <w:rFonts w:hint="default"/>
                <w:i/>
                <w:szCs w:val="24"/>
              </w:rPr>
              <w:t>vania zdrojov? Ak á</w:t>
            </w:r>
            <w:r>
              <w:rPr>
                <w:rFonts w:hint="default"/>
                <w:i/>
                <w:szCs w:val="24"/>
              </w:rPr>
              <w:t>no, ako?</w:t>
            </w:r>
          </w:p>
          <w:p w:rsidR="00BE2B08" w:rsidP="00CC58AE">
            <w:pPr>
              <w:pStyle w:val="Vchodzie"/>
              <w:bidi w:val="0"/>
              <w:spacing w:after="200" w:line="276" w:lineRule="auto"/>
              <w:jc w:val="both"/>
              <w:rPr>
                <w:szCs w:val="24"/>
              </w:rPr>
            </w:pPr>
            <w:r>
              <w:rPr>
                <w:rFonts w:hint="default"/>
                <w:i/>
                <w:szCs w:val="24"/>
              </w:rPr>
              <w:t>Vytvorí</w:t>
            </w:r>
            <w:r>
              <w:rPr>
                <w:rFonts w:hint="default"/>
                <w:i/>
                <w:szCs w:val="24"/>
              </w:rPr>
              <w:t xml:space="preserve"> zmena nové</w:t>
            </w:r>
            <w:r>
              <w:rPr>
                <w:rFonts w:hint="default"/>
                <w:i/>
                <w:szCs w:val="24"/>
              </w:rPr>
              <w:t xml:space="preserve"> pracovné</w:t>
            </w:r>
            <w:r>
              <w:rPr>
                <w:rFonts w:hint="default"/>
                <w:i/>
                <w:szCs w:val="24"/>
              </w:rPr>
              <w:t xml:space="preserve"> miesta pre zamestnancov vý</w:t>
            </w:r>
            <w:r>
              <w:rPr>
                <w:rFonts w:hint="default"/>
                <w:i/>
                <w:szCs w:val="24"/>
              </w:rPr>
              <w:t>skumu a vý</w:t>
            </w:r>
            <w:r>
              <w:rPr>
                <w:rFonts w:hint="default"/>
                <w:i/>
                <w:szCs w:val="24"/>
              </w:rPr>
              <w:t>voja v  SR?</w:t>
            </w:r>
          </w:p>
        </w:tc>
      </w:tr>
      <w:tr>
        <w:tblPrEx>
          <w:tblW w:w="0" w:type="auto"/>
          <w:tblLayout w:type="fixed"/>
        </w:tblPrEx>
        <w:trPr>
          <w:trHeight w:val="1488"/>
        </w:trPr>
        <w:tc>
          <w:tcPr>
            <w:tcW w:w="9320" w:type="dxa"/>
            <w:tcBorders>
              <w:top w:val="single" w:sz="2" w:space="0" w:color="000000"/>
              <w:left w:val="single" w:sz="2" w:space="0" w:color="000000"/>
              <w:bottom w:val="single" w:sz="2" w:space="0" w:color="000000"/>
              <w:right w:val="single" w:sz="2" w:space="0" w:color="000000"/>
            </w:tcBorders>
            <w:textDirection w:val="lrTb"/>
            <w:vAlign w:val="top"/>
          </w:tcPr>
          <w:p w:rsidR="00BE2B08" w:rsidP="00E13521">
            <w:pPr>
              <w:pStyle w:val="Vchodzie"/>
              <w:bidi w:val="0"/>
              <w:spacing w:after="0" w:line="240" w:lineRule="auto"/>
              <w:rPr>
                <w:szCs w:val="24"/>
              </w:rPr>
            </w:pPr>
          </w:p>
          <w:p w:rsidR="00BE2B08" w:rsidP="00CC58AE">
            <w:pPr>
              <w:pStyle w:val="Vchodzie"/>
              <w:bidi w:val="0"/>
              <w:spacing w:after="0" w:line="240" w:lineRule="auto"/>
              <w:rPr>
                <w:szCs w:val="24"/>
              </w:rPr>
            </w:pPr>
            <w:r>
              <w:rPr>
                <w:rFonts w:hint="default"/>
                <w:b/>
                <w:i/>
                <w:szCs w:val="24"/>
              </w:rPr>
              <w:t>Nepredpokladá</w:t>
            </w:r>
            <w:r>
              <w:rPr>
                <w:rFonts w:hint="default"/>
                <w:b/>
                <w:i/>
                <w:szCs w:val="24"/>
              </w:rPr>
              <w:t xml:space="preserve"> sa ž</w:t>
            </w:r>
            <w:r>
              <w:rPr>
                <w:rFonts w:hint="default"/>
                <w:b/>
                <w:i/>
                <w:szCs w:val="24"/>
              </w:rPr>
              <w:t>iaden vplyv na inová</w:t>
            </w:r>
            <w:r>
              <w:rPr>
                <w:rFonts w:hint="default"/>
                <w:b/>
                <w:i/>
                <w:szCs w:val="24"/>
              </w:rPr>
              <w:t>cie.</w:t>
            </w:r>
          </w:p>
        </w:tc>
      </w:tr>
    </w:tbl>
    <w:p w:rsidR="00F514A7" w:rsidP="00BE2B08">
      <w:pPr>
        <w:pStyle w:val="Vchodzie"/>
        <w:bidi w:val="0"/>
        <w:rPr>
          <w:szCs w:val="24"/>
        </w:rPr>
      </w:pPr>
    </w:p>
    <w:p w:rsidR="00AA2F0B" w:rsidP="00BE2B08">
      <w:pPr>
        <w:pStyle w:val="Vchodzie"/>
        <w:bidi w:val="0"/>
        <w:rPr>
          <w:szCs w:val="24"/>
        </w:rPr>
      </w:pPr>
    </w:p>
    <w:p w:rsidR="00F514A7" w:rsidP="00BE2B08">
      <w:pPr>
        <w:pStyle w:val="Vchodzie"/>
        <w:bidi w:val="0"/>
        <w:rPr>
          <w:szCs w:val="24"/>
        </w:rPr>
      </w:pPr>
    </w:p>
    <w:p w:rsidR="00F514A7" w:rsidP="00BE2B08">
      <w:pPr>
        <w:pStyle w:val="Vchodzie"/>
        <w:bidi w:val="0"/>
        <w:rPr>
          <w:szCs w:val="24"/>
        </w:rPr>
      </w:pPr>
    </w:p>
    <w:p w:rsidR="00BE2B08" w:rsidP="00F1200A">
      <w:pPr>
        <w:widowControl/>
        <w:bidi w:val="0"/>
        <w:jc w:val="both"/>
        <w:rPr>
          <w:rFonts w:ascii="Times New Roman" w:hAnsi="Times New Roman"/>
          <w:b/>
          <w:sz w:val="22"/>
          <w:szCs w:val="22"/>
        </w:rPr>
      </w:pPr>
    </w:p>
    <w:tbl>
      <w:tblPr>
        <w:tblStyle w:val="TableNormal"/>
        <w:tblW w:w="0" w:type="auto"/>
        <w:jc w:val="center"/>
        <w:tblBorders>
          <w:top w:val="single" w:sz="4" w:space="0" w:color="auto"/>
          <w:left w:val="single" w:sz="4" w:space="0" w:color="auto"/>
          <w:bottom w:val="single" w:sz="4" w:space="0" w:color="auto"/>
          <w:right w:val="single" w:sz="4" w:space="0" w:color="auto"/>
        </w:tblBorders>
        <w:tblLayout w:type="fixed"/>
        <w:tblCellMar>
          <w:top w:w="0" w:type="dxa"/>
          <w:bottom w:w="0" w:type="dxa"/>
        </w:tblCellMar>
      </w:tblPr>
      <w:tblGrid>
        <w:gridCol w:w="4802"/>
        <w:gridCol w:w="4803"/>
      </w:tblGrid>
      <w:tr>
        <w:tblPrEx>
          <w:tblW w:w="0" w:type="auto"/>
          <w:jc w:val="center"/>
          <w:tblBorders>
            <w:top w:val="single" w:sz="4" w:space="0" w:color="auto"/>
            <w:left w:val="single" w:sz="4" w:space="0" w:color="auto"/>
            <w:bottom w:val="single" w:sz="4" w:space="0" w:color="auto"/>
            <w:right w:val="single" w:sz="4" w:space="0" w:color="auto"/>
          </w:tblBorders>
          <w:tblLayout w:type="fixed"/>
          <w:tblCellMar>
            <w:top w:w="0" w:type="dxa"/>
            <w:bottom w:w="0" w:type="dxa"/>
          </w:tblCellMar>
        </w:tblPrEx>
        <w:trPr>
          <w:trHeight w:val="534"/>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16C3">
            <w:pPr>
              <w:widowControl/>
              <w:autoSpaceDE w:val="0"/>
              <w:autoSpaceDN w:val="0"/>
              <w:bidi w:val="0"/>
              <w:spacing w:after="0" w:line="240" w:lineRule="auto"/>
              <w:ind w:left="-284" w:firstLine="284"/>
              <w:jc w:val="center"/>
              <w:rPr>
                <w:rFonts w:ascii="Times New Roman" w:hAnsi="Times New Roman"/>
                <w:b/>
                <w:bCs/>
                <w:sz w:val="22"/>
                <w:szCs w:val="22"/>
              </w:rPr>
            </w:pPr>
            <w:r>
              <w:rPr>
                <w:rFonts w:ascii="Times New Roman" w:hAnsi="Times New Roman"/>
                <w:b/>
                <w:bCs/>
                <w:sz w:val="28"/>
                <w:szCs w:val="28"/>
              </w:rPr>
              <w:t>Analýza sociálnych vplyvov</w:t>
            </w:r>
          </w:p>
          <w:p w:rsidR="003416C3">
            <w:pPr>
              <w:widowControl/>
              <w:autoSpaceDE w:val="0"/>
              <w:autoSpaceDN w:val="0"/>
              <w:bidi w:val="0"/>
              <w:spacing w:after="0" w:line="240" w:lineRule="auto"/>
              <w:jc w:val="center"/>
              <w:rPr>
                <w:rFonts w:ascii="Times New Roman" w:hAnsi="Times New Roman"/>
                <w:b/>
                <w:bCs/>
                <w:sz w:val="22"/>
                <w:szCs w:val="22"/>
              </w:rPr>
            </w:pPr>
            <w:r>
              <w:rPr>
                <w:rFonts w:ascii="Times New Roman" w:hAnsi="Times New Roman"/>
                <w:b/>
                <w:bCs/>
              </w:rPr>
              <w:t>Vplyvy na hospodárenie domácností, prístup k zdrojom, právam, tovarom a službám, sociálnu inklúziu, rovnosť príležitostí a rodovú rovnosť a vplyvy na zamestnanosť</w:t>
            </w:r>
          </w:p>
        </w:tc>
      </w:tr>
      <w:tr>
        <w:tblPrEx>
          <w:tblW w:w="0" w:type="auto"/>
          <w:jc w:val="center"/>
          <w:tblLayout w:type="fixed"/>
          <w:tblCellMar>
            <w:top w:w="0" w:type="dxa"/>
            <w:bottom w:w="0" w:type="dxa"/>
          </w:tblCellMar>
        </w:tblPrEx>
        <w:trPr>
          <w:jc w:val="center"/>
        </w:trPr>
        <w:tc>
          <w:tcPr>
            <w:tcW w:w="9605" w:type="dxa"/>
            <w:gridSpan w:val="2"/>
            <w:tcBorders>
              <w:top w:val="single" w:sz="4" w:space="0" w:color="auto"/>
              <w:left w:val="single" w:sz="4" w:space="0" w:color="auto"/>
              <w:bottom w:val="nil"/>
              <w:right w:val="single" w:sz="4" w:space="0" w:color="auto"/>
            </w:tcBorders>
            <w:shd w:val="clear" w:color="auto" w:fill="D9D9D9"/>
            <w:textDirection w:val="lrTb"/>
            <w:vAlign w:val="top"/>
          </w:tcPr>
          <w:p w:rsidR="003416C3">
            <w:pPr>
              <w:widowControl/>
              <w:autoSpaceDE w:val="0"/>
              <w:autoSpaceDN w:val="0"/>
              <w:bidi w:val="0"/>
              <w:spacing w:after="0" w:line="240" w:lineRule="auto"/>
              <w:rPr>
                <w:rFonts w:ascii="Times New Roman" w:hAnsi="Times New Roman"/>
                <w:b/>
                <w:bCs/>
              </w:rPr>
            </w:pPr>
            <w:r>
              <w:rPr>
                <w:rFonts w:ascii="Times New Roman" w:hAnsi="Times New Roman"/>
                <w:b/>
                <w:bCs/>
                <w:sz w:val="22"/>
                <w:szCs w:val="22"/>
              </w:rPr>
              <w:t xml:space="preserve">4.1 </w:t>
            </w:r>
            <w:r>
              <w:rPr>
                <w:rFonts w:ascii="Times New Roman" w:hAnsi="Times New Roman"/>
                <w:b/>
                <w:bCs/>
              </w:rPr>
              <w:t>Identifikujte, popíšte a kvantifikujte vplyv na hospodárenie domácností a špecifikujte ovplyvnené skupiny domácností, ktoré budú pozitívne/negatívne ovplyvnené.</w:t>
            </w:r>
          </w:p>
        </w:tc>
      </w:tr>
      <w:tr>
        <w:tblPrEx>
          <w:tblW w:w="0" w:type="auto"/>
          <w:jc w:val="center"/>
          <w:tblLayout w:type="fixed"/>
          <w:tblCellMar>
            <w:top w:w="0" w:type="dxa"/>
            <w:bottom w:w="0" w:type="dxa"/>
          </w:tblCellMar>
        </w:tblPrEx>
        <w:trPr>
          <w:trHeight w:val="736"/>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rPr>
                <w:rFonts w:ascii="Times New Roman" w:hAnsi="Times New Roman"/>
                <w:i/>
                <w:iCs/>
                <w:sz w:val="20"/>
                <w:szCs w:val="20"/>
              </w:rPr>
            </w:pPr>
            <w:r>
              <w:rPr>
                <w:rFonts w:ascii="Times New Roman" w:hAnsi="Times New Roman"/>
                <w:i/>
                <w:iCs/>
                <w:sz w:val="20"/>
                <w:szCs w:val="20"/>
              </w:rPr>
              <w:t xml:space="preserve">Vedie návrh k zvýšeniu alebo zníženiu príjmov alebo výdavkov domácností? </w:t>
            </w:r>
          </w:p>
          <w:p w:rsidR="003416C3">
            <w:pPr>
              <w:widowControl/>
              <w:autoSpaceDE w:val="0"/>
              <w:autoSpaceDN w:val="0"/>
              <w:bidi w:val="0"/>
              <w:spacing w:after="0" w:line="240" w:lineRule="auto"/>
              <w:rPr>
                <w:rFonts w:ascii="Times New Roman" w:hAnsi="Times New Roman"/>
                <w:i/>
                <w:iCs/>
                <w:sz w:val="20"/>
                <w:szCs w:val="20"/>
              </w:rPr>
            </w:pPr>
            <w:r>
              <w:rPr>
                <w:rFonts w:ascii="Times New Roman" w:hAnsi="Times New Roman"/>
                <w:i/>
                <w:iCs/>
                <w:sz w:val="20"/>
                <w:szCs w:val="20"/>
              </w:rPr>
              <w:t xml:space="preserve">Ktoré skupiny domácností/obyvateľstva sú takto ovplyvnené a akým spôsobom? </w:t>
            </w:r>
          </w:p>
          <w:p w:rsidR="003416C3">
            <w:pPr>
              <w:widowControl/>
              <w:autoSpaceDE w:val="0"/>
              <w:autoSpaceDN w:val="0"/>
              <w:bidi w:val="0"/>
              <w:spacing w:after="0" w:line="240" w:lineRule="auto"/>
              <w:rPr>
                <w:rFonts w:ascii="Calibri" w:hAnsi="Calibri" w:cs="Calibri"/>
                <w:i/>
                <w:iCs/>
                <w:sz w:val="20"/>
                <w:szCs w:val="20"/>
              </w:rPr>
            </w:pPr>
            <w:r>
              <w:rPr>
                <w:rFonts w:ascii="Times New Roman" w:hAnsi="Times New Roman"/>
                <w:i/>
                <w:iCs/>
                <w:sz w:val="20"/>
                <w:szCs w:val="20"/>
              </w:rPr>
              <w:t>Sú medzi potenciálne ovplyvnenými skupinami skupiny v riziku chudoby alebo sociálneho vylúčenia?</w:t>
            </w:r>
          </w:p>
        </w:tc>
      </w:tr>
      <w:tr>
        <w:tblPrEx>
          <w:tblW w:w="0" w:type="auto"/>
          <w:jc w:val="center"/>
          <w:tblLayout w:type="fixed"/>
          <w:tblCellMar>
            <w:top w:w="0" w:type="dxa"/>
            <w:bottom w:w="0" w:type="dxa"/>
          </w:tblCellMar>
        </w:tblPrEx>
        <w:trPr>
          <w:trHeight w:val="759"/>
          <w:jc w:val="center"/>
        </w:trPr>
        <w:tc>
          <w:tcPr>
            <w:tcW w:w="4802" w:type="dxa"/>
            <w:tcBorders>
              <w:top w:val="nil"/>
              <w:left w:val="single" w:sz="4" w:space="0" w:color="auto"/>
              <w:bottom w:val="single" w:sz="4" w:space="0" w:color="auto"/>
              <w:right w:val="single" w:sz="4" w:space="0" w:color="auto"/>
            </w:tcBorders>
            <w:textDirection w:val="lrTb"/>
            <w:vAlign w:val="top"/>
          </w:tcPr>
          <w:p w:rsidR="003416C3" w:rsidP="00CC58AE">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 xml:space="preserve">Popíšte </w:t>
            </w:r>
            <w:r>
              <w:rPr>
                <w:rFonts w:ascii="Times New Roman" w:hAnsi="Times New Roman"/>
                <w:b/>
                <w:bCs/>
                <w:i/>
                <w:iCs/>
                <w:sz w:val="20"/>
                <w:szCs w:val="20"/>
              </w:rPr>
              <w:t>pozitívny</w:t>
            </w:r>
            <w:r>
              <w:rPr>
                <w:rFonts w:ascii="Times New Roman" w:hAnsi="Times New Roman"/>
                <w:i/>
                <w:iCs/>
                <w:sz w:val="20"/>
                <w:szCs w:val="20"/>
              </w:rPr>
              <w:t xml:space="preserve"> vplyv na hospodárenie domácností s uvedením, či ide o zvýšenie príjmov alebo zníženie výdavkov:</w:t>
            </w:r>
          </w:p>
        </w:tc>
        <w:tc>
          <w:tcPr>
            <w:tcW w:w="4803" w:type="dxa"/>
            <w:tcBorders>
              <w:top w:val="nil"/>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 xml:space="preserve">Vplyv predloženého návrhu má pozitívny vplyv na hospodárenie aj tvorbu čistého bohatstva domácností, keďže jeho cieľom je prispieť k obozretnému poskytovaniu spotrebiteľských úverov. Od veriteľov sa vyžaduje, aby poskytnutá výška dlhu neprevyšovala spotrebiteľovu schopnosť splácať dlh, s prihliadnutím na jeho príjmy a výdavky na životné potreby aj iné finančné záväzky. Návrh nemá priamy vplyv na príjmy alebo výdavky domácností, ale pozitívne ovplyvňuje ich hospodárenie tým, že zabráni poskytovaniu úverov, ktoré by domácnosti neskôr nedokázali splácať. Návrh vyžaduje, aby veriteľ aplikoval výpočet schopnosti spotrebiteľa splácať úver, vrátane limitov pre tento ukazovateľ, a to na základe zdokladovaných a overených údajov o príjmoch z dôveryhodného zdroja, obozretne stanovil maximálnu lehotu splatnosti a podmienky splácania úveru v praxi. Národná banka Slovenska môže tieto štandardy obozretného poskytovania spotrebiteľských úverov bližšie špecifikovať opatrením. </w:t>
            </w:r>
          </w:p>
          <w:p w:rsidR="003416C3">
            <w:pPr>
              <w:widowControl/>
              <w:autoSpaceDE w:val="0"/>
              <w:autoSpaceDN w:val="0"/>
              <w:bidi w:val="0"/>
              <w:spacing w:after="0" w:line="240" w:lineRule="auto"/>
              <w:jc w:val="both"/>
              <w:rPr>
                <w:rFonts w:ascii="Times New Roman" w:hAnsi="Times New Roman"/>
                <w:sz w:val="20"/>
                <w:szCs w:val="20"/>
              </w:rPr>
            </w:pPr>
          </w:p>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 xml:space="preserve">Úvery retailu rastú rýchlym tempom, až 12,2 % medziročne v marci 2016. K tomuto rastu významne prispievajú aj spotrebiteľské úvery, pri ktorých bolo tempo medziročného rastu až na úrovni 15,7 %. Toto tempo rastu spotrebiteľských úverov radí Slovensko medzi krajiny EÚ s najrýchlejšie rastúcim objemom spotrebiteľských úverov. </w:t>
            </w:r>
          </w:p>
          <w:p w:rsidR="003416C3">
            <w:pPr>
              <w:widowControl/>
              <w:autoSpaceDE w:val="0"/>
              <w:autoSpaceDN w:val="0"/>
              <w:bidi w:val="0"/>
              <w:spacing w:after="0" w:line="240" w:lineRule="auto"/>
              <w:jc w:val="both"/>
              <w:rPr>
                <w:rFonts w:ascii="Times New Roman" w:hAnsi="Times New Roman"/>
                <w:sz w:val="20"/>
                <w:szCs w:val="20"/>
              </w:rPr>
            </w:pPr>
          </w:p>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 xml:space="preserve">Pri porovnaní s krajinami strednej a východnej Európy je zrejmé, že slovenské domácnosti patria medzi najviac zadlžené, pričom medziročný rast ich dlhu je v tejto skupine najvyšší. Dlh je v rámci sektora domácností z hľadiska porovnania s inými krajinami navyše pomerne koncentrovaný, Hlavným faktorom je predovšetkým pokračujúci pokles úrokových mier. Klienti však často nevyužívajú pokles úrokovej sadzby na zníženie splátok, ale na ďalšie zvýšenie svojho dlhu a znižovanie svojej finančnej rezervy. Tieto trendy vytvárajú zvýšenú potrebu legislatívnej implementácie obozretných pravidiel poskytovania spotrebiteľských úverov, a to pre všetkých poskytovateľov týchto úverov. </w:t>
            </w:r>
          </w:p>
          <w:p w:rsidR="003416C3">
            <w:pPr>
              <w:widowControl/>
              <w:autoSpaceDE w:val="0"/>
              <w:autoSpaceDN w:val="0"/>
              <w:bidi w:val="0"/>
              <w:spacing w:after="0" w:line="240" w:lineRule="auto"/>
              <w:jc w:val="both"/>
              <w:rPr>
                <w:rFonts w:ascii="Times New Roman" w:hAnsi="Times New Roman"/>
                <w:sz w:val="20"/>
                <w:szCs w:val="20"/>
              </w:rPr>
            </w:pPr>
          </w:p>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 xml:space="preserve">Predkladaný návrh navyše nadväzuje na Zákon č. 90/2016 Z. z. o úveroch na bývanie, ktorý podobné zásady obozretného poskytovania ustanovil pre úvery na bývanie. </w:t>
            </w:r>
          </w:p>
        </w:tc>
      </w:tr>
      <w:tr>
        <w:tblPrEx>
          <w:tblW w:w="0" w:type="auto"/>
          <w:jc w:val="center"/>
          <w:tblLayout w:type="fixed"/>
          <w:tblCellMar>
            <w:top w:w="0" w:type="dxa"/>
            <w:bottom w:w="0" w:type="dxa"/>
          </w:tblCellMar>
        </w:tblPrEx>
        <w:trPr>
          <w:trHeight w:val="624"/>
          <w:jc w:val="center"/>
        </w:trPr>
        <w:tc>
          <w:tcPr>
            <w:tcW w:w="4802"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Times New Roman" w:hAnsi="Times New Roman"/>
                <w:i/>
                <w:iCs/>
                <w:sz w:val="20"/>
                <w:szCs w:val="20"/>
              </w:rPr>
            </w:pPr>
            <w:r>
              <w:rPr>
                <w:rFonts w:ascii="Times New Roman" w:hAnsi="Times New Roman"/>
                <w:i/>
                <w:iCs/>
                <w:sz w:val="20"/>
                <w:szCs w:val="20"/>
              </w:rPr>
              <w:t xml:space="preserve">Špecifikujte </w:t>
            </w:r>
            <w:r>
              <w:rPr>
                <w:rFonts w:ascii="Times New Roman" w:hAnsi="Times New Roman"/>
                <w:b/>
                <w:bCs/>
                <w:i/>
                <w:iCs/>
                <w:sz w:val="20"/>
                <w:szCs w:val="20"/>
              </w:rPr>
              <w:t>pozitívne</w:t>
            </w:r>
            <w:r>
              <w:rPr>
                <w:rFonts w:ascii="Times New Roman" w:hAnsi="Times New Roman"/>
                <w:i/>
                <w:iCs/>
                <w:sz w:val="20"/>
                <w:szCs w:val="20"/>
              </w:rPr>
              <w:t xml:space="preserve"> ovplyvnené skupiny:</w:t>
            </w:r>
          </w:p>
        </w:tc>
        <w:tc>
          <w:tcPr>
            <w:tcW w:w="4803"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Pozitívny vplyv sa predpokladá najmä pri tých skupinách domácností, ktoré sú najviac zadlžené, najmä prostredníctvom spotrebiteľských úverov. Štúdia Národnej banky Slovenska preukázala negatívny vplyv príliš veľkého zadlženia domácností prostredníctvom spotrebiteľských úverov na čisté bohatstvo zadlžených domácností, keďže domácností tieto úvery používajú najmä na okamžitú spotrebu a nie na investície do svojho majetku (zdroj: Zavadil, T. a Messner, T., 2015: Are indebted households poorer? Evidence from Slovakia, NBS WP 2/2015).</w:t>
            </w:r>
          </w:p>
        </w:tc>
      </w:tr>
      <w:tr>
        <w:tblPrEx>
          <w:tblW w:w="0" w:type="auto"/>
          <w:jc w:val="center"/>
          <w:tblLayout w:type="fixed"/>
          <w:tblCellMar>
            <w:top w:w="0" w:type="dxa"/>
            <w:bottom w:w="0" w:type="dxa"/>
          </w:tblCellMar>
        </w:tblPrEx>
        <w:trPr>
          <w:trHeight w:val="759"/>
          <w:jc w:val="center"/>
        </w:trPr>
        <w:tc>
          <w:tcPr>
            <w:tcW w:w="4802" w:type="dxa"/>
            <w:tcBorders>
              <w:top w:val="single" w:sz="4" w:space="0" w:color="auto"/>
              <w:left w:val="single" w:sz="4" w:space="0" w:color="auto"/>
              <w:bottom w:val="single" w:sz="4" w:space="0" w:color="auto"/>
              <w:right w:val="single" w:sz="4" w:space="0" w:color="auto"/>
            </w:tcBorders>
            <w:textDirection w:val="lrTb"/>
            <w:vAlign w:val="top"/>
          </w:tcPr>
          <w:p w:rsidR="003416C3" w:rsidP="00CC58AE">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 xml:space="preserve">Popíšte </w:t>
            </w:r>
            <w:r>
              <w:rPr>
                <w:rFonts w:ascii="Times New Roman" w:hAnsi="Times New Roman"/>
                <w:b/>
                <w:bCs/>
                <w:i/>
                <w:iCs/>
                <w:sz w:val="20"/>
                <w:szCs w:val="20"/>
              </w:rPr>
              <w:t xml:space="preserve">negatívny </w:t>
            </w:r>
            <w:r>
              <w:rPr>
                <w:rFonts w:ascii="Times New Roman" w:hAnsi="Times New Roman"/>
                <w:i/>
                <w:iCs/>
                <w:sz w:val="20"/>
                <w:szCs w:val="20"/>
              </w:rPr>
              <w:t>vplyv na hospodárenie domácností s uvedením, či ide o zníženie príjmov alebo zvýšenie výdavkov:</w:t>
            </w:r>
          </w:p>
        </w:tc>
        <w:tc>
          <w:tcPr>
            <w:tcW w:w="4803"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sz w:val="20"/>
                <w:szCs w:val="20"/>
              </w:rPr>
              <w:t xml:space="preserve">Žiadne negatívne vplyvy sa nepredpokladajú. </w:t>
            </w:r>
          </w:p>
        </w:tc>
      </w:tr>
      <w:tr>
        <w:tblPrEx>
          <w:tblW w:w="0" w:type="auto"/>
          <w:jc w:val="center"/>
          <w:tblLayout w:type="fixed"/>
          <w:tblCellMar>
            <w:top w:w="0" w:type="dxa"/>
            <w:bottom w:w="0" w:type="dxa"/>
          </w:tblCellMar>
        </w:tblPrEx>
        <w:trPr>
          <w:trHeight w:val="624"/>
          <w:jc w:val="center"/>
        </w:trPr>
        <w:tc>
          <w:tcPr>
            <w:tcW w:w="4802"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Times New Roman" w:hAnsi="Times New Roman"/>
                <w:i/>
                <w:iCs/>
                <w:sz w:val="20"/>
                <w:szCs w:val="20"/>
              </w:rPr>
            </w:pPr>
            <w:r>
              <w:rPr>
                <w:rFonts w:ascii="Times New Roman" w:hAnsi="Times New Roman"/>
                <w:i/>
                <w:iCs/>
                <w:sz w:val="20"/>
                <w:szCs w:val="20"/>
              </w:rPr>
              <w:t xml:space="preserve">Špecifikujte </w:t>
            </w:r>
            <w:r>
              <w:rPr>
                <w:rFonts w:ascii="Times New Roman" w:hAnsi="Times New Roman"/>
                <w:b/>
                <w:bCs/>
                <w:i/>
                <w:iCs/>
                <w:sz w:val="20"/>
                <w:szCs w:val="20"/>
              </w:rPr>
              <w:t>negatívne</w:t>
            </w:r>
            <w:r>
              <w:rPr>
                <w:rFonts w:ascii="Times New Roman" w:hAnsi="Times New Roman"/>
                <w:i/>
                <w:iCs/>
                <w:sz w:val="20"/>
                <w:szCs w:val="20"/>
              </w:rPr>
              <w:t xml:space="preserve"> ovplyvnené skupiny:</w:t>
            </w:r>
          </w:p>
        </w:tc>
        <w:tc>
          <w:tcPr>
            <w:tcW w:w="4803"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sz w:val="20"/>
                <w:szCs w:val="20"/>
              </w:rPr>
              <w:t>Žiadne negatívne vplyvy sa nepredpokladajú.</w:t>
            </w:r>
          </w:p>
        </w:tc>
      </w:tr>
      <w:tr>
        <w:tblPrEx>
          <w:tblW w:w="0" w:type="auto"/>
          <w:jc w:val="center"/>
          <w:tblLayout w:type="fixed"/>
          <w:tblCellMar>
            <w:top w:w="0" w:type="dxa"/>
            <w:bottom w:w="0" w:type="dxa"/>
          </w:tblCellMar>
        </w:tblPrEx>
        <w:trPr>
          <w:trHeight w:val="680"/>
          <w:jc w:val="center"/>
        </w:trPr>
        <w:tc>
          <w:tcPr>
            <w:tcW w:w="4802" w:type="dxa"/>
            <w:tcBorders>
              <w:top w:val="single" w:sz="4" w:space="0" w:color="auto"/>
              <w:left w:val="single" w:sz="4" w:space="0" w:color="auto"/>
              <w:bottom w:val="single" w:sz="4" w:space="0" w:color="auto"/>
              <w:right w:val="single" w:sz="4" w:space="0" w:color="auto"/>
            </w:tcBorders>
            <w:textDirection w:val="lrTb"/>
            <w:vAlign w:val="top"/>
          </w:tcPr>
          <w:p w:rsidR="003416C3" w:rsidP="00CC58AE">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 xml:space="preserve">Špecifikujte ovplyvnené skupiny </w:t>
            </w:r>
            <w:r>
              <w:rPr>
                <w:rFonts w:ascii="Times New Roman" w:hAnsi="Times New Roman"/>
                <w:b/>
                <w:bCs/>
                <w:i/>
                <w:iCs/>
                <w:sz w:val="20"/>
                <w:szCs w:val="20"/>
              </w:rPr>
              <w:t>v riziku chudoby alebo sociálneho vylúčenia</w:t>
            </w:r>
            <w:r>
              <w:rPr>
                <w:rFonts w:ascii="Times New Roman" w:hAnsi="Times New Roman"/>
                <w:i/>
                <w:iCs/>
                <w:sz w:val="20"/>
                <w:szCs w:val="20"/>
              </w:rPr>
              <w:t xml:space="preserve"> a popíšte vplyv:</w:t>
            </w:r>
          </w:p>
        </w:tc>
        <w:tc>
          <w:tcPr>
            <w:tcW w:w="4803"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 xml:space="preserve">Najvýznamnejší pozitívny vplyv návrhu sa očakáva na nízkopríjmové domácnosti, ktoré si chcú zobrať spotrebiteľský úver. Ako uvádza Národná banka Slovenska v Správe o finančnej stabilite k novembru 2015 (s. 44-45), až tretina slovenských domácností je zadlžená. Zadlženosť naviazaná na bankové aj nebankové spotrebiteľské úvery je rizikom najmä pre klientov s horšou finančnou situáciou. Riziko vysokého zadlženia teda môže mať svoj zdroj aj v príliš jednoduchom procese poskytovania úverov, ktorý klientom nedáva dostatočný priestor na dôsledné zváženie vlastného finančného potenciálu. Z dôležitého rozhodnutia, ktoré môže mať dopad na pomerne dlhú dobu, sa tak stáva spontánne rozhodnutie. Prispieva k tomu aj snaha dosiahnuť určitý spoločenský status, nižšia vzdelanosť, prípadne neschopnosť porozumieť ustanoveniam v zmluvách a rizikám, ktoré sú s úvermi spojené. Tieto riziká sú v predmetnom návrhu výrazným spôsobom zmiernené. </w:t>
            </w:r>
          </w:p>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 xml:space="preserve">Zadlženosť spotrebiteľskými úvermi je vyššia v skupinách s nižším vzdelaním. Približne každá šiesta slovenská domácnosť obsluhuje spotrebiteľský dlh s priemernou výškou 4 000 €. Percento domácností, ktoré majú spotrebiteľský úver, pritom príliš nezávisí od hodnoty ich majetku, t. j. aj pri menej majetných domácnostiach dosahuje približne 20 %. </w:t>
            </w:r>
          </w:p>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Pri každom zadlžení platí, že najzraniteľnejší sú spotrebitelia, ktorí podceňujú riziko a preceňujú vlastné finančné kapacity. Obdobie rastu makroekonomických ukazovateľov, či už HDP, reálna mzda, zamestnanosť, alebo aj pokles úrokových sadzieb, môžu viesť k obidvom vyššie uvedeným fenoménom. Približne 5 % zadlžených domácností má podiel splátky dlhu na príjme viac ako 40 %, pri nižších príjmových kategóriách je to takmer 30 %. Pätina z týchto domácností uvádza, že má možnosť finančnej pomoci od priateľov a rodiny, takmer polovica disponuje nejakou formou finančných aktív okrem bežných účtov. Tieto možnosti klesajú s klesajúcimi príjmami aj klesajúcim majetkom, čím sa práve nízkopríjmové a chudobnejšie domácnosti stávajú ešte citlivejšími na negatívny vývoj.</w:t>
            </w:r>
          </w:p>
          <w:p w:rsidR="003416C3">
            <w:pPr>
              <w:widowControl/>
              <w:autoSpaceDE w:val="0"/>
              <w:autoSpaceDN w:val="0"/>
              <w:bidi w:val="0"/>
              <w:spacing w:after="0" w:line="240" w:lineRule="auto"/>
              <w:jc w:val="both"/>
              <w:rPr>
                <w:rFonts w:ascii="Times New Roman" w:hAnsi="Times New Roman"/>
                <w:sz w:val="20"/>
                <w:szCs w:val="20"/>
              </w:rPr>
            </w:pPr>
          </w:p>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u w:val="single"/>
              </w:rPr>
              <w:t>Zdroj údajov:</w:t>
            </w:r>
            <w:r>
              <w:rPr>
                <w:rFonts w:ascii="Times New Roman" w:hAnsi="Times New Roman"/>
                <w:sz w:val="20"/>
                <w:szCs w:val="20"/>
              </w:rPr>
              <w:t xml:space="preserve"> </w:t>
            </w:r>
          </w:p>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Prieskum o finančných podmienkach domácností ( Household Finance and Consumption Survey), 2014</w:t>
            </w:r>
          </w:p>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 xml:space="preserve">Správa o finančnej stabilite k novembru 2015, NBS. </w:t>
            </w:r>
          </w:p>
        </w:tc>
      </w:tr>
      <w:tr>
        <w:tblPrEx>
          <w:tblW w:w="0" w:type="auto"/>
          <w:jc w:val="center"/>
          <w:tblLayout w:type="fixed"/>
          <w:tblCellMar>
            <w:top w:w="0" w:type="dxa"/>
            <w:bottom w:w="0" w:type="dxa"/>
          </w:tblCellMar>
        </w:tblPrEx>
        <w:trPr>
          <w:trHeight w:val="680"/>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Kvantifikujte rast alebo pokles príjmov/výdavkov za jednotlivé ovplyvnené skupiny domácností / skupiny jednotlivcov a počet obyvateľstva/domácností ovplyvnených predkladaným materiálom.</w:t>
            </w:r>
          </w:p>
          <w:p w:rsidR="003416C3">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V prípade vyššieho počtu ovplyvnených skupín doplňte do tabuľky ďalšie riadky.</w:t>
            </w:r>
          </w:p>
          <w:p w:rsidR="003416C3">
            <w:pPr>
              <w:widowControl/>
              <w:tabs>
                <w:tab w:val="left" w:pos="3505"/>
              </w:tabs>
              <w:autoSpaceDE w:val="0"/>
              <w:autoSpaceDN w:val="0"/>
              <w:bidi w:val="0"/>
              <w:spacing w:after="0" w:line="240" w:lineRule="auto"/>
              <w:rPr>
                <w:rFonts w:ascii="Times New Roman" w:hAnsi="Times New Roman"/>
                <w:sz w:val="20"/>
                <w:szCs w:val="20"/>
              </w:rPr>
            </w:pPr>
            <w:r>
              <w:rPr>
                <w:rFonts w:ascii="Times New Roman" w:hAnsi="Times New Roman"/>
                <w:i/>
                <w:iCs/>
                <w:sz w:val="20"/>
                <w:szCs w:val="20"/>
              </w:rPr>
              <w:t>V prípade, ak neuvádzate kvantifikáciu, uveďte dôvod.</w:t>
            </w:r>
          </w:p>
        </w:tc>
      </w:tr>
      <w:tr>
        <w:tblPrEx>
          <w:tblW w:w="0" w:type="auto"/>
          <w:jc w:val="center"/>
          <w:tblLayout w:type="fixed"/>
          <w:tblCellMar>
            <w:top w:w="0" w:type="dxa"/>
            <w:bottom w:w="0" w:type="dxa"/>
          </w:tblCellMar>
        </w:tblPrEx>
        <w:trPr>
          <w:trHeight w:val="286"/>
          <w:jc w:val="center"/>
        </w:trPr>
        <w:tc>
          <w:tcPr>
            <w:tcW w:w="9605" w:type="dxa"/>
            <w:gridSpan w:val="2"/>
            <w:tcBorders>
              <w:top w:val="nil"/>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b/>
                <w:bCs/>
                <w:i/>
                <w:iCs/>
                <w:sz w:val="20"/>
                <w:szCs w:val="20"/>
              </w:rPr>
              <w:t>Ovplyvnená skupina č. 1:</w:t>
            </w:r>
          </w:p>
        </w:tc>
      </w:tr>
      <w:tr>
        <w:tblPrEx>
          <w:tblW w:w="0" w:type="auto"/>
          <w:jc w:val="center"/>
          <w:tblLayout w:type="fixed"/>
          <w:tblCellMar>
            <w:top w:w="0" w:type="dxa"/>
            <w:bottom w:w="0" w:type="dxa"/>
          </w:tblCellMar>
        </w:tblPrEx>
        <w:trPr>
          <w:trHeight w:val="503"/>
          <w:jc w:val="center"/>
        </w:trPr>
        <w:tc>
          <w:tcPr>
            <w:tcW w:w="4802" w:type="dxa"/>
            <w:tcBorders>
              <w:top w:val="single" w:sz="4" w:space="0" w:color="auto"/>
              <w:left w:val="single" w:sz="4" w:space="0" w:color="auto"/>
              <w:bottom w:val="single" w:sz="4" w:space="0" w:color="BFBFBF"/>
              <w:right w:val="single" w:sz="4" w:space="0" w:color="auto"/>
            </w:tcBorders>
            <w:textDirection w:val="lrTb"/>
            <w:vAlign w:val="top"/>
          </w:tcPr>
          <w:p w:rsidR="003416C3" w:rsidP="00CC58AE">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Pozitívny vplyv - priemerný rast príjmov/ pokles výdavkov v skupine v eurách a/alebo v % / obdobie:</w:t>
            </w:r>
          </w:p>
        </w:tc>
        <w:tc>
          <w:tcPr>
            <w:tcW w:w="4803" w:type="dxa"/>
            <w:tcBorders>
              <w:top w:val="single" w:sz="4" w:space="0" w:color="auto"/>
              <w:left w:val="single" w:sz="4" w:space="0" w:color="auto"/>
              <w:bottom w:val="single" w:sz="4" w:space="0" w:color="BFBFBF"/>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Vplyv na výšku príjmov alebo výdavkov sa nepredpokladá.</w:t>
            </w:r>
          </w:p>
        </w:tc>
      </w:tr>
      <w:tr>
        <w:tblPrEx>
          <w:tblW w:w="0" w:type="auto"/>
          <w:jc w:val="center"/>
          <w:tblLayout w:type="fixed"/>
          <w:tblCellMar>
            <w:top w:w="0" w:type="dxa"/>
            <w:bottom w:w="0" w:type="dxa"/>
          </w:tblCellMar>
        </w:tblPrEx>
        <w:trPr>
          <w:trHeight w:val="497"/>
          <w:jc w:val="center"/>
        </w:trPr>
        <w:tc>
          <w:tcPr>
            <w:tcW w:w="4802" w:type="dxa"/>
            <w:tcBorders>
              <w:top w:val="single" w:sz="4" w:space="0" w:color="BFBFBF"/>
              <w:left w:val="single" w:sz="4" w:space="0" w:color="auto"/>
              <w:bottom w:val="single" w:sz="4" w:space="0" w:color="BFBFBF"/>
              <w:right w:val="single" w:sz="4" w:space="0" w:color="auto"/>
            </w:tcBorders>
            <w:textDirection w:val="lrTb"/>
            <w:vAlign w:val="top"/>
          </w:tcPr>
          <w:p w:rsidR="003416C3" w:rsidP="00CC58AE">
            <w:pPr>
              <w:widowControl/>
              <w:autoSpaceDE w:val="0"/>
              <w:autoSpaceDN w:val="0"/>
              <w:bidi w:val="0"/>
              <w:spacing w:after="0" w:line="240" w:lineRule="auto"/>
              <w:jc w:val="both"/>
              <w:rPr>
                <w:rFonts w:ascii="Calibri" w:hAnsi="Calibri" w:cs="Calibri"/>
                <w:i/>
                <w:iCs/>
                <w:sz w:val="20"/>
                <w:szCs w:val="20"/>
              </w:rPr>
            </w:pPr>
            <w:r>
              <w:rPr>
                <w:rFonts w:ascii="Times New Roman" w:hAnsi="Times New Roman"/>
                <w:i/>
                <w:iCs/>
                <w:sz w:val="20"/>
                <w:szCs w:val="20"/>
              </w:rPr>
              <w:t xml:space="preserve">Negatívny vplyv - priemerný pokles príjmov/ rast výdavkov v skupine v eurách a/alebo v % / obdobie: </w:t>
            </w:r>
          </w:p>
        </w:tc>
        <w:tc>
          <w:tcPr>
            <w:tcW w:w="4803" w:type="dxa"/>
            <w:tcBorders>
              <w:top w:val="single" w:sz="4" w:space="0" w:color="BFBFBF"/>
              <w:left w:val="single" w:sz="4" w:space="0" w:color="auto"/>
              <w:bottom w:val="single" w:sz="4" w:space="0" w:color="BFBFBF"/>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Vplyv na výšku príjmov alebo výdavkov sa nepredpokladá.</w:t>
            </w:r>
          </w:p>
        </w:tc>
      </w:tr>
      <w:tr>
        <w:tblPrEx>
          <w:tblW w:w="0" w:type="auto"/>
          <w:jc w:val="center"/>
          <w:tblLayout w:type="fixed"/>
          <w:tblCellMar>
            <w:top w:w="0" w:type="dxa"/>
            <w:bottom w:w="0" w:type="dxa"/>
          </w:tblCellMar>
        </w:tblPrEx>
        <w:trPr>
          <w:trHeight w:val="363"/>
          <w:jc w:val="center"/>
        </w:trPr>
        <w:tc>
          <w:tcPr>
            <w:tcW w:w="4802" w:type="dxa"/>
            <w:tcBorders>
              <w:top w:val="single" w:sz="4" w:space="0" w:color="BFBFBF"/>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Calibri" w:hAnsi="Calibri" w:cs="Calibri"/>
                <w:i/>
                <w:iCs/>
                <w:sz w:val="20"/>
                <w:szCs w:val="20"/>
              </w:rPr>
            </w:pPr>
            <w:r>
              <w:rPr>
                <w:rFonts w:ascii="Times New Roman" w:hAnsi="Times New Roman"/>
                <w:i/>
                <w:iCs/>
                <w:sz w:val="20"/>
                <w:szCs w:val="20"/>
              </w:rPr>
              <w:t>Veľkosť skupiny (počet obyvateľov):</w:t>
            </w:r>
          </w:p>
        </w:tc>
        <w:tc>
          <w:tcPr>
            <w:tcW w:w="4803" w:type="dxa"/>
            <w:tcBorders>
              <w:top w:val="single" w:sz="4" w:space="0" w:color="BFBFBF"/>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p>
        </w:tc>
      </w:tr>
      <w:tr>
        <w:tblPrEx>
          <w:tblW w:w="0" w:type="auto"/>
          <w:jc w:val="center"/>
          <w:tblLayout w:type="fixed"/>
          <w:tblCellMar>
            <w:top w:w="0" w:type="dxa"/>
            <w:bottom w:w="0" w:type="dxa"/>
          </w:tblCellMar>
        </w:tblPrEx>
        <w:trPr>
          <w:trHeight w:val="265"/>
          <w:jc w:val="center"/>
        </w:trPr>
        <w:tc>
          <w:tcPr>
            <w:tcW w:w="9605" w:type="dxa"/>
            <w:gridSpan w:val="2"/>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b/>
                <w:bCs/>
                <w:i/>
                <w:iCs/>
                <w:sz w:val="20"/>
                <w:szCs w:val="20"/>
              </w:rPr>
              <w:t>Ovplyvnená skupina č. 2:</w:t>
            </w:r>
          </w:p>
        </w:tc>
      </w:tr>
      <w:tr>
        <w:tblPrEx>
          <w:tblW w:w="0" w:type="auto"/>
          <w:jc w:val="center"/>
          <w:tblLayout w:type="fixed"/>
          <w:tblCellMar>
            <w:top w:w="0" w:type="dxa"/>
            <w:bottom w:w="0" w:type="dxa"/>
          </w:tblCellMar>
        </w:tblPrEx>
        <w:trPr>
          <w:trHeight w:val="587"/>
          <w:jc w:val="center"/>
        </w:trPr>
        <w:tc>
          <w:tcPr>
            <w:tcW w:w="4802" w:type="dxa"/>
            <w:tcBorders>
              <w:top w:val="single" w:sz="4" w:space="0" w:color="auto"/>
              <w:left w:val="single" w:sz="4" w:space="0" w:color="auto"/>
              <w:bottom w:val="single" w:sz="4" w:space="0" w:color="BFBFBF"/>
              <w:right w:val="single" w:sz="4" w:space="0" w:color="auto"/>
            </w:tcBorders>
            <w:textDirection w:val="lrTb"/>
            <w:vAlign w:val="top"/>
          </w:tcPr>
          <w:p w:rsidR="003416C3" w:rsidP="00CC58AE">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Pozitívny vplyv - priemerný rast príjmov/pokles výdavkov v skupine v eurách a/alebo v % / obdobie:</w:t>
            </w:r>
          </w:p>
        </w:tc>
        <w:tc>
          <w:tcPr>
            <w:tcW w:w="4803" w:type="dxa"/>
            <w:tcBorders>
              <w:top w:val="single" w:sz="4" w:space="0" w:color="auto"/>
              <w:left w:val="single" w:sz="4" w:space="0" w:color="auto"/>
              <w:bottom w:val="single" w:sz="4" w:space="0" w:color="BFBFBF"/>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Vplyv na výšku príjmov alebo výdavkov sa nepredpokladá.</w:t>
            </w:r>
          </w:p>
        </w:tc>
      </w:tr>
      <w:tr>
        <w:tblPrEx>
          <w:tblW w:w="0" w:type="auto"/>
          <w:jc w:val="center"/>
          <w:tblLayout w:type="fixed"/>
          <w:tblCellMar>
            <w:top w:w="0" w:type="dxa"/>
            <w:bottom w:w="0" w:type="dxa"/>
          </w:tblCellMar>
        </w:tblPrEx>
        <w:trPr>
          <w:trHeight w:val="497"/>
          <w:jc w:val="center"/>
        </w:trPr>
        <w:tc>
          <w:tcPr>
            <w:tcW w:w="4802" w:type="dxa"/>
            <w:tcBorders>
              <w:top w:val="single" w:sz="4" w:space="0" w:color="BFBFBF"/>
              <w:left w:val="single" w:sz="4" w:space="0" w:color="auto"/>
              <w:bottom w:val="single" w:sz="4" w:space="0" w:color="BFBFBF"/>
              <w:right w:val="single" w:sz="4" w:space="0" w:color="auto"/>
            </w:tcBorders>
            <w:textDirection w:val="lrTb"/>
            <w:vAlign w:val="top"/>
          </w:tcPr>
          <w:p w:rsidR="003416C3" w:rsidP="00CC58AE">
            <w:pPr>
              <w:widowControl/>
              <w:autoSpaceDE w:val="0"/>
              <w:autoSpaceDN w:val="0"/>
              <w:bidi w:val="0"/>
              <w:spacing w:after="0" w:line="240" w:lineRule="auto"/>
              <w:jc w:val="both"/>
              <w:rPr>
                <w:rFonts w:ascii="Calibri" w:hAnsi="Calibri" w:cs="Calibri"/>
                <w:i/>
                <w:iCs/>
                <w:sz w:val="20"/>
                <w:szCs w:val="20"/>
              </w:rPr>
            </w:pPr>
            <w:r>
              <w:rPr>
                <w:rFonts w:ascii="Times New Roman" w:hAnsi="Times New Roman"/>
                <w:i/>
                <w:iCs/>
                <w:sz w:val="20"/>
                <w:szCs w:val="20"/>
              </w:rPr>
              <w:t xml:space="preserve">Negatívny vplyv - priemerný pokles príjmov/ rast výdavkov v skupine v eurách a/alebo v % / obdobie: </w:t>
            </w:r>
          </w:p>
        </w:tc>
        <w:tc>
          <w:tcPr>
            <w:tcW w:w="4803" w:type="dxa"/>
            <w:tcBorders>
              <w:top w:val="single" w:sz="4" w:space="0" w:color="BFBFBF"/>
              <w:left w:val="single" w:sz="4" w:space="0" w:color="auto"/>
              <w:bottom w:val="single" w:sz="4" w:space="0" w:color="BFBFBF"/>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Vplyv na výšku príjmov alebo výdavkov sa nepredpokladá.</w:t>
            </w:r>
          </w:p>
        </w:tc>
      </w:tr>
      <w:tr>
        <w:tblPrEx>
          <w:tblW w:w="0" w:type="auto"/>
          <w:jc w:val="center"/>
          <w:tblLayout w:type="fixed"/>
          <w:tblCellMar>
            <w:top w:w="0" w:type="dxa"/>
            <w:bottom w:w="0" w:type="dxa"/>
          </w:tblCellMar>
        </w:tblPrEx>
        <w:trPr>
          <w:trHeight w:val="363"/>
          <w:jc w:val="center"/>
        </w:trPr>
        <w:tc>
          <w:tcPr>
            <w:tcW w:w="4802" w:type="dxa"/>
            <w:tcBorders>
              <w:top w:val="single" w:sz="4" w:space="0" w:color="BFBFBF"/>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Calibri" w:hAnsi="Calibri" w:cs="Calibri"/>
                <w:i/>
                <w:iCs/>
                <w:sz w:val="20"/>
                <w:szCs w:val="20"/>
              </w:rPr>
            </w:pPr>
            <w:r>
              <w:rPr>
                <w:rFonts w:ascii="Times New Roman" w:hAnsi="Times New Roman"/>
                <w:i/>
                <w:iCs/>
                <w:sz w:val="20"/>
                <w:szCs w:val="20"/>
              </w:rPr>
              <w:t>Veľkosť skupiny (počet obyvateľov):</w:t>
            </w:r>
          </w:p>
        </w:tc>
        <w:tc>
          <w:tcPr>
            <w:tcW w:w="4803" w:type="dxa"/>
            <w:tcBorders>
              <w:top w:val="single" w:sz="4" w:space="0" w:color="BFBFBF"/>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p>
        </w:tc>
      </w:tr>
      <w:tr>
        <w:tblPrEx>
          <w:tblW w:w="0" w:type="auto"/>
          <w:jc w:val="center"/>
          <w:tblLayout w:type="fixed"/>
          <w:tblCellMar>
            <w:top w:w="0" w:type="dxa"/>
            <w:bottom w:w="0" w:type="dxa"/>
          </w:tblCellMar>
        </w:tblPrEx>
        <w:trPr>
          <w:trHeight w:val="670"/>
          <w:jc w:val="center"/>
        </w:trPr>
        <w:tc>
          <w:tcPr>
            <w:tcW w:w="4802"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Calibri" w:hAnsi="Calibri" w:cs="Calibri"/>
                <w:i/>
                <w:iCs/>
                <w:sz w:val="20"/>
                <w:szCs w:val="20"/>
              </w:rPr>
            </w:pPr>
            <w:r>
              <w:rPr>
                <w:rFonts w:ascii="Times New Roman" w:hAnsi="Times New Roman"/>
                <w:i/>
                <w:iCs/>
                <w:sz w:val="20"/>
                <w:szCs w:val="20"/>
              </w:rPr>
              <w:t>Dôvod chýbajúcej kvantifikácie:</w:t>
            </w:r>
          </w:p>
        </w:tc>
        <w:tc>
          <w:tcPr>
            <w:tcW w:w="4803"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p>
        </w:tc>
      </w:tr>
      <w:tr>
        <w:tblPrEx>
          <w:tblW w:w="0" w:type="auto"/>
          <w:jc w:val="center"/>
          <w:tblLayout w:type="fixed"/>
          <w:tblCellMar>
            <w:top w:w="0" w:type="dxa"/>
            <w:bottom w:w="0" w:type="dxa"/>
          </w:tblCellMar>
        </w:tblPrEx>
        <w:trPr>
          <w:trHeight w:val="670"/>
          <w:jc w:val="center"/>
        </w:trPr>
        <w:tc>
          <w:tcPr>
            <w:tcW w:w="4802"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i/>
                <w:iCs/>
                <w:sz w:val="22"/>
                <w:szCs w:val="22"/>
              </w:rPr>
            </w:pPr>
            <w:r>
              <w:rPr>
                <w:rFonts w:ascii="Times New Roman" w:hAnsi="Times New Roman"/>
                <w:i/>
                <w:iCs/>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4803"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sz w:val="20"/>
                <w:szCs w:val="20"/>
              </w:rPr>
            </w:pPr>
          </w:p>
        </w:tc>
      </w:tr>
    </w:tbl>
    <w:p w:rsidR="003416C3" w:rsidP="003416C3">
      <w:pPr>
        <w:widowControl/>
        <w:autoSpaceDE w:val="0"/>
        <w:autoSpaceDN w:val="0"/>
        <w:bidi w:val="0"/>
        <w:spacing w:after="200" w:line="276" w:lineRule="auto"/>
        <w:rPr>
          <w:rFonts w:ascii="Times New Roman" w:hAnsi="Times New Roman"/>
          <w:sz w:val="20"/>
          <w:szCs w:val="20"/>
        </w:rPr>
      </w:pPr>
    </w:p>
    <w:p w:rsidR="003416C3" w:rsidP="003416C3">
      <w:pPr>
        <w:widowControl/>
        <w:autoSpaceDE w:val="0"/>
        <w:autoSpaceDN w:val="0"/>
        <w:bidi w:val="0"/>
        <w:rPr>
          <w:rFonts w:ascii="Times New Roman" w:hAnsi="Times New Roman"/>
          <w:b/>
          <w:bCs/>
        </w:rPr>
      </w:pPr>
      <w:r>
        <w:rPr>
          <w:rFonts w:ascii="Times New Roman" w:hAnsi="Times New Roman"/>
          <w:b/>
          <w:bCs/>
        </w:rPr>
        <w:br w:type="page"/>
      </w:r>
    </w:p>
    <w:tbl>
      <w:tblPr>
        <w:tblStyle w:val="TableNormal"/>
        <w:tblW w:w="0" w:type="auto"/>
        <w:jc w:val="center"/>
        <w:tblBorders>
          <w:top w:val="single" w:sz="4" w:space="0" w:color="auto"/>
          <w:left w:val="single" w:sz="4" w:space="0" w:color="auto"/>
          <w:bottom w:val="single" w:sz="4" w:space="0" w:color="auto"/>
          <w:right w:val="single" w:sz="4" w:space="0" w:color="auto"/>
        </w:tblBorders>
        <w:tblLayout w:type="fixed"/>
        <w:tblCellMar>
          <w:top w:w="0" w:type="dxa"/>
          <w:bottom w:w="0" w:type="dxa"/>
        </w:tblCellMar>
      </w:tblPr>
      <w:tblGrid>
        <w:gridCol w:w="3829"/>
        <w:gridCol w:w="5776"/>
      </w:tblGrid>
      <w:tr>
        <w:tblPrEx>
          <w:tblW w:w="0" w:type="auto"/>
          <w:jc w:val="center"/>
          <w:tblBorders>
            <w:top w:val="single" w:sz="4" w:space="0" w:color="auto"/>
            <w:left w:val="single" w:sz="4" w:space="0" w:color="auto"/>
            <w:bottom w:val="single" w:sz="4" w:space="0" w:color="auto"/>
            <w:right w:val="single" w:sz="4" w:space="0" w:color="auto"/>
          </w:tblBorders>
          <w:tblLayout w:type="fixed"/>
          <w:tblCellMar>
            <w:top w:w="0" w:type="dxa"/>
            <w:bottom w:w="0" w:type="dxa"/>
          </w:tblCellMar>
        </w:tblPrEx>
        <w:trPr>
          <w:trHeight w:val="339"/>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16C3">
            <w:pPr>
              <w:widowControl/>
              <w:autoSpaceDE w:val="0"/>
              <w:autoSpaceDN w:val="0"/>
              <w:bidi w:val="0"/>
              <w:spacing w:after="0" w:line="240" w:lineRule="auto"/>
              <w:rPr>
                <w:rFonts w:ascii="Times New Roman" w:hAnsi="Times New Roman"/>
                <w:b/>
                <w:bCs/>
              </w:rPr>
            </w:pPr>
            <w:r>
              <w:rPr>
                <w:rFonts w:ascii="Times New Roman" w:hAnsi="Times New Roman"/>
                <w:b/>
                <w:bCs/>
              </w:rPr>
              <w:t>4.2 Identifikujte, popíšte a kvantifikujte vplyvy na prístup k zdrojom, právam, tovarom a službám u jednotlivých ovplyvnených skupín obyvateľstva a vplyv na sociálnu inklúziu.</w:t>
            </w:r>
          </w:p>
        </w:tc>
      </w:tr>
      <w:tr>
        <w:tblPrEx>
          <w:tblW w:w="0" w:type="auto"/>
          <w:jc w:val="center"/>
          <w:tblLayout w:type="fixed"/>
          <w:tblCellMar>
            <w:top w:w="0" w:type="dxa"/>
            <w:bottom w:w="0" w:type="dxa"/>
          </w:tblCellMar>
        </w:tblPrEx>
        <w:trPr>
          <w:trHeight w:val="290"/>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 xml:space="preserve">Má návrh vplyv na prístup k zdrojom, právam, tovarom a službám? </w:t>
            </w:r>
          </w:p>
          <w:p w:rsidR="003416C3">
            <w:pPr>
              <w:widowControl/>
              <w:autoSpaceDE w:val="0"/>
              <w:autoSpaceDN w:val="0"/>
              <w:bidi w:val="0"/>
              <w:spacing w:after="0" w:line="240" w:lineRule="auto"/>
              <w:jc w:val="both"/>
              <w:rPr>
                <w:rFonts w:ascii="Calibri" w:hAnsi="Calibri" w:cs="Calibri"/>
                <w:i/>
                <w:iCs/>
              </w:rPr>
            </w:pPr>
            <w:r>
              <w:rPr>
                <w:rFonts w:ascii="Times New Roman" w:hAnsi="Times New Roman"/>
                <w:i/>
                <w:iCs/>
                <w:sz w:val="20"/>
                <w:szCs w:val="20"/>
              </w:rPr>
              <w:t>Špecifikujete ovplyvnené skupiny obyvateľstva a charakter zmeny v prístupnosti s ohľadom na dostupnosť finančnú, geografickú, kvalitu, organizovanie a pod. Uveďte veľkosť jednotlivých ovplyvnených skupín.</w:t>
            </w:r>
          </w:p>
        </w:tc>
      </w:tr>
      <w:tr>
        <w:tblPrEx>
          <w:tblW w:w="0" w:type="auto"/>
          <w:jc w:val="center"/>
          <w:tblBorders>
            <w:top w:val="none" w:sz="0" w:space="0" w:color="auto"/>
            <w:bottom w:val="none" w:sz="0" w:space="0" w:color="auto"/>
          </w:tblBorders>
          <w:tblLayout w:type="fixed"/>
          <w:tblCellMar>
            <w:top w:w="0" w:type="dxa"/>
            <w:bottom w:w="0" w:type="dxa"/>
          </w:tblCellMar>
        </w:tblPrEx>
        <w:trPr>
          <w:trHeight w:val="557"/>
          <w:jc w:val="center"/>
        </w:trPr>
        <w:tc>
          <w:tcPr>
            <w:tcW w:w="3829" w:type="dxa"/>
            <w:tcBorders>
              <w:top w:val="nil"/>
              <w:left w:val="single" w:sz="4" w:space="0" w:color="auto"/>
              <w:bottom w:val="nil"/>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i/>
                <w:iCs/>
                <w:sz w:val="18"/>
                <w:szCs w:val="18"/>
              </w:rPr>
            </w:pPr>
            <w:r>
              <w:rPr>
                <w:rFonts w:ascii="Times New Roman" w:hAnsi="Times New Roman"/>
                <w:i/>
                <w:iCs/>
                <w:sz w:val="18"/>
                <w:szCs w:val="18"/>
              </w:rPr>
              <w:t>Rozumie sa najmä na prístup k:</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 xml:space="preserve">sociálnej ochrane, sociálno-právnej ochrane, sociálnym službám (vrátane služieb starostlivosti o deti, starších ľudí a ľudí so zdravotným postihnutím), </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kvalitnej práci, ochrane zdravia, dôstojnosti a bezpečnosti pri práci pre zamestnancov a existujúcim zamestnaneckým právam,</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 xml:space="preserve">pomoci pri úhrade výdavkov súvisiacich so zdravotným postihnutím, </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zamestnaniu, na trh práce (napr. uľahčenie zosúladenia rodinných a pracovných povinností, služby zamestnanosti), k školeniam, odbornému vzdelávaniu a príprave na trh práce,</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 xml:space="preserve">zdravotnej starostlivosti vrátane cenovo dostupných pomôcok pre občanov so zdravotným postihnutím, </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k formálnemu i neformálnemu vzdelávaniu a celo</w:t>
            </w:r>
            <w:r>
              <w:rPr>
                <w:rFonts w:ascii="Times New Roman" w:hAnsi="Times New Roman"/>
                <w:i/>
                <w:iCs/>
                <w:sz w:val="18"/>
                <w:szCs w:val="18"/>
              </w:rPr>
              <w:softHyphen/>
              <w:t xml:space="preserve">životnému vzdelávaniu, </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bývaniu a súvisiacim základným komunálnym službám,</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doprave,</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ďalším službám najmä službám všeobecného záujmu a tovarom,</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spravodlivosti, právnej ochrane, právnym službám,</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informáciám</w:t>
            </w:r>
          </w:p>
          <w:p w:rsidR="003416C3">
            <w:pPr>
              <w:widowControl/>
              <w:autoSpaceDE w:val="0"/>
              <w:autoSpaceDN w:val="0"/>
              <w:bidi w:val="0"/>
              <w:spacing w:after="0" w:line="240" w:lineRule="auto"/>
              <w:ind w:left="360" w:hanging="360"/>
              <w:jc w:val="both"/>
              <w:rPr>
                <w:rFonts w:ascii="Calibri" w:hAnsi="Calibri" w:cs="Calibri"/>
                <w:i/>
                <w:iCs/>
                <w:sz w:val="20"/>
                <w:szCs w:val="20"/>
              </w:rPr>
            </w:pPr>
            <w:r>
              <w:rPr>
                <w:rFonts w:ascii="Wingdings" w:hAnsi="Wingdings" w:cs="Wingdings"/>
                <w:sz w:val="18"/>
                <w:szCs w:val="18"/>
              </w:rPr>
              <w:t>F</w:t>
              <w:tab/>
            </w:r>
            <w:r>
              <w:rPr>
                <w:rFonts w:ascii="Times New Roman" w:hAnsi="Times New Roman"/>
                <w:i/>
                <w:iCs/>
                <w:sz w:val="18"/>
                <w:szCs w:val="18"/>
              </w:rPr>
              <w:t>k iným právam (napr. politickým).</w:t>
            </w:r>
          </w:p>
        </w:tc>
        <w:tc>
          <w:tcPr>
            <w:tcW w:w="5776" w:type="dxa"/>
            <w:tcBorders>
              <w:top w:val="nil"/>
              <w:left w:val="single" w:sz="4" w:space="0" w:color="auto"/>
              <w:bottom w:val="nil"/>
              <w:right w:val="single" w:sz="4" w:space="0" w:color="auto"/>
            </w:tcBorders>
            <w:textDirection w:val="lrTb"/>
            <w:vAlign w:val="top"/>
          </w:tcPr>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sz w:val="20"/>
                <w:szCs w:val="20"/>
              </w:rPr>
              <w:t>Návrh nebude mať žiaden vplyv na prístup k zdrojom, právam, tovarom a službám.</w:t>
            </w:r>
          </w:p>
        </w:tc>
      </w:tr>
      <w:tr>
        <w:tblPrEx>
          <w:tblW w:w="0" w:type="auto"/>
          <w:jc w:val="center"/>
          <w:tblLayout w:type="fixed"/>
          <w:tblCellMar>
            <w:top w:w="0" w:type="dxa"/>
            <w:bottom w:w="0" w:type="dxa"/>
          </w:tblCellMar>
        </w:tblPrEx>
        <w:trPr>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jc w:val="both"/>
              <w:rPr>
                <w:rFonts w:ascii="Times New Roman" w:hAnsi="Times New Roman"/>
                <w:i/>
                <w:iCs/>
                <w:sz w:val="20"/>
                <w:szCs w:val="20"/>
              </w:rPr>
            </w:pPr>
            <w:r>
              <w:rPr>
                <w:rFonts w:ascii="Times New Roman" w:hAnsi="Times New Roman"/>
                <w:i/>
                <w:iCs/>
                <w:sz w:val="20"/>
                <w:szCs w:val="20"/>
              </w:rPr>
              <w:t xml:space="preserve">Má návrh významný vplyv na niektorú zo zraniteľných skupín obyvateľstva alebo skupín v riziku chudoby alebo sociálneho vylúčenia? </w:t>
            </w:r>
          </w:p>
          <w:p w:rsidR="003416C3">
            <w:pPr>
              <w:widowControl/>
              <w:autoSpaceDE w:val="0"/>
              <w:autoSpaceDN w:val="0"/>
              <w:bidi w:val="0"/>
              <w:spacing w:after="0" w:line="240" w:lineRule="auto"/>
              <w:jc w:val="both"/>
              <w:rPr>
                <w:rFonts w:ascii="Calibri" w:hAnsi="Calibri" w:cs="Calibri"/>
                <w:i/>
                <w:iCs/>
                <w:sz w:val="22"/>
                <w:szCs w:val="22"/>
              </w:rPr>
            </w:pPr>
            <w:r>
              <w:rPr>
                <w:rFonts w:ascii="Times New Roman" w:hAnsi="Times New Roman"/>
                <w:i/>
                <w:iCs/>
                <w:sz w:val="20"/>
                <w:szCs w:val="20"/>
              </w:rPr>
              <w:t>Špecifikujte ovplyvnené skupiny v riziku chudoby a sociálneho vylúčenia a popíšte vplyv na ne. Je tento vplyv väčší ako vplyv na iné skupiny či subjekty? Uveďte veľkosť jednotlivých ovplyvnených skupín.</w:t>
            </w:r>
          </w:p>
        </w:tc>
      </w:tr>
      <w:tr>
        <w:tblPrEx>
          <w:tblW w:w="0" w:type="auto"/>
          <w:jc w:val="center"/>
          <w:tblBorders>
            <w:top w:val="none" w:sz="0" w:space="0" w:color="auto"/>
          </w:tblBorders>
          <w:tblLayout w:type="fixed"/>
          <w:tblCellMar>
            <w:top w:w="0" w:type="dxa"/>
            <w:bottom w:w="0" w:type="dxa"/>
          </w:tblCellMar>
        </w:tblPrEx>
        <w:trPr>
          <w:trHeight w:val="5831"/>
          <w:jc w:val="center"/>
        </w:trPr>
        <w:tc>
          <w:tcPr>
            <w:tcW w:w="3829"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i/>
                <w:iCs/>
                <w:sz w:val="18"/>
                <w:szCs w:val="18"/>
              </w:rPr>
            </w:pPr>
            <w:r>
              <w:rPr>
                <w:rFonts w:ascii="Times New Roman" w:hAnsi="Times New Roman"/>
                <w:i/>
                <w:iCs/>
                <w:sz w:val="18"/>
                <w:szCs w:val="18"/>
              </w:rPr>
              <w:t>Zraniteľné skupiny alebo skupiny v riziku chudoby alebo sociálneho vylúčenia sú napr.:</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domácnosti s nízkym príjmom (napr. žijúce iba zo sociálnych príjmov, alebo z príjmov pod hranicou rizika chudoby, alebo s príjmom pod životným minimom, alebo patriace medzi 25% domácností s najnižším príjmom),</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nezamestnaní, najmä dlhodobo nezamestnaní, mladí nezamestnaní a nezamestnaní nad 50 rokov,</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deti (0 – 17),</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mladí ľudia (18 – 25 rokov),</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starší ľudia, napr. ľudia vo veku nad 65 rokov alebo dôchodcovia,</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ľudia so zdravotným postihnutím,</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 xml:space="preserve">marginalizované rómske komunity </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domácnosti s 3 a viac deťmi,</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jednorodičovské domácnosti s deťmi (neúplné rodiny, ktoré tvoria najmä osamelé matky s deťmi),</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príslušníci tretích krajín, azylanti, žiadatelia o azyl,</w:t>
            </w:r>
          </w:p>
          <w:p w:rsidR="00AF5A23" w:rsidRPr="00AF5A23" w:rsidP="00AF5A23">
            <w:pPr>
              <w:widowControl/>
              <w:autoSpaceDE w:val="0"/>
              <w:autoSpaceDN w:val="0"/>
              <w:bidi w:val="0"/>
              <w:spacing w:after="0" w:line="240" w:lineRule="auto"/>
              <w:ind w:left="360" w:hanging="360"/>
              <w:jc w:val="both"/>
              <w:rPr>
                <w:rFonts w:ascii="Times New Roman" w:hAnsi="Times New Roman"/>
                <w:i/>
                <w:iCs/>
                <w:sz w:val="18"/>
                <w:szCs w:val="18"/>
              </w:rPr>
            </w:pPr>
            <w:r w:rsidR="003416C3">
              <w:rPr>
                <w:rFonts w:ascii="Wingdings" w:hAnsi="Wingdings" w:cs="Wingdings"/>
                <w:sz w:val="18"/>
                <w:szCs w:val="18"/>
              </w:rPr>
              <w:t>F</w:t>
              <w:tab/>
            </w:r>
            <w:r w:rsidR="003416C3">
              <w:rPr>
                <w:rFonts w:ascii="Times New Roman" w:hAnsi="Times New Roman"/>
                <w:i/>
                <w:iCs/>
                <w:sz w:val="18"/>
                <w:szCs w:val="18"/>
              </w:rPr>
              <w:t>iné zraniteľné skupiny, ako sú napr. bezdomovci, ľudia opúšťajúci detské domovy alebo iné inštitucionálne zariadenia</w:t>
            </w:r>
          </w:p>
        </w:tc>
        <w:tc>
          <w:tcPr>
            <w:tcW w:w="5776" w:type="dxa"/>
            <w:tcBorders>
              <w:top w:val="single" w:sz="4" w:space="0" w:color="auto"/>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Times New Roman" w:hAnsi="Times New Roman"/>
                <w:sz w:val="20"/>
                <w:szCs w:val="20"/>
              </w:rPr>
            </w:pPr>
          </w:p>
          <w:p w:rsidR="003416C3" w:rsidP="00284A1A">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Návrh nebude mať žiaden vplyv na prístup k zdrojom, právam, tovarom a službám.</w:t>
            </w:r>
          </w:p>
        </w:tc>
      </w:tr>
    </w:tbl>
    <w:p w:rsidR="003416C3" w:rsidP="003416C3">
      <w:pPr>
        <w:widowControl/>
        <w:autoSpaceDE w:val="0"/>
        <w:autoSpaceDN w:val="0"/>
        <w:bidi w:val="0"/>
        <w:spacing w:after="200" w:line="276" w:lineRule="auto"/>
        <w:rPr>
          <w:rFonts w:ascii="Calibri" w:hAnsi="Calibri" w:cs="Calibri"/>
          <w:sz w:val="22"/>
          <w:szCs w:val="22"/>
        </w:rPr>
      </w:pPr>
    </w:p>
    <w:tbl>
      <w:tblPr>
        <w:tblStyle w:val="TableNormal"/>
        <w:tblW w:w="0" w:type="auto"/>
        <w:jc w:val="center"/>
        <w:tblBorders>
          <w:top w:val="single" w:sz="4" w:space="0" w:color="auto"/>
          <w:left w:val="single" w:sz="4" w:space="0" w:color="auto"/>
          <w:bottom w:val="single" w:sz="4" w:space="0" w:color="auto"/>
          <w:right w:val="single" w:sz="4" w:space="0" w:color="auto"/>
        </w:tblBorders>
        <w:tblLayout w:type="fixed"/>
        <w:tblCellMar>
          <w:top w:w="0" w:type="dxa"/>
          <w:bottom w:w="0" w:type="dxa"/>
        </w:tblCellMar>
      </w:tblPr>
      <w:tblGrid>
        <w:gridCol w:w="3829"/>
        <w:gridCol w:w="5776"/>
      </w:tblGrid>
      <w:tr>
        <w:tblPrEx>
          <w:tblW w:w="0" w:type="auto"/>
          <w:jc w:val="center"/>
          <w:tblBorders>
            <w:top w:val="single" w:sz="4" w:space="0" w:color="auto"/>
            <w:left w:val="single" w:sz="4" w:space="0" w:color="auto"/>
            <w:bottom w:val="single" w:sz="4" w:space="0" w:color="auto"/>
            <w:right w:val="single" w:sz="4" w:space="0" w:color="auto"/>
          </w:tblBorders>
          <w:tblLayout w:type="fixed"/>
          <w:tblCellMar>
            <w:top w:w="0" w:type="dxa"/>
            <w:bottom w:w="0" w:type="dxa"/>
          </w:tblCellMar>
        </w:tblPrEx>
        <w:trPr>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16C3">
            <w:pPr>
              <w:widowControl/>
              <w:autoSpaceDE w:val="0"/>
              <w:autoSpaceDN w:val="0"/>
              <w:bidi w:val="0"/>
              <w:spacing w:after="0" w:line="240" w:lineRule="auto"/>
              <w:rPr>
                <w:rFonts w:ascii="Times New Roman" w:hAnsi="Times New Roman"/>
                <w:b/>
                <w:bCs/>
              </w:rPr>
            </w:pPr>
            <w:r>
              <w:rPr>
                <w:rFonts w:ascii="Times New Roman" w:hAnsi="Times New Roman"/>
                <w:b/>
                <w:bCs/>
              </w:rPr>
              <w:t>4.3 Identifikujte a popíšte vplyv na rovnosť príležitostí.</w:t>
            </w:r>
          </w:p>
          <w:p w:rsidR="003416C3">
            <w:pPr>
              <w:widowControl/>
              <w:autoSpaceDE w:val="0"/>
              <w:autoSpaceDN w:val="0"/>
              <w:bidi w:val="0"/>
              <w:spacing w:after="0" w:line="240" w:lineRule="auto"/>
              <w:ind w:left="340"/>
              <w:jc w:val="both"/>
              <w:rPr>
                <w:rFonts w:ascii="Calibri" w:hAnsi="Calibri" w:cs="Calibri"/>
              </w:rPr>
            </w:pPr>
            <w:r>
              <w:rPr>
                <w:rFonts w:ascii="Times New Roman" w:hAnsi="Times New Roman"/>
                <w:b/>
                <w:bCs/>
              </w:rPr>
              <w:t>Identifikujte, popíšte a kvantifikujte vplyv na rodovú rovnosť.</w:t>
            </w:r>
          </w:p>
        </w:tc>
      </w:tr>
      <w:tr>
        <w:tblPrEx>
          <w:tblW w:w="0" w:type="auto"/>
          <w:jc w:val="center"/>
          <w:tblLayout w:type="fixed"/>
          <w:tblCellMar>
            <w:top w:w="0" w:type="dxa"/>
            <w:bottom w:w="0" w:type="dxa"/>
          </w:tblCellMar>
        </w:tblPrEx>
        <w:trPr>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jc w:val="both"/>
              <w:rPr>
                <w:rFonts w:ascii="Times New Roman" w:hAnsi="Times New Roman"/>
                <w:i/>
                <w:iCs/>
              </w:rPr>
            </w:pPr>
            <w:r>
              <w:rPr>
                <w:rFonts w:ascii="Times New Roman" w:hAnsi="Times New Roman"/>
                <w:i/>
                <w:iCs/>
                <w:sz w:val="20"/>
                <w:szCs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tblPrEx>
          <w:tblW w:w="0" w:type="auto"/>
          <w:jc w:val="center"/>
          <w:tblLayout w:type="fixed"/>
          <w:tblCellMar>
            <w:top w:w="0" w:type="dxa"/>
            <w:bottom w:w="0" w:type="dxa"/>
          </w:tblCellMar>
        </w:tblPrEx>
        <w:trPr>
          <w:trHeight w:val="928"/>
          <w:jc w:val="center"/>
        </w:trPr>
        <w:tc>
          <w:tcPr>
            <w:tcW w:w="9605" w:type="dxa"/>
            <w:gridSpan w:val="2"/>
            <w:tcBorders>
              <w:top w:val="nil"/>
              <w:left w:val="single" w:sz="4" w:space="0" w:color="auto"/>
              <w:bottom w:val="nil"/>
              <w:right w:val="single" w:sz="4" w:space="0" w:color="auto"/>
            </w:tcBorders>
            <w:textDirection w:val="lrTb"/>
            <w:vAlign w:val="top"/>
          </w:tcPr>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sz w:val="20"/>
                <w:szCs w:val="20"/>
              </w:rPr>
              <w:t xml:space="preserve">Návrh nebude mať žiaden vplyv na rovnosť príležitostí ani rodovú rovnosť. </w:t>
            </w:r>
          </w:p>
          <w:p w:rsidR="003416C3">
            <w:pPr>
              <w:widowControl/>
              <w:autoSpaceDE w:val="0"/>
              <w:autoSpaceDN w:val="0"/>
              <w:bidi w:val="0"/>
              <w:spacing w:after="0" w:line="240" w:lineRule="auto"/>
              <w:rPr>
                <w:rFonts w:ascii="Times New Roman" w:hAnsi="Times New Roman"/>
                <w:i/>
                <w:iCs/>
                <w:sz w:val="20"/>
                <w:szCs w:val="20"/>
              </w:rPr>
            </w:pPr>
          </w:p>
        </w:tc>
      </w:tr>
      <w:tr>
        <w:tblPrEx>
          <w:tblW w:w="0" w:type="auto"/>
          <w:jc w:val="center"/>
          <w:tblLayout w:type="fixed"/>
          <w:tblCellMar>
            <w:top w:w="0" w:type="dxa"/>
            <w:bottom w:w="0" w:type="dxa"/>
          </w:tblCellMar>
        </w:tblPrEx>
        <w:trPr>
          <w:trHeight w:val="345"/>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3416C3">
            <w:pPr>
              <w:widowControl/>
              <w:autoSpaceDE w:val="0"/>
              <w:autoSpaceDN w:val="0"/>
              <w:bidi w:val="0"/>
              <w:spacing w:after="0" w:line="240" w:lineRule="auto"/>
              <w:rPr>
                <w:rFonts w:ascii="Times New Roman" w:hAnsi="Times New Roman"/>
                <w:i/>
                <w:iCs/>
                <w:sz w:val="20"/>
                <w:szCs w:val="20"/>
              </w:rPr>
            </w:pPr>
            <w:r>
              <w:rPr>
                <w:rFonts w:ascii="Times New Roman" w:hAnsi="Times New Roman"/>
                <w:i/>
                <w:iCs/>
                <w:sz w:val="20"/>
                <w:szCs w:val="20"/>
              </w:rPr>
              <w:t>Môže mať návrh odlišný vplyv na ženy a mužov? Podporuje návrh rovnosť medzi ženami a mužmi alebo naopak bude viesť k zväčšovaniu rodových nerovností? Popíšte vplyvy.</w:t>
            </w:r>
          </w:p>
        </w:tc>
      </w:tr>
      <w:tr>
        <w:tblPrEx>
          <w:tblW w:w="0" w:type="auto"/>
          <w:jc w:val="center"/>
          <w:tblBorders>
            <w:top w:val="none" w:sz="0" w:space="0" w:color="auto"/>
            <w:bottom w:val="none" w:sz="0" w:space="0" w:color="auto"/>
          </w:tblBorders>
          <w:tblLayout w:type="fixed"/>
          <w:tblCellMar>
            <w:top w:w="0" w:type="dxa"/>
            <w:bottom w:w="0" w:type="dxa"/>
          </w:tblCellMar>
        </w:tblPrEx>
        <w:trPr>
          <w:trHeight w:val="1235"/>
          <w:jc w:val="center"/>
        </w:trPr>
        <w:tc>
          <w:tcPr>
            <w:tcW w:w="3829" w:type="dxa"/>
            <w:tcBorders>
              <w:top w:val="nil"/>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jc w:val="both"/>
              <w:rPr>
                <w:rFonts w:ascii="Times New Roman" w:hAnsi="Times New Roman"/>
                <w:i/>
                <w:iCs/>
                <w:sz w:val="18"/>
                <w:szCs w:val="18"/>
              </w:rPr>
            </w:pPr>
            <w:r>
              <w:rPr>
                <w:rFonts w:ascii="Times New Roman" w:hAnsi="Times New Roman"/>
                <w:i/>
                <w:iCs/>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 xml:space="preserve">podpora vyrovnávania ekonomickej nezávislosti, </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 xml:space="preserve">zosúladenie pracovného, súkromného a rodinného života, </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 xml:space="preserve">podpora rovnej participácie na rozhodovaní, </w:t>
            </w:r>
          </w:p>
          <w:p w:rsidR="003416C3">
            <w:pPr>
              <w:widowControl/>
              <w:autoSpaceDE w:val="0"/>
              <w:autoSpaceDN w:val="0"/>
              <w:bidi w:val="0"/>
              <w:spacing w:after="0" w:line="240" w:lineRule="auto"/>
              <w:ind w:left="360" w:hanging="360"/>
              <w:jc w:val="both"/>
              <w:rPr>
                <w:rFonts w:ascii="Times New Roman" w:hAnsi="Times New Roman"/>
                <w:i/>
                <w:iCs/>
                <w:sz w:val="18"/>
                <w:szCs w:val="18"/>
              </w:rPr>
            </w:pPr>
            <w:r>
              <w:rPr>
                <w:rFonts w:ascii="Wingdings" w:hAnsi="Wingdings" w:cs="Wingdings"/>
                <w:sz w:val="18"/>
                <w:szCs w:val="18"/>
              </w:rPr>
              <w:t>F</w:t>
              <w:tab/>
            </w:r>
            <w:r>
              <w:rPr>
                <w:rFonts w:ascii="Times New Roman" w:hAnsi="Times New Roman"/>
                <w:i/>
                <w:iCs/>
                <w:sz w:val="18"/>
                <w:szCs w:val="18"/>
              </w:rPr>
              <w:t xml:space="preserve">boj proti rodovo podmienenému násiliu a obchodovaniu s ľuďmi, </w:t>
            </w:r>
          </w:p>
          <w:p w:rsidR="00AF5A23" w:rsidP="00AF5A23">
            <w:pPr>
              <w:widowControl/>
              <w:autoSpaceDE w:val="0"/>
              <w:autoSpaceDN w:val="0"/>
              <w:bidi w:val="0"/>
              <w:spacing w:after="0" w:line="240" w:lineRule="auto"/>
              <w:ind w:left="360" w:hanging="360"/>
              <w:jc w:val="both"/>
              <w:rPr>
                <w:rFonts w:ascii="Times New Roman" w:hAnsi="Times New Roman"/>
                <w:i/>
                <w:iCs/>
                <w:sz w:val="18"/>
                <w:szCs w:val="18"/>
              </w:rPr>
            </w:pPr>
            <w:r w:rsidR="003416C3">
              <w:rPr>
                <w:rFonts w:ascii="Wingdings" w:hAnsi="Wingdings" w:cs="Wingdings"/>
                <w:sz w:val="18"/>
                <w:szCs w:val="18"/>
              </w:rPr>
              <w:t>F</w:t>
              <w:tab/>
            </w:r>
            <w:r w:rsidR="003416C3">
              <w:rPr>
                <w:rFonts w:ascii="Times New Roman" w:hAnsi="Times New Roman"/>
                <w:i/>
                <w:iCs/>
                <w:sz w:val="18"/>
                <w:szCs w:val="18"/>
              </w:rPr>
              <w:t>eliminácia rodových stereotypov.</w:t>
            </w:r>
          </w:p>
          <w:p w:rsidR="00AA2F0B" w:rsidP="00AF5A23">
            <w:pPr>
              <w:widowControl/>
              <w:autoSpaceDE w:val="0"/>
              <w:autoSpaceDN w:val="0"/>
              <w:bidi w:val="0"/>
              <w:spacing w:after="0" w:line="240" w:lineRule="auto"/>
              <w:ind w:left="360" w:hanging="360"/>
              <w:jc w:val="both"/>
              <w:rPr>
                <w:rFonts w:ascii="Times New Roman" w:hAnsi="Times New Roman"/>
                <w:i/>
                <w:iCs/>
                <w:sz w:val="18"/>
                <w:szCs w:val="18"/>
              </w:rPr>
            </w:pPr>
          </w:p>
          <w:p w:rsidR="00AA2F0B" w:rsidP="00AF5A23">
            <w:pPr>
              <w:widowControl/>
              <w:autoSpaceDE w:val="0"/>
              <w:autoSpaceDN w:val="0"/>
              <w:bidi w:val="0"/>
              <w:spacing w:after="0" w:line="240" w:lineRule="auto"/>
              <w:ind w:left="360" w:hanging="360"/>
              <w:jc w:val="both"/>
              <w:rPr>
                <w:rFonts w:ascii="Times New Roman" w:hAnsi="Times New Roman"/>
                <w:i/>
                <w:iCs/>
                <w:sz w:val="18"/>
                <w:szCs w:val="18"/>
              </w:rPr>
            </w:pPr>
          </w:p>
          <w:p w:rsidR="00AA2F0B" w:rsidP="00AF5A23">
            <w:pPr>
              <w:widowControl/>
              <w:autoSpaceDE w:val="0"/>
              <w:autoSpaceDN w:val="0"/>
              <w:bidi w:val="0"/>
              <w:spacing w:after="0" w:line="240" w:lineRule="auto"/>
              <w:ind w:left="360" w:hanging="360"/>
              <w:jc w:val="both"/>
              <w:rPr>
                <w:rFonts w:ascii="Times New Roman" w:hAnsi="Times New Roman"/>
                <w:i/>
                <w:iCs/>
                <w:sz w:val="18"/>
                <w:szCs w:val="18"/>
              </w:rPr>
            </w:pPr>
          </w:p>
          <w:p w:rsidR="00AA2F0B" w:rsidP="00AF5A23">
            <w:pPr>
              <w:widowControl/>
              <w:autoSpaceDE w:val="0"/>
              <w:autoSpaceDN w:val="0"/>
              <w:bidi w:val="0"/>
              <w:spacing w:after="0" w:line="240" w:lineRule="auto"/>
              <w:ind w:left="360" w:hanging="360"/>
              <w:jc w:val="both"/>
              <w:rPr>
                <w:rFonts w:ascii="Times New Roman" w:hAnsi="Times New Roman"/>
                <w:i/>
                <w:iCs/>
                <w:sz w:val="18"/>
                <w:szCs w:val="18"/>
              </w:rPr>
            </w:pPr>
          </w:p>
          <w:p w:rsidR="00AA2F0B" w:rsidP="00AF5A23">
            <w:pPr>
              <w:widowControl/>
              <w:autoSpaceDE w:val="0"/>
              <w:autoSpaceDN w:val="0"/>
              <w:bidi w:val="0"/>
              <w:spacing w:after="0" w:line="240" w:lineRule="auto"/>
              <w:ind w:left="360" w:hanging="360"/>
              <w:jc w:val="both"/>
              <w:rPr>
                <w:rFonts w:ascii="Times New Roman" w:hAnsi="Times New Roman"/>
                <w:i/>
                <w:iCs/>
                <w:sz w:val="18"/>
                <w:szCs w:val="18"/>
              </w:rPr>
            </w:pPr>
          </w:p>
          <w:p w:rsidR="00AF5A23" w:rsidP="00AF5A23">
            <w:pPr>
              <w:widowControl/>
              <w:autoSpaceDE w:val="0"/>
              <w:autoSpaceDN w:val="0"/>
              <w:bidi w:val="0"/>
              <w:spacing w:after="0" w:line="240" w:lineRule="auto"/>
              <w:ind w:left="360" w:hanging="360"/>
              <w:jc w:val="both"/>
              <w:rPr>
                <w:rFonts w:ascii="Times New Roman" w:hAnsi="Times New Roman"/>
                <w:i/>
                <w:iCs/>
                <w:sz w:val="18"/>
                <w:szCs w:val="18"/>
              </w:rPr>
            </w:pPr>
          </w:p>
        </w:tc>
        <w:tc>
          <w:tcPr>
            <w:tcW w:w="5776" w:type="dxa"/>
            <w:tcBorders>
              <w:top w:val="nil"/>
              <w:left w:val="single" w:sz="4" w:space="0" w:color="auto"/>
              <w:bottom w:val="single" w:sz="4" w:space="0" w:color="auto"/>
              <w:right w:val="single" w:sz="4" w:space="0" w:color="auto"/>
            </w:tcBorders>
            <w:textDirection w:val="lrTb"/>
            <w:vAlign w:val="top"/>
          </w:tcPr>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rPr>
                <w:rFonts w:ascii="Times New Roman" w:hAnsi="Times New Roman"/>
                <w:sz w:val="20"/>
                <w:szCs w:val="20"/>
              </w:rPr>
            </w:pPr>
          </w:p>
          <w:p w:rsidR="003416C3" w:rsidP="00284A1A">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 xml:space="preserve">Návrh nebude mať žiaden vplyv na rovnosť príležitostí ani rodovú rovnosť. </w:t>
            </w:r>
          </w:p>
          <w:p w:rsidR="003416C3">
            <w:pPr>
              <w:widowControl/>
              <w:autoSpaceDE w:val="0"/>
              <w:autoSpaceDN w:val="0"/>
              <w:bidi w:val="0"/>
              <w:spacing w:after="0" w:line="240" w:lineRule="auto"/>
              <w:rPr>
                <w:rFonts w:ascii="Times New Roman" w:hAnsi="Times New Roman"/>
                <w:sz w:val="20"/>
                <w:szCs w:val="20"/>
              </w:rPr>
            </w:pPr>
          </w:p>
          <w:p w:rsidR="003416C3">
            <w:pPr>
              <w:widowControl/>
              <w:autoSpaceDE w:val="0"/>
              <w:autoSpaceDN w:val="0"/>
              <w:bidi w:val="0"/>
              <w:spacing w:after="0" w:line="240" w:lineRule="auto"/>
              <w:rPr>
                <w:rFonts w:ascii="Times New Roman" w:hAnsi="Times New Roman"/>
                <w:sz w:val="20"/>
                <w:szCs w:val="20"/>
              </w:rPr>
            </w:pPr>
          </w:p>
        </w:tc>
      </w:tr>
      <w:tr>
        <w:tblPrEx>
          <w:tblW w:w="0" w:type="auto"/>
          <w:jc w:val="center"/>
          <w:tblLayout w:type="fixed"/>
          <w:tblCellMar>
            <w:top w:w="0" w:type="dxa"/>
            <w:bottom w:w="0" w:type="dxa"/>
          </w:tblCellMar>
        </w:tblPrEx>
        <w:trPr>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16C3">
            <w:pPr>
              <w:widowControl/>
              <w:autoSpaceDE w:val="0"/>
              <w:autoSpaceDN w:val="0"/>
              <w:bidi w:val="0"/>
              <w:spacing w:after="0" w:line="240" w:lineRule="auto"/>
              <w:rPr>
                <w:rFonts w:ascii="Times New Roman" w:hAnsi="Times New Roman"/>
                <w:b/>
                <w:bCs/>
              </w:rPr>
            </w:pPr>
            <w:r>
              <w:rPr>
                <w:rFonts w:ascii="Times New Roman" w:hAnsi="Times New Roman"/>
                <w:b/>
                <w:bCs/>
              </w:rPr>
              <w:t>4.4 Identifikujte, popíšte a kvantifikujte vplyvy na zamestnanosť a na trh práce.</w:t>
            </w:r>
          </w:p>
          <w:p w:rsidR="003416C3">
            <w:pPr>
              <w:widowControl/>
              <w:autoSpaceDE w:val="0"/>
              <w:autoSpaceDN w:val="0"/>
              <w:bidi w:val="0"/>
              <w:spacing w:after="0" w:line="240" w:lineRule="auto"/>
              <w:jc w:val="both"/>
              <w:rPr>
                <w:rFonts w:ascii="Times New Roman" w:hAnsi="Times New Roman"/>
                <w:i/>
                <w:iCs/>
                <w:sz w:val="22"/>
                <w:szCs w:val="22"/>
              </w:rPr>
            </w:pPr>
            <w:r>
              <w:rPr>
                <w:rFonts w:ascii="Times New Roman" w:hAnsi="Times New Roman"/>
                <w:i/>
                <w:iCs/>
                <w:sz w:val="22"/>
                <w:szCs w:val="22"/>
              </w:rPr>
              <w:t xml:space="preserve">V prípade kladnej odpovede pripojte </w:t>
            </w:r>
            <w:r>
              <w:rPr>
                <w:rFonts w:ascii="Times New Roman" w:hAnsi="Times New Roman"/>
                <w:b/>
                <w:bCs/>
                <w:i/>
                <w:iCs/>
                <w:sz w:val="22"/>
                <w:szCs w:val="22"/>
              </w:rPr>
              <w:t>odôvodnenie</w:t>
            </w:r>
            <w:r>
              <w:rPr>
                <w:rFonts w:ascii="Times New Roman" w:hAnsi="Times New Roman"/>
                <w:i/>
                <w:iCs/>
                <w:sz w:val="22"/>
                <w:szCs w:val="22"/>
              </w:rPr>
              <w:t xml:space="preserve"> v súlade s Metodickým postupom pre analýzu sociálnych vplyvov.</w:t>
            </w:r>
          </w:p>
        </w:tc>
      </w:tr>
      <w:tr>
        <w:tblPrEx>
          <w:tblW w:w="0" w:type="auto"/>
          <w:jc w:val="center"/>
          <w:tblLayout w:type="fixed"/>
          <w:tblCellMar>
            <w:top w:w="0" w:type="dxa"/>
            <w:bottom w:w="0" w:type="dxa"/>
          </w:tblCellMar>
        </w:tblPrEx>
        <w:trPr>
          <w:trHeight w:val="287"/>
          <w:jc w:val="center"/>
        </w:trPr>
        <w:tc>
          <w:tcPr>
            <w:tcW w:w="9605" w:type="dxa"/>
            <w:gridSpan w:val="2"/>
            <w:tcBorders>
              <w:top w:val="nil"/>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rPr>
                <w:rFonts w:ascii="Times New Roman" w:hAnsi="Times New Roman"/>
                <w:i/>
                <w:iCs/>
                <w:sz w:val="20"/>
                <w:szCs w:val="20"/>
              </w:rPr>
            </w:pPr>
            <w:r>
              <w:rPr>
                <w:rFonts w:ascii="Times New Roman" w:hAnsi="Times New Roman"/>
                <w:i/>
                <w:iCs/>
                <w:sz w:val="20"/>
                <w:szCs w:val="20"/>
              </w:rPr>
              <w:t>Uľahčuje návrh vznik nových pracovných miest? Ak áno, ako? Ak je to možné, doplňte kvantifikáciu.</w:t>
            </w:r>
          </w:p>
        </w:tc>
      </w:tr>
      <w:tr>
        <w:tblPrEx>
          <w:tblW w:w="0" w:type="auto"/>
          <w:jc w:val="center"/>
          <w:tblLayout w:type="fixed"/>
          <w:tblCellMar>
            <w:top w:w="0" w:type="dxa"/>
            <w:bottom w:w="0" w:type="dxa"/>
          </w:tblCellMar>
        </w:tblPrEx>
        <w:trPr>
          <w:trHeight w:val="567"/>
          <w:jc w:val="center"/>
        </w:trPr>
        <w:tc>
          <w:tcPr>
            <w:tcW w:w="3829" w:type="dxa"/>
            <w:tcBorders>
              <w:top w:val="nil"/>
              <w:left w:val="single" w:sz="4" w:space="0" w:color="auto"/>
              <w:bottom w:val="single" w:sz="4" w:space="0" w:color="auto"/>
              <w:right w:val="single" w:sz="4" w:space="0" w:color="auto"/>
            </w:tcBorders>
            <w:shd w:val="clear" w:color="auto" w:fill="FFFFFF"/>
            <w:textDirection w:val="lrTb"/>
            <w:vAlign w:val="top"/>
          </w:tcPr>
          <w:p w:rsidR="003416C3" w:rsidP="00CC58AE">
            <w:pPr>
              <w:widowControl/>
              <w:autoSpaceDE w:val="0"/>
              <w:autoSpaceDN w:val="0"/>
              <w:bidi w:val="0"/>
              <w:spacing w:after="0" w:line="240" w:lineRule="auto"/>
              <w:jc w:val="both"/>
              <w:rPr>
                <w:rFonts w:ascii="Times New Roman" w:hAnsi="Times New Roman"/>
                <w:i/>
                <w:iCs/>
                <w:sz w:val="18"/>
                <w:szCs w:val="18"/>
              </w:rPr>
            </w:pPr>
            <w:r>
              <w:rPr>
                <w:rFonts w:ascii="Times New Roman" w:hAnsi="Times New Roman"/>
                <w:i/>
                <w:iCs/>
                <w:sz w:val="18"/>
                <w:szCs w:val="18"/>
              </w:rPr>
              <w:t xml:space="preserve">Identifikujte, v ktorých sektoroch a odvetviach ekonomiky, v ktorých regiónoch, pre aké skupiny zamestnancov, o aké typy zamestnania /pracovných úväzkov pôjde a pod. </w:t>
            </w:r>
          </w:p>
        </w:tc>
        <w:tc>
          <w:tcPr>
            <w:tcW w:w="5776" w:type="dxa"/>
            <w:tcBorders>
              <w:top w:val="nil"/>
              <w:left w:val="single" w:sz="4" w:space="0" w:color="auto"/>
              <w:bottom w:val="single" w:sz="4" w:space="0" w:color="auto"/>
              <w:right w:val="single" w:sz="4" w:space="0" w:color="auto"/>
            </w:tcBorders>
            <w:shd w:val="clear" w:color="auto" w:fill="FFFFFF"/>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sz w:val="20"/>
                <w:szCs w:val="20"/>
              </w:rPr>
              <w:t>Návrh nebude mať žiaden vplyv na zamestnanosť a trh práce.</w:t>
            </w:r>
          </w:p>
          <w:p w:rsidR="003416C3">
            <w:pPr>
              <w:widowControl/>
              <w:autoSpaceDE w:val="0"/>
              <w:autoSpaceDN w:val="0"/>
              <w:bidi w:val="0"/>
              <w:spacing w:after="0" w:line="240" w:lineRule="auto"/>
              <w:rPr>
                <w:rFonts w:ascii="Times New Roman" w:hAnsi="Times New Roman"/>
                <w:sz w:val="20"/>
                <w:szCs w:val="20"/>
              </w:rPr>
            </w:pPr>
          </w:p>
        </w:tc>
      </w:tr>
      <w:tr>
        <w:tblPrEx>
          <w:tblW w:w="0" w:type="auto"/>
          <w:jc w:val="center"/>
          <w:tblLayout w:type="fixed"/>
          <w:tblCellMar>
            <w:top w:w="0" w:type="dxa"/>
            <w:bottom w:w="0" w:type="dxa"/>
          </w:tblCellMar>
        </w:tblPrEx>
        <w:trPr>
          <w:trHeight w:val="270"/>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rPr>
                <w:rFonts w:ascii="Times New Roman" w:hAnsi="Times New Roman"/>
                <w:i/>
                <w:iCs/>
                <w:sz w:val="20"/>
                <w:szCs w:val="20"/>
              </w:rPr>
            </w:pPr>
            <w:r>
              <w:rPr>
                <w:rFonts w:ascii="Times New Roman" w:hAnsi="Times New Roman"/>
                <w:i/>
                <w:iCs/>
                <w:sz w:val="20"/>
                <w:szCs w:val="20"/>
              </w:rPr>
              <w:t>Vedie návrh k zániku pracovných miest?</w:t>
            </w:r>
            <w:r>
              <w:rPr>
                <w:rFonts w:ascii="Times New Roman" w:hAnsi="Times New Roman"/>
                <w:sz w:val="20"/>
                <w:szCs w:val="20"/>
              </w:rPr>
              <w:t xml:space="preserve"> </w:t>
            </w:r>
            <w:r>
              <w:rPr>
                <w:rFonts w:ascii="Times New Roman" w:hAnsi="Times New Roman"/>
                <w:i/>
                <w:iCs/>
                <w:sz w:val="20"/>
                <w:szCs w:val="20"/>
              </w:rPr>
              <w:t>Ak áno, ako a akých? Ak je to možné, doplňte kvantifikáciu.</w:t>
            </w:r>
          </w:p>
        </w:tc>
      </w:tr>
      <w:tr>
        <w:tblPrEx>
          <w:tblW w:w="0" w:type="auto"/>
          <w:jc w:val="center"/>
          <w:tblLayout w:type="fixed"/>
          <w:tblCellMar>
            <w:top w:w="0" w:type="dxa"/>
            <w:bottom w:w="0" w:type="dxa"/>
          </w:tblCellMar>
        </w:tblPrEx>
        <w:trPr>
          <w:trHeight w:val="454"/>
          <w:jc w:val="center"/>
        </w:trPr>
        <w:tc>
          <w:tcPr>
            <w:tcW w:w="382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rsidP="00CC58AE">
            <w:pPr>
              <w:widowControl/>
              <w:autoSpaceDE w:val="0"/>
              <w:autoSpaceDN w:val="0"/>
              <w:bidi w:val="0"/>
              <w:spacing w:after="0" w:line="240" w:lineRule="auto"/>
              <w:jc w:val="both"/>
              <w:rPr>
                <w:rFonts w:ascii="Times New Roman" w:hAnsi="Times New Roman"/>
                <w:i/>
                <w:iCs/>
                <w:sz w:val="18"/>
                <w:szCs w:val="18"/>
              </w:rPr>
            </w:pPr>
            <w:r>
              <w:rPr>
                <w:rFonts w:ascii="Times New Roman" w:hAnsi="Times New Roman"/>
                <w:i/>
                <w:iCs/>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57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rsidP="00284A1A">
            <w:pPr>
              <w:widowControl/>
              <w:autoSpaceDE w:val="0"/>
              <w:autoSpaceDN w:val="0"/>
              <w:bidi w:val="0"/>
              <w:spacing w:after="0" w:line="240" w:lineRule="auto"/>
              <w:jc w:val="both"/>
              <w:rPr>
                <w:rFonts w:ascii="Times New Roman" w:hAnsi="Times New Roman"/>
                <w:sz w:val="20"/>
                <w:szCs w:val="20"/>
              </w:rPr>
            </w:pPr>
            <w:r>
              <w:rPr>
                <w:rFonts w:ascii="Times New Roman" w:hAnsi="Times New Roman"/>
                <w:sz w:val="20"/>
                <w:szCs w:val="20"/>
              </w:rPr>
              <w:t>Návrh nebude mať žiaden vplyv na zamestnanosť a trh práce.</w:t>
            </w:r>
          </w:p>
          <w:p w:rsidR="003416C3">
            <w:pPr>
              <w:widowControl/>
              <w:autoSpaceDE w:val="0"/>
              <w:autoSpaceDN w:val="0"/>
              <w:bidi w:val="0"/>
              <w:spacing w:after="0" w:line="240" w:lineRule="auto"/>
              <w:rPr>
                <w:rFonts w:ascii="Times New Roman" w:hAnsi="Times New Roman"/>
                <w:sz w:val="20"/>
                <w:szCs w:val="20"/>
              </w:rPr>
            </w:pPr>
          </w:p>
        </w:tc>
      </w:tr>
      <w:tr>
        <w:tblPrEx>
          <w:tblW w:w="0" w:type="auto"/>
          <w:jc w:val="center"/>
          <w:tblLayout w:type="fixed"/>
          <w:tblCellMar>
            <w:top w:w="0" w:type="dxa"/>
            <w:bottom w:w="0" w:type="dxa"/>
          </w:tblCellMar>
        </w:tblPrEx>
        <w:trPr>
          <w:trHeight w:val="248"/>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i/>
                <w:iCs/>
                <w:sz w:val="20"/>
                <w:szCs w:val="20"/>
              </w:rPr>
              <w:t>Ovplyvňuje návrh dopyt po práci?</w:t>
            </w:r>
            <w:r>
              <w:rPr>
                <w:rFonts w:ascii="Times New Roman" w:hAnsi="Times New Roman"/>
                <w:sz w:val="20"/>
                <w:szCs w:val="20"/>
              </w:rPr>
              <w:t xml:space="preserve"> </w:t>
            </w:r>
            <w:r>
              <w:rPr>
                <w:rFonts w:ascii="Times New Roman" w:hAnsi="Times New Roman"/>
                <w:i/>
                <w:iCs/>
                <w:sz w:val="20"/>
                <w:szCs w:val="20"/>
              </w:rPr>
              <w:t>Ak áno, ako?</w:t>
            </w:r>
          </w:p>
        </w:tc>
      </w:tr>
      <w:tr>
        <w:tblPrEx>
          <w:tblW w:w="0" w:type="auto"/>
          <w:jc w:val="center"/>
          <w:tblLayout w:type="fixed"/>
          <w:tblCellMar>
            <w:top w:w="0" w:type="dxa"/>
            <w:bottom w:w="0" w:type="dxa"/>
          </w:tblCellMar>
        </w:tblPrEx>
        <w:trPr>
          <w:trHeight w:val="209"/>
          <w:jc w:val="center"/>
        </w:trPr>
        <w:tc>
          <w:tcPr>
            <w:tcW w:w="382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pPr>
              <w:widowControl/>
              <w:autoSpaceDE w:val="0"/>
              <w:autoSpaceDN w:val="0"/>
              <w:bidi w:val="0"/>
              <w:spacing w:after="0" w:line="240" w:lineRule="auto"/>
              <w:rPr>
                <w:rFonts w:ascii="Times New Roman" w:hAnsi="Times New Roman"/>
                <w:i/>
                <w:iCs/>
                <w:sz w:val="18"/>
                <w:szCs w:val="18"/>
              </w:rPr>
            </w:pPr>
            <w:r>
              <w:rPr>
                <w:rFonts w:ascii="Times New Roman" w:hAnsi="Times New Roman"/>
                <w:i/>
                <w:iCs/>
                <w:sz w:val="18"/>
                <w:szCs w:val="18"/>
              </w:rPr>
              <w:t>Dopyt po práci závisí na jednej strane na produkcii tovarov a služieb v ekonomike a na druhej strane na cene práce.</w:t>
            </w:r>
          </w:p>
        </w:tc>
        <w:tc>
          <w:tcPr>
            <w:tcW w:w="57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sz w:val="20"/>
                <w:szCs w:val="20"/>
              </w:rPr>
              <w:t>Návrh nebude mať žiaden vplyv na zamestnanosť a trh práce.</w:t>
            </w:r>
          </w:p>
          <w:p w:rsidR="003416C3">
            <w:pPr>
              <w:widowControl/>
              <w:autoSpaceDE w:val="0"/>
              <w:autoSpaceDN w:val="0"/>
              <w:bidi w:val="0"/>
              <w:spacing w:after="0" w:line="240" w:lineRule="auto"/>
              <w:rPr>
                <w:rFonts w:ascii="Times New Roman" w:hAnsi="Times New Roman"/>
                <w:sz w:val="20"/>
                <w:szCs w:val="20"/>
              </w:rPr>
            </w:pPr>
          </w:p>
        </w:tc>
      </w:tr>
      <w:tr>
        <w:tblPrEx>
          <w:tblW w:w="0" w:type="auto"/>
          <w:jc w:val="center"/>
          <w:tblLayout w:type="fixed"/>
          <w:tblCellMar>
            <w:top w:w="0" w:type="dxa"/>
            <w:bottom w:w="0" w:type="dxa"/>
          </w:tblCellMar>
        </w:tblPrEx>
        <w:trPr>
          <w:trHeight w:val="208"/>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i/>
                <w:iCs/>
                <w:sz w:val="20"/>
                <w:szCs w:val="20"/>
              </w:rPr>
              <w:t>Má návrh dosah na fungovanie trhu práce?</w:t>
            </w:r>
            <w:r>
              <w:rPr>
                <w:rFonts w:ascii="Times New Roman" w:hAnsi="Times New Roman"/>
                <w:sz w:val="20"/>
                <w:szCs w:val="20"/>
              </w:rPr>
              <w:t xml:space="preserve"> </w:t>
            </w:r>
            <w:r>
              <w:rPr>
                <w:rFonts w:ascii="Times New Roman" w:hAnsi="Times New Roman"/>
                <w:i/>
                <w:iCs/>
                <w:sz w:val="20"/>
                <w:szCs w:val="20"/>
              </w:rPr>
              <w:t>Ak áno, aký?</w:t>
            </w:r>
          </w:p>
        </w:tc>
      </w:tr>
      <w:tr>
        <w:tblPrEx>
          <w:tblW w:w="0" w:type="auto"/>
          <w:jc w:val="center"/>
          <w:tblLayout w:type="fixed"/>
          <w:tblCellMar>
            <w:top w:w="0" w:type="dxa"/>
            <w:bottom w:w="0" w:type="dxa"/>
          </w:tblCellMar>
        </w:tblPrEx>
        <w:trPr>
          <w:trHeight w:val="794"/>
          <w:jc w:val="center"/>
        </w:trPr>
        <w:tc>
          <w:tcPr>
            <w:tcW w:w="382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rsidP="00CC58AE">
            <w:pPr>
              <w:widowControl/>
              <w:autoSpaceDE w:val="0"/>
              <w:autoSpaceDN w:val="0"/>
              <w:bidi w:val="0"/>
              <w:spacing w:after="0" w:line="240" w:lineRule="auto"/>
              <w:jc w:val="both"/>
              <w:rPr>
                <w:rFonts w:ascii="Times New Roman" w:hAnsi="Times New Roman"/>
                <w:i/>
                <w:iCs/>
                <w:sz w:val="18"/>
                <w:szCs w:val="18"/>
              </w:rPr>
            </w:pPr>
            <w:r>
              <w:rPr>
                <w:rFonts w:ascii="Times New Roman" w:hAnsi="Times New Roman"/>
                <w:i/>
                <w:iCs/>
                <w:sz w:val="18"/>
                <w:szCs w:val="18"/>
              </w:rPr>
              <w:t>Týka sa makroekonomických dosahov ako je napr. participácia na trhu práce, dlhodobá nezamestnanosť, regionálne rozdiely v mierach zamestnanosti.</w:t>
            </w:r>
            <w:r>
              <w:rPr>
                <w:rFonts w:ascii="Times New Roman" w:hAnsi="Times New Roman"/>
                <w:sz w:val="18"/>
                <w:szCs w:val="18"/>
              </w:rPr>
              <w:t xml:space="preserve"> </w:t>
            </w:r>
            <w:r>
              <w:rPr>
                <w:rFonts w:ascii="Times New Roman" w:hAnsi="Times New Roman"/>
                <w:i/>
                <w:iCs/>
                <w:sz w:val="18"/>
                <w:szCs w:val="18"/>
              </w:rPr>
              <w:t>Ponuka práce môže byť ovplyvnená rôznymi premennými napr. úrovňou miezd, inštitucionálnym nastavením (napr.  zosúladenie pracovného a súkromného života alebo uľahčovanie rôznych foriem mobility).</w:t>
            </w:r>
          </w:p>
        </w:tc>
        <w:tc>
          <w:tcPr>
            <w:tcW w:w="57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sz w:val="20"/>
                <w:szCs w:val="20"/>
              </w:rPr>
              <w:t>Návrh nebude mať žiaden vplyv na zamestnanosť a trh práce.</w:t>
            </w:r>
          </w:p>
          <w:p w:rsidR="003416C3">
            <w:pPr>
              <w:widowControl/>
              <w:autoSpaceDE w:val="0"/>
              <w:autoSpaceDN w:val="0"/>
              <w:bidi w:val="0"/>
              <w:spacing w:after="0" w:line="240" w:lineRule="auto"/>
              <w:rPr>
                <w:rFonts w:ascii="Times New Roman" w:hAnsi="Times New Roman"/>
                <w:sz w:val="20"/>
                <w:szCs w:val="20"/>
              </w:rPr>
            </w:pPr>
          </w:p>
        </w:tc>
      </w:tr>
      <w:tr>
        <w:tblPrEx>
          <w:tblW w:w="0" w:type="auto"/>
          <w:jc w:val="center"/>
          <w:tblLayout w:type="fixed"/>
          <w:tblCellMar>
            <w:top w:w="0" w:type="dxa"/>
            <w:bottom w:w="0" w:type="dxa"/>
          </w:tblCellMar>
        </w:tblPrEx>
        <w:trPr>
          <w:trHeight w:val="324"/>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i/>
                <w:iCs/>
                <w:sz w:val="20"/>
                <w:szCs w:val="20"/>
              </w:rPr>
              <w:t>Má návrh špecifické negatívne dôsledky pre isté skupiny profesií, skupín zamestnancov či živnostníkov?</w:t>
            </w:r>
            <w:r>
              <w:rPr>
                <w:rFonts w:ascii="Times New Roman" w:hAnsi="Times New Roman"/>
                <w:sz w:val="20"/>
                <w:szCs w:val="20"/>
              </w:rPr>
              <w:t xml:space="preserve"> </w:t>
            </w:r>
            <w:r>
              <w:rPr>
                <w:rFonts w:ascii="Times New Roman" w:hAnsi="Times New Roman"/>
                <w:i/>
                <w:iCs/>
                <w:sz w:val="20"/>
                <w:szCs w:val="20"/>
              </w:rPr>
              <w:t>Ak áno, aké a pre ktoré skupiny?</w:t>
            </w:r>
          </w:p>
        </w:tc>
      </w:tr>
      <w:tr>
        <w:tblPrEx>
          <w:tblW w:w="0" w:type="auto"/>
          <w:jc w:val="center"/>
          <w:tblLayout w:type="fixed"/>
          <w:tblCellMar>
            <w:top w:w="0" w:type="dxa"/>
            <w:bottom w:w="0" w:type="dxa"/>
          </w:tblCellMar>
        </w:tblPrEx>
        <w:trPr>
          <w:trHeight w:val="216"/>
          <w:jc w:val="center"/>
        </w:trPr>
        <w:tc>
          <w:tcPr>
            <w:tcW w:w="382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rsidP="00CC58AE">
            <w:pPr>
              <w:widowControl/>
              <w:autoSpaceDE w:val="0"/>
              <w:autoSpaceDN w:val="0"/>
              <w:bidi w:val="0"/>
              <w:spacing w:after="0" w:line="240" w:lineRule="auto"/>
              <w:jc w:val="both"/>
              <w:rPr>
                <w:rFonts w:ascii="Times New Roman" w:hAnsi="Times New Roman"/>
                <w:i/>
                <w:iCs/>
                <w:sz w:val="18"/>
                <w:szCs w:val="18"/>
              </w:rPr>
            </w:pPr>
            <w:r>
              <w:rPr>
                <w:rFonts w:ascii="Times New Roman" w:hAnsi="Times New Roman"/>
                <w:i/>
                <w:iCs/>
                <w:sz w:val="18"/>
                <w:szCs w:val="18"/>
              </w:rPr>
              <w:t>Návrh môže ohrozovať napr. pracovníkov istých profesií favorizovaním špecifických aktivít či technológií.</w:t>
            </w:r>
          </w:p>
        </w:tc>
        <w:tc>
          <w:tcPr>
            <w:tcW w:w="57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sz w:val="20"/>
                <w:szCs w:val="20"/>
              </w:rPr>
              <w:t>Návrh nebude mať žiaden vplyv na zamestnanosť a trh práce.</w:t>
            </w:r>
          </w:p>
          <w:p w:rsidR="003416C3">
            <w:pPr>
              <w:widowControl/>
              <w:autoSpaceDE w:val="0"/>
              <w:autoSpaceDN w:val="0"/>
              <w:bidi w:val="0"/>
              <w:spacing w:after="0" w:line="240" w:lineRule="auto"/>
              <w:rPr>
                <w:rFonts w:ascii="Times New Roman" w:hAnsi="Times New Roman"/>
                <w:sz w:val="20"/>
                <w:szCs w:val="20"/>
              </w:rPr>
            </w:pPr>
          </w:p>
        </w:tc>
      </w:tr>
      <w:tr>
        <w:tblPrEx>
          <w:tblW w:w="0" w:type="auto"/>
          <w:jc w:val="center"/>
          <w:tblLayout w:type="fixed"/>
          <w:tblCellMar>
            <w:top w:w="0" w:type="dxa"/>
            <w:bottom w:w="0" w:type="dxa"/>
          </w:tblCellMar>
        </w:tblPrEx>
        <w:trPr>
          <w:trHeight w:val="219"/>
          <w:jc w:val="center"/>
        </w:trPr>
        <w:tc>
          <w:tcPr>
            <w:tcW w:w="9605" w:type="dxa"/>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16C3">
            <w:pPr>
              <w:widowControl/>
              <w:autoSpaceDE w:val="0"/>
              <w:autoSpaceDN w:val="0"/>
              <w:bidi w:val="0"/>
              <w:spacing w:after="0" w:line="240" w:lineRule="auto"/>
              <w:rPr>
                <w:rFonts w:ascii="Times New Roman" w:hAnsi="Times New Roman"/>
                <w:sz w:val="20"/>
                <w:szCs w:val="20"/>
              </w:rPr>
            </w:pPr>
            <w:r>
              <w:rPr>
                <w:rFonts w:ascii="Times New Roman" w:hAnsi="Times New Roman"/>
                <w:i/>
                <w:iCs/>
                <w:sz w:val="20"/>
                <w:szCs w:val="20"/>
              </w:rPr>
              <w:t>Ovplyvňuje návrh špecifické vekové skupiny zamestnancov? Ak áno, aké? Akým spôsobom?</w:t>
            </w:r>
          </w:p>
        </w:tc>
      </w:tr>
      <w:tr>
        <w:tblPrEx>
          <w:tblW w:w="0" w:type="auto"/>
          <w:jc w:val="center"/>
          <w:tblLayout w:type="fixed"/>
          <w:tblCellMar>
            <w:top w:w="0" w:type="dxa"/>
            <w:bottom w:w="0" w:type="dxa"/>
          </w:tblCellMar>
        </w:tblPrEx>
        <w:trPr>
          <w:trHeight w:val="497"/>
          <w:jc w:val="center"/>
        </w:trPr>
        <w:tc>
          <w:tcPr>
            <w:tcW w:w="3829"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rsidP="00CC58AE">
            <w:pPr>
              <w:widowControl/>
              <w:autoSpaceDE w:val="0"/>
              <w:autoSpaceDN w:val="0"/>
              <w:bidi w:val="0"/>
              <w:spacing w:after="0" w:line="240" w:lineRule="auto"/>
              <w:jc w:val="both"/>
              <w:rPr>
                <w:rFonts w:ascii="Times New Roman" w:hAnsi="Times New Roman"/>
                <w:i/>
                <w:iCs/>
                <w:sz w:val="18"/>
                <w:szCs w:val="18"/>
              </w:rPr>
            </w:pPr>
            <w:r>
              <w:rPr>
                <w:rFonts w:ascii="Times New Roman" w:hAnsi="Times New Roman"/>
                <w:i/>
                <w:iCs/>
                <w:sz w:val="18"/>
                <w:szCs w:val="18"/>
              </w:rPr>
              <w:t>Identifikujte, či návrh môže ovplyvniť rozhodnutia zamestnancov alebo zamestnávateľov a môže byť zdrojom neskoršieho vstupu na trh práce alebo predčasného odchodu z trhu práce jednotlivcov.“</w:t>
            </w:r>
          </w:p>
        </w:tc>
        <w:tc>
          <w:tcPr>
            <w:tcW w:w="57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16C3">
            <w:pPr>
              <w:widowControl/>
              <w:autoSpaceDE w:val="0"/>
              <w:autoSpaceDN w:val="0"/>
              <w:bidi w:val="0"/>
              <w:spacing w:after="0" w:line="240" w:lineRule="auto"/>
              <w:rPr>
                <w:rFonts w:ascii="Times New Roman" w:hAnsi="Times New Roman"/>
                <w:sz w:val="20"/>
                <w:szCs w:val="20"/>
              </w:rPr>
            </w:pPr>
          </w:p>
        </w:tc>
      </w:tr>
    </w:tbl>
    <w:p w:rsidR="003416C3" w:rsidP="003416C3">
      <w:pPr>
        <w:widowControl/>
        <w:autoSpaceDE w:val="0"/>
        <w:autoSpaceDN w:val="0"/>
        <w:bidi w:val="0"/>
        <w:rPr>
          <w:rFonts w:ascii="Calibri" w:hAnsi="Calibri" w:cs="Calibri"/>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AA2F0B" w:rsidP="00A230D2">
      <w:pPr>
        <w:bidi w:val="0"/>
        <w:jc w:val="center"/>
        <w:rPr>
          <w:rFonts w:ascii="Times New Roman" w:hAnsi="Times New Roman"/>
          <w:b/>
          <w:bCs/>
          <w:sz w:val="22"/>
          <w:szCs w:val="22"/>
        </w:rPr>
      </w:pPr>
    </w:p>
    <w:p w:rsidR="00AA2F0B" w:rsidP="00A230D2">
      <w:pPr>
        <w:bidi w:val="0"/>
        <w:jc w:val="center"/>
        <w:rPr>
          <w:rFonts w:ascii="Times New Roman" w:hAnsi="Times New Roman"/>
          <w:b/>
          <w:bCs/>
          <w:sz w:val="22"/>
          <w:szCs w:val="22"/>
        </w:rPr>
      </w:pPr>
    </w:p>
    <w:p w:rsidR="00AA2F0B"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F514A7" w:rsidP="00A230D2">
      <w:pPr>
        <w:bidi w:val="0"/>
        <w:jc w:val="center"/>
        <w:rPr>
          <w:rFonts w:ascii="Times New Roman" w:hAnsi="Times New Roman"/>
          <w:b/>
          <w:bCs/>
          <w:sz w:val="22"/>
          <w:szCs w:val="22"/>
        </w:rPr>
      </w:pPr>
    </w:p>
    <w:p w:rsidR="00A230D2" w:rsidRPr="00B33901" w:rsidP="00A230D2">
      <w:pPr>
        <w:bidi w:val="0"/>
        <w:jc w:val="center"/>
        <w:rPr>
          <w:rFonts w:ascii="Times New Roman" w:hAnsi="Times New Roman"/>
          <w:b/>
          <w:bCs/>
          <w:sz w:val="22"/>
          <w:szCs w:val="22"/>
        </w:rPr>
      </w:pPr>
      <w:r w:rsidRPr="00B33901">
        <w:rPr>
          <w:rFonts w:ascii="Times New Roman" w:hAnsi="Times New Roman"/>
          <w:b/>
          <w:bCs/>
          <w:sz w:val="22"/>
          <w:szCs w:val="22"/>
        </w:rPr>
        <w:t>DOLOŽKA ZLUČITEĽNOSTI</w:t>
      </w:r>
    </w:p>
    <w:p w:rsidR="00A230D2" w:rsidRPr="00B33901" w:rsidP="00A230D2">
      <w:pPr>
        <w:pBdr>
          <w:bottom w:val="single" w:sz="12" w:space="1" w:color="auto"/>
        </w:pBdr>
        <w:bidi w:val="0"/>
        <w:ind w:left="426"/>
        <w:jc w:val="center"/>
        <w:rPr>
          <w:rFonts w:ascii="Times New Roman" w:hAnsi="Times New Roman"/>
          <w:b/>
          <w:bCs/>
          <w:sz w:val="22"/>
          <w:szCs w:val="22"/>
        </w:rPr>
      </w:pPr>
      <w:r w:rsidRPr="00B33901">
        <w:rPr>
          <w:rFonts w:ascii="Times New Roman" w:hAnsi="Times New Roman"/>
          <w:b/>
          <w:sz w:val="22"/>
          <w:szCs w:val="22"/>
        </w:rPr>
        <w:t>návrhu zákona, ktorým sa mení a dopĺňa zákon č. 129/2010 Z. z. o spotrebiteľských úveroch a o iných úveroch a pôžičkách pre spotrebiteľov a o zmene a doplnení niektorých zákonov v znení neskorších predpisov a ktorým sa menia a dopĺňajú niektoré zákony</w:t>
      </w:r>
    </w:p>
    <w:p w:rsidR="00A230D2" w:rsidRPr="00B33901" w:rsidP="00A230D2">
      <w:pPr>
        <w:pBdr>
          <w:bottom w:val="single" w:sz="12" w:space="1" w:color="auto"/>
        </w:pBdr>
        <w:bidi w:val="0"/>
        <w:ind w:left="426"/>
        <w:jc w:val="center"/>
        <w:rPr>
          <w:rFonts w:ascii="Times New Roman" w:hAnsi="Times New Roman"/>
          <w:b/>
          <w:bCs/>
          <w:sz w:val="22"/>
          <w:szCs w:val="22"/>
        </w:rPr>
      </w:pPr>
      <w:r w:rsidRPr="00B33901">
        <w:rPr>
          <w:rFonts w:ascii="Times New Roman" w:hAnsi="Times New Roman"/>
          <w:b/>
          <w:bCs/>
          <w:sz w:val="22"/>
          <w:szCs w:val="22"/>
        </w:rPr>
        <w:t xml:space="preserve"> s právom Európskej únie</w:t>
      </w:r>
    </w:p>
    <w:p w:rsidR="00A230D2" w:rsidRPr="00B33901" w:rsidP="00A230D2">
      <w:pPr>
        <w:bidi w:val="0"/>
        <w:jc w:val="center"/>
        <w:rPr>
          <w:rFonts w:ascii="Times New Roman" w:hAnsi="Times New Roman"/>
          <w:b/>
          <w:bCs/>
          <w:sz w:val="22"/>
          <w:szCs w:val="22"/>
        </w:rPr>
      </w:pPr>
    </w:p>
    <w:p w:rsidR="00A230D2" w:rsidRPr="00B33901" w:rsidP="00A230D2">
      <w:pPr>
        <w:widowControl/>
        <w:numPr>
          <w:numId w:val="9"/>
        </w:numPr>
        <w:bidi w:val="0"/>
        <w:adjustRightInd/>
        <w:spacing w:after="120"/>
        <w:jc w:val="both"/>
        <w:rPr>
          <w:rFonts w:ascii="Times New Roman" w:hAnsi="Times New Roman"/>
          <w:sz w:val="22"/>
          <w:szCs w:val="22"/>
        </w:rPr>
      </w:pPr>
      <w:r w:rsidRPr="00B33901">
        <w:rPr>
          <w:rFonts w:ascii="Times New Roman" w:hAnsi="Times New Roman"/>
          <w:b/>
          <w:bCs/>
          <w:sz w:val="22"/>
          <w:szCs w:val="22"/>
        </w:rPr>
        <w:t>Predkladateľ návrhu zákona:</w:t>
      </w:r>
    </w:p>
    <w:p w:rsidR="00A230D2" w:rsidRPr="00B33901" w:rsidP="00A230D2">
      <w:pPr>
        <w:bidi w:val="0"/>
        <w:spacing w:after="120"/>
        <w:ind w:firstLine="425"/>
        <w:jc w:val="both"/>
        <w:rPr>
          <w:rFonts w:ascii="Times New Roman" w:hAnsi="Times New Roman"/>
          <w:bCs/>
          <w:sz w:val="22"/>
          <w:szCs w:val="22"/>
        </w:rPr>
      </w:pPr>
      <w:r w:rsidRPr="00B33901">
        <w:rPr>
          <w:rFonts w:ascii="Times New Roman" w:hAnsi="Times New Roman"/>
          <w:sz w:val="22"/>
          <w:szCs w:val="22"/>
        </w:rPr>
        <w:t>Vláda Slovenskej republiky.</w:t>
      </w:r>
    </w:p>
    <w:p w:rsidR="00A230D2" w:rsidRPr="00B33901" w:rsidP="00A230D2">
      <w:pPr>
        <w:widowControl/>
        <w:numPr>
          <w:numId w:val="9"/>
        </w:numPr>
        <w:bidi w:val="0"/>
        <w:adjustRightInd/>
        <w:spacing w:after="120"/>
        <w:jc w:val="both"/>
        <w:rPr>
          <w:rFonts w:ascii="Times New Roman" w:hAnsi="Times New Roman"/>
          <w:b/>
          <w:bCs/>
          <w:sz w:val="22"/>
          <w:szCs w:val="22"/>
        </w:rPr>
      </w:pPr>
      <w:r w:rsidRPr="00B33901">
        <w:rPr>
          <w:rFonts w:ascii="Times New Roman" w:hAnsi="Times New Roman"/>
          <w:b/>
          <w:bCs/>
          <w:sz w:val="22"/>
          <w:szCs w:val="22"/>
        </w:rPr>
        <w:t>Názov návrhu zákona:</w:t>
      </w:r>
    </w:p>
    <w:p w:rsidR="00A230D2" w:rsidRPr="00B33901" w:rsidP="00A230D2">
      <w:pPr>
        <w:bidi w:val="0"/>
        <w:spacing w:after="120"/>
        <w:ind w:left="426"/>
        <w:jc w:val="both"/>
        <w:rPr>
          <w:rFonts w:ascii="Times New Roman" w:hAnsi="Times New Roman"/>
          <w:sz w:val="22"/>
          <w:szCs w:val="22"/>
        </w:rPr>
      </w:pPr>
      <w:r w:rsidRPr="00B33901">
        <w:rPr>
          <w:rFonts w:ascii="Times New Roman" w:hAnsi="Times New Roman"/>
          <w:sz w:val="22"/>
          <w:szCs w:val="22"/>
        </w:rPr>
        <w:t>Návrh zákona, ktorým sa mení a dopĺňa zákon č. 129/2010 Z. z. o spotrebiteľských úveroch a o iných úveroch a pôžičkách pre spotrebiteľov a o zmene a doplnení niektorých zákonov v znení neskorších predpisov a ktorým sa menia a dopĺňajú niektoré zákony</w:t>
      </w:r>
      <w:r w:rsidRPr="00B33901">
        <w:rPr>
          <w:rFonts w:ascii="Times New Roman" w:hAnsi="Times New Roman"/>
          <w:bCs/>
          <w:color w:val="000000"/>
          <w:sz w:val="22"/>
          <w:szCs w:val="22"/>
        </w:rPr>
        <w:t>.</w:t>
      </w:r>
    </w:p>
    <w:p w:rsidR="00A230D2" w:rsidRPr="00B33901" w:rsidP="00A230D2">
      <w:pPr>
        <w:widowControl/>
        <w:numPr>
          <w:numId w:val="9"/>
        </w:numPr>
        <w:bidi w:val="0"/>
        <w:adjustRightInd/>
        <w:spacing w:after="120"/>
        <w:jc w:val="both"/>
        <w:rPr>
          <w:rFonts w:ascii="Times New Roman" w:hAnsi="Times New Roman"/>
          <w:b/>
          <w:bCs/>
          <w:sz w:val="22"/>
          <w:szCs w:val="22"/>
        </w:rPr>
      </w:pPr>
      <w:r w:rsidRPr="00B33901">
        <w:rPr>
          <w:rFonts w:ascii="Times New Roman" w:hAnsi="Times New Roman"/>
          <w:b/>
          <w:bCs/>
          <w:sz w:val="22"/>
          <w:szCs w:val="22"/>
        </w:rPr>
        <w:t xml:space="preserve">Problematika návrhu zákona: </w:t>
      </w:r>
    </w:p>
    <w:p w:rsidR="00A230D2" w:rsidRPr="00B33901" w:rsidP="00A230D2">
      <w:pPr>
        <w:widowControl/>
        <w:numPr>
          <w:ilvl w:val="1"/>
          <w:numId w:val="9"/>
        </w:numPr>
        <w:bidi w:val="0"/>
        <w:adjustRightInd/>
        <w:spacing w:after="120"/>
        <w:rPr>
          <w:rFonts w:ascii="Times New Roman" w:hAnsi="Times New Roman"/>
          <w:sz w:val="22"/>
          <w:szCs w:val="22"/>
          <w:lang w:eastAsia="cs-CZ"/>
        </w:rPr>
      </w:pPr>
      <w:r w:rsidRPr="00B33901">
        <w:rPr>
          <w:rFonts w:ascii="Times New Roman" w:hAnsi="Times New Roman"/>
          <w:sz w:val="22"/>
          <w:szCs w:val="22"/>
          <w:lang w:eastAsia="cs-CZ"/>
        </w:rPr>
        <w:t>je upravená v práve Európskej únie:</w:t>
      </w:r>
    </w:p>
    <w:p w:rsidR="00A230D2" w:rsidRPr="00B33901" w:rsidP="00A230D2">
      <w:pPr>
        <w:bidi w:val="0"/>
        <w:spacing w:before="60" w:after="60" w:line="276" w:lineRule="auto"/>
        <w:jc w:val="both"/>
        <w:rPr>
          <w:rFonts w:ascii="Times New Roman" w:hAnsi="Times New Roman"/>
          <w:b/>
          <w:bCs/>
          <w:iCs/>
          <w:sz w:val="22"/>
          <w:szCs w:val="22"/>
        </w:rPr>
      </w:pPr>
      <w:r w:rsidRPr="00B33901">
        <w:rPr>
          <w:rFonts w:ascii="Times New Roman" w:hAnsi="Times New Roman"/>
          <w:b/>
          <w:bCs/>
          <w:i/>
          <w:iCs/>
          <w:sz w:val="22"/>
          <w:szCs w:val="22"/>
        </w:rPr>
        <w:t xml:space="preserve">        </w:t>
      </w:r>
      <w:r w:rsidRPr="00B33901">
        <w:rPr>
          <w:rFonts w:ascii="Times New Roman" w:hAnsi="Times New Roman"/>
          <w:b/>
          <w:bCs/>
          <w:iCs/>
          <w:sz w:val="22"/>
          <w:szCs w:val="22"/>
        </w:rPr>
        <w:t>Primárne právo:</w:t>
      </w:r>
    </w:p>
    <w:p w:rsidR="00A230D2" w:rsidRPr="00052803" w:rsidP="00A230D2">
      <w:pPr>
        <w:widowControl/>
        <w:numPr>
          <w:numId w:val="10"/>
        </w:numPr>
        <w:autoSpaceDE w:val="0"/>
        <w:autoSpaceDN w:val="0"/>
        <w:bidi w:val="0"/>
        <w:adjustRightInd/>
        <w:spacing w:after="120"/>
        <w:jc w:val="both"/>
        <w:rPr>
          <w:rFonts w:ascii="Times New Roman" w:hAnsi="Times New Roman"/>
          <w:sz w:val="22"/>
          <w:szCs w:val="22"/>
        </w:rPr>
      </w:pPr>
      <w:r w:rsidRPr="00B33901">
        <w:rPr>
          <w:rFonts w:ascii="Times New Roman" w:hAnsi="Times New Roman"/>
          <w:sz w:val="22"/>
          <w:szCs w:val="22"/>
        </w:rPr>
        <w:t>čl. 114 a 169 Zmluvy o fungovaní Európskej únie</w:t>
      </w:r>
      <w:r w:rsidRPr="00900C7E">
        <w:rPr>
          <w:rFonts w:ascii="Times New Roman" w:hAnsi="Times New Roman"/>
          <w:sz w:val="22"/>
          <w:szCs w:val="22"/>
        </w:rPr>
        <w:t xml:space="preserve"> v platnom znen</w:t>
      </w:r>
      <w:r>
        <w:rPr>
          <w:rFonts w:ascii="Times New Roman" w:hAnsi="Times New Roman"/>
          <w:sz w:val="22"/>
          <w:szCs w:val="22"/>
        </w:rPr>
        <w:t xml:space="preserve">í (Ú. v. EÚ C 202, 7. 6. </w:t>
      </w:r>
      <w:r w:rsidRPr="00052803">
        <w:rPr>
          <w:rFonts w:ascii="Times New Roman" w:hAnsi="Times New Roman"/>
          <w:sz w:val="22"/>
          <w:szCs w:val="22"/>
        </w:rPr>
        <w:t xml:space="preserve">2016) </w:t>
      </w:r>
    </w:p>
    <w:p w:rsidR="00A230D2" w:rsidRPr="00052803" w:rsidP="00A230D2">
      <w:pPr>
        <w:widowControl/>
        <w:numPr>
          <w:numId w:val="10"/>
        </w:numPr>
        <w:autoSpaceDE w:val="0"/>
        <w:autoSpaceDN w:val="0"/>
        <w:bidi w:val="0"/>
        <w:adjustRightInd/>
        <w:spacing w:after="120"/>
        <w:jc w:val="both"/>
        <w:rPr>
          <w:rFonts w:ascii="Times New Roman" w:hAnsi="Times New Roman"/>
          <w:sz w:val="22"/>
          <w:szCs w:val="22"/>
        </w:rPr>
      </w:pPr>
      <w:r w:rsidRPr="00052803">
        <w:rPr>
          <w:rFonts w:ascii="Times New Roman" w:hAnsi="Times New Roman"/>
          <w:sz w:val="22"/>
          <w:szCs w:val="22"/>
        </w:rPr>
        <w:t>čl. 4, 12, čl. 26 ods. 2, čl. 56 až 66, čl. 114 a čl. 169 Zmluvy o fungovaní Európskej únie.</w:t>
      </w:r>
    </w:p>
    <w:p w:rsidR="00A230D2" w:rsidRPr="00052803" w:rsidP="00A230D2">
      <w:pPr>
        <w:widowControl/>
        <w:numPr>
          <w:numId w:val="10"/>
        </w:numPr>
        <w:autoSpaceDE w:val="0"/>
        <w:autoSpaceDN w:val="0"/>
        <w:bidi w:val="0"/>
        <w:adjustRightInd/>
        <w:spacing w:after="120"/>
        <w:jc w:val="both"/>
        <w:rPr>
          <w:rFonts w:ascii="Times New Roman" w:hAnsi="Times New Roman"/>
          <w:sz w:val="22"/>
          <w:szCs w:val="22"/>
        </w:rPr>
      </w:pPr>
      <w:r w:rsidRPr="00052803">
        <w:rPr>
          <w:rFonts w:ascii="Times New Roman" w:hAnsi="Times New Roman"/>
          <w:sz w:val="22"/>
          <w:szCs w:val="22"/>
        </w:rPr>
        <w:t>čl.12 Protokolu (č.4) o Štatúte Európskeho systému centrálnych bánk a Európskej centrálnej banky.</w:t>
      </w:r>
    </w:p>
    <w:p w:rsidR="00A230D2" w:rsidRPr="00B33901" w:rsidP="00A230D2">
      <w:pPr>
        <w:pStyle w:val="BodyTextIndent"/>
        <w:bidi w:val="0"/>
        <w:spacing w:line="276" w:lineRule="auto"/>
        <w:ind w:left="425"/>
        <w:rPr>
          <w:rFonts w:ascii="Times New Roman" w:hAnsi="Times New Roman"/>
          <w:sz w:val="22"/>
          <w:szCs w:val="22"/>
        </w:rPr>
      </w:pPr>
      <w:r w:rsidRPr="00B33901">
        <w:rPr>
          <w:rFonts w:ascii="Times New Roman" w:hAnsi="Times New Roman"/>
          <w:b/>
          <w:bCs/>
          <w:iCs/>
          <w:sz w:val="22"/>
          <w:szCs w:val="22"/>
        </w:rPr>
        <w:t>Sekundárne právo</w:t>
      </w:r>
      <w:r w:rsidRPr="00B33901">
        <w:rPr>
          <w:rFonts w:ascii="Times New Roman" w:hAnsi="Times New Roman"/>
          <w:b/>
          <w:bCs/>
          <w:i/>
          <w:iCs/>
          <w:sz w:val="22"/>
          <w:szCs w:val="22"/>
        </w:rPr>
        <w:t xml:space="preserve"> </w:t>
      </w:r>
      <w:r w:rsidRPr="00B33901">
        <w:rPr>
          <w:rFonts w:ascii="Times New Roman" w:hAnsi="Times New Roman"/>
          <w:sz w:val="22"/>
          <w:szCs w:val="22"/>
        </w:rPr>
        <w:t>(prijaté po nadobudnutí platnosti Lisabonskej zmluvy, ktorou sa mení a dopĺňa Zmluva o Európskej únii a Zmluva o založení Európskeho spoločenstva  - po 30. novembri 2009):</w:t>
      </w:r>
    </w:p>
    <w:p w:rsidR="00A230D2" w:rsidRPr="00B33901" w:rsidP="00A230D2">
      <w:pPr>
        <w:widowControl/>
        <w:numPr>
          <w:numId w:val="8"/>
        </w:numPr>
        <w:autoSpaceDE w:val="0"/>
        <w:autoSpaceDN w:val="0"/>
        <w:bidi w:val="0"/>
        <w:spacing w:before="120" w:after="120"/>
        <w:ind w:left="851" w:hanging="284"/>
        <w:jc w:val="both"/>
        <w:rPr>
          <w:rFonts w:ascii="Times New Roman" w:hAnsi="Times New Roman"/>
          <w:bCs/>
          <w:iCs/>
          <w:sz w:val="22"/>
          <w:szCs w:val="22"/>
          <w:u w:val="single"/>
        </w:rPr>
      </w:pPr>
      <w:r w:rsidRPr="00B33901">
        <w:rPr>
          <w:rFonts w:ascii="Times New Roman" w:hAnsi="Times New Roman"/>
          <w:bCs/>
          <w:iCs/>
          <w:sz w:val="22"/>
          <w:szCs w:val="22"/>
        </w:rPr>
        <w:t xml:space="preserve"> </w:t>
      </w:r>
      <w:r w:rsidRPr="00B33901">
        <w:rPr>
          <w:rFonts w:ascii="Times New Roman" w:hAnsi="Times New Roman"/>
          <w:bCs/>
          <w:iCs/>
          <w:sz w:val="22"/>
          <w:szCs w:val="22"/>
          <w:u w:val="single"/>
        </w:rPr>
        <w:t>legislatívne akty:</w:t>
      </w:r>
    </w:p>
    <w:p w:rsidR="00A230D2" w:rsidRPr="0034591E" w:rsidP="00A230D2">
      <w:pPr>
        <w:widowControl/>
        <w:numPr>
          <w:numId w:val="10"/>
        </w:numPr>
        <w:tabs>
          <w:tab w:val="num" w:pos="851"/>
          <w:tab w:val="clear" w:pos="900"/>
        </w:tabs>
        <w:autoSpaceDE w:val="0"/>
        <w:autoSpaceDN w:val="0"/>
        <w:bidi w:val="0"/>
        <w:adjustRightInd/>
        <w:spacing w:after="120"/>
        <w:ind w:left="851" w:hanging="425"/>
        <w:jc w:val="both"/>
        <w:rPr>
          <w:rFonts w:ascii="Times New Roman" w:hAnsi="Times New Roman"/>
          <w:bCs/>
          <w:sz w:val="22"/>
          <w:szCs w:val="22"/>
        </w:rPr>
      </w:pPr>
      <w:r w:rsidRPr="00B33901">
        <w:rPr>
          <w:rFonts w:ascii="Times New Roman" w:hAnsi="Times New Roman"/>
          <w:sz w:val="22"/>
          <w:szCs w:val="22"/>
        </w:rPr>
        <w:t xml:space="preserve">nariadenie Európskeho parlamentu a Rady (EÚ) č. </w:t>
      </w:r>
      <w:r w:rsidRPr="00B33901">
        <w:rPr>
          <w:rFonts w:ascii="Times New Roman" w:hAnsi="Times New Roman"/>
          <w:sz w:val="22"/>
          <w:szCs w:val="22"/>
          <w:u w:val="single"/>
        </w:rPr>
        <w:t>575/2013</w:t>
      </w:r>
      <w:r w:rsidRPr="00B33901">
        <w:rPr>
          <w:rFonts w:ascii="Times New Roman" w:hAnsi="Times New Roman"/>
          <w:sz w:val="22"/>
          <w:szCs w:val="22"/>
        </w:rPr>
        <w:t xml:space="preserve"> z 26. júna 2013 o prudenciálnych požiadavkách na úverové inštitúcie a investičné spoločnosti a o zmene nariadenia (EÚ) č. 648/2012 (</w:t>
      </w:r>
      <w:r w:rsidRPr="00B33901">
        <w:rPr>
          <w:rFonts w:ascii="Times New Roman" w:hAnsi="Times New Roman"/>
          <w:iCs/>
          <w:sz w:val="22"/>
          <w:szCs w:val="22"/>
        </w:rPr>
        <w:t>Ú. v. EÚ L 176, 27.6.2013) v platnom znení.</w:t>
      </w:r>
      <w:r w:rsidRPr="00B33901">
        <w:rPr>
          <w:rFonts w:ascii="Times New Roman" w:hAnsi="Times New Roman"/>
          <w:sz w:val="22"/>
          <w:szCs w:val="22"/>
        </w:rPr>
        <w:t xml:space="preserve"> </w:t>
      </w:r>
    </w:p>
    <w:p w:rsidR="00A230D2" w:rsidRPr="0034591E" w:rsidP="00A230D2">
      <w:pPr>
        <w:widowControl/>
        <w:numPr>
          <w:numId w:val="10"/>
        </w:numPr>
        <w:tabs>
          <w:tab w:val="num" w:pos="851"/>
          <w:tab w:val="clear" w:pos="900"/>
        </w:tabs>
        <w:autoSpaceDE w:val="0"/>
        <w:autoSpaceDN w:val="0"/>
        <w:bidi w:val="0"/>
        <w:adjustRightInd/>
        <w:spacing w:after="120"/>
        <w:ind w:left="851" w:hanging="425"/>
        <w:jc w:val="both"/>
        <w:rPr>
          <w:rFonts w:ascii="Times New Roman" w:hAnsi="Times New Roman"/>
          <w:bCs/>
          <w:sz w:val="22"/>
          <w:szCs w:val="22"/>
        </w:rPr>
      </w:pPr>
      <w:r w:rsidRPr="00052803">
        <w:rPr>
          <w:rFonts w:ascii="Times New Roman" w:hAnsi="Times New Roman"/>
          <w:bCs/>
          <w:sz w:val="22"/>
          <w:szCs w:val="22"/>
        </w:rPr>
        <w:t>smernica Európskeho parlamentu a Rady 2014/17/EÚ zo 4. februára 2014 o zmluvách o úvere pre spotrebiteľov týkajúcich sa nehnuteľností určených na bývanie a o zmene smerníc 2008/48/ES a 2013/36/EÚ a nariadenia (EÚ) č. 1093/2010 (Ú. v. EÚ L 60, 28.2.2014).</w:t>
      </w:r>
    </w:p>
    <w:p w:rsidR="00A230D2" w:rsidRPr="00B33901" w:rsidP="00A230D2">
      <w:pPr>
        <w:autoSpaceDE w:val="0"/>
        <w:autoSpaceDN w:val="0"/>
        <w:bidi w:val="0"/>
        <w:spacing w:before="120" w:after="120" w:line="276" w:lineRule="auto"/>
        <w:ind w:left="425" w:firstLine="1"/>
        <w:jc w:val="both"/>
        <w:rPr>
          <w:rFonts w:ascii="Times New Roman" w:hAnsi="Times New Roman"/>
          <w:bCs/>
          <w:iCs/>
          <w:sz w:val="22"/>
          <w:szCs w:val="22"/>
        </w:rPr>
      </w:pPr>
      <w:r w:rsidRPr="00B33901">
        <w:rPr>
          <w:rFonts w:ascii="Times New Roman" w:hAnsi="Times New Roman"/>
          <w:b/>
          <w:bCs/>
          <w:iCs/>
          <w:sz w:val="22"/>
          <w:szCs w:val="22"/>
        </w:rPr>
        <w:t>Sekundárne právo</w:t>
      </w:r>
      <w:r w:rsidRPr="00B33901">
        <w:rPr>
          <w:rFonts w:ascii="Times New Roman" w:hAnsi="Times New Roman"/>
          <w:b/>
          <w:bCs/>
          <w:i/>
          <w:iCs/>
          <w:sz w:val="22"/>
          <w:szCs w:val="22"/>
        </w:rPr>
        <w:t xml:space="preserve"> </w:t>
      </w:r>
      <w:r w:rsidRPr="00B33901">
        <w:rPr>
          <w:rFonts w:ascii="Times New Roman" w:hAnsi="Times New Roman"/>
          <w:sz w:val="22"/>
          <w:szCs w:val="22"/>
        </w:rPr>
        <w:t>(prijaté pred nadobudnutím platnosti Lisabonskej zmluvy, ktorou sa mení a dopĺňa Zmluva o Európskej únii a Zmluva o založení Európskeho spoločenstva - do 30. novembra 2009)</w:t>
      </w:r>
      <w:r w:rsidRPr="00B33901">
        <w:rPr>
          <w:rFonts w:ascii="Times New Roman" w:hAnsi="Times New Roman"/>
          <w:bCs/>
          <w:iCs/>
          <w:sz w:val="22"/>
          <w:szCs w:val="22"/>
        </w:rPr>
        <w:t>:</w:t>
      </w:r>
    </w:p>
    <w:p w:rsidR="00A230D2" w:rsidRPr="00052803" w:rsidP="00A230D2">
      <w:pPr>
        <w:widowControl/>
        <w:numPr>
          <w:numId w:val="10"/>
        </w:numPr>
        <w:tabs>
          <w:tab w:val="num" w:pos="851"/>
          <w:tab w:val="clear" w:pos="900"/>
        </w:tabs>
        <w:autoSpaceDE w:val="0"/>
        <w:autoSpaceDN w:val="0"/>
        <w:bidi w:val="0"/>
        <w:adjustRightInd/>
        <w:spacing w:after="120"/>
        <w:ind w:left="851" w:hanging="425"/>
        <w:jc w:val="both"/>
        <w:rPr>
          <w:rFonts w:ascii="Times New Roman" w:hAnsi="Times New Roman"/>
          <w:i/>
          <w:sz w:val="22"/>
          <w:szCs w:val="22"/>
        </w:rPr>
      </w:pPr>
      <w:r w:rsidRPr="00B33901">
        <w:rPr>
          <w:rFonts w:ascii="Times New Roman" w:hAnsi="Times New Roman"/>
          <w:bCs/>
          <w:sz w:val="22"/>
          <w:szCs w:val="22"/>
        </w:rPr>
        <w:t xml:space="preserve">smernica Európskeho parlamentu a Rady </w:t>
      </w:r>
      <w:r w:rsidRPr="00B33901">
        <w:rPr>
          <w:rFonts w:ascii="Times New Roman" w:hAnsi="Times New Roman"/>
          <w:bCs/>
          <w:sz w:val="22"/>
          <w:szCs w:val="22"/>
          <w:u w:val="single"/>
        </w:rPr>
        <w:t>2008/48/ES</w:t>
      </w:r>
      <w:r w:rsidRPr="00B33901">
        <w:rPr>
          <w:rFonts w:ascii="Times New Roman" w:hAnsi="Times New Roman"/>
          <w:bCs/>
          <w:sz w:val="22"/>
          <w:szCs w:val="22"/>
        </w:rPr>
        <w:t xml:space="preserve"> z  23. apríla 2008 o zmluvách o spotrebiteľskom úvere a o zrušení smernice Rady 87/102/EHS (</w:t>
      </w:r>
      <w:r w:rsidRPr="00B33901">
        <w:rPr>
          <w:rFonts w:ascii="Times New Roman" w:hAnsi="Times New Roman"/>
          <w:sz w:val="22"/>
          <w:szCs w:val="22"/>
        </w:rPr>
        <w:t>Ú. v. EÚ L 133, 22.5. 2008) v platnom znení.</w:t>
      </w:r>
    </w:p>
    <w:p w:rsidR="00A230D2" w:rsidRPr="00B33901" w:rsidP="00A230D2">
      <w:pPr>
        <w:widowControl/>
        <w:numPr>
          <w:ilvl w:val="1"/>
          <w:numId w:val="9"/>
        </w:numPr>
        <w:bidi w:val="0"/>
        <w:adjustRightInd/>
        <w:spacing w:after="120"/>
        <w:jc w:val="both"/>
        <w:rPr>
          <w:rFonts w:ascii="Times New Roman" w:hAnsi="Times New Roman"/>
          <w:sz w:val="22"/>
          <w:szCs w:val="22"/>
          <w:lang w:eastAsia="cs-CZ"/>
        </w:rPr>
      </w:pPr>
      <w:r w:rsidRPr="00B33901">
        <w:rPr>
          <w:rFonts w:ascii="Times New Roman" w:hAnsi="Times New Roman"/>
          <w:sz w:val="22"/>
          <w:szCs w:val="22"/>
          <w:lang w:eastAsia="cs-CZ"/>
        </w:rPr>
        <w:t>je obsiahnutá v judikatúre Súdneho dvora Európskej únie:</w:t>
      </w:r>
    </w:p>
    <w:p w:rsidR="00A230D2" w:rsidRPr="00B33901" w:rsidP="00A230D2">
      <w:pPr>
        <w:widowControl/>
        <w:numPr>
          <w:numId w:val="10"/>
        </w:numPr>
        <w:bidi w:val="0"/>
        <w:adjustRightInd/>
        <w:spacing w:after="120"/>
        <w:ind w:left="896" w:hanging="470"/>
        <w:jc w:val="both"/>
        <w:rPr>
          <w:rFonts w:ascii="Times New Roman" w:hAnsi="Times New Roman"/>
          <w:noProof/>
          <w:sz w:val="22"/>
          <w:szCs w:val="22"/>
          <w:lang w:eastAsia="cs-CZ"/>
        </w:rPr>
      </w:pPr>
      <w:r w:rsidRPr="00B33901">
        <w:rPr>
          <w:rFonts w:ascii="Times New Roman" w:hAnsi="Times New Roman"/>
          <w:noProof/>
          <w:sz w:val="22"/>
          <w:szCs w:val="22"/>
          <w:lang w:eastAsia="cs-CZ"/>
        </w:rPr>
        <w:t xml:space="preserve">rozsudok Súdneho dvora vo veci C - 264/02, Cofinoga Mérignac SA v. Sylvain Sachithanathan, </w:t>
      </w:r>
      <w:r w:rsidRPr="00B33901">
        <w:rPr>
          <w:rFonts w:ascii="Times New Roman" w:hAnsi="Times New Roman"/>
          <w:bCs/>
          <w:noProof/>
          <w:sz w:val="22"/>
          <w:szCs w:val="22"/>
          <w:lang w:eastAsia="cs-CZ"/>
        </w:rPr>
        <w:t xml:space="preserve">[2004], </w:t>
      </w:r>
      <w:r w:rsidRPr="00B33901">
        <w:rPr>
          <w:rFonts w:ascii="Times New Roman" w:hAnsi="Times New Roman"/>
          <w:noProof/>
          <w:sz w:val="22"/>
          <w:szCs w:val="22"/>
          <w:lang w:eastAsia="cs-CZ"/>
        </w:rPr>
        <w:t xml:space="preserve">  </w:t>
      </w:r>
    </w:p>
    <w:p w:rsidR="00A230D2" w:rsidRPr="00B33901" w:rsidP="00A230D2">
      <w:pPr>
        <w:widowControl/>
        <w:numPr>
          <w:numId w:val="10"/>
        </w:numPr>
        <w:bidi w:val="0"/>
        <w:adjustRightInd/>
        <w:spacing w:after="120"/>
        <w:ind w:hanging="474"/>
        <w:jc w:val="both"/>
        <w:rPr>
          <w:rFonts w:ascii="Times New Roman" w:hAnsi="Times New Roman"/>
          <w:noProof/>
          <w:sz w:val="22"/>
          <w:szCs w:val="22"/>
          <w:lang w:eastAsia="cs-CZ"/>
        </w:rPr>
      </w:pPr>
      <w:r w:rsidRPr="00B33901">
        <w:rPr>
          <w:rFonts w:ascii="Times New Roman" w:hAnsi="Times New Roman"/>
          <w:noProof/>
          <w:sz w:val="22"/>
          <w:szCs w:val="22"/>
          <w:lang w:eastAsia="cs-CZ"/>
        </w:rPr>
        <w:t>rozsudok Súdneho dvora vo veci C - 238/05, ASNEF-EQUIFAX, Servicios de Información sobre Solvencia y Crédito, SL a Administración del Estado v. Asociación de Usuarios de Servicios Bancarios (AUSBANC), [2006],</w:t>
      </w:r>
    </w:p>
    <w:p w:rsidR="00A230D2" w:rsidRPr="00B33901" w:rsidP="00A230D2">
      <w:pPr>
        <w:widowControl/>
        <w:numPr>
          <w:numId w:val="10"/>
        </w:numPr>
        <w:bidi w:val="0"/>
        <w:adjustRightInd/>
        <w:spacing w:after="120"/>
        <w:ind w:left="896" w:hanging="470"/>
        <w:jc w:val="both"/>
        <w:rPr>
          <w:rFonts w:ascii="Times New Roman" w:hAnsi="Times New Roman"/>
          <w:noProof/>
          <w:sz w:val="22"/>
          <w:szCs w:val="22"/>
          <w:lang w:eastAsia="cs-CZ"/>
        </w:rPr>
      </w:pPr>
      <w:r w:rsidRPr="00B33901">
        <w:rPr>
          <w:rFonts w:ascii="Times New Roman" w:hAnsi="Times New Roman"/>
          <w:noProof/>
          <w:sz w:val="22"/>
          <w:szCs w:val="22"/>
          <w:lang w:eastAsia="cs-CZ"/>
        </w:rPr>
        <w:t xml:space="preserve">rozsudok Súdneho dvora vo veci C - 509/07, Luigi Scarpelli v. NEOS Banca SpA, </w:t>
      </w:r>
      <w:r w:rsidRPr="00B33901">
        <w:rPr>
          <w:rFonts w:ascii="Times New Roman" w:hAnsi="Times New Roman"/>
          <w:bCs/>
          <w:noProof/>
          <w:sz w:val="22"/>
          <w:szCs w:val="22"/>
          <w:lang w:eastAsia="cs-CZ"/>
        </w:rPr>
        <w:t>[2009],</w:t>
      </w:r>
    </w:p>
    <w:p w:rsidR="00A230D2" w:rsidRPr="00B33901" w:rsidP="00A230D2">
      <w:pPr>
        <w:widowControl/>
        <w:numPr>
          <w:numId w:val="10"/>
        </w:numPr>
        <w:bidi w:val="0"/>
        <w:adjustRightInd/>
        <w:spacing w:after="120"/>
        <w:ind w:left="896" w:hanging="470"/>
        <w:jc w:val="both"/>
        <w:rPr>
          <w:rFonts w:ascii="Times New Roman" w:hAnsi="Times New Roman"/>
          <w:i/>
          <w:noProof/>
          <w:sz w:val="22"/>
          <w:szCs w:val="22"/>
          <w:lang w:eastAsia="cs-CZ"/>
        </w:rPr>
      </w:pPr>
      <w:r w:rsidRPr="00B33901">
        <w:rPr>
          <w:rFonts w:ascii="Times New Roman" w:hAnsi="Times New Roman"/>
          <w:bCs/>
          <w:noProof/>
          <w:sz w:val="22"/>
          <w:szCs w:val="22"/>
          <w:lang w:eastAsia="cs-CZ"/>
        </w:rPr>
        <w:t>rozsudok Súdneho dvora vo veci C - 602/10,</w:t>
      </w:r>
      <w:r w:rsidRPr="00B33901">
        <w:rPr>
          <w:rFonts w:ascii="Times New Roman" w:hAnsi="Times New Roman"/>
          <w:b/>
          <w:bCs/>
          <w:noProof/>
          <w:color w:val="444444"/>
          <w:sz w:val="22"/>
          <w:szCs w:val="22"/>
          <w:shd w:val="clear" w:color="auto" w:fill="FFFFFF"/>
        </w:rPr>
        <w:t xml:space="preserve"> </w:t>
      </w:r>
      <w:r w:rsidRPr="00B33901">
        <w:rPr>
          <w:rFonts w:ascii="Times New Roman" w:hAnsi="Times New Roman"/>
          <w:bCs/>
          <w:noProof/>
          <w:sz w:val="22"/>
          <w:szCs w:val="22"/>
          <w:shd w:val="clear" w:color="auto" w:fill="FFFFFF"/>
        </w:rPr>
        <w:t>SC Volksbank România SA</w:t>
      </w:r>
      <w:r w:rsidRPr="00B33901">
        <w:rPr>
          <w:rFonts w:ascii="Times New Roman" w:hAnsi="Times New Roman"/>
          <w:bCs/>
          <w:noProof/>
          <w:sz w:val="22"/>
          <w:szCs w:val="22"/>
          <w:lang w:eastAsia="cs-CZ"/>
        </w:rPr>
        <w:t xml:space="preserve"> v. Autoritatea Naţională pentru Protecţia Consumatorilor – Comisariatul Judeţean pentru Protecţia Consumatorilor Călăraşi (CJPC), [2012].</w:t>
      </w:r>
    </w:p>
    <w:p w:rsidR="00A230D2" w:rsidRPr="00B33901" w:rsidP="00A230D2">
      <w:pPr>
        <w:widowControl/>
        <w:numPr>
          <w:numId w:val="9"/>
        </w:numPr>
        <w:tabs>
          <w:tab w:val="left" w:pos="340"/>
        </w:tabs>
        <w:bidi w:val="0"/>
        <w:adjustRightInd/>
        <w:spacing w:after="240"/>
        <w:jc w:val="both"/>
        <w:rPr>
          <w:rFonts w:ascii="Times New Roman" w:hAnsi="Times New Roman"/>
          <w:b/>
          <w:bCs/>
          <w:sz w:val="22"/>
          <w:szCs w:val="22"/>
        </w:rPr>
      </w:pPr>
      <w:r w:rsidRPr="00B33901">
        <w:rPr>
          <w:rFonts w:ascii="Times New Roman" w:hAnsi="Times New Roman"/>
          <w:b/>
          <w:bCs/>
          <w:sz w:val="22"/>
          <w:szCs w:val="22"/>
        </w:rPr>
        <w:t>Záväzky Slovenskej republiky vo vzťahu k Európskej únii:</w:t>
      </w:r>
    </w:p>
    <w:p w:rsidR="00A230D2" w:rsidRPr="00B33901" w:rsidP="00A230D2">
      <w:pPr>
        <w:widowControl/>
        <w:numPr>
          <w:ilvl w:val="1"/>
          <w:numId w:val="9"/>
        </w:numPr>
        <w:tabs>
          <w:tab w:val="left" w:pos="360"/>
        </w:tabs>
        <w:bidi w:val="0"/>
        <w:adjustRightInd/>
        <w:spacing w:after="120"/>
        <w:jc w:val="both"/>
        <w:rPr>
          <w:rFonts w:ascii="Times New Roman" w:hAnsi="Times New Roman"/>
          <w:sz w:val="22"/>
          <w:szCs w:val="22"/>
          <w:lang w:eastAsia="cs-CZ"/>
        </w:rPr>
      </w:pPr>
      <w:r w:rsidRPr="00B33901">
        <w:rPr>
          <w:rFonts w:ascii="Times New Roman" w:hAnsi="Times New Roman"/>
          <w:sz w:val="22"/>
          <w:szCs w:val="22"/>
          <w:lang w:eastAsia="cs-CZ"/>
        </w:rPr>
        <w:t xml:space="preserve">Lehota </w:t>
      </w:r>
      <w:r w:rsidRPr="00900C7E">
        <w:rPr>
          <w:rFonts w:ascii="Times New Roman" w:hAnsi="Times New Roman"/>
          <w:sz w:val="22"/>
          <w:szCs w:val="22"/>
          <w:lang w:eastAsia="cs-CZ"/>
        </w:rPr>
        <w:t>na prebratie smernice alebo lehota na implementáciu nariadenia alebo rozhodnutia: bezpredmetné</w:t>
      </w:r>
      <w:r w:rsidRPr="00B33901">
        <w:rPr>
          <w:rFonts w:ascii="Times New Roman" w:hAnsi="Times New Roman"/>
          <w:sz w:val="22"/>
          <w:szCs w:val="22"/>
          <w:lang w:eastAsia="cs-CZ"/>
        </w:rPr>
        <w:t>.</w:t>
      </w:r>
    </w:p>
    <w:p w:rsidR="00A230D2" w:rsidP="00A230D2">
      <w:pPr>
        <w:widowControl/>
        <w:numPr>
          <w:ilvl w:val="1"/>
          <w:numId w:val="9"/>
        </w:numPr>
        <w:tabs>
          <w:tab w:val="left" w:pos="360"/>
        </w:tabs>
        <w:bidi w:val="0"/>
        <w:adjustRightInd/>
        <w:spacing w:after="120"/>
        <w:jc w:val="both"/>
        <w:rPr>
          <w:rFonts w:ascii="Times New Roman" w:hAnsi="Times New Roman"/>
          <w:sz w:val="22"/>
          <w:szCs w:val="22"/>
          <w:lang w:eastAsia="cs-CZ"/>
        </w:rPr>
      </w:pPr>
      <w:r w:rsidRPr="00900C7E">
        <w:rPr>
          <w:rFonts w:ascii="Times New Roman" w:hAnsi="Times New Roman"/>
          <w:sz w:val="22"/>
          <w:szCs w:val="22"/>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r>
        <w:rPr>
          <w:rFonts w:ascii="Times New Roman" w:hAnsi="Times New Roman"/>
          <w:sz w:val="22"/>
          <w:szCs w:val="22"/>
        </w:rPr>
        <w:t>.</w:t>
      </w:r>
    </w:p>
    <w:p w:rsidR="00A230D2" w:rsidRPr="002C185F" w:rsidP="00A230D2">
      <w:pPr>
        <w:widowControl/>
        <w:numPr>
          <w:ilvl w:val="1"/>
          <w:numId w:val="9"/>
        </w:numPr>
        <w:tabs>
          <w:tab w:val="left" w:pos="360"/>
        </w:tabs>
        <w:bidi w:val="0"/>
        <w:adjustRightInd/>
        <w:spacing w:after="240"/>
        <w:jc w:val="both"/>
        <w:rPr>
          <w:rFonts w:ascii="Times New Roman" w:hAnsi="Times New Roman"/>
          <w:sz w:val="22"/>
          <w:szCs w:val="22"/>
          <w:lang w:eastAsia="cs-CZ"/>
        </w:rPr>
      </w:pPr>
      <w:r w:rsidRPr="00900C7E">
        <w:rPr>
          <w:rFonts w:ascii="Times New Roman" w:hAnsi="Times New Roman"/>
          <w:sz w:val="22"/>
          <w:szCs w:val="22"/>
        </w:rPr>
        <w:t xml:space="preserve">informácia o konaní začatom proti Slovenskej republike o porušení podľa čl. 258 až 260 </w:t>
      </w:r>
      <w:r w:rsidRPr="002C185F">
        <w:rPr>
          <w:rFonts w:ascii="Times New Roman" w:hAnsi="Times New Roman"/>
          <w:sz w:val="22"/>
          <w:szCs w:val="22"/>
        </w:rPr>
        <w:t xml:space="preserve">Zmluvy o fungovaní Európskej únie: </w:t>
      </w:r>
    </w:p>
    <w:p w:rsidR="00A230D2" w:rsidRPr="0034591E" w:rsidP="00A230D2">
      <w:pPr>
        <w:widowControl/>
        <w:numPr>
          <w:numId w:val="11"/>
        </w:numPr>
        <w:bidi w:val="0"/>
        <w:adjustRightInd/>
        <w:spacing w:after="240"/>
        <w:ind w:left="850"/>
        <w:jc w:val="both"/>
        <w:rPr>
          <w:rFonts w:ascii="Times New Roman" w:hAnsi="Times New Roman"/>
          <w:sz w:val="22"/>
          <w:szCs w:val="22"/>
          <w:lang w:eastAsia="cs-CZ"/>
        </w:rPr>
      </w:pPr>
      <w:r w:rsidRPr="002C185F">
        <w:rPr>
          <w:rFonts w:ascii="Times New Roman" w:hAnsi="Times New Roman"/>
        </w:rPr>
        <w:t>konanie začaté proti slovenskej republike č. 2012/4165</w:t>
      </w:r>
      <w:r>
        <w:rPr>
          <w:rFonts w:ascii="Times New Roman" w:hAnsi="Times New Roman"/>
        </w:rPr>
        <w:t xml:space="preserve"> (</w:t>
      </w:r>
      <w:r w:rsidRPr="002C185F">
        <w:rPr>
          <w:rFonts w:ascii="Times New Roman" w:hAnsi="Times New Roman"/>
        </w:rPr>
        <w:t>nesplneni</w:t>
      </w:r>
      <w:r>
        <w:rPr>
          <w:rFonts w:ascii="Times New Roman" w:hAnsi="Times New Roman"/>
        </w:rPr>
        <w:t>e</w:t>
      </w:r>
      <w:r w:rsidRPr="002C185F">
        <w:rPr>
          <w:rFonts w:ascii="Times New Roman" w:hAnsi="Times New Roman"/>
        </w:rPr>
        <w:t xml:space="preserve"> niektorých povinností vyplývajúcich zo </w:t>
      </w:r>
      <w:r w:rsidRPr="0034591E">
        <w:rPr>
          <w:rFonts w:ascii="Times New Roman" w:hAnsi="Times New Roman"/>
          <w:iCs/>
        </w:rPr>
        <w:t>smernice Európskeho parlamentu a Rady 2008/48/ES z 23. apríla 2008 o zmluvách o spotrebiteľskom úvere a o zrušení smernice Rady 87/102/EHS</w:t>
      </w:r>
      <w:r>
        <w:rPr>
          <w:rFonts w:ascii="Times New Roman" w:hAnsi="Times New Roman"/>
        </w:rPr>
        <w:t>).</w:t>
      </w:r>
      <w:r w:rsidRPr="0034591E">
        <w:rPr>
          <w:rFonts w:ascii="Times New Roman" w:hAnsi="Times New Roman"/>
          <w:sz w:val="22"/>
          <w:szCs w:val="22"/>
        </w:rPr>
        <w:t xml:space="preserve"> </w:t>
      </w:r>
    </w:p>
    <w:p w:rsidR="00A230D2" w:rsidRPr="00B33901" w:rsidP="00A230D2">
      <w:pPr>
        <w:widowControl/>
        <w:numPr>
          <w:ilvl w:val="1"/>
          <w:numId w:val="9"/>
        </w:numPr>
        <w:tabs>
          <w:tab w:val="left" w:pos="360"/>
        </w:tabs>
        <w:bidi w:val="0"/>
        <w:adjustRightInd/>
        <w:spacing w:after="240"/>
        <w:jc w:val="both"/>
        <w:rPr>
          <w:rFonts w:ascii="Times New Roman" w:hAnsi="Times New Roman"/>
          <w:sz w:val="22"/>
          <w:szCs w:val="22"/>
          <w:lang w:eastAsia="cs-CZ"/>
        </w:rPr>
      </w:pPr>
      <w:r>
        <w:rPr>
          <w:rFonts w:ascii="Times New Roman" w:hAnsi="Times New Roman"/>
          <w:sz w:val="22"/>
          <w:szCs w:val="22"/>
          <w:lang w:eastAsia="cs-CZ"/>
        </w:rPr>
        <w:t>I</w:t>
      </w:r>
      <w:r w:rsidRPr="00900C7E">
        <w:rPr>
          <w:rFonts w:ascii="Times New Roman" w:hAnsi="Times New Roman"/>
          <w:sz w:val="22"/>
          <w:szCs w:val="22"/>
          <w:lang w:eastAsia="cs-CZ"/>
        </w:rPr>
        <w:t>nformácia o právnych predpisoch, v ktorých sú preberané smernice už prebraté spolu s uvedením rozsahu tohto prebratia: bezpredmetné</w:t>
      </w:r>
      <w:r w:rsidRPr="00B33901">
        <w:rPr>
          <w:rFonts w:ascii="Times New Roman" w:hAnsi="Times New Roman"/>
          <w:bCs/>
          <w:sz w:val="22"/>
          <w:szCs w:val="22"/>
          <w:lang w:eastAsia="cs-CZ"/>
        </w:rPr>
        <w:t>.</w:t>
      </w:r>
    </w:p>
    <w:p w:rsidR="00A230D2" w:rsidRPr="00B33901" w:rsidP="00A230D2">
      <w:pPr>
        <w:widowControl/>
        <w:numPr>
          <w:numId w:val="9"/>
        </w:numPr>
        <w:bidi w:val="0"/>
        <w:adjustRightInd/>
        <w:spacing w:after="120"/>
        <w:jc w:val="both"/>
        <w:rPr>
          <w:rFonts w:ascii="Times New Roman" w:hAnsi="Times New Roman"/>
          <w:b/>
          <w:bCs/>
          <w:sz w:val="22"/>
          <w:szCs w:val="22"/>
        </w:rPr>
      </w:pPr>
      <w:r w:rsidRPr="00B33901">
        <w:rPr>
          <w:rFonts w:ascii="Times New Roman" w:hAnsi="Times New Roman"/>
          <w:b/>
          <w:bCs/>
          <w:sz w:val="22"/>
          <w:szCs w:val="22"/>
        </w:rPr>
        <w:t>Stupeň zlučiteľnosti návrhu zákona s právom Európskej únie:</w:t>
      </w:r>
    </w:p>
    <w:p w:rsidR="00A230D2" w:rsidRPr="00B33901" w:rsidP="00A230D2">
      <w:pPr>
        <w:bidi w:val="0"/>
        <w:ind w:left="425"/>
        <w:jc w:val="both"/>
        <w:rPr>
          <w:rFonts w:ascii="Times New Roman" w:hAnsi="Times New Roman"/>
          <w:sz w:val="22"/>
          <w:szCs w:val="22"/>
        </w:rPr>
      </w:pPr>
      <w:r w:rsidRPr="00B33901">
        <w:rPr>
          <w:rFonts w:ascii="Times New Roman" w:hAnsi="Times New Roman"/>
          <w:sz w:val="22"/>
          <w:szCs w:val="22"/>
        </w:rPr>
        <w:t>Úplný.</w:t>
      </w:r>
    </w:p>
    <w:p w:rsidR="00A230D2" w:rsidRPr="00B33901" w:rsidP="00A230D2">
      <w:pPr>
        <w:bidi w:val="0"/>
        <w:ind w:left="357"/>
        <w:jc w:val="both"/>
        <w:rPr>
          <w:rFonts w:ascii="Times New Roman" w:hAnsi="Times New Roman"/>
          <w:bCs/>
          <w:sz w:val="22"/>
          <w:szCs w:val="22"/>
        </w:rPr>
      </w:pPr>
    </w:p>
    <w:p w:rsidR="00A230D2" w:rsidRPr="00B33901" w:rsidP="00A230D2">
      <w:pPr>
        <w:widowControl/>
        <w:numPr>
          <w:numId w:val="9"/>
        </w:numPr>
        <w:bidi w:val="0"/>
        <w:adjustRightInd/>
        <w:spacing w:after="120"/>
        <w:jc w:val="both"/>
        <w:rPr>
          <w:rFonts w:ascii="Times New Roman" w:hAnsi="Times New Roman"/>
          <w:b/>
          <w:bCs/>
          <w:sz w:val="22"/>
          <w:szCs w:val="22"/>
        </w:rPr>
      </w:pPr>
      <w:r w:rsidRPr="00B33901">
        <w:rPr>
          <w:rFonts w:ascii="Times New Roman" w:hAnsi="Times New Roman"/>
          <w:b/>
          <w:bCs/>
          <w:sz w:val="22"/>
          <w:szCs w:val="22"/>
        </w:rPr>
        <w:t xml:space="preserve">Gestor a spolupracujúce rezorty: </w:t>
      </w:r>
    </w:p>
    <w:p w:rsidR="00A230D2" w:rsidRPr="00B33901" w:rsidP="00A230D2">
      <w:pPr>
        <w:bidi w:val="0"/>
        <w:spacing w:after="120"/>
        <w:ind w:left="360"/>
        <w:jc w:val="both"/>
        <w:rPr>
          <w:rFonts w:ascii="Times New Roman" w:hAnsi="Times New Roman"/>
          <w:sz w:val="22"/>
          <w:szCs w:val="22"/>
        </w:rPr>
      </w:pPr>
      <w:r w:rsidRPr="00B33901">
        <w:rPr>
          <w:rFonts w:ascii="Times New Roman" w:hAnsi="Times New Roman"/>
          <w:sz w:val="22"/>
          <w:szCs w:val="22"/>
        </w:rPr>
        <w:t xml:space="preserve"> Ministerstvo financií Slovenskej republiky.</w:t>
      </w:r>
    </w:p>
    <w:p w:rsidR="00BE2B08"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AA2F0B" w:rsidP="00F1200A">
      <w:pPr>
        <w:widowControl/>
        <w:bidi w:val="0"/>
        <w:jc w:val="both"/>
        <w:rPr>
          <w:rFonts w:ascii="Times New Roman" w:hAnsi="Times New Roman"/>
          <w:b/>
          <w:sz w:val="22"/>
          <w:szCs w:val="22"/>
        </w:rPr>
      </w:pPr>
    </w:p>
    <w:p w:rsidR="00AA2F0B" w:rsidP="00F1200A">
      <w:pPr>
        <w:widowControl/>
        <w:bidi w:val="0"/>
        <w:jc w:val="both"/>
        <w:rPr>
          <w:rFonts w:ascii="Times New Roman" w:hAnsi="Times New Roman"/>
          <w:b/>
          <w:sz w:val="22"/>
          <w:szCs w:val="22"/>
        </w:rPr>
      </w:pPr>
    </w:p>
    <w:p w:rsidR="00AA2F0B" w:rsidP="00F1200A">
      <w:pPr>
        <w:widowControl/>
        <w:bidi w:val="0"/>
        <w:jc w:val="both"/>
        <w:rPr>
          <w:rFonts w:ascii="Times New Roman" w:hAnsi="Times New Roman"/>
          <w:b/>
          <w:sz w:val="22"/>
          <w:szCs w:val="22"/>
        </w:rPr>
      </w:pPr>
    </w:p>
    <w:p w:rsidR="00AA2F0B" w:rsidP="00F1200A">
      <w:pPr>
        <w:widowControl/>
        <w:bidi w:val="0"/>
        <w:jc w:val="both"/>
        <w:rPr>
          <w:rFonts w:ascii="Times New Roman" w:hAnsi="Times New Roman"/>
          <w:b/>
          <w:sz w:val="22"/>
          <w:szCs w:val="22"/>
        </w:rPr>
      </w:pPr>
    </w:p>
    <w:p w:rsidR="00AA2F0B"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514A7" w:rsidP="00F1200A">
      <w:pPr>
        <w:widowControl/>
        <w:bidi w:val="0"/>
        <w:jc w:val="both"/>
        <w:rPr>
          <w:rFonts w:ascii="Times New Roman" w:hAnsi="Times New Roman"/>
          <w:b/>
          <w:sz w:val="22"/>
          <w:szCs w:val="22"/>
        </w:rPr>
      </w:pPr>
    </w:p>
    <w:p w:rsidR="00F1200A" w:rsidRPr="00B35E3A" w:rsidP="00F1200A">
      <w:pPr>
        <w:widowControl/>
        <w:bidi w:val="0"/>
        <w:jc w:val="both"/>
        <w:rPr>
          <w:rFonts w:ascii="Times New Roman" w:hAnsi="Times New Roman"/>
          <w:b/>
          <w:sz w:val="22"/>
          <w:szCs w:val="22"/>
        </w:rPr>
      </w:pPr>
      <w:r w:rsidRPr="00B35E3A">
        <w:rPr>
          <w:rFonts w:ascii="Times New Roman" w:hAnsi="Times New Roman"/>
          <w:b/>
          <w:sz w:val="22"/>
          <w:szCs w:val="22"/>
        </w:rPr>
        <w:t>B. Osobitná časť</w:t>
      </w:r>
    </w:p>
    <w:p w:rsidR="00F1200A" w:rsidRPr="00B35E3A" w:rsidP="00F1200A">
      <w:pPr>
        <w:widowControl/>
        <w:bidi w:val="0"/>
        <w:jc w:val="both"/>
        <w:rPr>
          <w:rFonts w:ascii="Times New Roman" w:hAnsi="Times New Roman"/>
          <w:sz w:val="22"/>
          <w:szCs w:val="22"/>
        </w:rPr>
      </w:pPr>
    </w:p>
    <w:p w:rsidR="00AF5A23" w:rsidRPr="00B35E3A" w:rsidP="00F1200A">
      <w:pPr>
        <w:widowControl/>
        <w:bidi w:val="0"/>
        <w:jc w:val="both"/>
        <w:rPr>
          <w:rFonts w:ascii="Times New Roman" w:hAnsi="Times New Roman"/>
          <w:sz w:val="22"/>
          <w:szCs w:val="22"/>
        </w:rPr>
      </w:pPr>
    </w:p>
    <w:p w:rsidR="00D9452B" w:rsidRPr="00B35E3A">
      <w:pPr>
        <w:widowControl/>
        <w:bidi w:val="0"/>
        <w:jc w:val="both"/>
        <w:rPr>
          <w:rStyle w:val="PlaceholderText"/>
          <w:b/>
          <w:color w:val="auto"/>
          <w:sz w:val="22"/>
          <w:szCs w:val="22"/>
        </w:rPr>
      </w:pPr>
      <w:r w:rsidRPr="00B35E3A" w:rsidR="00C56F59">
        <w:rPr>
          <w:rStyle w:val="PlaceholderText"/>
          <w:b/>
          <w:color w:val="auto"/>
          <w:sz w:val="22"/>
          <w:szCs w:val="22"/>
        </w:rPr>
        <w:t>K Čl. I </w:t>
      </w:r>
    </w:p>
    <w:p w:rsidR="001478DD" w:rsidRPr="00B35E3A">
      <w:pPr>
        <w:widowControl/>
        <w:bidi w:val="0"/>
        <w:jc w:val="both"/>
        <w:rPr>
          <w:rStyle w:val="PlaceholderText"/>
          <w:b/>
          <w:color w:val="auto"/>
          <w:sz w:val="22"/>
          <w:szCs w:val="22"/>
        </w:rPr>
      </w:pPr>
    </w:p>
    <w:p w:rsidR="002203DA" w:rsidRPr="00B35E3A">
      <w:pPr>
        <w:widowControl/>
        <w:bidi w:val="0"/>
        <w:jc w:val="both"/>
        <w:rPr>
          <w:rFonts w:ascii="Times New Roman" w:hAnsi="Times New Roman"/>
          <w:b/>
          <w:sz w:val="22"/>
          <w:szCs w:val="22"/>
        </w:rPr>
      </w:pPr>
    </w:p>
    <w:p w:rsidR="002203DA" w:rsidRPr="00B35E3A" w:rsidP="002203DA">
      <w:pPr>
        <w:bidi w:val="0"/>
        <w:jc w:val="both"/>
        <w:rPr>
          <w:rFonts w:ascii="Times New Roman" w:hAnsi="Times New Roman"/>
          <w:b/>
          <w:sz w:val="22"/>
          <w:szCs w:val="22"/>
        </w:rPr>
      </w:pPr>
      <w:r w:rsidRPr="00B35E3A">
        <w:rPr>
          <w:rFonts w:ascii="Times New Roman" w:hAnsi="Times New Roman"/>
          <w:b/>
          <w:sz w:val="22"/>
          <w:szCs w:val="22"/>
        </w:rPr>
        <w:t xml:space="preserve">K bodu </w:t>
      </w:r>
      <w:r w:rsidRPr="00B35E3A" w:rsidR="00F86D43">
        <w:rPr>
          <w:rFonts w:ascii="Times New Roman" w:hAnsi="Times New Roman"/>
          <w:b/>
          <w:sz w:val="22"/>
          <w:szCs w:val="22"/>
        </w:rPr>
        <w:t>1</w:t>
      </w:r>
    </w:p>
    <w:p w:rsidR="00F86BC2" w:rsidRPr="00D94F50" w:rsidP="002203DA">
      <w:pPr>
        <w:bidi w:val="0"/>
        <w:jc w:val="both"/>
        <w:rPr>
          <w:rFonts w:ascii="Times New Roman" w:hAnsi="Times New Roman"/>
          <w:sz w:val="22"/>
          <w:szCs w:val="22"/>
        </w:rPr>
      </w:pPr>
      <w:r w:rsidRPr="00D94F50">
        <w:rPr>
          <w:rFonts w:ascii="Times New Roman" w:hAnsi="Times New Roman"/>
          <w:sz w:val="22"/>
          <w:szCs w:val="22"/>
        </w:rPr>
        <w:t>Zapracovanie legislatívnej zmeny umožní vyplácanie spotrebiteľských úverov taktiež na účty stavebných sporiteľov založených na základe zmluvy o stavebnom sporení.</w:t>
      </w:r>
    </w:p>
    <w:p w:rsidR="00F86BC2" w:rsidRPr="00C81A8D" w:rsidP="002203DA">
      <w:pPr>
        <w:bidi w:val="0"/>
        <w:jc w:val="both"/>
        <w:rPr>
          <w:rFonts w:ascii="Times New Roman" w:hAnsi="Times New Roman"/>
          <w:sz w:val="22"/>
          <w:szCs w:val="22"/>
        </w:rPr>
      </w:pPr>
    </w:p>
    <w:p w:rsidR="00F86BC2" w:rsidRPr="00D94F50" w:rsidP="00F86BC2">
      <w:pPr>
        <w:bidi w:val="0"/>
        <w:jc w:val="both"/>
        <w:rPr>
          <w:rFonts w:ascii="Times New Roman" w:hAnsi="Times New Roman"/>
          <w:b/>
          <w:sz w:val="22"/>
          <w:szCs w:val="22"/>
        </w:rPr>
      </w:pPr>
      <w:r w:rsidRPr="00B35E3A">
        <w:rPr>
          <w:rFonts w:ascii="Times New Roman" w:hAnsi="Times New Roman"/>
          <w:b/>
          <w:sz w:val="22"/>
          <w:szCs w:val="22"/>
        </w:rPr>
        <w:t>K bodu 2</w:t>
      </w:r>
    </w:p>
    <w:p w:rsidR="001478DD" w:rsidRPr="00C81A8D" w:rsidP="001478DD">
      <w:pPr>
        <w:bidi w:val="0"/>
        <w:jc w:val="both"/>
        <w:rPr>
          <w:rFonts w:ascii="Times New Roman" w:hAnsi="Times New Roman"/>
          <w:sz w:val="22"/>
          <w:szCs w:val="22"/>
        </w:rPr>
      </w:pPr>
      <w:r w:rsidRPr="00A2193F">
        <w:rPr>
          <w:rStyle w:val="PlaceholderText"/>
          <w:color w:val="auto"/>
          <w:sz w:val="22"/>
          <w:szCs w:val="22"/>
        </w:rPr>
        <w:t>Ide o </w:t>
      </w:r>
      <w:r w:rsidRPr="00516A4F">
        <w:rPr>
          <w:rStyle w:val="PlaceholderText"/>
          <w:color w:val="auto"/>
          <w:sz w:val="22"/>
          <w:szCs w:val="22"/>
        </w:rPr>
        <w:t xml:space="preserve">legislatívno-technickú úpravu. </w:t>
      </w:r>
      <w:r w:rsidRPr="00516A4F" w:rsidR="001131A9">
        <w:rPr>
          <w:rStyle w:val="PlaceholderText"/>
          <w:color w:val="auto"/>
          <w:sz w:val="22"/>
          <w:szCs w:val="22"/>
        </w:rPr>
        <w:t>Zároveň sa dopĺňa povinnosť vkladať do regist</w:t>
      </w:r>
      <w:r w:rsidRPr="0091580F" w:rsidR="001131A9">
        <w:rPr>
          <w:rStyle w:val="PlaceholderText"/>
          <w:color w:val="auto"/>
          <w:sz w:val="22"/>
          <w:szCs w:val="22"/>
        </w:rPr>
        <w:t>ra údajov o</w:t>
      </w:r>
      <w:r w:rsidRPr="00C81A8D" w:rsidR="001131A9">
        <w:rPr>
          <w:rStyle w:val="PlaceholderText"/>
          <w:color w:val="auto"/>
          <w:sz w:val="22"/>
          <w:szCs w:val="22"/>
        </w:rPr>
        <w:t> spotrebiteľských úveroch údaje o úveroch poskytnutých podľa § 1 ods. 6 zákona. S</w:t>
      </w:r>
      <w:r w:rsidRPr="00C81A8D">
        <w:rPr>
          <w:rFonts w:ascii="Times New Roman" w:hAnsi="Times New Roman"/>
          <w:sz w:val="22"/>
          <w:szCs w:val="22"/>
        </w:rPr>
        <w:t>presňuje sa rozsah použitia ustanovení zákona č. 129/2010 Z. z. na novú zmluvu o spotrebiteľskom úvere o ustanovenie § 17 zákona č. 129/2010 Z. z.</w:t>
      </w:r>
    </w:p>
    <w:p w:rsidR="00D9452B" w:rsidRPr="00C81A8D">
      <w:pPr>
        <w:widowControl/>
        <w:bidi w:val="0"/>
        <w:jc w:val="both"/>
        <w:rPr>
          <w:rStyle w:val="PlaceholderText"/>
          <w:color w:val="auto"/>
          <w:sz w:val="22"/>
          <w:szCs w:val="22"/>
        </w:rPr>
      </w:pPr>
    </w:p>
    <w:p w:rsidR="001478DD" w:rsidRPr="00C81A8D" w:rsidP="001478DD">
      <w:pPr>
        <w:bidi w:val="0"/>
        <w:jc w:val="both"/>
        <w:rPr>
          <w:rFonts w:ascii="Times New Roman" w:hAnsi="Times New Roman"/>
          <w:b/>
          <w:sz w:val="22"/>
          <w:szCs w:val="22"/>
        </w:rPr>
      </w:pPr>
      <w:r w:rsidRPr="00C81A8D">
        <w:rPr>
          <w:rFonts w:ascii="Times New Roman" w:hAnsi="Times New Roman"/>
          <w:b/>
          <w:sz w:val="22"/>
          <w:szCs w:val="22"/>
        </w:rPr>
        <w:t xml:space="preserve">K bodu </w:t>
      </w:r>
      <w:r w:rsidRPr="00C81A8D" w:rsidR="00F86BC2">
        <w:rPr>
          <w:rFonts w:ascii="Times New Roman" w:hAnsi="Times New Roman"/>
          <w:b/>
          <w:sz w:val="22"/>
          <w:szCs w:val="22"/>
        </w:rPr>
        <w:t>3</w:t>
      </w:r>
    </w:p>
    <w:p w:rsidR="001478DD" w:rsidRPr="00C81A8D" w:rsidP="001478DD">
      <w:pPr>
        <w:bidi w:val="0"/>
        <w:jc w:val="both"/>
        <w:rPr>
          <w:rFonts w:ascii="Times New Roman" w:hAnsi="Times New Roman"/>
          <w:sz w:val="22"/>
          <w:szCs w:val="22"/>
        </w:rPr>
      </w:pPr>
      <w:r w:rsidRPr="00C81A8D">
        <w:rPr>
          <w:rFonts w:ascii="Times New Roman" w:hAnsi="Times New Roman"/>
          <w:sz w:val="22"/>
          <w:szCs w:val="22"/>
        </w:rPr>
        <w:t>Spresňuje sa rozsah použitia výnimky z ustanovení zákona č. 129/2010 Z. z. pri nahradení pôvodného záväzku novým záväzkom aj na pohľadávky z pôvodnej spotrebiteľskej zmluvy v prípadoch, keď došlo ku zmene v osobe veriteľa v súlade so zákonom č. 129/2010 Z. z. v znení účinnom od 23.  decembra 2015 a nový veriteľ pri vymáhaní svojich práv nepostupoval podľa §</w:t>
      </w:r>
      <w:r w:rsidRPr="00C81A8D">
        <w:rPr>
          <w:rStyle w:val="PlaceholderText"/>
          <w:color w:val="auto"/>
          <w:sz w:val="22"/>
          <w:szCs w:val="22"/>
        </w:rPr>
        <w:t> </w:t>
      </w:r>
      <w:r w:rsidRPr="00C81A8D">
        <w:rPr>
          <w:rFonts w:ascii="Times New Roman" w:hAnsi="Times New Roman"/>
          <w:sz w:val="22"/>
          <w:szCs w:val="22"/>
        </w:rPr>
        <w:t>1 ods. 3 písm. n) zákona č. 129/2010 Z. z.</w:t>
      </w:r>
    </w:p>
    <w:p w:rsidR="001478DD" w:rsidRPr="00C81A8D">
      <w:pPr>
        <w:widowControl/>
        <w:bidi w:val="0"/>
        <w:jc w:val="both"/>
        <w:rPr>
          <w:rStyle w:val="PlaceholderText"/>
          <w:b/>
          <w:color w:val="auto"/>
          <w:sz w:val="22"/>
          <w:szCs w:val="22"/>
        </w:rPr>
      </w:pPr>
    </w:p>
    <w:p w:rsidR="00C56F59" w:rsidRPr="00C81A8D">
      <w:pPr>
        <w:widowControl/>
        <w:bidi w:val="0"/>
        <w:jc w:val="both"/>
        <w:rPr>
          <w:rStyle w:val="PlaceholderText"/>
          <w:color w:val="auto"/>
          <w:sz w:val="22"/>
          <w:szCs w:val="22"/>
        </w:rPr>
      </w:pPr>
      <w:r w:rsidRPr="00C81A8D" w:rsidR="00C133E6">
        <w:rPr>
          <w:rStyle w:val="PlaceholderText"/>
          <w:b/>
          <w:color w:val="auto"/>
          <w:sz w:val="22"/>
          <w:szCs w:val="22"/>
        </w:rPr>
        <w:t xml:space="preserve">K bodu </w:t>
      </w:r>
      <w:r w:rsidRPr="00C81A8D" w:rsidR="00F86BC2">
        <w:rPr>
          <w:rStyle w:val="PlaceholderText"/>
          <w:b/>
          <w:color w:val="auto"/>
          <w:sz w:val="22"/>
          <w:szCs w:val="22"/>
        </w:rPr>
        <w:t>4</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Navrhovanou úpravou sa zohľadní, aby subjekty vymedzené v § 7 ods. 3 neboli povinné poskytovať údaje do registra v prípade iných úvero</w:t>
      </w:r>
      <w:r w:rsidRPr="00C81A8D" w:rsidR="00AC7AEB">
        <w:rPr>
          <w:rStyle w:val="PlaceholderText"/>
          <w:color w:val="auto"/>
          <w:sz w:val="22"/>
          <w:szCs w:val="22"/>
        </w:rPr>
        <w:t>v</w:t>
      </w:r>
      <w:r w:rsidRPr="00C81A8D">
        <w:rPr>
          <w:rStyle w:val="PlaceholderText"/>
          <w:color w:val="auto"/>
          <w:sz w:val="22"/>
          <w:szCs w:val="22"/>
        </w:rPr>
        <w:t xml:space="preserve"> a pôžič</w:t>
      </w:r>
      <w:r w:rsidRPr="00C81A8D" w:rsidR="00AC7AEB">
        <w:rPr>
          <w:rStyle w:val="PlaceholderText"/>
          <w:color w:val="auto"/>
          <w:sz w:val="22"/>
          <w:szCs w:val="22"/>
        </w:rPr>
        <w:t>iek</w:t>
      </w:r>
      <w:r w:rsidRPr="00C81A8D">
        <w:rPr>
          <w:rStyle w:val="PlaceholderText"/>
          <w:color w:val="auto"/>
          <w:sz w:val="22"/>
          <w:szCs w:val="22"/>
        </w:rPr>
        <w:t xml:space="preserve">, ktoré nie sú spotrebiteľskými úvermi, keďže sa uvedené nevyžaduje ani pri iných veriteľoch. </w:t>
      </w:r>
    </w:p>
    <w:p w:rsidR="00C56F59" w:rsidRPr="00C81A8D">
      <w:pPr>
        <w:widowControl/>
        <w:bidi w:val="0"/>
        <w:jc w:val="both"/>
        <w:rPr>
          <w:rStyle w:val="PlaceholderText"/>
          <w:color w:val="auto"/>
          <w:sz w:val="22"/>
          <w:szCs w:val="22"/>
        </w:rPr>
      </w:pPr>
      <w:r w:rsidRPr="00C81A8D">
        <w:rPr>
          <w:rStyle w:val="PlaceholderText"/>
          <w:b/>
          <w:color w:val="auto"/>
          <w:sz w:val="22"/>
          <w:szCs w:val="22"/>
        </w:rPr>
        <w:t> </w:t>
      </w:r>
    </w:p>
    <w:p w:rsidR="00F21E10" w:rsidRPr="00C81A8D">
      <w:pPr>
        <w:widowControl/>
        <w:bidi w:val="0"/>
        <w:jc w:val="both"/>
        <w:rPr>
          <w:rStyle w:val="PlaceholderText"/>
          <w:b/>
          <w:color w:val="auto"/>
          <w:sz w:val="22"/>
          <w:szCs w:val="22"/>
        </w:rPr>
      </w:pPr>
      <w:r w:rsidRPr="00C81A8D" w:rsidR="00C133E6">
        <w:rPr>
          <w:rStyle w:val="PlaceholderText"/>
          <w:b/>
          <w:color w:val="auto"/>
          <w:sz w:val="22"/>
          <w:szCs w:val="22"/>
        </w:rPr>
        <w:t xml:space="preserve">K bodu </w:t>
      </w:r>
      <w:r w:rsidRPr="00C81A8D" w:rsidR="00F86BC2">
        <w:rPr>
          <w:rStyle w:val="PlaceholderText"/>
          <w:b/>
          <w:color w:val="auto"/>
          <w:sz w:val="22"/>
          <w:szCs w:val="22"/>
        </w:rPr>
        <w:t>5</w:t>
      </w:r>
    </w:p>
    <w:p w:rsidR="00F21E10" w:rsidRPr="00C81A8D">
      <w:pPr>
        <w:widowControl/>
        <w:bidi w:val="0"/>
        <w:jc w:val="both"/>
        <w:rPr>
          <w:rStyle w:val="PlaceholderText"/>
          <w:color w:val="auto"/>
          <w:sz w:val="22"/>
          <w:szCs w:val="22"/>
        </w:rPr>
      </w:pPr>
      <w:r w:rsidRPr="00C81A8D">
        <w:rPr>
          <w:rStyle w:val="PlaceholderText"/>
          <w:color w:val="auto"/>
          <w:sz w:val="22"/>
          <w:szCs w:val="22"/>
        </w:rPr>
        <w:t>Legislatívno- technická úprava.</w:t>
      </w:r>
    </w:p>
    <w:p w:rsidR="00F21E10" w:rsidRPr="00B35E3A">
      <w:pPr>
        <w:widowControl/>
        <w:bidi w:val="0"/>
        <w:jc w:val="both"/>
        <w:rPr>
          <w:rStyle w:val="PlaceholderText"/>
          <w:b/>
          <w:color w:val="auto"/>
          <w:sz w:val="22"/>
          <w:szCs w:val="22"/>
        </w:rPr>
      </w:pPr>
    </w:p>
    <w:p w:rsidR="00C56F59" w:rsidRPr="00D94F50">
      <w:pPr>
        <w:widowControl/>
        <w:bidi w:val="0"/>
        <w:jc w:val="both"/>
        <w:rPr>
          <w:rStyle w:val="PlaceholderText"/>
          <w:b/>
          <w:color w:val="auto"/>
          <w:sz w:val="22"/>
          <w:szCs w:val="22"/>
        </w:rPr>
      </w:pPr>
      <w:r w:rsidRPr="00B35E3A" w:rsidR="00F21E10">
        <w:rPr>
          <w:rStyle w:val="PlaceholderText"/>
          <w:b/>
          <w:color w:val="auto"/>
          <w:sz w:val="22"/>
          <w:szCs w:val="22"/>
        </w:rPr>
        <w:t>K bodu 6</w:t>
      </w:r>
    </w:p>
    <w:p w:rsidR="00941017" w:rsidRPr="00C81A8D" w:rsidP="00941017">
      <w:pPr>
        <w:widowControl/>
        <w:bidi w:val="0"/>
        <w:jc w:val="both"/>
        <w:rPr>
          <w:rStyle w:val="PlaceholderText"/>
          <w:color w:val="auto"/>
          <w:sz w:val="22"/>
          <w:szCs w:val="22"/>
        </w:rPr>
      </w:pPr>
      <w:r w:rsidRPr="00516A4F">
        <w:rPr>
          <w:rFonts w:ascii="inherit" w:hAnsi="inherit" w:cs="Courier New"/>
        </w:rPr>
        <w:t>Úpravou sa odstráni pochybnosť</w:t>
      </w:r>
      <w:r w:rsidRPr="0091580F">
        <w:rPr>
          <w:rFonts w:ascii="inherit" w:hAnsi="inherit" w:cs="Courier New"/>
        </w:rPr>
        <w:t xml:space="preserve"> ak ide o spracú</w:t>
      </w:r>
      <w:r w:rsidRPr="00C81A8D">
        <w:rPr>
          <w:rFonts w:ascii="inherit" w:hAnsi="inherit" w:cs="Courier New"/>
        </w:rPr>
        <w:t>vanie osobných údajov na ten istý účel na základe odlišných právnych základov (t.</w:t>
      </w:r>
      <w:r w:rsidR="00A41C8D">
        <w:rPr>
          <w:rFonts w:ascii="inherit" w:hAnsi="inherit" w:cs="Courier New"/>
        </w:rPr>
        <w:t xml:space="preserve"> </w:t>
      </w:r>
      <w:r w:rsidRPr="00C81A8D">
        <w:rPr>
          <w:rFonts w:ascii="inherit" w:hAnsi="inherit" w:cs="Courier New"/>
        </w:rPr>
        <w:t>j. zmiešavanie súhlasu dotknutej osoby so spracúvaním osobných údajov a spracúvania bez takéhoto súhlasu).</w:t>
      </w:r>
    </w:p>
    <w:p w:rsidR="00941017" w:rsidRPr="00C81A8D">
      <w:pPr>
        <w:widowControl/>
        <w:bidi w:val="0"/>
        <w:jc w:val="both"/>
        <w:rPr>
          <w:rStyle w:val="PlaceholderText"/>
          <w:b/>
          <w:color w:val="auto"/>
          <w:sz w:val="22"/>
          <w:szCs w:val="22"/>
        </w:rPr>
      </w:pPr>
    </w:p>
    <w:p w:rsidR="00941017" w:rsidRPr="00C81A8D">
      <w:pPr>
        <w:widowControl/>
        <w:bidi w:val="0"/>
        <w:jc w:val="both"/>
        <w:rPr>
          <w:rStyle w:val="PlaceholderText"/>
          <w:b/>
          <w:color w:val="auto"/>
          <w:sz w:val="22"/>
          <w:szCs w:val="22"/>
        </w:rPr>
      </w:pPr>
      <w:r w:rsidRPr="00C81A8D" w:rsidR="00F86BC2">
        <w:rPr>
          <w:rStyle w:val="PlaceholderText"/>
          <w:b/>
          <w:color w:val="auto"/>
          <w:sz w:val="22"/>
          <w:szCs w:val="22"/>
        </w:rPr>
        <w:t xml:space="preserve">K bodu </w:t>
      </w:r>
      <w:r w:rsidRPr="00C81A8D" w:rsidR="00F21E10">
        <w:rPr>
          <w:rStyle w:val="PlaceholderText"/>
          <w:b/>
          <w:color w:val="auto"/>
          <w:sz w:val="22"/>
          <w:szCs w:val="22"/>
        </w:rPr>
        <w:t>7</w:t>
      </w:r>
    </w:p>
    <w:p w:rsidR="00941017">
      <w:pPr>
        <w:widowControl/>
        <w:bidi w:val="0"/>
        <w:jc w:val="both"/>
        <w:rPr>
          <w:rFonts w:ascii="inherit" w:hAnsi="inherit" w:cs="Courier New"/>
        </w:rPr>
      </w:pPr>
      <w:r w:rsidRPr="00B35E3A">
        <w:rPr>
          <w:rFonts w:ascii="inherit" w:hAnsi="inherit" w:cs="Courier New"/>
        </w:rPr>
        <w:t>Podstatou nediskriminač</w:t>
      </w:r>
      <w:r w:rsidRPr="00D94F50">
        <w:rPr>
          <w:rFonts w:ascii="inherit" w:hAnsi="inherit" w:cs="Courier New"/>
        </w:rPr>
        <w:t>ného prístupu prevádzkovateľa registra voč</w:t>
      </w:r>
      <w:r w:rsidRPr="009060C9">
        <w:rPr>
          <w:rFonts w:ascii="inherit" w:hAnsi="inherit" w:cs="Courier New"/>
        </w:rPr>
        <w:t>i veriteľom je dať každému subjektu rovnaké príležitosti (to sa nepochybne vz</w:t>
      </w:r>
      <w:r w:rsidRPr="00516A4F">
        <w:rPr>
          <w:rFonts w:ascii="inherit" w:hAnsi="inherit" w:cs="Courier New"/>
        </w:rPr>
        <w:t>ťahuje aj na oblas</w:t>
      </w:r>
      <w:r w:rsidRPr="0091580F">
        <w:rPr>
          <w:rFonts w:ascii="inherit" w:hAnsi="inherit" w:cs="Courier New"/>
        </w:rPr>
        <w:t>ť</w:t>
      </w:r>
      <w:r w:rsidRPr="00C81A8D">
        <w:rPr>
          <w:rFonts w:ascii="inherit" w:hAnsi="inherit" w:cs="Courier New"/>
        </w:rPr>
        <w:t xml:space="preserve"> cien alebo skutočnosti, či daný veriteľ prispieva do registra údajmi alebo nie). Prevádzkovateľ registra konajúci na základe splnomocnenia a samotný veriteľ preto musia mať rovnaké postavenie voči inému registru.</w:t>
      </w:r>
    </w:p>
    <w:p w:rsidR="009060C9" w:rsidP="009060C9">
      <w:pPr>
        <w:widowControl/>
        <w:bidi w:val="0"/>
        <w:jc w:val="both"/>
        <w:rPr>
          <w:rStyle w:val="PlaceholderText"/>
          <w:b/>
          <w:color w:val="auto"/>
          <w:sz w:val="22"/>
          <w:szCs w:val="22"/>
        </w:rPr>
      </w:pPr>
    </w:p>
    <w:p w:rsidR="009060C9" w:rsidP="009060C9">
      <w:pPr>
        <w:widowControl/>
        <w:bidi w:val="0"/>
        <w:jc w:val="both"/>
        <w:rPr>
          <w:rStyle w:val="PlaceholderText"/>
          <w:b/>
          <w:color w:val="auto"/>
          <w:sz w:val="22"/>
          <w:szCs w:val="22"/>
        </w:rPr>
      </w:pPr>
      <w:r w:rsidRPr="008C61C4">
        <w:rPr>
          <w:rStyle w:val="PlaceholderText"/>
          <w:b/>
          <w:color w:val="auto"/>
          <w:sz w:val="22"/>
          <w:szCs w:val="22"/>
        </w:rPr>
        <w:t xml:space="preserve">K bodu </w:t>
      </w:r>
      <w:r>
        <w:rPr>
          <w:rStyle w:val="PlaceholderText"/>
          <w:b/>
          <w:color w:val="auto"/>
          <w:sz w:val="22"/>
          <w:szCs w:val="22"/>
        </w:rPr>
        <w:t>8</w:t>
      </w:r>
    </w:p>
    <w:p w:rsidR="00DD3836" w:rsidRPr="00A42E6A" w:rsidP="009060C9">
      <w:pPr>
        <w:widowControl/>
        <w:bidi w:val="0"/>
        <w:jc w:val="both"/>
        <w:rPr>
          <w:rStyle w:val="PlaceholderText"/>
          <w:color w:val="auto"/>
          <w:sz w:val="22"/>
          <w:szCs w:val="22"/>
        </w:rPr>
      </w:pPr>
      <w:r w:rsidRPr="00A42E6A">
        <w:rPr>
          <w:rStyle w:val="PlaceholderText"/>
          <w:color w:val="auto"/>
          <w:sz w:val="22"/>
          <w:szCs w:val="22"/>
        </w:rPr>
        <w:t>Legislatívno-technická úprava v nadväznosti na bod 9.</w:t>
      </w:r>
    </w:p>
    <w:p w:rsidR="00DD3836" w:rsidRPr="00DD3836" w:rsidP="009060C9">
      <w:pPr>
        <w:widowControl/>
        <w:bidi w:val="0"/>
        <w:jc w:val="both"/>
        <w:rPr>
          <w:rStyle w:val="PlaceholderText"/>
          <w:b/>
          <w:color w:val="auto"/>
          <w:sz w:val="22"/>
          <w:szCs w:val="22"/>
        </w:rPr>
      </w:pPr>
    </w:p>
    <w:p w:rsidR="00DD3836" w:rsidRPr="008C61C4" w:rsidP="009060C9">
      <w:pPr>
        <w:widowControl/>
        <w:bidi w:val="0"/>
        <w:jc w:val="both"/>
        <w:rPr>
          <w:rStyle w:val="PlaceholderText"/>
          <w:b/>
          <w:color w:val="auto"/>
          <w:sz w:val="22"/>
          <w:szCs w:val="22"/>
        </w:rPr>
      </w:pPr>
      <w:r w:rsidRPr="00DD3836">
        <w:rPr>
          <w:rStyle w:val="PlaceholderText"/>
          <w:b/>
          <w:color w:val="auto"/>
          <w:sz w:val="22"/>
          <w:szCs w:val="22"/>
        </w:rPr>
        <w:t xml:space="preserve">K bodu </w:t>
      </w:r>
      <w:r>
        <w:rPr>
          <w:rStyle w:val="PlaceholderText"/>
          <w:b/>
          <w:color w:val="auto"/>
          <w:sz w:val="22"/>
          <w:szCs w:val="22"/>
        </w:rPr>
        <w:t>9</w:t>
      </w:r>
    </w:p>
    <w:p w:rsidR="00C56F59" w:rsidRPr="00C81A8D">
      <w:pPr>
        <w:widowControl/>
        <w:bidi w:val="0"/>
        <w:jc w:val="both"/>
        <w:rPr>
          <w:rFonts w:ascii="inherit" w:hAnsi="inherit" w:cs="Courier New"/>
        </w:rPr>
      </w:pPr>
      <w:r w:rsidRPr="00C81A8D" w:rsidR="00484D19">
        <w:rPr>
          <w:rFonts w:ascii="inherit" w:hAnsi="inherit" w:cs="Courier New"/>
        </w:rPr>
        <w:t>Dop</w:t>
      </w:r>
      <w:r w:rsidRPr="00B35E3A" w:rsidR="00484D19">
        <w:rPr>
          <w:rFonts w:ascii="inherit" w:hAnsi="inherit" w:cs="Courier New"/>
        </w:rPr>
        <w:t>ĺň</w:t>
      </w:r>
      <w:r w:rsidRPr="00C81A8D" w:rsidR="00484D19">
        <w:rPr>
          <w:rFonts w:ascii="inherit" w:hAnsi="inherit" w:cs="Courier New"/>
        </w:rPr>
        <w:t>ajú sa body uplatnenia práva verite</w:t>
      </w:r>
      <w:r w:rsidRPr="00B35E3A" w:rsidR="00484D19">
        <w:rPr>
          <w:rFonts w:ascii="inherit" w:hAnsi="inherit" w:cs="Courier New"/>
        </w:rPr>
        <w:t>ľ</w:t>
      </w:r>
      <w:r w:rsidRPr="00C81A8D" w:rsidR="00484D19">
        <w:rPr>
          <w:rFonts w:ascii="inherit" w:hAnsi="inherit" w:cs="Courier New"/>
        </w:rPr>
        <w:t xml:space="preserve">a na splatenie celého úveru ako aj dôvod tohto uplatnenia. </w:t>
      </w:r>
    </w:p>
    <w:p w:rsidR="0006579E" w:rsidRPr="00B35E3A" w:rsidP="0006579E">
      <w:pPr>
        <w:widowControl/>
        <w:bidi w:val="0"/>
        <w:jc w:val="both"/>
        <w:rPr>
          <w:rStyle w:val="PlaceholderText"/>
          <w:color w:val="auto"/>
          <w:sz w:val="22"/>
          <w:szCs w:val="22"/>
        </w:rPr>
      </w:pPr>
    </w:p>
    <w:p w:rsidR="0006579E" w:rsidRPr="009060C9" w:rsidP="0006579E">
      <w:pPr>
        <w:widowControl/>
        <w:bidi w:val="0"/>
        <w:jc w:val="both"/>
        <w:rPr>
          <w:rStyle w:val="PlaceholderText"/>
          <w:b/>
          <w:color w:val="auto"/>
          <w:sz w:val="22"/>
          <w:szCs w:val="22"/>
        </w:rPr>
      </w:pPr>
      <w:r w:rsidRPr="00D94F50">
        <w:rPr>
          <w:rStyle w:val="PlaceholderText"/>
          <w:b/>
          <w:color w:val="auto"/>
          <w:sz w:val="22"/>
          <w:szCs w:val="22"/>
        </w:rPr>
        <w:t xml:space="preserve">K bodu </w:t>
      </w:r>
      <w:r w:rsidR="00DD3836">
        <w:rPr>
          <w:rStyle w:val="PlaceholderText"/>
          <w:b/>
          <w:color w:val="auto"/>
          <w:sz w:val="22"/>
          <w:szCs w:val="22"/>
        </w:rPr>
        <w:t>10</w:t>
      </w:r>
    </w:p>
    <w:p w:rsidR="0006579E" w:rsidRPr="00C81A8D" w:rsidP="0006579E">
      <w:pPr>
        <w:widowControl/>
        <w:bidi w:val="0"/>
        <w:jc w:val="both"/>
        <w:rPr>
          <w:rStyle w:val="PlaceholderText"/>
          <w:color w:val="auto"/>
          <w:sz w:val="22"/>
          <w:szCs w:val="22"/>
        </w:rPr>
      </w:pPr>
      <w:r w:rsidRPr="00516A4F">
        <w:rPr>
          <w:rStyle w:val="PlaceholderText"/>
          <w:color w:val="auto"/>
          <w:sz w:val="22"/>
          <w:szCs w:val="22"/>
        </w:rPr>
        <w:t>Cieľom predmetného ustanovenia je vymedziť rozsah zverejňovaných údajov za účelom konzistentnosti ustanovenia § 36 zákona č. 747/2004 Z. z. o dohľade nad finančným trhom a o</w:t>
      </w:r>
      <w:r w:rsidRPr="00C81A8D">
        <w:rPr>
          <w:rStyle w:val="PlaceholderText"/>
          <w:color w:val="auto"/>
          <w:sz w:val="22"/>
          <w:szCs w:val="22"/>
        </w:rPr>
        <w:t> zmene a doplnení niektorých zákonov v znení neskorších predpisov s týmto osobitným predpisom, ktorý upravuje iný register vedený Národnou bankou Slovenska. Podľa § 7 ods. 9 zákona o spotrebiteľských úveroch Národná banka Slovenska zverejňuje a aktualizuje zoznam registrov. Zákon o spotrebiteľských úveroch však nešpecifikuje, aké údaje majú byť v predmetnom zozname uvedené a zverejnené.</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9060C9">
        <w:rPr>
          <w:rStyle w:val="PlaceholderText"/>
          <w:b/>
          <w:color w:val="auto"/>
          <w:sz w:val="22"/>
          <w:szCs w:val="22"/>
        </w:rPr>
        <w:t>1</w:t>
      </w:r>
      <w:r w:rsidR="00DD3836">
        <w:rPr>
          <w:rStyle w:val="PlaceholderText"/>
          <w:b/>
          <w:color w:val="auto"/>
          <w:sz w:val="22"/>
          <w:szCs w:val="22"/>
        </w:rPr>
        <w:t>1</w:t>
      </w: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Je zrejmé, že ustanovenie vychádza z ustanovenia § 91 ods. 4 zákona </w:t>
      </w:r>
      <w:r w:rsidRPr="00C81A8D" w:rsidR="00262FAB">
        <w:rPr>
          <w:rStyle w:val="PlaceholderText"/>
          <w:color w:val="auto"/>
          <w:sz w:val="22"/>
          <w:szCs w:val="22"/>
        </w:rPr>
        <w:t xml:space="preserve">č. </w:t>
      </w:r>
      <w:r w:rsidRPr="00C81A8D">
        <w:rPr>
          <w:rStyle w:val="PlaceholderText"/>
          <w:color w:val="auto"/>
          <w:sz w:val="22"/>
          <w:szCs w:val="22"/>
        </w:rPr>
        <w:t>483/2001 Z. z. o bankách a o zmene a doplnení niektorých zákonov v znení neskorších predpisov, ktorého sa pridŕža, avšak práve toto ustanovenie spôsobuje problémy v civilných konaniach, a to v prípadoch, kedy predmetom konania je záložná zmluva alebo záloh, zabezpečujúci úver, ktorého vlastníkom však je iná osoba ako dlžník a samotný dlžník nie je účastníkom konania. V takom prípade v zásade nie je veriteľ oprávnený poskytovať bez súhlasu dlžníka údaje o úvere, ktoré sú však pre konanie a pre rozhodnutie podstatné.</w:t>
      </w:r>
    </w:p>
    <w:p w:rsidR="001D7E8E" w:rsidRPr="00C81A8D" w:rsidP="001D7E8E">
      <w:pPr>
        <w:widowControl/>
        <w:bidi w:val="0"/>
        <w:jc w:val="both"/>
        <w:rPr>
          <w:rStyle w:val="PlaceholderText"/>
          <w:color w:val="auto"/>
          <w:sz w:val="22"/>
          <w:szCs w:val="22"/>
        </w:rPr>
      </w:pPr>
      <w:r w:rsidRPr="00C81A8D" w:rsidR="00C56F59">
        <w:rPr>
          <w:rStyle w:val="PlaceholderText"/>
          <w:b/>
          <w:color w:val="auto"/>
          <w:sz w:val="22"/>
          <w:szCs w:val="22"/>
        </w:rPr>
        <w:t> </w:t>
      </w:r>
    </w:p>
    <w:p w:rsidR="001437DB" w:rsidRPr="00C81A8D" w:rsidP="001437DB">
      <w:pPr>
        <w:bidi w:val="0"/>
        <w:jc w:val="both"/>
        <w:rPr>
          <w:rFonts w:ascii="Times New Roman" w:hAnsi="Times New Roman"/>
          <w:b/>
          <w:sz w:val="22"/>
          <w:szCs w:val="22"/>
        </w:rPr>
      </w:pPr>
      <w:r w:rsidRPr="00C81A8D">
        <w:rPr>
          <w:rFonts w:ascii="Times New Roman" w:hAnsi="Times New Roman"/>
          <w:b/>
          <w:sz w:val="22"/>
          <w:szCs w:val="22"/>
        </w:rPr>
        <w:t xml:space="preserve">K bodu </w:t>
      </w:r>
      <w:r w:rsidRPr="00C81A8D" w:rsidR="009060C9">
        <w:rPr>
          <w:rFonts w:ascii="Times New Roman" w:hAnsi="Times New Roman"/>
          <w:b/>
          <w:sz w:val="22"/>
          <w:szCs w:val="22"/>
        </w:rPr>
        <w:t>1</w:t>
      </w:r>
      <w:r w:rsidR="00DD3836">
        <w:rPr>
          <w:rFonts w:ascii="Times New Roman" w:hAnsi="Times New Roman"/>
          <w:b/>
          <w:sz w:val="22"/>
          <w:szCs w:val="22"/>
        </w:rPr>
        <w:t>2</w:t>
      </w:r>
    </w:p>
    <w:p w:rsidR="001437DB" w:rsidRPr="00C81A8D" w:rsidP="001437DB">
      <w:pPr>
        <w:bidi w:val="0"/>
        <w:jc w:val="both"/>
        <w:rPr>
          <w:rFonts w:ascii="Times New Roman" w:hAnsi="Times New Roman"/>
          <w:sz w:val="22"/>
          <w:szCs w:val="22"/>
        </w:rPr>
      </w:pPr>
      <w:r w:rsidRPr="00C81A8D">
        <w:rPr>
          <w:rFonts w:ascii="Times New Roman" w:hAnsi="Times New Roman"/>
          <w:sz w:val="22"/>
          <w:szCs w:val="22"/>
        </w:rPr>
        <w:t xml:space="preserve">Zákon neobsahuje úpravu výmazu údajov z registra z dôvodu ich možného chybného poskytnutia od povinného subjektu, ani ako dôsledok kontrolného zaobstarania finančnej služby v zmysle zákona č. 747/2004 Z. z. o dohľade nad finančným trhom a o zmene a doplnení niektorých zákonov v znení neskorších predpisov. Súčasný odsek 14 upravuje len výmaz údajov na základe sťažnosti spotrebiteľa. </w:t>
      </w:r>
    </w:p>
    <w:p w:rsidR="001437DB" w:rsidRPr="00C81A8D" w:rsidP="001437DB">
      <w:pPr>
        <w:widowControl/>
        <w:bidi w:val="0"/>
        <w:jc w:val="both"/>
        <w:rPr>
          <w:rStyle w:val="PlaceholderText"/>
          <w:b/>
          <w:color w:val="auto"/>
          <w:sz w:val="22"/>
          <w:szCs w:val="22"/>
        </w:rPr>
      </w:pPr>
      <w:r w:rsidRPr="00C81A8D">
        <w:rPr>
          <w:rFonts w:ascii="Times New Roman" w:hAnsi="Times New Roman"/>
          <w:sz w:val="22"/>
          <w:szCs w:val="22"/>
        </w:rPr>
        <w:t>Z vyššie uvedeného dôvodu sa navrhuje doplnenie povinnosti prevádzkovateľa registra vymazať údaj z registra na </w:t>
      </w:r>
      <w:r w:rsidRPr="00C81A8D" w:rsidR="00D20F74">
        <w:rPr>
          <w:rFonts w:ascii="Times New Roman" w:hAnsi="Times New Roman"/>
          <w:sz w:val="22"/>
          <w:szCs w:val="22"/>
        </w:rPr>
        <w:t xml:space="preserve">základe odôvodnenej žiadosti </w:t>
      </w:r>
      <w:r w:rsidRPr="00C81A8D">
        <w:rPr>
          <w:rFonts w:ascii="Times New Roman" w:hAnsi="Times New Roman"/>
          <w:sz w:val="22"/>
          <w:szCs w:val="22"/>
        </w:rPr>
        <w:t>Národnej banky Slovenska</w:t>
      </w:r>
      <w:r w:rsidR="00A41C8D">
        <w:rPr>
          <w:rFonts w:ascii="Times New Roman" w:hAnsi="Times New Roman"/>
          <w:sz w:val="22"/>
          <w:szCs w:val="22"/>
        </w:rPr>
        <w:t>,</w:t>
      </w:r>
      <w:r w:rsidRPr="00C81A8D">
        <w:rPr>
          <w:rFonts w:ascii="Times New Roman" w:hAnsi="Times New Roman"/>
          <w:sz w:val="22"/>
          <w:szCs w:val="22"/>
        </w:rPr>
        <w:t xml:space="preserve"> a</w:t>
      </w:r>
      <w:r w:rsidRPr="00C81A8D" w:rsidR="00D20F74">
        <w:rPr>
          <w:rFonts w:ascii="Times New Roman" w:hAnsi="Times New Roman"/>
          <w:sz w:val="22"/>
          <w:szCs w:val="22"/>
        </w:rPr>
        <w:t>ko aj</w:t>
      </w:r>
      <w:r w:rsidRPr="00C81A8D">
        <w:rPr>
          <w:rFonts w:ascii="Times New Roman" w:hAnsi="Times New Roman"/>
          <w:sz w:val="22"/>
          <w:szCs w:val="22"/>
        </w:rPr>
        <w:t xml:space="preserve"> subjektu, ktorý údaj do registra poskytol.</w:t>
      </w:r>
    </w:p>
    <w:p w:rsidR="001437DB" w:rsidRPr="00C81A8D" w:rsidP="001D7E8E">
      <w:pPr>
        <w:widowControl/>
        <w:bidi w:val="0"/>
        <w:jc w:val="both"/>
        <w:rPr>
          <w:rStyle w:val="PlaceholderText"/>
          <w:b/>
          <w:color w:val="auto"/>
          <w:sz w:val="22"/>
          <w:szCs w:val="22"/>
        </w:rPr>
      </w:pPr>
    </w:p>
    <w:p w:rsidR="00C56F59" w:rsidRPr="00C81A8D">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9060C9">
        <w:rPr>
          <w:rStyle w:val="PlaceholderText"/>
          <w:b/>
          <w:color w:val="auto"/>
          <w:sz w:val="22"/>
          <w:szCs w:val="22"/>
        </w:rPr>
        <w:t>1</w:t>
      </w:r>
      <w:r w:rsidR="00DD3836">
        <w:rPr>
          <w:rStyle w:val="PlaceholderText"/>
          <w:b/>
          <w:color w:val="auto"/>
          <w:sz w:val="22"/>
          <w:szCs w:val="22"/>
        </w:rPr>
        <w:t>3</w:t>
      </w:r>
    </w:p>
    <w:p w:rsidR="00C56F59" w:rsidRPr="00C81A8D" w:rsidP="006A697D">
      <w:pPr>
        <w:widowControl/>
        <w:bidi w:val="0"/>
        <w:jc w:val="both"/>
        <w:rPr>
          <w:rStyle w:val="PlaceholderText"/>
          <w:color w:val="auto"/>
          <w:sz w:val="22"/>
          <w:szCs w:val="22"/>
        </w:rPr>
      </w:pPr>
      <w:r w:rsidRPr="00C81A8D" w:rsidR="00AF68B4">
        <w:rPr>
          <w:rStyle w:val="PlaceholderText"/>
          <w:color w:val="auto"/>
          <w:sz w:val="22"/>
          <w:szCs w:val="22"/>
        </w:rPr>
        <w:t>(§ 7 ods.19</w:t>
      </w:r>
      <w:r w:rsidRPr="00C81A8D">
        <w:rPr>
          <w:rStyle w:val="PlaceholderText"/>
          <w:color w:val="auto"/>
          <w:sz w:val="22"/>
          <w:szCs w:val="22"/>
        </w:rPr>
        <w:t>)</w:t>
      </w:r>
    </w:p>
    <w:p w:rsidR="00D80493" w:rsidRPr="00C81A8D" w:rsidP="006A697D">
      <w:pPr>
        <w:bidi w:val="0"/>
        <w:jc w:val="both"/>
        <w:rPr>
          <w:rFonts w:ascii="Times New Roman" w:hAnsi="Times New Roman"/>
        </w:rPr>
      </w:pPr>
      <w:r w:rsidRPr="00C81A8D" w:rsidR="00C56F59">
        <w:rPr>
          <w:rStyle w:val="PlaceholderText"/>
          <w:color w:val="auto"/>
          <w:sz w:val="22"/>
          <w:szCs w:val="22"/>
        </w:rPr>
        <w:t>Navrhovaným dop</w:t>
      </w:r>
      <w:r w:rsidRPr="00C81A8D" w:rsidR="00AF68B4">
        <w:rPr>
          <w:rStyle w:val="PlaceholderText"/>
          <w:color w:val="auto"/>
          <w:sz w:val="22"/>
          <w:szCs w:val="22"/>
        </w:rPr>
        <w:t>lnením ustanovenia  § 7 odsek 19</w:t>
      </w:r>
      <w:r w:rsidRPr="00C81A8D" w:rsidR="00C56F59">
        <w:rPr>
          <w:rStyle w:val="PlaceholderText"/>
          <w:color w:val="auto"/>
          <w:sz w:val="22"/>
          <w:szCs w:val="22"/>
        </w:rPr>
        <w:t xml:space="preserve"> sa ukladá povinnosť pre veriteľa podľa § 20 ods. 1 písm. a) a veriteľa, ktorý je bankou, zahraničnou bankou, pobočkou zahraničnej banky určovať, dodržiavať a pravidelne prehodnocovať limit pre ukazovateľ schopnosti spotrebiteľa splácať spotrebiteľský úver na účely zvýšenia odborného posúdenia schopnosti splácať spotrebiteľský úver.</w:t>
      </w:r>
      <w:r w:rsidRPr="00C81A8D">
        <w:rPr>
          <w:rStyle w:val="PlaceholderText"/>
          <w:color w:val="auto"/>
          <w:sz w:val="22"/>
          <w:szCs w:val="22"/>
        </w:rPr>
        <w:t xml:space="preserve"> </w:t>
      </w:r>
      <w:r w:rsidRPr="00C81A8D">
        <w:rPr>
          <w:rFonts w:ascii="Times New Roman" w:hAnsi="Times New Roman"/>
        </w:rPr>
        <w:t>Limit sa určuje pre celé portfólio alebo jeho časť jednotne a</w:t>
      </w:r>
      <w:r w:rsidRPr="00D94F50">
        <w:rPr>
          <w:rFonts w:ascii="Times New Roman" w:hAnsi="Times New Roman"/>
        </w:rPr>
        <w:t> </w:t>
      </w:r>
      <w:r w:rsidRPr="00C81A8D">
        <w:rPr>
          <w:rFonts w:ascii="Times New Roman" w:hAnsi="Times New Roman"/>
        </w:rPr>
        <w:t>vzťahuje sa každý spotrebiteľský úver individuálne.</w:t>
      </w:r>
    </w:p>
    <w:p w:rsidR="00C56F59" w:rsidRPr="00B35E3A">
      <w:pPr>
        <w:widowControl/>
        <w:bidi w:val="0"/>
        <w:jc w:val="both"/>
        <w:rPr>
          <w:rStyle w:val="PlaceholderText"/>
          <w:color w:val="auto"/>
          <w:sz w:val="22"/>
          <w:szCs w:val="22"/>
        </w:rPr>
      </w:pPr>
    </w:p>
    <w:p w:rsidR="00C56F59" w:rsidRPr="00D94F50">
      <w:pPr>
        <w:widowControl/>
        <w:bidi w:val="0"/>
        <w:jc w:val="both"/>
        <w:rPr>
          <w:rStyle w:val="PlaceholderText"/>
          <w:color w:val="auto"/>
          <w:sz w:val="22"/>
          <w:szCs w:val="22"/>
        </w:rPr>
      </w:pPr>
    </w:p>
    <w:p w:rsidR="00C56F59" w:rsidRPr="00516A4F">
      <w:pPr>
        <w:widowControl/>
        <w:bidi w:val="0"/>
        <w:jc w:val="both"/>
        <w:rPr>
          <w:rStyle w:val="PlaceholderText"/>
          <w:color w:val="auto"/>
          <w:sz w:val="22"/>
          <w:szCs w:val="22"/>
        </w:rPr>
      </w:pPr>
      <w:r w:rsidRPr="00516A4F" w:rsidR="00AF68B4">
        <w:rPr>
          <w:rStyle w:val="PlaceholderText"/>
          <w:color w:val="auto"/>
          <w:sz w:val="22"/>
          <w:szCs w:val="22"/>
        </w:rPr>
        <w:t>(§ 7 ods. 20</w:t>
      </w:r>
      <w:r w:rsidRPr="00516A4F">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Navrh</w:t>
      </w:r>
      <w:r w:rsidRPr="00C81A8D" w:rsidR="00AF68B4">
        <w:rPr>
          <w:rStyle w:val="PlaceholderText"/>
          <w:color w:val="auto"/>
          <w:sz w:val="22"/>
          <w:szCs w:val="22"/>
        </w:rPr>
        <w:t>ovaným ustanovením § 7 odseku 20</w:t>
      </w:r>
      <w:r w:rsidRPr="00C81A8D">
        <w:rPr>
          <w:rStyle w:val="PlaceholderText"/>
          <w:color w:val="auto"/>
          <w:sz w:val="22"/>
          <w:szCs w:val="22"/>
        </w:rPr>
        <w:t xml:space="preserve"> sa </w:t>
      </w:r>
      <w:r w:rsidRPr="00C81A8D" w:rsidR="004841FD">
        <w:rPr>
          <w:rStyle w:val="PlaceholderText"/>
          <w:color w:val="auto"/>
          <w:sz w:val="22"/>
          <w:szCs w:val="22"/>
        </w:rPr>
        <w:t xml:space="preserve">taxatívnym spôsobom </w:t>
      </w:r>
      <w:r w:rsidRPr="00C81A8D">
        <w:rPr>
          <w:rStyle w:val="PlaceholderText"/>
          <w:color w:val="auto"/>
          <w:sz w:val="22"/>
          <w:szCs w:val="22"/>
        </w:rPr>
        <w:t>určujú položky, ktoré vstupujú do výpočtu limitu ukazovateľa schopnosti spotrebiteľa splácať spotrebiteľský úver.</w:t>
      </w:r>
    </w:p>
    <w:p w:rsidR="00C56F59" w:rsidRPr="00C81A8D">
      <w:pPr>
        <w:widowControl/>
        <w:bidi w:val="0"/>
        <w:jc w:val="both"/>
        <w:rPr>
          <w:rStyle w:val="PlaceholderText"/>
          <w:color w:val="auto"/>
          <w:sz w:val="22"/>
          <w:szCs w:val="22"/>
        </w:rPr>
      </w:pPr>
      <w:r w:rsidRPr="00C81A8D">
        <w:rPr>
          <w:rStyle w:val="PlaceholderText"/>
          <w:color w:val="auto"/>
          <w:sz w:val="22"/>
          <w:szCs w:val="22"/>
        </w:rPr>
        <w:t>Príjmom uvedeným v písm. a) sa rozumie napríklad „priemerný čistý mesačný zárobok“ spotrebiteľa podľa § 134 ods. 9 Zákonníka práce. Výškou splátky spotrebiteľského úveru uvedenou v písm. c) sa rozumie výška splátky (novo) poskytnutého spotrebiteľského úveru. Peňažnými záväzkami znižujúcimi príjem spotrebiteľa uvedenými v písm. d) sa rozumejú všetky pravidelné výdavky spotrebiteľa, ktoré znižujú jeho príjem (výška výživného, výška splátky úverov a pôžičiek a pod.). Položky uvedené v písmenách a) až d) vstupujú do ukazovateľa schopnosti spotrebiteľa splácať spotrebiteľský úver  prepočítané na obdobie jedného mesiaca.</w:t>
      </w:r>
    </w:p>
    <w:p w:rsidR="006529B4" w:rsidRPr="00C81A8D">
      <w:pPr>
        <w:widowControl/>
        <w:bidi w:val="0"/>
        <w:jc w:val="both"/>
        <w:rPr>
          <w:rStyle w:val="PlaceholderText"/>
          <w:color w:val="auto"/>
          <w:sz w:val="22"/>
          <w:szCs w:val="22"/>
        </w:rPr>
      </w:pPr>
      <w:r w:rsidRPr="00C81A8D">
        <w:rPr>
          <w:rStyle w:val="PlaceholderText"/>
          <w:color w:val="auto"/>
          <w:sz w:val="22"/>
          <w:szCs w:val="22"/>
        </w:rPr>
        <w:t>Položky uvedené v písmenách b) až d) tvoria celkové výdavky. Samostatne sa nevyhodnocujú a slúžia na porovnanie celkových výdavkov s výškou príjmu, ktoré slúži na overenie dodatočnej výšky príjmu.</w:t>
      </w:r>
    </w:p>
    <w:p w:rsidR="006529B4"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sidR="00AF68B4">
        <w:rPr>
          <w:rStyle w:val="PlaceholderText"/>
          <w:color w:val="auto"/>
          <w:sz w:val="22"/>
          <w:szCs w:val="22"/>
        </w:rPr>
        <w:t>(§ 7 ods. 21</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Navrhovaným ustanovením §</w:t>
      </w:r>
      <w:r w:rsidRPr="00C81A8D" w:rsidR="005B068A">
        <w:rPr>
          <w:rStyle w:val="PlaceholderText"/>
          <w:color w:val="auto"/>
          <w:sz w:val="22"/>
          <w:szCs w:val="22"/>
        </w:rPr>
        <w:t xml:space="preserve"> 7 ods. 21</w:t>
      </w:r>
      <w:r w:rsidRPr="00C81A8D">
        <w:rPr>
          <w:rStyle w:val="PlaceholderText"/>
          <w:color w:val="auto"/>
          <w:sz w:val="22"/>
          <w:szCs w:val="22"/>
        </w:rPr>
        <w:t xml:space="preserve"> sa stanovuje podmienka na určenie limitu pre ukazovateľ schopnosti spotrebiteľa splácať spotrebiteľský úver spočívajúca v tom, aby položky (výdavky) zohľadňované pri výpočte toh</w:t>
      </w:r>
      <w:r w:rsidR="00A41C8D">
        <w:rPr>
          <w:rStyle w:val="PlaceholderText"/>
          <w:color w:val="auto"/>
          <w:sz w:val="22"/>
          <w:szCs w:val="22"/>
        </w:rPr>
        <w:t>t</w:t>
      </w:r>
      <w:r w:rsidRPr="00C81A8D">
        <w:rPr>
          <w:rStyle w:val="PlaceholderText"/>
          <w:color w:val="auto"/>
          <w:sz w:val="22"/>
          <w:szCs w:val="22"/>
        </w:rPr>
        <w:t>o limitu nikdy nepresiahli príjem spotrebiteľa.</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sidR="005B068A">
        <w:rPr>
          <w:rStyle w:val="PlaceholderText"/>
          <w:color w:val="auto"/>
          <w:sz w:val="22"/>
          <w:szCs w:val="22"/>
        </w:rPr>
        <w:t>(§ 7 ods. 22</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Navrh</w:t>
      </w:r>
      <w:r w:rsidRPr="00C81A8D" w:rsidR="005B068A">
        <w:rPr>
          <w:rStyle w:val="PlaceholderText"/>
          <w:color w:val="auto"/>
          <w:sz w:val="22"/>
          <w:szCs w:val="22"/>
        </w:rPr>
        <w:t>ovaným ustanovením § 7 ods. 22</w:t>
      </w:r>
      <w:r w:rsidRPr="00C81A8D">
        <w:rPr>
          <w:rStyle w:val="PlaceholderText"/>
          <w:color w:val="auto"/>
          <w:sz w:val="22"/>
          <w:szCs w:val="22"/>
        </w:rPr>
        <w:t xml:space="preserve"> sa určuje ďalšia podmienka na výpočet limitu pre ukazovateľ schopnosti spotrebiteľa splácať spotrebiteľský úver, ktorá spočíva v tom, že keď (nový) spotrebiteľský úver nemá určenú fixnú úrokovú sadzbu počas celej doby splatnosti spotrebiteľského úveru</w:t>
      </w:r>
      <w:r w:rsidRPr="00C81A8D" w:rsidR="00C91A67">
        <w:rPr>
          <w:rStyle w:val="PlaceholderText"/>
          <w:color w:val="auto"/>
          <w:sz w:val="22"/>
          <w:szCs w:val="22"/>
        </w:rPr>
        <w:t>,</w:t>
      </w:r>
      <w:r w:rsidRPr="00C81A8D">
        <w:rPr>
          <w:rStyle w:val="PlaceholderText"/>
          <w:color w:val="auto"/>
          <w:sz w:val="22"/>
          <w:szCs w:val="22"/>
        </w:rPr>
        <w:t xml:space="preserve"> je potrebné do výpočtu limitu ukazovateľa schopnosti spotrebiteľa splácať spotrebiteľský úver zahrnúť splátku tohto spotrebiteľského úveru pri zohľadnení možného zvýšenia úrokovej sadzby, ktoré stanoví Národná ba</w:t>
      </w:r>
      <w:r w:rsidRPr="00C81A8D" w:rsidR="00A87657">
        <w:rPr>
          <w:rStyle w:val="PlaceholderText"/>
          <w:color w:val="auto"/>
          <w:sz w:val="22"/>
          <w:szCs w:val="22"/>
        </w:rPr>
        <w:t>nka Slovenska opatrením podľa § </w:t>
      </w:r>
      <w:r w:rsidRPr="00C81A8D" w:rsidR="005B068A">
        <w:rPr>
          <w:rStyle w:val="PlaceholderText"/>
          <w:color w:val="auto"/>
          <w:sz w:val="22"/>
          <w:szCs w:val="22"/>
        </w:rPr>
        <w:t xml:space="preserve">7 ods. </w:t>
      </w:r>
      <w:r w:rsidRPr="00C81A8D" w:rsidR="004F49F3">
        <w:rPr>
          <w:rStyle w:val="PlaceholderText"/>
          <w:color w:val="auto"/>
          <w:sz w:val="22"/>
          <w:szCs w:val="22"/>
        </w:rPr>
        <w:t>41</w:t>
      </w:r>
      <w:r w:rsidRPr="00C81A8D">
        <w:rPr>
          <w:rStyle w:val="PlaceholderText"/>
          <w:color w:val="auto"/>
          <w:sz w:val="22"/>
          <w:szCs w:val="22"/>
        </w:rPr>
        <w:t>.</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w:t>
      </w:r>
      <w:r w:rsidRPr="00C81A8D" w:rsidR="005B068A">
        <w:rPr>
          <w:rStyle w:val="PlaceholderText"/>
          <w:color w:val="auto"/>
          <w:sz w:val="22"/>
          <w:szCs w:val="22"/>
        </w:rPr>
        <w:t>§ 7 ods. 23</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w:t>
      </w:r>
      <w:r w:rsidRPr="00C81A8D" w:rsidR="005B068A">
        <w:rPr>
          <w:rStyle w:val="PlaceholderText"/>
          <w:color w:val="auto"/>
          <w:sz w:val="22"/>
          <w:szCs w:val="22"/>
        </w:rPr>
        <w:t>rhovaným ustanovením § 7 ods. 23</w:t>
      </w:r>
      <w:r w:rsidRPr="00C81A8D">
        <w:rPr>
          <w:rStyle w:val="PlaceholderText"/>
          <w:color w:val="auto"/>
          <w:sz w:val="22"/>
          <w:szCs w:val="22"/>
        </w:rPr>
        <w:t xml:space="preserve"> sa určuje podmienka, ktorú sú veriteľ podľa § 20 ods. 1 písm. a), banka, zahraničná banka</w:t>
      </w:r>
      <w:r w:rsidR="00DC52DA">
        <w:rPr>
          <w:rStyle w:val="PlaceholderText"/>
          <w:color w:val="auto"/>
          <w:sz w:val="22"/>
          <w:szCs w:val="22"/>
        </w:rPr>
        <w:t xml:space="preserve"> a</w:t>
      </w:r>
      <w:r w:rsidRPr="00DC52DA">
        <w:rPr>
          <w:rStyle w:val="PlaceholderText"/>
          <w:color w:val="auto"/>
          <w:sz w:val="22"/>
          <w:szCs w:val="22"/>
        </w:rPr>
        <w:t xml:space="preserve"> pobočka zahraničnej banky povinní uplatniť pri poskytovaní spotrebiteľského úveru. Od tejto podmienky je možné upustiť za predpokladu, že nastan</w:t>
      </w:r>
      <w:r w:rsidRPr="00516A4F" w:rsidR="005B068A">
        <w:rPr>
          <w:rStyle w:val="PlaceholderText"/>
          <w:color w:val="auto"/>
          <w:sz w:val="22"/>
          <w:szCs w:val="22"/>
        </w:rPr>
        <w:t>ú prípady </w:t>
      </w:r>
      <w:r w:rsidRPr="0091580F" w:rsidR="005B068A">
        <w:rPr>
          <w:rStyle w:val="PlaceholderText"/>
          <w:color w:val="auto"/>
          <w:sz w:val="22"/>
          <w:szCs w:val="22"/>
        </w:rPr>
        <w:t xml:space="preserve"> uv</w:t>
      </w:r>
      <w:r w:rsidRPr="00C81A8D" w:rsidR="005B068A">
        <w:rPr>
          <w:rStyle w:val="PlaceholderText"/>
          <w:color w:val="auto"/>
          <w:sz w:val="22"/>
          <w:szCs w:val="22"/>
        </w:rPr>
        <w:t>edené v § 7 ods. 24</w:t>
      </w:r>
      <w:r w:rsidRPr="00C81A8D">
        <w:rPr>
          <w:rStyle w:val="PlaceholderText"/>
          <w:color w:val="auto"/>
          <w:sz w:val="22"/>
          <w:szCs w:val="22"/>
        </w:rPr>
        <w:t>.</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sidR="005B068A">
        <w:rPr>
          <w:rStyle w:val="PlaceholderText"/>
          <w:color w:val="auto"/>
          <w:sz w:val="22"/>
          <w:szCs w:val="22"/>
        </w:rPr>
        <w:t>(§ 7 ods. 24</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w:t>
      </w:r>
      <w:r w:rsidRPr="00C81A8D" w:rsidR="005B068A">
        <w:rPr>
          <w:rStyle w:val="PlaceholderText"/>
          <w:color w:val="auto"/>
          <w:sz w:val="22"/>
          <w:szCs w:val="22"/>
        </w:rPr>
        <w:t xml:space="preserve">rhovaným ustanovením § 7 ods. </w:t>
      </w:r>
      <w:r w:rsidRPr="00DC52DA" w:rsidR="005B068A">
        <w:rPr>
          <w:rStyle w:val="PlaceholderText"/>
          <w:color w:val="auto"/>
          <w:sz w:val="22"/>
          <w:szCs w:val="22"/>
        </w:rPr>
        <w:t>24</w:t>
      </w:r>
      <w:r w:rsidRPr="00DC52DA">
        <w:rPr>
          <w:rStyle w:val="PlaceholderText"/>
          <w:color w:val="auto"/>
          <w:sz w:val="22"/>
          <w:szCs w:val="22"/>
        </w:rPr>
        <w:t xml:space="preserve"> sa určuj</w:t>
      </w:r>
      <w:r w:rsidRPr="00DC52DA" w:rsidR="00017554">
        <w:rPr>
          <w:rStyle w:val="PlaceholderText"/>
          <w:color w:val="auto"/>
          <w:sz w:val="22"/>
          <w:szCs w:val="22"/>
        </w:rPr>
        <w:t>ú</w:t>
      </w:r>
      <w:r w:rsidRPr="00DC52DA">
        <w:rPr>
          <w:rStyle w:val="PlaceholderText"/>
          <w:color w:val="auto"/>
          <w:sz w:val="22"/>
          <w:szCs w:val="22"/>
        </w:rPr>
        <w:t xml:space="preserve"> výnimk</w:t>
      </w:r>
      <w:r w:rsidRPr="00DC52DA" w:rsidR="00017554">
        <w:rPr>
          <w:rStyle w:val="PlaceholderText"/>
          <w:color w:val="auto"/>
          <w:sz w:val="22"/>
          <w:szCs w:val="22"/>
        </w:rPr>
        <w:t>y</w:t>
      </w:r>
      <w:r w:rsidRPr="00DC52DA">
        <w:rPr>
          <w:rStyle w:val="PlaceholderText"/>
          <w:color w:val="auto"/>
          <w:sz w:val="22"/>
          <w:szCs w:val="22"/>
        </w:rPr>
        <w:t xml:space="preserve"> z up</w:t>
      </w:r>
      <w:r w:rsidRPr="00DC52DA" w:rsidR="005B068A">
        <w:rPr>
          <w:rStyle w:val="PlaceholderText"/>
          <w:color w:val="auto"/>
          <w:sz w:val="22"/>
          <w:szCs w:val="22"/>
        </w:rPr>
        <w:t>latnenia ustanovenia § 7 ods.</w:t>
      </w:r>
      <w:r w:rsidRPr="00516A4F" w:rsidR="00132DD4">
        <w:rPr>
          <w:rStyle w:val="PlaceholderText"/>
          <w:color w:val="auto"/>
          <w:sz w:val="22"/>
          <w:szCs w:val="22"/>
        </w:rPr>
        <w:t xml:space="preserve"> 19 a</w:t>
      </w:r>
      <w:r w:rsidR="00DC52DA">
        <w:rPr>
          <w:rStyle w:val="PlaceholderText"/>
          <w:color w:val="auto"/>
          <w:sz w:val="22"/>
          <w:szCs w:val="22"/>
        </w:rPr>
        <w:t>ž</w:t>
      </w:r>
      <w:r w:rsidRPr="00DC52DA" w:rsidR="005B068A">
        <w:rPr>
          <w:rStyle w:val="PlaceholderText"/>
          <w:color w:val="auto"/>
          <w:sz w:val="22"/>
          <w:szCs w:val="22"/>
        </w:rPr>
        <w:t xml:space="preserve"> 23</w:t>
      </w:r>
      <w:r w:rsidRPr="00DC52DA" w:rsidR="00017554">
        <w:rPr>
          <w:rStyle w:val="PlaceholderText"/>
          <w:color w:val="auto"/>
          <w:sz w:val="22"/>
          <w:szCs w:val="22"/>
        </w:rPr>
        <w:t xml:space="preserve">. Prvá výnimka sa vzťahuje na </w:t>
      </w:r>
      <w:r w:rsidRPr="00516A4F">
        <w:rPr>
          <w:rStyle w:val="PlaceholderText"/>
          <w:color w:val="auto"/>
          <w:sz w:val="22"/>
          <w:szCs w:val="22"/>
        </w:rPr>
        <w:t>prípad, keď sa spotrebiteľský úver splatí spotrebiteľským úverom (refinancovaný úver) a</w:t>
      </w:r>
      <w:r w:rsidRPr="00C81A8D">
        <w:rPr>
          <w:rStyle w:val="PlaceholderText"/>
          <w:color w:val="auto"/>
          <w:sz w:val="22"/>
          <w:szCs w:val="22"/>
        </w:rPr>
        <w:t> pre</w:t>
      </w:r>
      <w:r w:rsidRPr="00C81A8D" w:rsidR="00C91A67">
        <w:rPr>
          <w:rStyle w:val="PlaceholderText"/>
          <w:color w:val="auto"/>
          <w:sz w:val="22"/>
          <w:szCs w:val="22"/>
        </w:rPr>
        <w:t xml:space="preserve"> </w:t>
      </w:r>
      <w:r w:rsidRPr="00C81A8D">
        <w:rPr>
          <w:rStyle w:val="PlaceholderText"/>
          <w:color w:val="auto"/>
          <w:sz w:val="22"/>
          <w:szCs w:val="22"/>
        </w:rPr>
        <w:t>prípad, keď nastane zmena zmluvy (o spotrebiteľskom úvere) spočívajúca v navýšení počiatočnej výšky úveru (navýšený úver); za predpokladu, že v týchto prípadoch bude splnená určitá podmienka. Táto podmienka spočíva v tom, že výška (novo) poskytnutého spotrebiteľského úveru výrazne neprevýši súčet zostávajúcich výšok refinancovaných alebo navýšených úverov.</w:t>
      </w:r>
    </w:p>
    <w:p w:rsidR="00017554" w:rsidRPr="00C81A8D">
      <w:pPr>
        <w:widowControl/>
        <w:bidi w:val="0"/>
        <w:jc w:val="both"/>
        <w:rPr>
          <w:rStyle w:val="PlaceholderText"/>
          <w:color w:val="auto"/>
          <w:sz w:val="22"/>
          <w:szCs w:val="22"/>
        </w:rPr>
      </w:pPr>
    </w:p>
    <w:p w:rsidR="00017554" w:rsidRPr="00C81A8D">
      <w:pPr>
        <w:widowControl/>
        <w:bidi w:val="0"/>
        <w:jc w:val="both"/>
        <w:rPr>
          <w:rStyle w:val="PlaceholderText"/>
          <w:color w:val="auto"/>
          <w:sz w:val="22"/>
          <w:szCs w:val="22"/>
        </w:rPr>
      </w:pPr>
      <w:r w:rsidRPr="00C81A8D">
        <w:rPr>
          <w:rStyle w:val="PlaceholderText"/>
          <w:color w:val="auto"/>
          <w:sz w:val="22"/>
          <w:szCs w:val="22"/>
        </w:rPr>
        <w:t>Druhá výnimka sa vzťahuje na tzv. predschválené spotrebiteľské úvery, ktorých výška je stanovená vopred bez aktívnej účasti spotrebiteľa a na základe historických údajov o finančnej situácii spotrebiteľa získaných z interných  zdrojov  o platobných operáciách, ktoré je možné doplniť o ďalšie informácie z interných alebo externých zdrojov</w:t>
      </w:r>
      <w:r w:rsidRPr="00C81A8D" w:rsidR="00A87657">
        <w:rPr>
          <w:rStyle w:val="PlaceholderText"/>
          <w:color w:val="auto"/>
          <w:sz w:val="22"/>
          <w:szCs w:val="22"/>
        </w:rPr>
        <w:t>.</w:t>
      </w:r>
    </w:p>
    <w:p w:rsidR="00017554" w:rsidRPr="00C81A8D">
      <w:pPr>
        <w:widowControl/>
        <w:bidi w:val="0"/>
        <w:jc w:val="both"/>
        <w:rPr>
          <w:rStyle w:val="PlaceholderText"/>
          <w:color w:val="auto"/>
          <w:sz w:val="22"/>
          <w:szCs w:val="22"/>
        </w:rPr>
      </w:pPr>
    </w:p>
    <w:p w:rsidR="00017554" w:rsidRPr="00C81A8D">
      <w:pPr>
        <w:widowControl/>
        <w:bidi w:val="0"/>
        <w:jc w:val="both"/>
        <w:rPr>
          <w:rStyle w:val="PlaceholderText"/>
          <w:color w:val="auto"/>
          <w:sz w:val="22"/>
          <w:szCs w:val="22"/>
        </w:rPr>
      </w:pPr>
      <w:r w:rsidRPr="00C81A8D">
        <w:rPr>
          <w:rStyle w:val="PlaceholderText"/>
          <w:color w:val="auto"/>
          <w:sz w:val="22"/>
          <w:szCs w:val="22"/>
        </w:rPr>
        <w:t xml:space="preserve">Tretia výnimka sa týka spotrebiteľského úveru, ktorý je úplne zabezpečený finančným </w:t>
      </w:r>
      <w:r w:rsidRPr="00C81A8D" w:rsidR="00A87657">
        <w:rPr>
          <w:rStyle w:val="PlaceholderText"/>
          <w:color w:val="auto"/>
          <w:sz w:val="22"/>
          <w:szCs w:val="22"/>
        </w:rPr>
        <w:t xml:space="preserve">zabezpečením </w:t>
      </w:r>
      <w:r w:rsidRPr="00C81A8D">
        <w:rPr>
          <w:rStyle w:val="PlaceholderText"/>
          <w:color w:val="auto"/>
          <w:sz w:val="22"/>
          <w:szCs w:val="22"/>
        </w:rPr>
        <w:t>počas celej lehoty splatnosti úve</w:t>
      </w:r>
      <w:r w:rsidRPr="00C81A8D" w:rsidR="00A87657">
        <w:rPr>
          <w:rStyle w:val="PlaceholderText"/>
          <w:color w:val="auto"/>
          <w:sz w:val="22"/>
          <w:szCs w:val="22"/>
        </w:rPr>
        <w:t>ru.</w:t>
      </w:r>
    </w:p>
    <w:p w:rsidR="00C56F59" w:rsidRPr="00C81A8D">
      <w:pPr>
        <w:widowControl/>
        <w:bidi w:val="0"/>
        <w:jc w:val="both"/>
        <w:rPr>
          <w:rStyle w:val="PlaceholderText"/>
          <w:color w:val="auto"/>
          <w:sz w:val="22"/>
          <w:szCs w:val="22"/>
        </w:rPr>
      </w:pPr>
      <w:r w:rsidRPr="00C81A8D">
        <w:rPr>
          <w:rStyle w:val="PlaceholderText"/>
          <w:color w:val="auto"/>
          <w:sz w:val="22"/>
          <w:szCs w:val="22"/>
        </w:rPr>
        <w:t> </w:t>
      </w:r>
    </w:p>
    <w:p w:rsidR="00017554" w:rsidRPr="00C81A8D" w:rsidP="00017554">
      <w:pPr>
        <w:widowControl/>
        <w:bidi w:val="0"/>
        <w:jc w:val="both"/>
        <w:rPr>
          <w:rStyle w:val="PlaceholderText"/>
          <w:color w:val="auto"/>
          <w:sz w:val="22"/>
          <w:szCs w:val="22"/>
        </w:rPr>
      </w:pPr>
      <w:r w:rsidRPr="00C81A8D" w:rsidR="005B068A">
        <w:rPr>
          <w:rStyle w:val="PlaceholderText"/>
          <w:color w:val="auto"/>
          <w:sz w:val="22"/>
          <w:szCs w:val="22"/>
        </w:rPr>
        <w:t>(§ 7 ods. 25</w:t>
      </w:r>
      <w:r w:rsidRPr="00C81A8D">
        <w:rPr>
          <w:rStyle w:val="PlaceholderText"/>
          <w:color w:val="auto"/>
          <w:sz w:val="22"/>
          <w:szCs w:val="22"/>
        </w:rPr>
        <w:t>)</w:t>
      </w:r>
    </w:p>
    <w:p w:rsidR="00017554" w:rsidRPr="00C81A8D">
      <w:pPr>
        <w:widowControl/>
        <w:bidi w:val="0"/>
        <w:jc w:val="both"/>
        <w:rPr>
          <w:rStyle w:val="PlaceholderText"/>
          <w:color w:val="auto"/>
          <w:sz w:val="22"/>
          <w:szCs w:val="22"/>
        </w:rPr>
      </w:pPr>
      <w:r w:rsidRPr="00C81A8D">
        <w:rPr>
          <w:rStyle w:val="PlaceholderText"/>
          <w:color w:val="auto"/>
          <w:sz w:val="22"/>
          <w:szCs w:val="22"/>
        </w:rPr>
        <w:t xml:space="preserve">Navrhovaným ustanovením sa špecifikuje obozretný spôsob určenia hodnoty finančného </w:t>
      </w:r>
      <w:r w:rsidRPr="00C81A8D" w:rsidR="00A87657">
        <w:rPr>
          <w:rStyle w:val="PlaceholderText"/>
          <w:color w:val="auto"/>
          <w:sz w:val="22"/>
          <w:szCs w:val="22"/>
        </w:rPr>
        <w:t xml:space="preserve">zabezpečenia </w:t>
      </w:r>
      <w:r w:rsidRPr="00C81A8D" w:rsidR="00C91A67">
        <w:rPr>
          <w:rStyle w:val="PlaceholderText"/>
          <w:color w:val="auto"/>
          <w:sz w:val="22"/>
          <w:szCs w:val="22"/>
        </w:rPr>
        <w:t xml:space="preserve">na </w:t>
      </w:r>
      <w:r w:rsidRPr="00C81A8D">
        <w:rPr>
          <w:rStyle w:val="PlaceholderText"/>
          <w:color w:val="auto"/>
          <w:sz w:val="22"/>
          <w:szCs w:val="22"/>
        </w:rPr>
        <w:t>účely uplatnen</w:t>
      </w:r>
      <w:r w:rsidRPr="00C81A8D" w:rsidR="005B068A">
        <w:rPr>
          <w:rStyle w:val="PlaceholderText"/>
          <w:color w:val="auto"/>
          <w:sz w:val="22"/>
          <w:szCs w:val="22"/>
        </w:rPr>
        <w:t>ia ustanovenia podľa § 7 ods. 24</w:t>
      </w:r>
      <w:r w:rsidRPr="00C81A8D">
        <w:rPr>
          <w:rStyle w:val="PlaceholderText"/>
          <w:color w:val="auto"/>
          <w:sz w:val="22"/>
          <w:szCs w:val="22"/>
        </w:rPr>
        <w:t xml:space="preserve"> písm. c), ako aj</w:t>
      </w:r>
      <w:r w:rsidRPr="00C81A8D" w:rsidR="00A87657">
        <w:rPr>
          <w:rStyle w:val="PlaceholderText"/>
          <w:color w:val="auto"/>
          <w:sz w:val="22"/>
          <w:szCs w:val="22"/>
        </w:rPr>
        <w:t xml:space="preserve"> ustanovenia podľa § 7 ods. </w:t>
      </w:r>
      <w:r w:rsidRPr="00C81A8D" w:rsidR="005B068A">
        <w:rPr>
          <w:rStyle w:val="PlaceholderText"/>
          <w:color w:val="auto"/>
          <w:sz w:val="22"/>
          <w:szCs w:val="22"/>
        </w:rPr>
        <w:t>38</w:t>
      </w:r>
      <w:r w:rsidRPr="00C81A8D" w:rsidR="00A87657">
        <w:rPr>
          <w:rStyle w:val="PlaceholderText"/>
          <w:color w:val="auto"/>
          <w:sz w:val="22"/>
          <w:szCs w:val="22"/>
        </w:rPr>
        <w:t>.</w:t>
      </w:r>
    </w:p>
    <w:p w:rsidR="00017554"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7 ods. 2</w:t>
      </w:r>
      <w:r w:rsidRPr="00C81A8D" w:rsidR="005B068A">
        <w:rPr>
          <w:rStyle w:val="PlaceholderText"/>
          <w:color w:val="auto"/>
          <w:sz w:val="22"/>
          <w:szCs w:val="22"/>
        </w:rPr>
        <w:t>6</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Navrhovaným ustanovením § 7 ods. 2</w:t>
      </w:r>
      <w:r w:rsidRPr="00C81A8D" w:rsidR="005B068A">
        <w:rPr>
          <w:rStyle w:val="PlaceholderText"/>
          <w:color w:val="auto"/>
          <w:sz w:val="22"/>
          <w:szCs w:val="22"/>
        </w:rPr>
        <w:t>6</w:t>
      </w:r>
      <w:r w:rsidRPr="00C81A8D">
        <w:rPr>
          <w:rStyle w:val="PlaceholderText"/>
          <w:color w:val="auto"/>
          <w:sz w:val="22"/>
          <w:szCs w:val="22"/>
        </w:rPr>
        <w:t xml:space="preserve"> sa ukladá povinnosť veriteľovi podľa § 20 ods. 1 písm. a) a veriteľovi, ktorý je bankou, zahraničnou bankou</w:t>
      </w:r>
      <w:r w:rsidRPr="00C81A8D" w:rsidR="00882EDB">
        <w:rPr>
          <w:rStyle w:val="PlaceholderText"/>
          <w:color w:val="auto"/>
          <w:sz w:val="22"/>
          <w:szCs w:val="22"/>
        </w:rPr>
        <w:t xml:space="preserve"> a </w:t>
      </w:r>
      <w:r w:rsidRPr="00C81A8D">
        <w:rPr>
          <w:rStyle w:val="PlaceholderText"/>
          <w:color w:val="auto"/>
          <w:sz w:val="22"/>
          <w:szCs w:val="22"/>
        </w:rPr>
        <w:t xml:space="preserve">pobočkou zahraničnej banky pri posudzovaní schopnosti spotrebiteľa splácať spotrebiteľský úver nezohľadňovať: a) zabezpečenie pohľadávky zo zmluvy o spotrebiteľskom úvere, b) </w:t>
      </w:r>
      <w:r w:rsidRPr="00216A0C" w:rsidR="00216A0C">
        <w:rPr>
          <w:rStyle w:val="PlaceholderText"/>
          <w:color w:val="auto"/>
          <w:sz w:val="22"/>
          <w:szCs w:val="22"/>
        </w:rPr>
        <w:t>budúci nárast príjmov spotrebiteľa; to neplatí, ak budúci  nárast príjmov spotrebiteľa je hodnoverne preukázaný</w:t>
      </w:r>
      <w:r w:rsidR="00216A0C">
        <w:rPr>
          <w:rStyle w:val="PlaceholderText"/>
          <w:color w:val="auto"/>
          <w:sz w:val="22"/>
          <w:szCs w:val="22"/>
        </w:rPr>
        <w:t xml:space="preserve"> </w:t>
      </w:r>
      <w:r w:rsidRPr="00C81A8D">
        <w:rPr>
          <w:rStyle w:val="PlaceholderText"/>
          <w:color w:val="auto"/>
          <w:sz w:val="22"/>
          <w:szCs w:val="22"/>
        </w:rPr>
        <w:t>a c) poistenie spotrebiteľského úveru.</w:t>
      </w:r>
    </w:p>
    <w:p w:rsidR="00C56F59" w:rsidRPr="00C81A8D">
      <w:pPr>
        <w:widowControl/>
        <w:bidi w:val="0"/>
        <w:jc w:val="both"/>
        <w:rPr>
          <w:rStyle w:val="PlaceholderText"/>
          <w:color w:val="auto"/>
          <w:sz w:val="22"/>
          <w:szCs w:val="22"/>
        </w:rPr>
      </w:pPr>
      <w:r w:rsidRPr="00C81A8D">
        <w:rPr>
          <w:rStyle w:val="PlaceholderText"/>
          <w:color w:val="auto"/>
          <w:sz w:val="22"/>
          <w:szCs w:val="22"/>
        </w:rPr>
        <w:t>Dôvodom vylúčenia posudzovania zabezpečenia pohľadávky zo spotrebiteľského úveru je najmä to, že v aplikačnej praxi dochádzalo k prípadom, keď veritelia pri posudzovaní schopnosti spotrebiteľa splácať spotrebiteľský úver zohľadňovali toto zabezpečenie (napríklad automobil, nehnuteľnosť a podobne) ako jediné kritérium, čím sa spotrebiteľ mnohokrát dostal do nepriaznivej finančnej situácie, ktorá mala za následok to, že sa uspokojenie pohľadávky zo spotrebiteľského úveru realizovalo z tohto zabezpečenia (čím  spotrebiteľ prišiel o toto zabezpečenie).</w:t>
      </w:r>
    </w:p>
    <w:p w:rsidR="00C56F59" w:rsidRPr="00D7077F" w:rsidP="00D7077F">
      <w:pPr>
        <w:bidi w:val="0"/>
        <w:jc w:val="both"/>
        <w:rPr>
          <w:rStyle w:val="PlaceholderText"/>
          <w:color w:val="auto"/>
        </w:rPr>
      </w:pPr>
      <w:r w:rsidRPr="00C81A8D">
        <w:rPr>
          <w:rStyle w:val="PlaceholderText"/>
          <w:color w:val="auto"/>
          <w:sz w:val="22"/>
          <w:szCs w:val="22"/>
        </w:rPr>
        <w:t xml:space="preserve">Dôvodom vylúčenia posudzovania </w:t>
      </w:r>
      <w:r w:rsidRPr="00C81A8D" w:rsidR="001319C2">
        <w:rPr>
          <w:rStyle w:val="PlaceholderText"/>
          <w:color w:val="auto"/>
          <w:sz w:val="22"/>
          <w:szCs w:val="22"/>
        </w:rPr>
        <w:t xml:space="preserve">budúceho </w:t>
      </w:r>
      <w:r w:rsidRPr="00C81A8D">
        <w:rPr>
          <w:rStyle w:val="PlaceholderText"/>
          <w:color w:val="auto"/>
          <w:sz w:val="22"/>
          <w:szCs w:val="22"/>
        </w:rPr>
        <w:t xml:space="preserve">nárastu príjmu spotrebiteľa </w:t>
      </w:r>
      <w:r w:rsidR="00D7077F">
        <w:rPr>
          <w:rFonts w:ascii="Times New Roman" w:hAnsi="Times New Roman"/>
        </w:rPr>
        <w:t xml:space="preserve">s výnimkou hodnoverne preukázaného </w:t>
      </w:r>
      <w:r w:rsidRPr="00216B0F" w:rsidR="00D7077F">
        <w:rPr>
          <w:rFonts w:ascii="Times New Roman" w:hAnsi="Times New Roman"/>
        </w:rPr>
        <w:t>nárast</w:t>
      </w:r>
      <w:r w:rsidR="00D7077F">
        <w:rPr>
          <w:rFonts w:ascii="Times New Roman" w:hAnsi="Times New Roman"/>
        </w:rPr>
        <w:t>u</w:t>
      </w:r>
      <w:r w:rsidRPr="00216B0F" w:rsidR="00D7077F">
        <w:rPr>
          <w:rFonts w:ascii="Times New Roman" w:hAnsi="Times New Roman"/>
        </w:rPr>
        <w:t xml:space="preserve"> príjmov spotrebiteľa</w:t>
      </w:r>
      <w:r w:rsidR="00D7077F">
        <w:rPr>
          <w:rFonts w:ascii="Times New Roman" w:hAnsi="Times New Roman"/>
        </w:rPr>
        <w:t xml:space="preserve"> </w:t>
      </w:r>
      <w:r w:rsidRPr="00C81A8D">
        <w:rPr>
          <w:rStyle w:val="PlaceholderText"/>
          <w:color w:val="auto"/>
          <w:sz w:val="22"/>
          <w:szCs w:val="22"/>
        </w:rPr>
        <w:t>je najmä to, aby bol príjem spotrebiteľa dôkladne posudzovaný a aby sa jeho posudzovanie nezakladalo na predpokladoch, očakávaniach či prísľuboch</w:t>
      </w:r>
      <w:r w:rsidR="00A41C8D">
        <w:rPr>
          <w:rStyle w:val="PlaceholderText"/>
          <w:color w:val="auto"/>
          <w:sz w:val="22"/>
          <w:szCs w:val="22"/>
        </w:rPr>
        <w:t>,</w:t>
      </w:r>
      <w:r w:rsidRPr="00C81A8D">
        <w:rPr>
          <w:rStyle w:val="PlaceholderText"/>
          <w:color w:val="auto"/>
          <w:sz w:val="22"/>
          <w:szCs w:val="22"/>
        </w:rPr>
        <w:t xml:space="preserve"> ale na preukázateľných a overiteľných podkladoch.</w:t>
      </w:r>
    </w:p>
    <w:p w:rsidR="00C56F59" w:rsidRPr="00C81A8D">
      <w:pPr>
        <w:widowControl/>
        <w:bidi w:val="0"/>
        <w:jc w:val="both"/>
        <w:rPr>
          <w:rStyle w:val="PlaceholderText"/>
          <w:color w:val="auto"/>
          <w:sz w:val="22"/>
          <w:szCs w:val="22"/>
        </w:rPr>
      </w:pPr>
      <w:r w:rsidRPr="00C81A8D">
        <w:rPr>
          <w:rStyle w:val="PlaceholderText"/>
          <w:color w:val="auto"/>
          <w:sz w:val="22"/>
          <w:szCs w:val="22"/>
        </w:rPr>
        <w:t>Poistením splatenia spotrebiteľského úveru alebo jeho časti podľa písm. c) sa rozumie poistenie týkajúce sa spotrebiteľa aj veriteľa. Dôvodom vylúčenia posudzovania poistenia splatenia spotrebiteľského úveru alebo jeho časti je najmä to, aby si veriteľ prostredníctvom poistenia splatenia spotrebiteľského úveru neznižoval (nekompenzoval) riziko nesplatenia spotrebiteľského úveru z takéhoto poistenia.</w:t>
      </w:r>
    </w:p>
    <w:p w:rsidR="00C56F59" w:rsidRPr="00C81A8D">
      <w:pPr>
        <w:widowControl/>
        <w:bidi w:val="0"/>
        <w:jc w:val="both"/>
        <w:rPr>
          <w:rStyle w:val="PlaceholderText"/>
          <w:color w:val="auto"/>
          <w:sz w:val="22"/>
          <w:szCs w:val="22"/>
        </w:rPr>
      </w:pPr>
      <w:r w:rsidRPr="00C81A8D">
        <w:rPr>
          <w:rStyle w:val="PlaceholderText"/>
          <w:color w:val="auto"/>
          <w:sz w:val="22"/>
          <w:szCs w:val="22"/>
        </w:rPr>
        <w:t>A na druhej strane, aby sa predchádzalo takým prípadom, že  keď bude spotrebiteľ poistený, veriteľ mu poskytne, úver za (zdanlivo) priaznivejších podmienok, ktoré ho môžu v konečnom dôsledku dostať do nepriaznivej finančnej situácie.</w:t>
      </w:r>
    </w:p>
    <w:p w:rsidR="00D57E22"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7 ods. 2</w:t>
      </w:r>
      <w:r w:rsidRPr="00C81A8D" w:rsidR="00A5394F">
        <w:rPr>
          <w:rStyle w:val="PlaceholderText"/>
          <w:color w:val="auto"/>
          <w:sz w:val="22"/>
          <w:szCs w:val="22"/>
        </w:rPr>
        <w:t>7</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Navrhovaným ustanovením § 7 ods. 2</w:t>
      </w:r>
      <w:r w:rsidRPr="00C81A8D" w:rsidR="00A5394F">
        <w:rPr>
          <w:rStyle w:val="PlaceholderText"/>
          <w:color w:val="auto"/>
          <w:sz w:val="22"/>
          <w:szCs w:val="22"/>
        </w:rPr>
        <w:t>7</w:t>
      </w:r>
      <w:r w:rsidRPr="00C81A8D">
        <w:rPr>
          <w:rStyle w:val="PlaceholderText"/>
          <w:color w:val="auto"/>
          <w:sz w:val="22"/>
          <w:szCs w:val="22"/>
        </w:rPr>
        <w:t xml:space="preserve"> sa ukladá povinnosť posudzovať položky vstupujúce do výpočtu pre ukazovateľ schopnosti spotrebiteľa splácať spotrebiteľský úver na základe jednoznačných, overiteľných, aktuálnych a pravdivých informáci</w:t>
      </w:r>
      <w:r w:rsidR="00A41C8D">
        <w:rPr>
          <w:rStyle w:val="PlaceholderText"/>
          <w:color w:val="auto"/>
          <w:sz w:val="22"/>
          <w:szCs w:val="22"/>
        </w:rPr>
        <w:t>í</w:t>
      </w:r>
      <w:r w:rsidRPr="00C81A8D">
        <w:rPr>
          <w:rStyle w:val="PlaceholderText"/>
          <w:color w:val="auto"/>
          <w:sz w:val="22"/>
          <w:szCs w:val="22"/>
        </w:rPr>
        <w:t>. Tieto informácie majú byť ľahko a jednoznačne overiteľné nielen na základe predložených podkladov od spotrebiteľa</w:t>
      </w:r>
      <w:r w:rsidR="00A41C8D">
        <w:rPr>
          <w:rStyle w:val="PlaceholderText"/>
          <w:color w:val="auto"/>
          <w:sz w:val="22"/>
          <w:szCs w:val="22"/>
        </w:rPr>
        <w:t>,</w:t>
      </w:r>
      <w:r w:rsidRPr="00C81A8D">
        <w:rPr>
          <w:rStyle w:val="PlaceholderText"/>
          <w:color w:val="auto"/>
          <w:sz w:val="22"/>
          <w:szCs w:val="22"/>
        </w:rPr>
        <w:t xml:space="preserve"> ale aj ďalších zdrojov, ktoré sú nezávislé od spotrebiteľa (napríklad overovaním predložených dokladov u osôb, ktoré ich vystavili, používaním údajov</w:t>
      </w:r>
      <w:r w:rsidRPr="00C81A8D" w:rsidR="00112B67">
        <w:rPr>
          <w:rStyle w:val="PlaceholderText"/>
          <w:color w:val="auto"/>
          <w:sz w:val="22"/>
          <w:szCs w:val="22"/>
        </w:rPr>
        <w:t xml:space="preserve"> týkajúcich sa posudzovania schopnosti spotrebiteľa splácať spotrebiteľský úver</w:t>
      </w:r>
      <w:r w:rsidRPr="00C81A8D">
        <w:rPr>
          <w:rStyle w:val="PlaceholderText"/>
          <w:color w:val="auto"/>
          <w:sz w:val="22"/>
          <w:szCs w:val="22"/>
        </w:rPr>
        <w:t xml:space="preserve"> a podobne).</w:t>
      </w:r>
      <w:r w:rsidRPr="00C81A8D" w:rsidR="00D57E22">
        <w:rPr>
          <w:rStyle w:val="PlaceholderText"/>
          <w:color w:val="auto"/>
          <w:sz w:val="22"/>
          <w:szCs w:val="22"/>
        </w:rPr>
        <w:t xml:space="preserve"> Informácie z externých zdrojov slúžiacich na overovanie príjmu sú veriteľovi poskytnuté prostredníctvom:</w:t>
      </w:r>
    </w:p>
    <w:p w:rsidR="00D57E22" w:rsidRPr="00C81A8D">
      <w:pPr>
        <w:widowControl/>
        <w:bidi w:val="0"/>
        <w:jc w:val="both"/>
        <w:rPr>
          <w:rStyle w:val="PlaceholderText"/>
          <w:color w:val="auto"/>
          <w:sz w:val="22"/>
          <w:szCs w:val="22"/>
        </w:rPr>
      </w:pPr>
      <w:r w:rsidRPr="00C81A8D">
        <w:rPr>
          <w:rStyle w:val="PlaceholderText"/>
          <w:color w:val="auto"/>
          <w:sz w:val="22"/>
          <w:szCs w:val="22"/>
        </w:rPr>
        <w:t>a) spotrebiteľa,</w:t>
      </w:r>
    </w:p>
    <w:p w:rsidR="00D57E22" w:rsidRPr="00C81A8D">
      <w:pPr>
        <w:widowControl/>
        <w:bidi w:val="0"/>
        <w:jc w:val="both"/>
        <w:rPr>
          <w:rStyle w:val="PlaceholderText"/>
          <w:color w:val="auto"/>
          <w:sz w:val="22"/>
          <w:szCs w:val="22"/>
        </w:rPr>
      </w:pPr>
      <w:r w:rsidRPr="00C81A8D">
        <w:rPr>
          <w:rStyle w:val="PlaceholderText"/>
          <w:color w:val="auto"/>
          <w:sz w:val="22"/>
          <w:szCs w:val="22"/>
        </w:rPr>
        <w:t>b) zamestnávateľa,</w:t>
      </w:r>
    </w:p>
    <w:p w:rsidR="00D57E22" w:rsidRPr="00C81A8D">
      <w:pPr>
        <w:widowControl/>
        <w:bidi w:val="0"/>
        <w:jc w:val="both"/>
        <w:rPr>
          <w:rStyle w:val="PlaceholderText"/>
          <w:color w:val="auto"/>
          <w:sz w:val="22"/>
          <w:szCs w:val="22"/>
        </w:rPr>
      </w:pPr>
      <w:r w:rsidRPr="00C81A8D">
        <w:rPr>
          <w:rStyle w:val="PlaceholderText"/>
          <w:color w:val="auto"/>
          <w:sz w:val="22"/>
          <w:szCs w:val="22"/>
        </w:rPr>
        <w:t>c) iného subjektu zriadeného príslušným zákonom.</w:t>
      </w:r>
    </w:p>
    <w:p w:rsidR="00E85E23" w:rsidRPr="00C81A8D" w:rsidP="00C81A8D">
      <w:pPr>
        <w:widowControl/>
        <w:bidi w:val="0"/>
        <w:jc w:val="both"/>
        <w:rPr>
          <w:rStyle w:val="PlaceholderText"/>
          <w:color w:val="auto"/>
        </w:rPr>
      </w:pPr>
      <w:r w:rsidRPr="00C81A8D">
        <w:rPr>
          <w:rStyle w:val="PlaceholderText"/>
          <w:color w:val="auto"/>
        </w:rPr>
        <w:t>S</w:t>
      </w:r>
      <w:r w:rsidRPr="00B35E3A">
        <w:rPr>
          <w:rStyle w:val="PlaceholderText"/>
          <w:color w:val="auto"/>
        </w:rPr>
        <w:t> </w:t>
      </w:r>
      <w:r w:rsidRPr="00C81A8D">
        <w:rPr>
          <w:rStyle w:val="PlaceholderText"/>
          <w:color w:val="auto"/>
        </w:rPr>
        <w:t>ohľadom na znižovanie administratívnej záťaže spotrebiteľa pri preukazovaní rôznych druhov nákladov je vhodné stanoviť jednoznačný mechanizmus na určovanie výšky nákladov s</w:t>
      </w:r>
      <w:r w:rsidRPr="00B35E3A">
        <w:rPr>
          <w:rStyle w:val="PlaceholderText"/>
          <w:color w:val="auto"/>
        </w:rPr>
        <w:t> </w:t>
      </w:r>
      <w:r w:rsidRPr="00C81A8D">
        <w:rPr>
          <w:rStyle w:val="PlaceholderText"/>
          <w:color w:val="auto"/>
        </w:rPr>
        <w:t>použitím vzorca. Životné minimum a</w:t>
      </w:r>
      <w:r w:rsidRPr="00B35E3A">
        <w:rPr>
          <w:rStyle w:val="PlaceholderText"/>
          <w:color w:val="auto"/>
        </w:rPr>
        <w:t> </w:t>
      </w:r>
      <w:r w:rsidRPr="00C81A8D">
        <w:rPr>
          <w:rStyle w:val="PlaceholderText"/>
          <w:color w:val="auto"/>
        </w:rPr>
        <w:t>príjem sú vstupujúce veličiny na účely výpočtu nákladov na zabezpečenie základných životných potrieb spotrebiteľa a</w:t>
      </w:r>
      <w:r w:rsidRPr="00B35E3A">
        <w:rPr>
          <w:rStyle w:val="PlaceholderText"/>
          <w:color w:val="auto"/>
        </w:rPr>
        <w:t> </w:t>
      </w:r>
      <w:r w:rsidRPr="00C81A8D">
        <w:rPr>
          <w:rStyle w:val="PlaceholderText"/>
          <w:color w:val="auto"/>
        </w:rPr>
        <w:t>osôb, voči ktorým má spotrebiteľ vyživovaciu povinnosť. Minimálne štandardy na výpočet vzorca určí Národná banka Slovenska opatrením podľa § 7 ods. 41 zákona.</w:t>
      </w:r>
    </w:p>
    <w:p w:rsidR="00E85E23" w:rsidRPr="00B35E3A">
      <w:pPr>
        <w:widowControl/>
        <w:bidi w:val="0"/>
        <w:jc w:val="both"/>
        <w:rPr>
          <w:rStyle w:val="PlaceholderText"/>
          <w:color w:val="auto"/>
          <w:sz w:val="22"/>
          <w:szCs w:val="22"/>
        </w:rPr>
      </w:pPr>
    </w:p>
    <w:p w:rsidR="00A5394F" w:rsidRPr="00D94F50">
      <w:pPr>
        <w:widowControl/>
        <w:bidi w:val="0"/>
        <w:jc w:val="both"/>
        <w:rPr>
          <w:rStyle w:val="PlaceholderText"/>
          <w:color w:val="auto"/>
          <w:sz w:val="22"/>
          <w:szCs w:val="22"/>
        </w:rPr>
      </w:pPr>
    </w:p>
    <w:p w:rsidR="00C56F59" w:rsidRPr="0091580F">
      <w:pPr>
        <w:widowControl/>
        <w:bidi w:val="0"/>
        <w:jc w:val="both"/>
        <w:rPr>
          <w:rStyle w:val="PlaceholderText"/>
          <w:color w:val="auto"/>
          <w:sz w:val="22"/>
          <w:szCs w:val="22"/>
        </w:rPr>
      </w:pPr>
      <w:r w:rsidRPr="00516A4F">
        <w:rPr>
          <w:rStyle w:val="PlaceholderText"/>
          <w:color w:val="auto"/>
          <w:sz w:val="22"/>
          <w:szCs w:val="22"/>
        </w:rPr>
        <w:t>(§ 7 ods. 2</w:t>
      </w:r>
      <w:r w:rsidRPr="00516A4F" w:rsidR="00A5394F">
        <w:rPr>
          <w:rStyle w:val="PlaceholderText"/>
          <w:color w:val="auto"/>
          <w:sz w:val="22"/>
          <w:szCs w:val="22"/>
        </w:rPr>
        <w:t>8</w:t>
      </w:r>
      <w:r w:rsidRPr="0091580F">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Navrhovaným ustanovením § 7 ods. 2</w:t>
      </w:r>
      <w:r w:rsidRPr="00C81A8D" w:rsidR="00A5394F">
        <w:rPr>
          <w:rStyle w:val="PlaceholderText"/>
          <w:color w:val="auto"/>
          <w:sz w:val="22"/>
          <w:szCs w:val="22"/>
        </w:rPr>
        <w:t>8</w:t>
      </w:r>
      <w:r w:rsidRPr="00C81A8D">
        <w:rPr>
          <w:rStyle w:val="PlaceholderText"/>
          <w:color w:val="auto"/>
          <w:sz w:val="22"/>
          <w:szCs w:val="22"/>
        </w:rPr>
        <w:t xml:space="preserve"> sa ukladá povinnosť posudzovať príjem z pohľadu jeho zmeny predovšetkým, pokiaľ ide o jeho zníženie. V prípade, že je zrejmé, že sa spotrebiteľ stane poberateľom starobného dôchodku alebo iného dôchodku (prípadne je spotrebiteľ vo výpovednej lehote alebo je poberateľom príjmov za vykonávanie sezónnych prác) v dôsledku čoho dôjde k zníženiu jeho príjmu, je potrebné túto skutočnosť zohľadniť pri posudzovaní schopnosti  spotrebiteľa splácať spotrebiteľský úver.</w:t>
      </w:r>
      <w:r w:rsidRPr="00C81A8D" w:rsidR="00031885">
        <w:rPr>
          <w:rStyle w:val="PlaceholderText"/>
          <w:color w:val="auto"/>
          <w:sz w:val="22"/>
          <w:szCs w:val="22"/>
        </w:rPr>
        <w:t xml:space="preserve"> Uvedené posúdenie má vychádzať zo štatistík o veku a príjme. </w:t>
      </w:r>
    </w:p>
    <w:p w:rsidR="00C56F59" w:rsidRPr="00C81A8D">
      <w:pPr>
        <w:widowControl/>
        <w:bidi w:val="0"/>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B945D5">
        <w:rPr>
          <w:rStyle w:val="PlaceholderText"/>
          <w:color w:val="auto"/>
          <w:sz w:val="22"/>
          <w:szCs w:val="22"/>
        </w:rPr>
        <w:t>2</w:t>
      </w:r>
      <w:r w:rsidRPr="00C81A8D" w:rsidR="00A5394F">
        <w:rPr>
          <w:rStyle w:val="PlaceholderText"/>
          <w:color w:val="auto"/>
          <w:sz w:val="22"/>
          <w:szCs w:val="22"/>
        </w:rPr>
        <w:t>9</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Navrhovaným ustanovením</w:t>
      </w:r>
      <w:r w:rsidRPr="00C81A8D" w:rsidR="00C91A67">
        <w:rPr>
          <w:rStyle w:val="PlaceholderText"/>
          <w:color w:val="auto"/>
          <w:sz w:val="22"/>
          <w:szCs w:val="22"/>
        </w:rPr>
        <w:t xml:space="preserve"> </w:t>
      </w:r>
      <w:r w:rsidRPr="00C81A8D">
        <w:rPr>
          <w:rStyle w:val="PlaceholderText"/>
          <w:color w:val="auto"/>
          <w:sz w:val="22"/>
          <w:szCs w:val="22"/>
        </w:rPr>
        <w:t xml:space="preserve">§ 7 ods. </w:t>
      </w:r>
      <w:r w:rsidRPr="00C81A8D" w:rsidR="00A5394F">
        <w:rPr>
          <w:rStyle w:val="PlaceholderText"/>
          <w:color w:val="auto"/>
          <w:sz w:val="22"/>
          <w:szCs w:val="22"/>
        </w:rPr>
        <w:t>29</w:t>
      </w:r>
      <w:r w:rsidRPr="00C81A8D" w:rsidR="00B945D5">
        <w:rPr>
          <w:rStyle w:val="PlaceholderText"/>
          <w:color w:val="auto"/>
          <w:sz w:val="22"/>
          <w:szCs w:val="22"/>
        </w:rPr>
        <w:t xml:space="preserve"> </w:t>
      </w:r>
      <w:r w:rsidRPr="00C81A8D">
        <w:rPr>
          <w:rStyle w:val="PlaceholderText"/>
          <w:color w:val="auto"/>
          <w:sz w:val="22"/>
          <w:szCs w:val="22"/>
        </w:rPr>
        <w:t>sa ukladá povinnosť určovať, dodržiavať a na pravidelnej báze prehodnocovať limit lehoty splatnosti spotrebiteľského úveru.</w:t>
      </w:r>
      <w:r w:rsidRPr="00C81A8D" w:rsidR="000F6EA9">
        <w:rPr>
          <w:rStyle w:val="PlaceholderText"/>
          <w:color w:val="auto"/>
          <w:sz w:val="22"/>
          <w:szCs w:val="22"/>
        </w:rPr>
        <w:t xml:space="preserve"> Zámerom predmetného ustanovenia</w:t>
      </w:r>
      <w:r w:rsidRPr="00C81A8D" w:rsidR="00A41072">
        <w:rPr>
          <w:rStyle w:val="PlaceholderText"/>
          <w:color w:val="auto"/>
          <w:sz w:val="22"/>
          <w:szCs w:val="22"/>
        </w:rPr>
        <w:t xml:space="preserve"> je, aby lehota splatnosti úveru nebola neprimerane dlhá s ohľadom na výšku úveru, jeho účel a možný pokles schopnosti spotrebiteľa splácať úver.</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A5394F">
        <w:rPr>
          <w:rStyle w:val="PlaceholderText"/>
          <w:color w:val="auto"/>
          <w:sz w:val="22"/>
          <w:szCs w:val="22"/>
        </w:rPr>
        <w:t>30</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Navrhovaným ustanovením § 7 ods. </w:t>
      </w:r>
      <w:r w:rsidRPr="00C81A8D" w:rsidR="00A5394F">
        <w:rPr>
          <w:rStyle w:val="PlaceholderText"/>
          <w:color w:val="auto"/>
          <w:sz w:val="22"/>
          <w:szCs w:val="22"/>
        </w:rPr>
        <w:t>30</w:t>
      </w:r>
      <w:r w:rsidRPr="00C81A8D" w:rsidR="007B5702">
        <w:rPr>
          <w:rStyle w:val="PlaceholderText"/>
          <w:color w:val="auto"/>
          <w:sz w:val="22"/>
          <w:szCs w:val="22"/>
        </w:rPr>
        <w:t xml:space="preserve"> </w:t>
      </w:r>
      <w:r w:rsidRPr="00C81A8D">
        <w:rPr>
          <w:rStyle w:val="PlaceholderText"/>
          <w:color w:val="auto"/>
          <w:sz w:val="22"/>
          <w:szCs w:val="22"/>
        </w:rPr>
        <w:t>sa určuje podmienka, ktorú sú veriteľ podľa § 20 ods. 1 písm. a), banka, zahraničná banka</w:t>
      </w:r>
      <w:r w:rsidRPr="00C81A8D" w:rsidR="00A87657">
        <w:rPr>
          <w:rStyle w:val="PlaceholderText"/>
          <w:color w:val="auto"/>
          <w:sz w:val="22"/>
          <w:szCs w:val="22"/>
        </w:rPr>
        <w:t xml:space="preserve"> </w:t>
      </w:r>
      <w:r w:rsidRPr="00C81A8D" w:rsidR="00DE5E60">
        <w:rPr>
          <w:rStyle w:val="PlaceholderText"/>
          <w:color w:val="auto"/>
          <w:sz w:val="22"/>
          <w:szCs w:val="22"/>
        </w:rPr>
        <w:t xml:space="preserve">a </w:t>
      </w:r>
      <w:r w:rsidRPr="00C81A8D">
        <w:rPr>
          <w:rStyle w:val="PlaceholderText"/>
          <w:color w:val="auto"/>
          <w:sz w:val="22"/>
          <w:szCs w:val="22"/>
        </w:rPr>
        <w:t xml:space="preserve">pobočka zahraničnej banky povinní uplatniť pri poskytovaní spotrebiteľského úveru. Od tejto podmienky je možné upustiť za predpokladu, že nastane prípad uvedený v § 7 ods. </w:t>
      </w:r>
      <w:r w:rsidRPr="00C81A8D" w:rsidR="00A5394F">
        <w:rPr>
          <w:rStyle w:val="PlaceholderText"/>
          <w:color w:val="auto"/>
          <w:sz w:val="22"/>
          <w:szCs w:val="22"/>
        </w:rPr>
        <w:t>31</w:t>
      </w:r>
      <w:r w:rsidRPr="00C81A8D">
        <w:rPr>
          <w:rStyle w:val="PlaceholderText"/>
          <w:color w:val="auto"/>
          <w:sz w:val="22"/>
          <w:szCs w:val="22"/>
        </w:rPr>
        <w:t>.</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2F569E">
        <w:rPr>
          <w:rStyle w:val="PlaceholderText"/>
          <w:color w:val="auto"/>
          <w:sz w:val="22"/>
          <w:szCs w:val="22"/>
        </w:rPr>
        <w:t>31</w:t>
      </w:r>
      <w:r w:rsidRPr="00C81A8D">
        <w:rPr>
          <w:rStyle w:val="PlaceholderText"/>
          <w:color w:val="auto"/>
          <w:sz w:val="22"/>
          <w:szCs w:val="22"/>
        </w:rPr>
        <w:t>)</w:t>
      </w:r>
    </w:p>
    <w:p w:rsidR="00C56F59" w:rsidRPr="00DC52DA">
      <w:pPr>
        <w:widowControl/>
        <w:bidi w:val="0"/>
        <w:jc w:val="both"/>
        <w:rPr>
          <w:rStyle w:val="PlaceholderText"/>
          <w:color w:val="auto"/>
          <w:sz w:val="22"/>
          <w:szCs w:val="22"/>
        </w:rPr>
      </w:pPr>
      <w:r w:rsidRPr="00C81A8D">
        <w:rPr>
          <w:rStyle w:val="PlaceholderText"/>
          <w:color w:val="auto"/>
          <w:sz w:val="22"/>
          <w:szCs w:val="22"/>
        </w:rPr>
        <w:t xml:space="preserve">Navrhovaným ustanovením § 7 ods. </w:t>
      </w:r>
      <w:r w:rsidRPr="00C81A8D" w:rsidR="002F569E">
        <w:rPr>
          <w:rStyle w:val="PlaceholderText"/>
          <w:color w:val="auto"/>
          <w:sz w:val="22"/>
          <w:szCs w:val="22"/>
        </w:rPr>
        <w:t>31</w:t>
      </w:r>
      <w:r w:rsidRPr="00C81A8D" w:rsidR="00DE5E60">
        <w:rPr>
          <w:rStyle w:val="PlaceholderText"/>
          <w:color w:val="auto"/>
          <w:sz w:val="22"/>
          <w:szCs w:val="22"/>
        </w:rPr>
        <w:t xml:space="preserve"> </w:t>
      </w:r>
      <w:r w:rsidRPr="00C81A8D">
        <w:rPr>
          <w:rStyle w:val="PlaceholderText"/>
          <w:color w:val="auto"/>
          <w:sz w:val="22"/>
          <w:szCs w:val="22"/>
        </w:rPr>
        <w:t>sa určuje výnimka z uplatnenia ustanoven</w:t>
      </w:r>
      <w:r w:rsidR="00DC52DA">
        <w:rPr>
          <w:rStyle w:val="PlaceholderText"/>
          <w:color w:val="auto"/>
          <w:sz w:val="22"/>
          <w:szCs w:val="22"/>
        </w:rPr>
        <w:t>í</w:t>
      </w:r>
      <w:r w:rsidRPr="00DC52DA">
        <w:rPr>
          <w:rStyle w:val="PlaceholderText"/>
          <w:color w:val="auto"/>
          <w:sz w:val="22"/>
          <w:szCs w:val="22"/>
        </w:rPr>
        <w:t xml:space="preserve"> § 7 ods. </w:t>
      </w:r>
      <w:r w:rsidR="00DC52DA">
        <w:rPr>
          <w:rStyle w:val="PlaceholderText"/>
          <w:color w:val="auto"/>
          <w:sz w:val="22"/>
          <w:szCs w:val="22"/>
        </w:rPr>
        <w:t xml:space="preserve">29 a </w:t>
      </w:r>
      <w:r w:rsidRPr="00DC52DA" w:rsidR="002F569E">
        <w:rPr>
          <w:rStyle w:val="PlaceholderText"/>
          <w:color w:val="auto"/>
          <w:sz w:val="22"/>
          <w:szCs w:val="22"/>
        </w:rPr>
        <w:t>30</w:t>
      </w:r>
      <w:r w:rsidRPr="00DC52DA" w:rsidR="00DE5E60">
        <w:rPr>
          <w:rStyle w:val="PlaceholderText"/>
          <w:color w:val="auto"/>
          <w:sz w:val="22"/>
          <w:szCs w:val="22"/>
        </w:rPr>
        <w:t xml:space="preserve"> </w:t>
      </w:r>
      <w:r w:rsidRPr="00DC52DA">
        <w:rPr>
          <w:rStyle w:val="PlaceholderText"/>
          <w:color w:val="auto"/>
          <w:sz w:val="22"/>
          <w:szCs w:val="22"/>
        </w:rPr>
        <w:t xml:space="preserve">pre prípad, keď  sa iný úver (spotrebiteľský úver) splatí spotrebiteľským úverom (refinancovaný </w:t>
      </w:r>
      <w:r w:rsidR="00DC52DA">
        <w:rPr>
          <w:rStyle w:val="PlaceholderText"/>
          <w:color w:val="auto"/>
          <w:sz w:val="22"/>
          <w:szCs w:val="22"/>
        </w:rPr>
        <w:t>ú</w:t>
      </w:r>
      <w:r w:rsidRPr="00DC52DA">
        <w:rPr>
          <w:rStyle w:val="PlaceholderText"/>
          <w:color w:val="auto"/>
          <w:sz w:val="22"/>
          <w:szCs w:val="22"/>
        </w:rPr>
        <w:t xml:space="preserve">ver) pričom platí, že </w:t>
      </w:r>
    </w:p>
    <w:p w:rsidR="00C56F59" w:rsidRPr="00516A4F">
      <w:pPr>
        <w:widowControl/>
        <w:bidi w:val="0"/>
        <w:jc w:val="both"/>
        <w:rPr>
          <w:rStyle w:val="PlaceholderText"/>
          <w:color w:val="auto"/>
          <w:sz w:val="22"/>
          <w:szCs w:val="22"/>
        </w:rPr>
      </w:pPr>
      <w:r w:rsidRPr="00516A4F">
        <w:rPr>
          <w:rStyle w:val="PlaceholderText"/>
          <w:color w:val="auto"/>
          <w:sz w:val="22"/>
          <w:szCs w:val="22"/>
        </w:rPr>
        <w:t>1) výška (novo) poskytnutého spotrebiteľského úveru výrazne neprevyšuje súčet zostávajúcich výšok refinancovaných úverov a</w:t>
      </w:r>
    </w:p>
    <w:p w:rsidR="00C56F59" w:rsidRPr="00516A4F">
      <w:pPr>
        <w:widowControl/>
        <w:bidi w:val="0"/>
        <w:jc w:val="both"/>
        <w:rPr>
          <w:rStyle w:val="PlaceholderText"/>
          <w:color w:val="auto"/>
          <w:sz w:val="22"/>
          <w:szCs w:val="22"/>
        </w:rPr>
      </w:pPr>
      <w:r w:rsidRPr="00516A4F">
        <w:rPr>
          <w:rStyle w:val="PlaceholderText"/>
          <w:color w:val="auto"/>
          <w:sz w:val="22"/>
          <w:szCs w:val="22"/>
        </w:rPr>
        <w:t>2) zároveň doba splatnosti (novo) poskytnutého spotrebiteľského úveru neprevyšuje priemernú zostatkovú dobu splatností refinancovaných úverov.</w:t>
      </w:r>
    </w:p>
    <w:p w:rsidR="00C56F59" w:rsidRPr="00C81A8D">
      <w:pPr>
        <w:widowControl/>
        <w:bidi w:val="0"/>
        <w:jc w:val="both"/>
        <w:rPr>
          <w:rStyle w:val="PlaceholderText"/>
          <w:color w:val="auto"/>
          <w:sz w:val="22"/>
          <w:szCs w:val="22"/>
        </w:rPr>
      </w:pPr>
      <w:r w:rsidRPr="00C81A8D">
        <w:rPr>
          <w:rStyle w:val="PlaceholderText"/>
          <w:color w:val="auto"/>
          <w:sz w:val="22"/>
          <w:szCs w:val="22"/>
        </w:rPr>
        <w:t> </w:t>
      </w:r>
    </w:p>
    <w:p w:rsidR="00C56F59" w:rsidRPr="00C81A8D">
      <w:pPr>
        <w:widowControl/>
        <w:bidi w:val="0"/>
        <w:jc w:val="both"/>
        <w:rPr>
          <w:rStyle w:val="PlaceholderText"/>
          <w:color w:val="auto"/>
          <w:sz w:val="22"/>
          <w:szCs w:val="22"/>
        </w:rPr>
      </w:pPr>
      <w:r w:rsidRPr="00C81A8D">
        <w:rPr>
          <w:rStyle w:val="PlaceholderText"/>
          <w:color w:val="auto"/>
          <w:sz w:val="22"/>
          <w:szCs w:val="22"/>
        </w:rPr>
        <w:t>Hodnota priemernej zostatkovej doby splatnosti (podľa bodu 2) sa vypočíta ako vážený priemer zostatkových dôb splatností refinancovaných úverov, pričom vstupnými položkami (váhami) sú zostatkové istiny jednotlivých refinancovaných úverov.</w:t>
      </w:r>
    </w:p>
    <w:p w:rsidR="00017554" w:rsidRPr="00C81A8D">
      <w:pPr>
        <w:widowControl/>
        <w:bidi w:val="0"/>
        <w:jc w:val="both"/>
        <w:rPr>
          <w:rStyle w:val="PlaceholderText"/>
          <w:color w:val="auto"/>
          <w:sz w:val="22"/>
          <w:szCs w:val="22"/>
        </w:rPr>
      </w:pPr>
    </w:p>
    <w:p w:rsidR="00017554" w:rsidRPr="00516A4F">
      <w:pPr>
        <w:widowControl/>
        <w:bidi w:val="0"/>
        <w:jc w:val="both"/>
        <w:rPr>
          <w:rStyle w:val="PlaceholderText"/>
          <w:color w:val="auto"/>
          <w:sz w:val="22"/>
          <w:szCs w:val="22"/>
        </w:rPr>
      </w:pPr>
      <w:r w:rsidRPr="00C81A8D">
        <w:rPr>
          <w:rStyle w:val="PlaceholderText"/>
          <w:color w:val="auto"/>
          <w:sz w:val="22"/>
          <w:szCs w:val="22"/>
        </w:rPr>
        <w:t>Ustanoveni</w:t>
      </w:r>
      <w:r w:rsidR="00DC52DA">
        <w:rPr>
          <w:rStyle w:val="PlaceholderText"/>
          <w:color w:val="auto"/>
          <w:sz w:val="22"/>
          <w:szCs w:val="22"/>
        </w:rPr>
        <w:t>a</w:t>
      </w:r>
      <w:r w:rsidRPr="00DC52DA">
        <w:rPr>
          <w:rStyle w:val="PlaceholderText"/>
          <w:color w:val="auto"/>
          <w:sz w:val="22"/>
          <w:szCs w:val="22"/>
        </w:rPr>
        <w:t xml:space="preserve"> § 7 ods.</w:t>
      </w:r>
      <w:r w:rsidR="00DC52DA">
        <w:rPr>
          <w:rStyle w:val="PlaceholderText"/>
          <w:color w:val="auto"/>
          <w:sz w:val="22"/>
          <w:szCs w:val="22"/>
        </w:rPr>
        <w:t xml:space="preserve"> 29 a</w:t>
      </w:r>
      <w:r w:rsidRPr="00DC52DA">
        <w:rPr>
          <w:rStyle w:val="PlaceholderText"/>
          <w:color w:val="auto"/>
          <w:sz w:val="22"/>
          <w:szCs w:val="22"/>
        </w:rPr>
        <w:t xml:space="preserve"> </w:t>
      </w:r>
      <w:r w:rsidRPr="00DC52DA" w:rsidR="002F569E">
        <w:rPr>
          <w:rStyle w:val="PlaceholderText"/>
          <w:color w:val="auto"/>
          <w:sz w:val="22"/>
          <w:szCs w:val="22"/>
        </w:rPr>
        <w:t>30</w:t>
      </w:r>
      <w:r w:rsidRPr="00DC52DA">
        <w:rPr>
          <w:rStyle w:val="PlaceholderText"/>
          <w:color w:val="auto"/>
          <w:sz w:val="22"/>
          <w:szCs w:val="22"/>
        </w:rPr>
        <w:t xml:space="preserve"> sa zároveň nevzťahuj</w:t>
      </w:r>
      <w:r w:rsidR="00DC52DA">
        <w:rPr>
          <w:rStyle w:val="PlaceholderText"/>
          <w:color w:val="auto"/>
          <w:sz w:val="22"/>
          <w:szCs w:val="22"/>
        </w:rPr>
        <w:t>ú</w:t>
      </w:r>
      <w:r w:rsidRPr="00DC52DA">
        <w:rPr>
          <w:rStyle w:val="PlaceholderText"/>
          <w:color w:val="auto"/>
          <w:sz w:val="22"/>
          <w:szCs w:val="22"/>
        </w:rPr>
        <w:t xml:space="preserve"> na prípad spotrebiteľského úveru poskytnutého vo forme úverového rámca s možnosťou opakovaného če</w:t>
      </w:r>
      <w:r w:rsidRPr="00516A4F">
        <w:rPr>
          <w:rStyle w:val="PlaceholderText"/>
          <w:color w:val="auto"/>
          <w:sz w:val="22"/>
          <w:szCs w:val="22"/>
        </w:rPr>
        <w:t>rpania</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2F569E">
        <w:rPr>
          <w:rStyle w:val="PlaceholderText"/>
          <w:color w:val="auto"/>
          <w:sz w:val="22"/>
          <w:szCs w:val="22"/>
        </w:rPr>
        <w:t>32</w:t>
      </w:r>
      <w:r w:rsidRPr="00C81A8D">
        <w:rPr>
          <w:rStyle w:val="PlaceholderText"/>
          <w:color w:val="auto"/>
          <w:sz w:val="22"/>
          <w:szCs w:val="22"/>
        </w:rPr>
        <w:t>)</w:t>
      </w:r>
    </w:p>
    <w:p w:rsidR="00C56F59" w:rsidRPr="00516A4F">
      <w:pPr>
        <w:widowControl/>
        <w:bidi w:val="0"/>
        <w:jc w:val="both"/>
        <w:rPr>
          <w:rStyle w:val="PlaceholderText"/>
          <w:color w:val="auto"/>
          <w:sz w:val="22"/>
          <w:szCs w:val="22"/>
        </w:rPr>
      </w:pPr>
      <w:r w:rsidRPr="00C81A8D">
        <w:rPr>
          <w:rStyle w:val="PlaceholderText"/>
          <w:color w:val="auto"/>
          <w:sz w:val="22"/>
          <w:szCs w:val="22"/>
        </w:rPr>
        <w:t xml:space="preserve">Navrhovaným ustanovením § 7 ods. </w:t>
      </w:r>
      <w:r w:rsidRPr="00C81A8D" w:rsidR="00194252">
        <w:rPr>
          <w:rStyle w:val="PlaceholderText"/>
          <w:color w:val="auto"/>
          <w:sz w:val="22"/>
          <w:szCs w:val="22"/>
        </w:rPr>
        <w:t>3</w:t>
      </w:r>
      <w:r w:rsidRPr="00C81A8D" w:rsidR="002F569E">
        <w:rPr>
          <w:rStyle w:val="PlaceholderText"/>
          <w:color w:val="auto"/>
          <w:sz w:val="22"/>
          <w:szCs w:val="22"/>
        </w:rPr>
        <w:t>2</w:t>
      </w:r>
      <w:r w:rsidRPr="00C81A8D" w:rsidR="00194252">
        <w:rPr>
          <w:rStyle w:val="PlaceholderText"/>
          <w:color w:val="auto"/>
          <w:sz w:val="22"/>
          <w:szCs w:val="22"/>
        </w:rPr>
        <w:t xml:space="preserve"> </w:t>
      </w:r>
      <w:r w:rsidRPr="00C81A8D">
        <w:rPr>
          <w:rStyle w:val="PlaceholderText"/>
          <w:color w:val="auto"/>
          <w:sz w:val="22"/>
          <w:szCs w:val="22"/>
        </w:rPr>
        <w:t>sa ukladá povinnosť vypracúvať vnútorné predpisy o určení podmienok pre postupné splácanie spotrebiteľských úverov a zároveň ich pravidelne prehodnocovať.</w:t>
      </w:r>
      <w:r w:rsidRPr="00C81A8D" w:rsidR="0035196B">
        <w:rPr>
          <w:rStyle w:val="PlaceholderText"/>
          <w:color w:val="auto"/>
          <w:sz w:val="22"/>
          <w:szCs w:val="22"/>
        </w:rPr>
        <w:t xml:space="preserve"> Tieto predpisy sa týkajú určenia výšky platieb spotrebiteľa v čase poskytnutia úveru, ako aj v čase každ</w:t>
      </w:r>
      <w:r w:rsidR="00AC2F70">
        <w:rPr>
          <w:rStyle w:val="PlaceholderText"/>
          <w:color w:val="auto"/>
          <w:sz w:val="22"/>
          <w:szCs w:val="22"/>
        </w:rPr>
        <w:t>ej</w:t>
      </w:r>
      <w:r w:rsidRPr="00AC2F70" w:rsidR="0035196B">
        <w:rPr>
          <w:rStyle w:val="PlaceholderText"/>
          <w:color w:val="auto"/>
          <w:sz w:val="22"/>
          <w:szCs w:val="22"/>
        </w:rPr>
        <w:t xml:space="preserve"> refixácie úrokovej sadzby.</w:t>
      </w:r>
    </w:p>
    <w:p w:rsidR="00C56F59" w:rsidRPr="00C81A8D">
      <w:pPr>
        <w:widowControl/>
        <w:bidi w:val="0"/>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2F569E">
        <w:rPr>
          <w:rStyle w:val="PlaceholderText"/>
          <w:color w:val="auto"/>
          <w:sz w:val="22"/>
          <w:szCs w:val="22"/>
        </w:rPr>
        <w:t>33</w:t>
      </w:r>
      <w:r w:rsidRPr="00C81A8D">
        <w:rPr>
          <w:rStyle w:val="PlaceholderText"/>
          <w:color w:val="auto"/>
          <w:sz w:val="22"/>
          <w:szCs w:val="22"/>
        </w:rPr>
        <w:t>)</w:t>
      </w:r>
    </w:p>
    <w:p w:rsidR="00C56F59" w:rsidRPr="00C81A8D" w:rsidP="00A87657">
      <w:pPr>
        <w:widowControl/>
        <w:bidi w:val="0"/>
        <w:jc w:val="both"/>
        <w:rPr>
          <w:rStyle w:val="PlaceholderText"/>
          <w:color w:val="auto"/>
          <w:sz w:val="22"/>
          <w:szCs w:val="22"/>
        </w:rPr>
      </w:pPr>
      <w:r w:rsidRPr="00C81A8D">
        <w:rPr>
          <w:rStyle w:val="PlaceholderText"/>
          <w:color w:val="auto"/>
          <w:sz w:val="22"/>
          <w:szCs w:val="22"/>
        </w:rPr>
        <w:t xml:space="preserve">V navrhovanom ustanovení § 7 ods. </w:t>
      </w:r>
      <w:r w:rsidRPr="00C81A8D" w:rsidR="002F569E">
        <w:rPr>
          <w:rStyle w:val="PlaceholderText"/>
          <w:color w:val="auto"/>
          <w:sz w:val="22"/>
          <w:szCs w:val="22"/>
        </w:rPr>
        <w:t>33</w:t>
      </w:r>
      <w:r w:rsidRPr="00C81A8D" w:rsidR="00194252">
        <w:rPr>
          <w:rStyle w:val="PlaceholderText"/>
          <w:color w:val="auto"/>
          <w:sz w:val="22"/>
          <w:szCs w:val="22"/>
        </w:rPr>
        <w:t xml:space="preserve"> </w:t>
      </w:r>
      <w:r w:rsidRPr="00C81A8D">
        <w:rPr>
          <w:rStyle w:val="PlaceholderText"/>
          <w:color w:val="auto"/>
          <w:sz w:val="22"/>
          <w:szCs w:val="22"/>
        </w:rPr>
        <w:t>sa uvádzajú podrobnosti</w:t>
      </w:r>
      <w:r w:rsidR="00A41C8D">
        <w:rPr>
          <w:rStyle w:val="PlaceholderText"/>
          <w:color w:val="auto"/>
          <w:sz w:val="22"/>
          <w:szCs w:val="22"/>
        </w:rPr>
        <w:t>,</w:t>
      </w:r>
      <w:r w:rsidRPr="00C81A8D">
        <w:rPr>
          <w:rStyle w:val="PlaceholderText"/>
          <w:color w:val="auto"/>
          <w:sz w:val="22"/>
          <w:szCs w:val="22"/>
        </w:rPr>
        <w:t xml:space="preserve"> ako je potrebné nastaviť podmienky na postupné splácanie spotrebiteľského úveru. Od </w:t>
      </w:r>
      <w:r w:rsidRPr="00AC2F70" w:rsidR="00AC2F70">
        <w:rPr>
          <w:rStyle w:val="PlaceholderText"/>
          <w:color w:val="auto"/>
          <w:sz w:val="22"/>
          <w:szCs w:val="22"/>
        </w:rPr>
        <w:t xml:space="preserve">týchto podmienok </w:t>
      </w:r>
      <w:r w:rsidRPr="00AC2F70">
        <w:rPr>
          <w:rStyle w:val="PlaceholderText"/>
          <w:color w:val="auto"/>
          <w:sz w:val="22"/>
          <w:szCs w:val="22"/>
        </w:rPr>
        <w:t xml:space="preserve">je možné upustiť za predpokladu, že nastanú prípady  uvedené v § 7 ods. </w:t>
      </w:r>
      <w:r w:rsidRPr="00AC2F70" w:rsidR="002F569E">
        <w:rPr>
          <w:rStyle w:val="PlaceholderText"/>
          <w:color w:val="auto"/>
          <w:sz w:val="22"/>
          <w:szCs w:val="22"/>
        </w:rPr>
        <w:t>34</w:t>
      </w:r>
      <w:r w:rsidRPr="00AC2F70" w:rsidR="00C74BE9">
        <w:rPr>
          <w:rStyle w:val="PlaceholderText"/>
          <w:color w:val="auto"/>
          <w:sz w:val="22"/>
          <w:szCs w:val="22"/>
        </w:rPr>
        <w:t>,</w:t>
      </w:r>
      <w:r w:rsidRPr="00AC2F70" w:rsidR="00BA5D29">
        <w:rPr>
          <w:rStyle w:val="PlaceholderText"/>
          <w:color w:val="auto"/>
          <w:sz w:val="22"/>
          <w:szCs w:val="22"/>
        </w:rPr>
        <w:t xml:space="preserve"> 3</w:t>
      </w:r>
      <w:r w:rsidRPr="00AC2F70" w:rsidR="002F569E">
        <w:rPr>
          <w:rStyle w:val="PlaceholderText"/>
          <w:color w:val="auto"/>
          <w:sz w:val="22"/>
          <w:szCs w:val="22"/>
        </w:rPr>
        <w:t>5</w:t>
      </w:r>
      <w:r w:rsidRPr="00AC2F70" w:rsidR="00C74BE9">
        <w:rPr>
          <w:rStyle w:val="PlaceholderText"/>
          <w:color w:val="auto"/>
          <w:sz w:val="22"/>
          <w:szCs w:val="22"/>
        </w:rPr>
        <w:t xml:space="preserve"> a 37</w:t>
      </w:r>
      <w:r w:rsidRPr="00AC2F70">
        <w:rPr>
          <w:rStyle w:val="PlaceholderText"/>
          <w:color w:val="auto"/>
          <w:sz w:val="22"/>
          <w:szCs w:val="22"/>
        </w:rPr>
        <w:t>.</w:t>
      </w:r>
      <w:r w:rsidRPr="00AC2F70" w:rsidR="00FD3CBD">
        <w:rPr>
          <w:rStyle w:val="PlaceholderText"/>
          <w:color w:val="auto"/>
          <w:sz w:val="22"/>
          <w:szCs w:val="22"/>
        </w:rPr>
        <w:t xml:space="preserve"> Pod pravidelnými splátkami sa myslia splátky platené pravidelne v</w:t>
      </w:r>
      <w:r w:rsidRPr="00516A4F" w:rsidR="00FD3CBD">
        <w:rPr>
          <w:rStyle w:val="PlaceholderText"/>
          <w:color w:val="auto"/>
          <w:sz w:val="22"/>
          <w:szCs w:val="22"/>
        </w:rPr>
        <w:t> rovnakej výške  platenej peňažnej sumy. Ide o </w:t>
      </w:r>
      <w:r w:rsidRPr="0091580F" w:rsidR="00FD3CBD">
        <w:rPr>
          <w:rStyle w:val="PlaceholderText"/>
          <w:color w:val="auto"/>
          <w:sz w:val="22"/>
          <w:szCs w:val="22"/>
        </w:rPr>
        <w:t>splátky zostatkovej istiny a úrokov vrátane príslušenstva, pričom vzájomný pomer medzi splátkami istiny a</w:t>
      </w:r>
      <w:r w:rsidRPr="00C81A8D" w:rsidR="00FD3CBD">
        <w:rPr>
          <w:rStyle w:val="PlaceholderText"/>
          <w:color w:val="auto"/>
          <w:sz w:val="22"/>
          <w:szCs w:val="22"/>
        </w:rPr>
        <w:t> úrokov sa môže meniť.</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sidR="00BA5D29">
        <w:rPr>
          <w:rStyle w:val="PlaceholderText"/>
          <w:color w:val="auto"/>
          <w:sz w:val="22"/>
          <w:szCs w:val="22"/>
        </w:rPr>
        <w:t xml:space="preserve">(§ 7 ods. </w:t>
      </w:r>
      <w:r w:rsidRPr="00C81A8D" w:rsidR="002F569E">
        <w:rPr>
          <w:rStyle w:val="PlaceholderText"/>
          <w:color w:val="auto"/>
          <w:sz w:val="22"/>
          <w:szCs w:val="22"/>
        </w:rPr>
        <w:t>34</w:t>
      </w:r>
      <w:r w:rsidRPr="00C81A8D" w:rsidR="00BA5D29">
        <w:rPr>
          <w:rStyle w:val="PlaceholderText"/>
          <w:color w:val="auto"/>
          <w:sz w:val="22"/>
          <w:szCs w:val="22"/>
        </w:rPr>
        <w:t>)</w:t>
      </w:r>
    </w:p>
    <w:p w:rsidR="00BA5D29" w:rsidRPr="00C81A8D">
      <w:pPr>
        <w:widowControl/>
        <w:bidi w:val="0"/>
        <w:jc w:val="both"/>
        <w:rPr>
          <w:rStyle w:val="PlaceholderText"/>
          <w:color w:val="auto"/>
          <w:sz w:val="22"/>
          <w:szCs w:val="22"/>
        </w:rPr>
      </w:pPr>
      <w:r w:rsidRPr="00C81A8D">
        <w:rPr>
          <w:rStyle w:val="PlaceholderText"/>
          <w:color w:val="auto"/>
          <w:sz w:val="22"/>
          <w:szCs w:val="22"/>
        </w:rPr>
        <w:t xml:space="preserve">V navrhovanom ustanovení § 7 ods. </w:t>
      </w:r>
      <w:r w:rsidRPr="00C81A8D" w:rsidR="00194252">
        <w:rPr>
          <w:rStyle w:val="PlaceholderText"/>
          <w:color w:val="auto"/>
          <w:sz w:val="22"/>
          <w:szCs w:val="22"/>
        </w:rPr>
        <w:t>3</w:t>
      </w:r>
      <w:r w:rsidRPr="00C81A8D" w:rsidR="002F569E">
        <w:rPr>
          <w:rStyle w:val="PlaceholderText"/>
          <w:color w:val="auto"/>
          <w:sz w:val="22"/>
          <w:szCs w:val="22"/>
        </w:rPr>
        <w:t>4</w:t>
      </w:r>
      <w:r w:rsidRPr="00C81A8D">
        <w:rPr>
          <w:rStyle w:val="PlaceholderText"/>
          <w:color w:val="auto"/>
          <w:sz w:val="22"/>
          <w:szCs w:val="22"/>
        </w:rPr>
        <w:t xml:space="preserve"> sa určuj</w:t>
      </w:r>
      <w:r w:rsidRPr="00C81A8D" w:rsidR="002F569E">
        <w:rPr>
          <w:rStyle w:val="PlaceholderText"/>
          <w:color w:val="auto"/>
          <w:sz w:val="22"/>
          <w:szCs w:val="22"/>
        </w:rPr>
        <w:t xml:space="preserve">ú výnimky z uplatnenia odseku </w:t>
      </w:r>
      <w:r w:rsidRPr="00C81A8D" w:rsidR="004F49F3">
        <w:rPr>
          <w:rStyle w:val="PlaceholderText"/>
          <w:color w:val="auto"/>
          <w:sz w:val="22"/>
          <w:szCs w:val="22"/>
        </w:rPr>
        <w:t xml:space="preserve">33 </w:t>
      </w:r>
      <w:r w:rsidRPr="00C81A8D">
        <w:rPr>
          <w:rStyle w:val="PlaceholderText"/>
          <w:color w:val="auto"/>
          <w:sz w:val="22"/>
          <w:szCs w:val="22"/>
        </w:rPr>
        <w:t>písm. a). V zmysle tejto výnimky je možné pri splnení dodatočných požiadaviek nahradiť požiadavku mesačnej frekvencie splátok ročnou frekvenciou. Ide o úvery, ktorých účelom je nadobudnutie vlastníckeho práva k hnuteľnej veci, ktorá slúži ako zabezpečenie tohto spotrebiteľského úveru a pri ktorých spotrebiteľ splatil platbu aspoň vo výške 20% kúpnej ceny pred odovzdaním predmetu kúpy a zostatková hodnota úveru po tejto platbe neprevyšuje 80% kúpnej ceny. V praxi sa táto výnimka vzťahuje predovšetkým na lízing s minimálnou výškou akontácie 20 % kúp</w:t>
      </w:r>
      <w:r w:rsidRPr="00C81A8D" w:rsidR="00A87657">
        <w:rPr>
          <w:rStyle w:val="PlaceholderText"/>
          <w:color w:val="auto"/>
          <w:sz w:val="22"/>
          <w:szCs w:val="22"/>
        </w:rPr>
        <w:t>nej ceny.</w:t>
      </w:r>
    </w:p>
    <w:p w:rsidR="00BA5D29" w:rsidRPr="00AC2F70">
      <w:pPr>
        <w:widowControl/>
        <w:bidi w:val="0"/>
        <w:jc w:val="both"/>
        <w:rPr>
          <w:rStyle w:val="PlaceholderText"/>
          <w:color w:val="auto"/>
          <w:sz w:val="22"/>
          <w:szCs w:val="22"/>
        </w:rPr>
      </w:pPr>
      <w:r w:rsidR="00AC2F70">
        <w:rPr>
          <w:rStyle w:val="PlaceholderText"/>
          <w:color w:val="auto"/>
          <w:sz w:val="22"/>
          <w:szCs w:val="22"/>
        </w:rPr>
        <w:t>Za p</w:t>
      </w:r>
      <w:r w:rsidRPr="00AC2F70" w:rsidR="00434977">
        <w:rPr>
          <w:rStyle w:val="PlaceholderText"/>
          <w:color w:val="auto"/>
          <w:sz w:val="22"/>
          <w:szCs w:val="22"/>
        </w:rPr>
        <w:t xml:space="preserve">ravidelné splátky sa </w:t>
      </w:r>
      <w:r w:rsidR="00AC2F70">
        <w:rPr>
          <w:rStyle w:val="PlaceholderText"/>
          <w:color w:val="auto"/>
          <w:sz w:val="22"/>
          <w:szCs w:val="22"/>
        </w:rPr>
        <w:t xml:space="preserve">považujú </w:t>
      </w:r>
      <w:r w:rsidRPr="00AC2F70" w:rsidR="00434977">
        <w:rPr>
          <w:rStyle w:val="PlaceholderText"/>
          <w:color w:val="auto"/>
          <w:sz w:val="22"/>
          <w:szCs w:val="22"/>
        </w:rPr>
        <w:t xml:space="preserve">napr. mesačné, štvrťročné atď. </w:t>
      </w:r>
    </w:p>
    <w:p w:rsidR="00434977" w:rsidRPr="00516A4F">
      <w:pPr>
        <w:widowControl/>
        <w:bidi w:val="0"/>
        <w:jc w:val="both"/>
        <w:rPr>
          <w:rStyle w:val="PlaceholderText"/>
          <w:color w:val="auto"/>
          <w:sz w:val="22"/>
          <w:szCs w:val="22"/>
        </w:rPr>
      </w:pPr>
    </w:p>
    <w:p w:rsidR="00C56F59" w:rsidRPr="0091580F">
      <w:pPr>
        <w:widowControl/>
        <w:bidi w:val="0"/>
        <w:jc w:val="both"/>
        <w:rPr>
          <w:rStyle w:val="PlaceholderText"/>
          <w:color w:val="auto"/>
          <w:sz w:val="22"/>
          <w:szCs w:val="22"/>
        </w:rPr>
      </w:pPr>
      <w:r w:rsidRPr="0091580F">
        <w:rPr>
          <w:rStyle w:val="PlaceholderText"/>
          <w:color w:val="auto"/>
          <w:sz w:val="22"/>
          <w:szCs w:val="22"/>
        </w:rPr>
        <w:t>(§ 7 ods. 3</w:t>
      </w:r>
      <w:r w:rsidRPr="0091580F" w:rsidR="00484BC8">
        <w:rPr>
          <w:rStyle w:val="PlaceholderText"/>
          <w:color w:val="auto"/>
          <w:sz w:val="22"/>
          <w:szCs w:val="22"/>
        </w:rPr>
        <w:t>5</w:t>
      </w:r>
      <w:r w:rsidRPr="0091580F">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V navrhovanom ustanovení § 7 ods. </w:t>
      </w:r>
      <w:r w:rsidRPr="00C81A8D" w:rsidR="00EC1377">
        <w:rPr>
          <w:rStyle w:val="PlaceholderText"/>
          <w:color w:val="auto"/>
          <w:sz w:val="22"/>
          <w:szCs w:val="22"/>
        </w:rPr>
        <w:t>3</w:t>
      </w:r>
      <w:r w:rsidRPr="00C81A8D" w:rsidR="00484BC8">
        <w:rPr>
          <w:rStyle w:val="PlaceholderText"/>
          <w:color w:val="auto"/>
          <w:sz w:val="22"/>
          <w:szCs w:val="22"/>
        </w:rPr>
        <w:t>5</w:t>
      </w:r>
      <w:r w:rsidRPr="00C81A8D" w:rsidR="00EC1377">
        <w:rPr>
          <w:rStyle w:val="PlaceholderText"/>
          <w:color w:val="auto"/>
          <w:sz w:val="22"/>
          <w:szCs w:val="22"/>
        </w:rPr>
        <w:t xml:space="preserve"> </w:t>
      </w:r>
      <w:r w:rsidRPr="00C81A8D">
        <w:rPr>
          <w:rStyle w:val="PlaceholderText"/>
          <w:color w:val="auto"/>
          <w:sz w:val="22"/>
          <w:szCs w:val="22"/>
        </w:rPr>
        <w:t>sa určuj</w:t>
      </w:r>
      <w:r w:rsidRPr="00C81A8D" w:rsidR="00484BC8">
        <w:rPr>
          <w:rStyle w:val="PlaceholderText"/>
          <w:color w:val="auto"/>
          <w:sz w:val="22"/>
          <w:szCs w:val="22"/>
        </w:rPr>
        <w:t xml:space="preserve">ú výnimky z uplatnenia odseku </w:t>
      </w:r>
      <w:r w:rsidRPr="00C81A8D" w:rsidR="004F49F3">
        <w:rPr>
          <w:rStyle w:val="PlaceholderText"/>
          <w:color w:val="auto"/>
          <w:sz w:val="22"/>
          <w:szCs w:val="22"/>
        </w:rPr>
        <w:t xml:space="preserve">33 </w:t>
      </w:r>
      <w:r w:rsidRPr="00C81A8D" w:rsidR="00BA5D29">
        <w:rPr>
          <w:rStyle w:val="PlaceholderText"/>
          <w:color w:val="auto"/>
          <w:sz w:val="22"/>
          <w:szCs w:val="22"/>
        </w:rPr>
        <w:t>písm. b)</w:t>
      </w:r>
      <w:r w:rsidRPr="00C81A8D">
        <w:rPr>
          <w:rStyle w:val="PlaceholderText"/>
          <w:color w:val="auto"/>
          <w:sz w:val="22"/>
          <w:szCs w:val="22"/>
        </w:rPr>
        <w:t>, ktoré môžu nastať počas celej doby splatnosti spotrebiteľského úveru a ktoré spočívajú v</w:t>
      </w:r>
    </w:p>
    <w:p w:rsidR="00C56F59" w:rsidRPr="00AC2F70">
      <w:pPr>
        <w:widowControl/>
        <w:bidi w:val="0"/>
        <w:jc w:val="both"/>
        <w:rPr>
          <w:rStyle w:val="PlaceholderText"/>
          <w:color w:val="auto"/>
          <w:sz w:val="22"/>
          <w:szCs w:val="22"/>
        </w:rPr>
      </w:pPr>
      <w:r w:rsidRPr="00C81A8D">
        <w:rPr>
          <w:rStyle w:val="PlaceholderText"/>
          <w:color w:val="auto"/>
          <w:sz w:val="22"/>
          <w:szCs w:val="22"/>
        </w:rPr>
        <w:t>a)</w:t>
      </w:r>
      <w:r w:rsidR="00AC2F70">
        <w:rPr>
          <w:rStyle w:val="PlaceholderText"/>
          <w:color w:val="auto"/>
          <w:sz w:val="22"/>
          <w:szCs w:val="22"/>
        </w:rPr>
        <w:t xml:space="preserve">vo </w:t>
      </w:r>
      <w:r w:rsidRPr="00AC2F70">
        <w:rPr>
          <w:rStyle w:val="PlaceholderText"/>
          <w:color w:val="auto"/>
          <w:sz w:val="22"/>
          <w:szCs w:val="22"/>
        </w:rPr>
        <w:t>vzniku možnosti odkladu alebo dočasného zníženia splátok úroku alebo istiny z dôvodu neočakávaných finančných ťažkostí spotrebiteľa (napríklad, keď sa spotrebiteľ dostane do platobnej neschopnosti),</w:t>
      </w:r>
    </w:p>
    <w:p w:rsidR="00BA5D29" w:rsidRPr="00C81A8D" w:rsidP="00DE3A23">
      <w:pPr>
        <w:widowControl/>
        <w:bidi w:val="0"/>
        <w:jc w:val="both"/>
        <w:rPr>
          <w:rStyle w:val="PlaceholderText"/>
          <w:color w:val="auto"/>
          <w:sz w:val="22"/>
          <w:szCs w:val="22"/>
        </w:rPr>
      </w:pPr>
      <w:r w:rsidRPr="00AC2F70">
        <w:rPr>
          <w:rStyle w:val="PlaceholderText"/>
          <w:color w:val="auto"/>
          <w:sz w:val="22"/>
          <w:szCs w:val="22"/>
        </w:rPr>
        <w:t>b</w:t>
      </w:r>
      <w:r w:rsidRPr="00AC2F70" w:rsidR="00C56F59">
        <w:rPr>
          <w:rStyle w:val="PlaceholderText"/>
          <w:color w:val="auto"/>
          <w:sz w:val="22"/>
          <w:szCs w:val="22"/>
        </w:rPr>
        <w:t>)</w:t>
      </w:r>
      <w:r w:rsidR="00AC2F70">
        <w:rPr>
          <w:rStyle w:val="PlaceholderText"/>
          <w:color w:val="auto"/>
          <w:sz w:val="22"/>
          <w:szCs w:val="22"/>
        </w:rPr>
        <w:t xml:space="preserve">v </w:t>
      </w:r>
      <w:r w:rsidRPr="00AC2F70" w:rsidR="00C56F59">
        <w:rPr>
          <w:rStyle w:val="PlaceholderText"/>
          <w:color w:val="auto"/>
          <w:sz w:val="22"/>
          <w:szCs w:val="22"/>
        </w:rPr>
        <w:t xml:space="preserve"> možnosti, ak sa ich neplnenie počas celého obdobia splatnosti spotrebiteľského úveru  týka </w:t>
      </w:r>
      <w:r w:rsidRPr="00516A4F">
        <w:rPr>
          <w:rStyle w:val="PlaceholderText"/>
          <w:color w:val="auto"/>
          <w:sz w:val="22"/>
          <w:szCs w:val="22"/>
        </w:rPr>
        <w:t>obdobia 6 mesiacov</w:t>
      </w:r>
      <w:r w:rsidRPr="0091580F" w:rsidR="00C56F59">
        <w:rPr>
          <w:rStyle w:val="PlaceholderText"/>
          <w:color w:val="auto"/>
          <w:sz w:val="22"/>
          <w:szCs w:val="22"/>
        </w:rPr>
        <w:t xml:space="preserve"> (to znamená, že počas celej doby splatnosti spotrebiteľského úveru je možné poskytnúť spotrebiteľovi odklad najviac 6 </w:t>
      </w:r>
      <w:r w:rsidRPr="00C81A8D">
        <w:rPr>
          <w:rStyle w:val="PlaceholderText"/>
          <w:color w:val="auto"/>
          <w:sz w:val="22"/>
          <w:szCs w:val="22"/>
        </w:rPr>
        <w:t xml:space="preserve">mesačných </w:t>
      </w:r>
      <w:r w:rsidRPr="00C81A8D" w:rsidR="00C56F59">
        <w:rPr>
          <w:rStyle w:val="PlaceholderText"/>
          <w:color w:val="auto"/>
          <w:sz w:val="22"/>
          <w:szCs w:val="22"/>
        </w:rPr>
        <w:t xml:space="preserve">splátok) a zároveň </w:t>
      </w:r>
      <w:r w:rsidRPr="00C81A8D">
        <w:rPr>
          <w:rStyle w:val="PlaceholderText"/>
          <w:color w:val="auto"/>
          <w:sz w:val="22"/>
          <w:szCs w:val="22"/>
        </w:rPr>
        <w:t>toto</w:t>
      </w:r>
      <w:r w:rsidRPr="00C81A8D" w:rsidR="00C56F59">
        <w:rPr>
          <w:rStyle w:val="PlaceholderText"/>
          <w:color w:val="auto"/>
          <w:sz w:val="22"/>
          <w:szCs w:val="22"/>
        </w:rPr>
        <w:t xml:space="preserve"> </w:t>
      </w:r>
      <w:r w:rsidRPr="00C81A8D">
        <w:rPr>
          <w:rStyle w:val="PlaceholderText"/>
          <w:color w:val="auto"/>
          <w:sz w:val="22"/>
          <w:szCs w:val="22"/>
        </w:rPr>
        <w:t xml:space="preserve">obdobie </w:t>
      </w:r>
      <w:r w:rsidRPr="00C81A8D" w:rsidR="00C56F59">
        <w:rPr>
          <w:rStyle w:val="PlaceholderText"/>
          <w:color w:val="auto"/>
          <w:sz w:val="22"/>
          <w:szCs w:val="22"/>
        </w:rPr>
        <w:t>nepresahuje 34 % lehoty splatnosti spotrebiteľského úveru (to znamená, že napríklad pri spotrebiteľskom úvere s lehotou splatnosti jeden kalendárny rok je možné uskutočniť odklad splácania spotrebiteľského úveru najviac o </w:t>
      </w:r>
      <w:r w:rsidRPr="00C81A8D">
        <w:rPr>
          <w:rStyle w:val="PlaceholderText"/>
          <w:color w:val="auto"/>
          <w:sz w:val="22"/>
          <w:szCs w:val="22"/>
        </w:rPr>
        <w:t>štyri</w:t>
      </w:r>
      <w:r w:rsidRPr="00C81A8D" w:rsidR="00C56F59">
        <w:rPr>
          <w:rStyle w:val="PlaceholderText"/>
          <w:color w:val="auto"/>
          <w:sz w:val="22"/>
          <w:szCs w:val="22"/>
        </w:rPr>
        <w:t xml:space="preserve"> kalendárne mesiace)</w:t>
      </w:r>
      <w:r w:rsidRPr="00C81A8D" w:rsidR="00DE3A23">
        <w:rPr>
          <w:rStyle w:val="PlaceholderText"/>
          <w:color w:val="auto"/>
          <w:sz w:val="22"/>
          <w:szCs w:val="22"/>
        </w:rPr>
        <w:t>.</w:t>
      </w:r>
    </w:p>
    <w:p w:rsidR="00CE0352" w:rsidRPr="00C81A8D">
      <w:pPr>
        <w:widowControl/>
        <w:bidi w:val="0"/>
        <w:jc w:val="both"/>
        <w:rPr>
          <w:rStyle w:val="PlaceholderText"/>
          <w:color w:val="auto"/>
          <w:sz w:val="22"/>
          <w:szCs w:val="22"/>
        </w:rPr>
      </w:pPr>
    </w:p>
    <w:p w:rsidR="00CE0352"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484BC8">
        <w:rPr>
          <w:rStyle w:val="PlaceholderText"/>
          <w:color w:val="auto"/>
          <w:sz w:val="22"/>
          <w:szCs w:val="22"/>
        </w:rPr>
        <w:t>36</w:t>
      </w:r>
      <w:r w:rsidRPr="00C81A8D">
        <w:rPr>
          <w:rStyle w:val="PlaceholderText"/>
          <w:color w:val="auto"/>
          <w:sz w:val="22"/>
          <w:szCs w:val="22"/>
        </w:rPr>
        <w:t>)</w:t>
      </w:r>
    </w:p>
    <w:p w:rsidR="00CE0352" w:rsidRPr="00C81A8D">
      <w:pPr>
        <w:widowControl/>
        <w:bidi w:val="0"/>
        <w:jc w:val="both"/>
        <w:rPr>
          <w:rStyle w:val="PlaceholderText"/>
          <w:color w:val="auto"/>
          <w:sz w:val="22"/>
          <w:szCs w:val="22"/>
        </w:rPr>
      </w:pPr>
      <w:r w:rsidRPr="00C81A8D">
        <w:rPr>
          <w:rStyle w:val="PlaceholderText"/>
          <w:color w:val="auto"/>
          <w:sz w:val="22"/>
          <w:szCs w:val="22"/>
        </w:rPr>
        <w:t>V navrhovanom ustanovení</w:t>
      </w:r>
      <w:r w:rsidRPr="00C81A8D" w:rsidR="0015091F">
        <w:rPr>
          <w:rStyle w:val="PlaceholderText"/>
          <w:color w:val="auto"/>
          <w:sz w:val="22"/>
          <w:szCs w:val="22"/>
        </w:rPr>
        <w:t xml:space="preserve"> §</w:t>
      </w:r>
      <w:r w:rsidRPr="00C81A8D" w:rsidR="00484BC8">
        <w:rPr>
          <w:rStyle w:val="PlaceholderText"/>
          <w:color w:val="auto"/>
          <w:sz w:val="22"/>
          <w:szCs w:val="22"/>
        </w:rPr>
        <w:t xml:space="preserve"> </w:t>
      </w:r>
      <w:r w:rsidRPr="00C81A8D" w:rsidR="0015091F">
        <w:rPr>
          <w:rStyle w:val="PlaceholderText"/>
          <w:color w:val="auto"/>
          <w:sz w:val="22"/>
          <w:szCs w:val="22"/>
        </w:rPr>
        <w:t xml:space="preserve">7 ods. </w:t>
      </w:r>
      <w:r w:rsidRPr="00C81A8D" w:rsidR="00484BC8">
        <w:rPr>
          <w:rStyle w:val="PlaceholderText"/>
          <w:color w:val="auto"/>
          <w:sz w:val="22"/>
          <w:szCs w:val="22"/>
        </w:rPr>
        <w:t>36</w:t>
      </w:r>
      <w:r w:rsidRPr="00C81A8D">
        <w:rPr>
          <w:rStyle w:val="PlaceholderText"/>
          <w:color w:val="auto"/>
          <w:sz w:val="22"/>
          <w:szCs w:val="22"/>
        </w:rPr>
        <w:t xml:space="preserve"> sa špecifikuje spôsob výpočtu splátok pri úveroch, pri ktorých úroková sadzba nie je pevne stanovená počas celej doby splatnosti spotrebiteľského úveru a jej zmena v čase jej refixácie závisí od vývoja na finančných trhoch.</w:t>
      </w:r>
    </w:p>
    <w:p w:rsidR="00C56F59" w:rsidRPr="00C81A8D">
      <w:pPr>
        <w:widowControl/>
        <w:bidi w:val="0"/>
        <w:jc w:val="both"/>
        <w:rPr>
          <w:rStyle w:val="PlaceholderText"/>
          <w:color w:val="auto"/>
          <w:sz w:val="22"/>
          <w:szCs w:val="22"/>
        </w:rPr>
      </w:pPr>
    </w:p>
    <w:p w:rsidR="00CE0352" w:rsidRPr="00C81A8D" w:rsidP="00CE0352">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484BC8">
        <w:rPr>
          <w:rStyle w:val="PlaceholderText"/>
          <w:color w:val="auto"/>
          <w:sz w:val="22"/>
          <w:szCs w:val="22"/>
        </w:rPr>
        <w:t>37</w:t>
      </w:r>
      <w:r w:rsidRPr="00C81A8D">
        <w:rPr>
          <w:rStyle w:val="PlaceholderText"/>
          <w:color w:val="auto"/>
          <w:sz w:val="22"/>
          <w:szCs w:val="22"/>
        </w:rPr>
        <w:t>)</w:t>
      </w:r>
    </w:p>
    <w:p w:rsidR="00132DD4" w:rsidRPr="0091580F" w:rsidP="00A42E6A">
      <w:pPr>
        <w:widowControl/>
        <w:bidi w:val="0"/>
        <w:jc w:val="both"/>
        <w:rPr>
          <w:rStyle w:val="PlaceholderText"/>
          <w:color w:val="auto"/>
          <w:sz w:val="22"/>
          <w:szCs w:val="22"/>
        </w:rPr>
      </w:pPr>
      <w:r w:rsidRPr="00C81A8D" w:rsidR="00CE0352">
        <w:rPr>
          <w:rStyle w:val="PlaceholderText"/>
          <w:color w:val="auto"/>
          <w:sz w:val="22"/>
          <w:szCs w:val="22"/>
        </w:rPr>
        <w:t>V navrhovanom ustanovení</w:t>
      </w:r>
      <w:r w:rsidRPr="00C81A8D" w:rsidR="0015091F">
        <w:rPr>
          <w:rStyle w:val="PlaceholderText"/>
          <w:color w:val="auto"/>
          <w:sz w:val="22"/>
          <w:szCs w:val="22"/>
        </w:rPr>
        <w:t xml:space="preserve"> § 7 ods. </w:t>
      </w:r>
      <w:r w:rsidRPr="00C81A8D" w:rsidR="00484BC8">
        <w:rPr>
          <w:rStyle w:val="PlaceholderText"/>
          <w:color w:val="auto"/>
          <w:sz w:val="22"/>
          <w:szCs w:val="22"/>
        </w:rPr>
        <w:t>37</w:t>
      </w:r>
      <w:r w:rsidRPr="00C81A8D" w:rsidR="00CE0352">
        <w:rPr>
          <w:rStyle w:val="PlaceholderText"/>
          <w:color w:val="auto"/>
          <w:sz w:val="22"/>
          <w:szCs w:val="22"/>
        </w:rPr>
        <w:t xml:space="preserve"> sa špecifikujú podmienky splácania úverov na stavebné účely podľa § 12 ods. 2 písm. a) zákona č. 310/1992 Zb. o stavebnom sporení. Pri týchto úveroch je možné nahradiť požiadavku ich pravidelného splácania</w:t>
      </w:r>
      <w:r w:rsidRPr="00C81A8D" w:rsidR="00C74BE9">
        <w:rPr>
          <w:rStyle w:val="PlaceholderText"/>
          <w:color w:val="auto"/>
          <w:sz w:val="22"/>
          <w:szCs w:val="22"/>
        </w:rPr>
        <w:t>,</w:t>
      </w:r>
      <w:r w:rsidRPr="00C81A8D" w:rsidR="00CE0352">
        <w:rPr>
          <w:rStyle w:val="PlaceholderText"/>
          <w:color w:val="auto"/>
          <w:sz w:val="22"/>
          <w:szCs w:val="22"/>
        </w:rPr>
        <w:t xml:space="preserve"> </w:t>
      </w:r>
      <w:r w:rsidRPr="00C81A8D" w:rsidR="00C74BE9">
        <w:rPr>
          <w:rStyle w:val="PlaceholderText"/>
          <w:color w:val="auto"/>
          <w:sz w:val="22"/>
          <w:szCs w:val="22"/>
        </w:rPr>
        <w:t>ak sú prostriedky pravidelne poukazované ako vklady na účet stavebného sporiteľa.  Pri</w:t>
      </w:r>
      <w:r w:rsidR="00AC2F70">
        <w:rPr>
          <w:rStyle w:val="PlaceholderText"/>
          <w:color w:val="auto"/>
          <w:sz w:val="22"/>
          <w:szCs w:val="22"/>
        </w:rPr>
        <w:t>t</w:t>
      </w:r>
      <w:r w:rsidRPr="00AC2F70" w:rsidR="00C74BE9">
        <w:rPr>
          <w:rStyle w:val="PlaceholderText"/>
          <w:color w:val="auto"/>
          <w:sz w:val="22"/>
          <w:szCs w:val="22"/>
        </w:rPr>
        <w:t xml:space="preserve">om výška poukazovanej čiastky je minimálne vo výške, ktorá by umožňovala splatiť rozdiel medzi sumou potrebnou na vznik nároku na poskytnutie stavebného úveru a sumou na účte stavebného </w:t>
      </w:r>
      <w:r w:rsidR="0091580F">
        <w:rPr>
          <w:rStyle w:val="PlaceholderText"/>
          <w:color w:val="auto"/>
          <w:sz w:val="22"/>
          <w:szCs w:val="22"/>
        </w:rPr>
        <w:t>sporiteľa</w:t>
      </w:r>
      <w:r w:rsidRPr="00AC2F70" w:rsidR="0091580F">
        <w:rPr>
          <w:rStyle w:val="PlaceholderText"/>
          <w:color w:val="auto"/>
          <w:sz w:val="22"/>
          <w:szCs w:val="22"/>
        </w:rPr>
        <w:t xml:space="preserve"> </w:t>
      </w:r>
      <w:r w:rsidRPr="00AC2F70" w:rsidR="00C74BE9">
        <w:rPr>
          <w:rStyle w:val="PlaceholderText"/>
          <w:color w:val="auto"/>
          <w:sz w:val="22"/>
          <w:szCs w:val="22"/>
        </w:rPr>
        <w:t>v čase poskytnutia spotrebiteľského úveru rovnomerným spôsobom pri z</w:t>
      </w:r>
      <w:r w:rsidRPr="00516A4F" w:rsidR="00C74BE9">
        <w:rPr>
          <w:rStyle w:val="PlaceholderText"/>
          <w:color w:val="auto"/>
          <w:sz w:val="22"/>
          <w:szCs w:val="22"/>
        </w:rPr>
        <w:t>ohľadnení jeho úrokovej sadzby a lehoty splatnosti</w:t>
      </w:r>
      <w:r w:rsidR="0091580F">
        <w:rPr>
          <w:rStyle w:val="PlaceholderText"/>
          <w:color w:val="auto"/>
          <w:sz w:val="22"/>
          <w:szCs w:val="22"/>
        </w:rPr>
        <w:t xml:space="preserve"> úveru</w:t>
      </w:r>
      <w:r w:rsidRPr="00516A4F" w:rsidR="00C74BE9">
        <w:rPr>
          <w:rStyle w:val="PlaceholderText"/>
          <w:color w:val="auto"/>
          <w:sz w:val="22"/>
          <w:szCs w:val="22"/>
        </w:rPr>
        <w:t>.</w:t>
      </w:r>
      <w:r w:rsidRPr="00516A4F" w:rsidR="00CE0352">
        <w:rPr>
          <w:rStyle w:val="PlaceholderText"/>
          <w:color w:val="auto"/>
          <w:sz w:val="22"/>
          <w:szCs w:val="22"/>
        </w:rPr>
        <w:t xml:space="preserve"> Táto špecifikácia nadväzuje na trhovú prax aplik</w:t>
      </w:r>
      <w:r w:rsidRPr="00516A4F" w:rsidR="00A87657">
        <w:rPr>
          <w:rStyle w:val="PlaceholderText"/>
          <w:color w:val="auto"/>
          <w:sz w:val="22"/>
          <w:szCs w:val="22"/>
        </w:rPr>
        <w:t>ovanú na splácanie medziúverov.</w:t>
      </w:r>
      <w:r w:rsidR="0091580F">
        <w:rPr>
          <w:rStyle w:val="PlaceholderText"/>
          <w:color w:val="auto"/>
          <w:sz w:val="22"/>
          <w:szCs w:val="22"/>
        </w:rPr>
        <w:t xml:space="preserve"> Zároveň sú z podmienok podľa odseku 33 vyňaté revolvingové úvery.  </w:t>
      </w:r>
    </w:p>
    <w:p w:rsidR="006368B6" w:rsidRPr="0091580F">
      <w:pPr>
        <w:widowControl/>
        <w:bidi w:val="0"/>
        <w:jc w:val="both"/>
        <w:rPr>
          <w:rStyle w:val="PlaceholderText"/>
          <w:color w:val="auto"/>
          <w:sz w:val="22"/>
          <w:szCs w:val="22"/>
        </w:rPr>
      </w:pPr>
    </w:p>
    <w:p w:rsidR="00CE0352" w:rsidRPr="00C81A8D" w:rsidP="00CE0352">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484BC8">
        <w:rPr>
          <w:rStyle w:val="PlaceholderText"/>
          <w:color w:val="auto"/>
          <w:sz w:val="22"/>
          <w:szCs w:val="22"/>
        </w:rPr>
        <w:t>38</w:t>
      </w:r>
      <w:r w:rsidRPr="00C81A8D">
        <w:rPr>
          <w:rStyle w:val="PlaceholderText"/>
          <w:color w:val="auto"/>
          <w:sz w:val="22"/>
          <w:szCs w:val="22"/>
        </w:rPr>
        <w:t>)</w:t>
      </w:r>
    </w:p>
    <w:p w:rsidR="00CE0352" w:rsidRPr="00C81A8D">
      <w:pPr>
        <w:widowControl/>
        <w:bidi w:val="0"/>
        <w:jc w:val="both"/>
        <w:rPr>
          <w:rStyle w:val="PlaceholderText"/>
          <w:color w:val="auto"/>
          <w:sz w:val="22"/>
          <w:szCs w:val="22"/>
        </w:rPr>
      </w:pPr>
      <w:r w:rsidRPr="00C81A8D">
        <w:rPr>
          <w:rStyle w:val="PlaceholderText"/>
          <w:color w:val="auto"/>
          <w:sz w:val="22"/>
          <w:szCs w:val="22"/>
        </w:rPr>
        <w:t xml:space="preserve">V navrhovanom ustanovení </w:t>
      </w:r>
      <w:r w:rsidRPr="00C81A8D" w:rsidR="0015091F">
        <w:rPr>
          <w:rStyle w:val="PlaceholderText"/>
          <w:color w:val="auto"/>
          <w:sz w:val="22"/>
          <w:szCs w:val="22"/>
        </w:rPr>
        <w:t xml:space="preserve">§ 7 ods. </w:t>
      </w:r>
      <w:r w:rsidRPr="00C81A8D" w:rsidR="00484BC8">
        <w:rPr>
          <w:rStyle w:val="PlaceholderText"/>
          <w:color w:val="auto"/>
          <w:sz w:val="22"/>
          <w:szCs w:val="22"/>
        </w:rPr>
        <w:t>38</w:t>
      </w:r>
      <w:r w:rsidRPr="00C81A8D" w:rsidR="0015091F">
        <w:rPr>
          <w:rStyle w:val="PlaceholderText"/>
          <w:color w:val="auto"/>
          <w:sz w:val="22"/>
          <w:szCs w:val="22"/>
        </w:rPr>
        <w:t xml:space="preserve"> </w:t>
      </w:r>
      <w:r w:rsidRPr="00C81A8D">
        <w:rPr>
          <w:rStyle w:val="PlaceholderText"/>
          <w:color w:val="auto"/>
          <w:sz w:val="22"/>
          <w:szCs w:val="22"/>
        </w:rPr>
        <w:t xml:space="preserve">sa špecifikuje, že časť spotrebiteľských úverov zabezpečená finančným </w:t>
      </w:r>
      <w:r w:rsidRPr="00C81A8D" w:rsidR="00C02513">
        <w:rPr>
          <w:rStyle w:val="PlaceholderText"/>
          <w:color w:val="auto"/>
          <w:sz w:val="22"/>
          <w:szCs w:val="22"/>
        </w:rPr>
        <w:t>zabezpečením</w:t>
      </w:r>
      <w:r w:rsidRPr="00C81A8D">
        <w:rPr>
          <w:rStyle w:val="PlaceholderText"/>
          <w:color w:val="auto"/>
          <w:sz w:val="22"/>
          <w:szCs w:val="22"/>
        </w:rPr>
        <w:t xml:space="preserve"> je vyňatá z požiadavky rovnome</w:t>
      </w:r>
      <w:r w:rsidRPr="00C81A8D" w:rsidR="00A87657">
        <w:rPr>
          <w:rStyle w:val="PlaceholderText"/>
          <w:color w:val="auto"/>
          <w:sz w:val="22"/>
          <w:szCs w:val="22"/>
        </w:rPr>
        <w:t>rného a pravidelného splácania.</w:t>
      </w:r>
    </w:p>
    <w:p w:rsidR="00CE0352"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484BC8">
        <w:rPr>
          <w:rStyle w:val="PlaceholderText"/>
          <w:color w:val="auto"/>
          <w:sz w:val="22"/>
          <w:szCs w:val="22"/>
        </w:rPr>
        <w:t>39</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V navrhovanom ustanovení § 7 ods. </w:t>
      </w:r>
      <w:r w:rsidRPr="00C81A8D" w:rsidR="00484BC8">
        <w:rPr>
          <w:rStyle w:val="PlaceholderText"/>
          <w:color w:val="auto"/>
          <w:sz w:val="22"/>
          <w:szCs w:val="22"/>
        </w:rPr>
        <w:t>39</w:t>
      </w:r>
      <w:r w:rsidRPr="00C81A8D">
        <w:rPr>
          <w:rStyle w:val="PlaceholderText"/>
          <w:color w:val="auto"/>
          <w:sz w:val="22"/>
          <w:szCs w:val="22"/>
        </w:rPr>
        <w:t>  sa ukladá povinnosť  regulovať a monitorovať objem spotrebiteľských úverov poskytnutých prostredníctvom samostatných finančných agentov voči  objemu poskytnutých  spotrebiteľských úverov veriteľom. V prípade  identifikovania vyššieho rizika nesplácania spotrebiteľských úverov poskytnutých prostredníctvom samostatných finančných agentov a viazaných finančných agentov v porovnaní s ostatnými spotrebiteľskými úvermi poskytnutými veriteľom, je veriteľ povinný vykonať bezodkladne potrebné opatreni</w:t>
      </w:r>
      <w:r w:rsidR="00A41C8D">
        <w:rPr>
          <w:rStyle w:val="PlaceholderText"/>
          <w:color w:val="auto"/>
          <w:sz w:val="22"/>
          <w:szCs w:val="22"/>
        </w:rPr>
        <w:t>a</w:t>
      </w:r>
      <w:r w:rsidRPr="00C81A8D">
        <w:rPr>
          <w:rStyle w:val="PlaceholderText"/>
          <w:color w:val="auto"/>
          <w:sz w:val="22"/>
          <w:szCs w:val="22"/>
        </w:rPr>
        <w:t xml:space="preserve"> na zmiernenie tohto rizika.</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B77199">
        <w:rPr>
          <w:rStyle w:val="PlaceholderText"/>
          <w:color w:val="auto"/>
          <w:sz w:val="22"/>
          <w:szCs w:val="22"/>
        </w:rPr>
        <w:t>40</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V navrhovanom ustanovení § 7 ods. </w:t>
      </w:r>
      <w:r w:rsidRPr="00C81A8D" w:rsidR="00B77199">
        <w:rPr>
          <w:rStyle w:val="PlaceholderText"/>
          <w:color w:val="auto"/>
          <w:sz w:val="22"/>
          <w:szCs w:val="22"/>
        </w:rPr>
        <w:t>40</w:t>
      </w:r>
      <w:r w:rsidRPr="00C81A8D">
        <w:rPr>
          <w:rStyle w:val="PlaceholderText"/>
          <w:color w:val="auto"/>
          <w:sz w:val="22"/>
          <w:szCs w:val="22"/>
        </w:rPr>
        <w:t xml:space="preserve"> sa navrhuje legislatívno-technická zmena v spojitos</w:t>
      </w:r>
      <w:r w:rsidRPr="00C81A8D" w:rsidR="00B77199">
        <w:rPr>
          <w:rStyle w:val="PlaceholderText"/>
          <w:color w:val="auto"/>
          <w:sz w:val="22"/>
          <w:szCs w:val="22"/>
        </w:rPr>
        <w:t>ti s doplnením nových odsekov 19</w:t>
      </w:r>
      <w:r w:rsidRPr="00C81A8D">
        <w:rPr>
          <w:rStyle w:val="PlaceholderText"/>
          <w:color w:val="auto"/>
          <w:sz w:val="22"/>
          <w:szCs w:val="22"/>
        </w:rPr>
        <w:t xml:space="preserve"> až </w:t>
      </w:r>
      <w:r w:rsidRPr="00C81A8D" w:rsidR="004F49F3">
        <w:rPr>
          <w:rStyle w:val="PlaceholderText"/>
          <w:color w:val="auto"/>
          <w:sz w:val="22"/>
          <w:szCs w:val="22"/>
        </w:rPr>
        <w:t>39</w:t>
      </w:r>
      <w:r w:rsidRPr="00C81A8D">
        <w:rPr>
          <w:rStyle w:val="PlaceholderText"/>
          <w:color w:val="auto"/>
          <w:sz w:val="22"/>
          <w:szCs w:val="22"/>
        </w:rPr>
        <w:t>.</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 7 ods. </w:t>
      </w:r>
      <w:r w:rsidRPr="00C81A8D" w:rsidR="00B77199">
        <w:rPr>
          <w:rStyle w:val="PlaceholderText"/>
          <w:color w:val="auto"/>
          <w:sz w:val="22"/>
          <w:szCs w:val="22"/>
        </w:rPr>
        <w:t>41</w:t>
      </w:r>
      <w:r w:rsidRPr="00C81A8D">
        <w:rPr>
          <w:rStyle w:val="PlaceholderText"/>
          <w:color w:val="auto"/>
          <w:sz w:val="22"/>
          <w:szCs w:val="22"/>
        </w:rPr>
        <w:t>)</w:t>
      </w: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Navrhovaným ustanovením § 7 ods. </w:t>
      </w:r>
      <w:r w:rsidRPr="00C81A8D" w:rsidR="00B77199">
        <w:rPr>
          <w:rStyle w:val="PlaceholderText"/>
          <w:color w:val="auto"/>
          <w:sz w:val="22"/>
          <w:szCs w:val="22"/>
        </w:rPr>
        <w:t>41</w:t>
      </w:r>
      <w:r w:rsidRPr="00C81A8D">
        <w:rPr>
          <w:rStyle w:val="PlaceholderText"/>
          <w:color w:val="auto"/>
          <w:sz w:val="22"/>
          <w:szCs w:val="22"/>
        </w:rPr>
        <w:t xml:space="preserve"> sa do návrhu zákona dopĺňa splnomocňovacie ustanovenie pre Národnú banku Slovenka na vydanie opatrenia (prípadne viacerých opatrení) za účelom úpravy podrobností o povinnostiach, ktoré sa do</w:t>
      </w:r>
      <w:r w:rsidRPr="00C81A8D" w:rsidR="00B77199">
        <w:rPr>
          <w:rStyle w:val="PlaceholderText"/>
          <w:color w:val="auto"/>
          <w:sz w:val="22"/>
          <w:szCs w:val="22"/>
        </w:rPr>
        <w:t xml:space="preserve">plnili do ustanovení § 7 ods. 19 až </w:t>
      </w:r>
      <w:r w:rsidRPr="00C81A8D" w:rsidR="004F49F3">
        <w:rPr>
          <w:rStyle w:val="PlaceholderText"/>
          <w:color w:val="auto"/>
          <w:sz w:val="22"/>
          <w:szCs w:val="22"/>
        </w:rPr>
        <w:t>39</w:t>
      </w:r>
      <w:r w:rsidRPr="00C81A8D">
        <w:rPr>
          <w:rStyle w:val="PlaceholderText"/>
          <w:color w:val="auto"/>
          <w:sz w:val="22"/>
          <w:szCs w:val="22"/>
        </w:rPr>
        <w:t>.</w:t>
      </w:r>
    </w:p>
    <w:p w:rsidR="00A87657"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sidR="00936DA9">
        <w:rPr>
          <w:rStyle w:val="PlaceholderText"/>
          <w:color w:val="auto"/>
          <w:sz w:val="22"/>
          <w:szCs w:val="22"/>
        </w:rPr>
        <w:t xml:space="preserve">(§ 7 ods. </w:t>
      </w:r>
      <w:r w:rsidRPr="00C81A8D" w:rsidR="00B77199">
        <w:rPr>
          <w:rStyle w:val="PlaceholderText"/>
          <w:color w:val="auto"/>
          <w:sz w:val="22"/>
          <w:szCs w:val="22"/>
        </w:rPr>
        <w:t>42</w:t>
      </w:r>
      <w:r w:rsidRPr="00C81A8D" w:rsidR="00A87657">
        <w:rPr>
          <w:rStyle w:val="PlaceholderText"/>
          <w:color w:val="auto"/>
          <w:sz w:val="22"/>
          <w:szCs w:val="22"/>
        </w:rPr>
        <w:t>)</w:t>
      </w:r>
    </w:p>
    <w:p w:rsidR="00936DA9" w:rsidRPr="00C81A8D">
      <w:pPr>
        <w:widowControl/>
        <w:bidi w:val="0"/>
        <w:jc w:val="both"/>
        <w:rPr>
          <w:rStyle w:val="PlaceholderText"/>
          <w:color w:val="auto"/>
          <w:sz w:val="22"/>
          <w:szCs w:val="22"/>
        </w:rPr>
      </w:pPr>
      <w:r w:rsidRPr="00C81A8D">
        <w:rPr>
          <w:rStyle w:val="PlaceholderText"/>
          <w:color w:val="auto"/>
          <w:sz w:val="22"/>
          <w:szCs w:val="22"/>
        </w:rPr>
        <w:t xml:space="preserve">Navrhovaným ustanovením § 7 ods. </w:t>
      </w:r>
      <w:r w:rsidRPr="00C81A8D" w:rsidR="00B77199">
        <w:rPr>
          <w:rStyle w:val="PlaceholderText"/>
          <w:color w:val="auto"/>
          <w:sz w:val="22"/>
          <w:szCs w:val="22"/>
        </w:rPr>
        <w:t>42</w:t>
      </w:r>
      <w:r w:rsidRPr="00C81A8D">
        <w:rPr>
          <w:rStyle w:val="PlaceholderText"/>
          <w:color w:val="auto"/>
          <w:sz w:val="22"/>
          <w:szCs w:val="22"/>
        </w:rPr>
        <w:t xml:space="preserve"> sa do návrhu zákona dopĺňa ustanovenie, ktorým sa ukladá povinnosť </w:t>
      </w:r>
      <w:r w:rsidR="006C0A31">
        <w:rPr>
          <w:rStyle w:val="PlaceholderText"/>
          <w:color w:val="auto"/>
          <w:sz w:val="22"/>
          <w:szCs w:val="22"/>
        </w:rPr>
        <w:t>veriteľovi</w:t>
      </w:r>
      <w:r w:rsidRPr="00C81A8D" w:rsidR="006C0A31">
        <w:rPr>
          <w:rStyle w:val="PlaceholderText"/>
          <w:color w:val="auto"/>
          <w:sz w:val="22"/>
          <w:szCs w:val="22"/>
        </w:rPr>
        <w:t xml:space="preserve"> </w:t>
      </w:r>
      <w:r w:rsidRPr="00C81A8D">
        <w:rPr>
          <w:rStyle w:val="PlaceholderText"/>
          <w:color w:val="auto"/>
          <w:sz w:val="22"/>
          <w:szCs w:val="22"/>
        </w:rPr>
        <w:t xml:space="preserve">postupovať v súlade s osobitnými predpismi </w:t>
      </w:r>
      <w:r w:rsidRPr="00C81A8D" w:rsidR="00D92100">
        <w:rPr>
          <w:rStyle w:val="PlaceholderText"/>
          <w:color w:val="auto"/>
          <w:sz w:val="22"/>
          <w:szCs w:val="22"/>
        </w:rPr>
        <w:t>v nadväznosti na údaje získané od spotrebiteľa.</w:t>
      </w:r>
    </w:p>
    <w:p w:rsidR="007B36FF"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sidR="0065211A">
        <w:rPr>
          <w:rStyle w:val="PlaceholderText"/>
          <w:b/>
          <w:color w:val="auto"/>
          <w:sz w:val="22"/>
          <w:szCs w:val="22"/>
        </w:rPr>
        <w:t xml:space="preserve">K bodu </w:t>
      </w:r>
      <w:r w:rsidRPr="00C81A8D" w:rsidR="00B01E21">
        <w:rPr>
          <w:rStyle w:val="PlaceholderText"/>
          <w:b/>
          <w:color w:val="auto"/>
          <w:sz w:val="22"/>
          <w:szCs w:val="22"/>
        </w:rPr>
        <w:t>1</w:t>
      </w:r>
      <w:r w:rsidR="00DD3836">
        <w:rPr>
          <w:rStyle w:val="PlaceholderText"/>
          <w:b/>
          <w:color w:val="auto"/>
          <w:sz w:val="22"/>
          <w:szCs w:val="22"/>
        </w:rPr>
        <w:t>4</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Navrhovanou úpravou sa do zoznamu veriteľov doplní informácia, ktorou sa zabezpečí informovanosť spotrebiteľov o rozsahu (obmedzenom alebo neobmedzenom) poskytovania spotrebiteľských úverov príslušným veriteľom.</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sidR="00B204DF">
        <w:rPr>
          <w:rStyle w:val="PlaceholderText"/>
          <w:b/>
          <w:color w:val="auto"/>
          <w:sz w:val="22"/>
          <w:szCs w:val="22"/>
        </w:rPr>
        <w:t>K bodu 1</w:t>
      </w:r>
      <w:r w:rsidR="00DD3836">
        <w:rPr>
          <w:rStyle w:val="PlaceholderText"/>
          <w:b/>
          <w:color w:val="auto"/>
          <w:sz w:val="22"/>
          <w:szCs w:val="22"/>
        </w:rPr>
        <w:t>5</w:t>
      </w:r>
      <w:r w:rsidRPr="00C81A8D" w:rsidR="00B204DF">
        <w:rPr>
          <w:rStyle w:val="PlaceholderText"/>
          <w:b/>
          <w:color w:val="auto"/>
          <w:sz w:val="22"/>
          <w:szCs w:val="22"/>
        </w:rPr>
        <w:t xml:space="preserve"> a 1</w:t>
      </w:r>
      <w:r w:rsidR="00DD3836">
        <w:rPr>
          <w:rStyle w:val="PlaceholderText"/>
          <w:b/>
          <w:color w:val="auto"/>
          <w:sz w:val="22"/>
          <w:szCs w:val="22"/>
        </w:rPr>
        <w:t>6</w:t>
      </w:r>
    </w:p>
    <w:p w:rsidR="00C56F59" w:rsidRPr="00C81A8D">
      <w:pPr>
        <w:widowControl/>
        <w:bidi w:val="0"/>
        <w:jc w:val="both"/>
        <w:rPr>
          <w:rStyle w:val="PlaceholderText"/>
          <w:color w:val="auto"/>
          <w:sz w:val="22"/>
          <w:szCs w:val="22"/>
        </w:rPr>
      </w:pPr>
      <w:r w:rsidRPr="00C81A8D">
        <w:rPr>
          <w:rStyle w:val="PlaceholderText"/>
          <w:color w:val="auto"/>
          <w:sz w:val="22"/>
          <w:szCs w:val="22"/>
        </w:rPr>
        <w:t xml:space="preserve">Legislatívno-technická úprava za účelom zjednotenia údajov v zoznamoch, </w:t>
      </w:r>
      <w:r w:rsidRPr="00C81A8D" w:rsidR="00A87657">
        <w:rPr>
          <w:rStyle w:val="PlaceholderText"/>
          <w:color w:val="auto"/>
          <w:sz w:val="22"/>
          <w:szCs w:val="22"/>
        </w:rPr>
        <w:t>ktoré majú evidenčný charakter.</w:t>
      </w:r>
    </w:p>
    <w:p w:rsidR="00C56F59" w:rsidRPr="00C81A8D" w:rsidP="00A87657">
      <w:pPr>
        <w:widowControl/>
        <w:bidi w:val="0"/>
        <w:jc w:val="both"/>
        <w:rPr>
          <w:rStyle w:val="PlaceholderText"/>
          <w:color w:val="auto"/>
          <w:sz w:val="22"/>
          <w:szCs w:val="22"/>
        </w:rPr>
      </w:pPr>
    </w:p>
    <w:p w:rsidR="00B204DF" w:rsidP="00A87657">
      <w:pPr>
        <w:widowControl/>
        <w:bidi w:val="0"/>
        <w:jc w:val="both"/>
        <w:rPr>
          <w:rStyle w:val="PlaceholderText"/>
          <w:b/>
          <w:color w:val="auto"/>
          <w:sz w:val="22"/>
          <w:szCs w:val="22"/>
        </w:rPr>
      </w:pPr>
      <w:r w:rsidRPr="00C81A8D">
        <w:rPr>
          <w:rStyle w:val="PlaceholderText"/>
          <w:b/>
          <w:color w:val="auto"/>
          <w:sz w:val="22"/>
          <w:szCs w:val="22"/>
        </w:rPr>
        <w:t>K bodu 1</w:t>
      </w:r>
      <w:r w:rsidR="00DD3836">
        <w:rPr>
          <w:rStyle w:val="PlaceholderText"/>
          <w:b/>
          <w:color w:val="auto"/>
          <w:sz w:val="22"/>
          <w:szCs w:val="22"/>
        </w:rPr>
        <w:t>7</w:t>
      </w:r>
    </w:p>
    <w:p w:rsidR="008015A9" w:rsidRPr="00F04C84" w:rsidP="00A87657">
      <w:pPr>
        <w:widowControl/>
        <w:bidi w:val="0"/>
        <w:jc w:val="both"/>
        <w:rPr>
          <w:rStyle w:val="PlaceholderText"/>
          <w:color w:val="auto"/>
          <w:sz w:val="22"/>
          <w:szCs w:val="22"/>
        </w:rPr>
      </w:pPr>
      <w:r w:rsidRPr="00F04C84">
        <w:rPr>
          <w:rStyle w:val="PlaceholderText"/>
          <w:color w:val="auto"/>
          <w:sz w:val="22"/>
          <w:szCs w:val="22"/>
        </w:rPr>
        <w:t xml:space="preserve">Navrhovanou úpravou sa rozširuje vymedzenie hrubého porušenia podľa tohto zákona. </w:t>
      </w:r>
    </w:p>
    <w:p w:rsidR="008015A9" w:rsidRPr="00C81A8D" w:rsidP="00A87657">
      <w:pPr>
        <w:widowControl/>
        <w:bidi w:val="0"/>
        <w:jc w:val="both"/>
        <w:rPr>
          <w:rStyle w:val="PlaceholderText"/>
          <w:b/>
          <w:color w:val="auto"/>
          <w:sz w:val="22"/>
          <w:szCs w:val="22"/>
        </w:rPr>
      </w:pPr>
    </w:p>
    <w:p w:rsidR="008015A9" w:rsidRPr="00F04C84" w:rsidP="00B204DF">
      <w:pPr>
        <w:widowControl/>
        <w:bidi w:val="0"/>
        <w:jc w:val="both"/>
        <w:rPr>
          <w:rStyle w:val="PlaceholderText"/>
          <w:b/>
          <w:color w:val="auto"/>
          <w:sz w:val="22"/>
          <w:szCs w:val="22"/>
        </w:rPr>
      </w:pPr>
      <w:r w:rsidRPr="0013322C">
        <w:rPr>
          <w:rStyle w:val="PlaceholderText"/>
          <w:b/>
          <w:color w:val="auto"/>
          <w:sz w:val="22"/>
          <w:szCs w:val="22"/>
        </w:rPr>
        <w:t>K bodu 1</w:t>
      </w:r>
      <w:r w:rsidR="00DD3836">
        <w:rPr>
          <w:rStyle w:val="PlaceholderText"/>
          <w:b/>
          <w:color w:val="auto"/>
          <w:sz w:val="22"/>
          <w:szCs w:val="22"/>
        </w:rPr>
        <w:t>8</w:t>
      </w:r>
    </w:p>
    <w:p w:rsidR="00C56F59" w:rsidRPr="00C81A8D" w:rsidP="00B204DF">
      <w:pPr>
        <w:widowControl/>
        <w:bidi w:val="0"/>
        <w:jc w:val="both"/>
        <w:rPr>
          <w:rStyle w:val="PlaceholderText"/>
          <w:color w:val="auto"/>
          <w:sz w:val="22"/>
          <w:szCs w:val="22"/>
        </w:rPr>
      </w:pPr>
      <w:r w:rsidRPr="00C81A8D" w:rsidR="00B204DF">
        <w:rPr>
          <w:rStyle w:val="PlaceholderText"/>
          <w:color w:val="auto"/>
          <w:sz w:val="22"/>
          <w:szCs w:val="22"/>
        </w:rPr>
        <w:t xml:space="preserve">Navrhovanou úpravou  sa spresňuje ustanovenie § 11 ods. 3 v nadväznosti na neoprávnené poskytovanie spotrebiteľských úverov osobami bez  </w:t>
      </w:r>
      <w:r w:rsidRPr="00C81A8D" w:rsidR="00E02FE8">
        <w:rPr>
          <w:rStyle w:val="PlaceholderText"/>
          <w:color w:val="auto"/>
          <w:sz w:val="22"/>
          <w:szCs w:val="22"/>
        </w:rPr>
        <w:t>príslušného povolenia na poskytovanie spotrebiteľských úverov.</w:t>
      </w:r>
    </w:p>
    <w:p w:rsidR="00CC034A" w:rsidRPr="00C81A8D" w:rsidP="00B204DF">
      <w:pPr>
        <w:widowControl/>
        <w:bidi w:val="0"/>
        <w:jc w:val="both"/>
        <w:rPr>
          <w:rStyle w:val="PlaceholderText"/>
          <w:color w:val="auto"/>
          <w:sz w:val="22"/>
          <w:szCs w:val="22"/>
        </w:rPr>
      </w:pPr>
    </w:p>
    <w:p w:rsidR="00CC034A" w:rsidRPr="00C81A8D" w:rsidP="00B204DF">
      <w:pPr>
        <w:widowControl/>
        <w:bidi w:val="0"/>
        <w:jc w:val="both"/>
        <w:rPr>
          <w:rStyle w:val="PlaceholderText"/>
          <w:b/>
          <w:color w:val="auto"/>
          <w:sz w:val="22"/>
          <w:szCs w:val="22"/>
        </w:rPr>
      </w:pPr>
      <w:r w:rsidRPr="00C81A8D">
        <w:rPr>
          <w:rStyle w:val="PlaceholderText"/>
          <w:b/>
          <w:color w:val="auto"/>
          <w:sz w:val="22"/>
          <w:szCs w:val="22"/>
        </w:rPr>
        <w:t>K bodu 1</w:t>
      </w:r>
      <w:r w:rsidR="00DD3836">
        <w:rPr>
          <w:rStyle w:val="PlaceholderText"/>
          <w:b/>
          <w:color w:val="auto"/>
          <w:sz w:val="22"/>
          <w:szCs w:val="22"/>
        </w:rPr>
        <w:t>9</w:t>
      </w:r>
    </w:p>
    <w:p w:rsidR="00CC034A" w:rsidRPr="00C81A8D" w:rsidP="00B204DF">
      <w:pPr>
        <w:widowControl/>
        <w:bidi w:val="0"/>
        <w:jc w:val="both"/>
        <w:rPr>
          <w:rStyle w:val="PlaceholderText"/>
          <w:color w:val="auto"/>
          <w:sz w:val="22"/>
          <w:szCs w:val="22"/>
        </w:rPr>
      </w:pPr>
      <w:r w:rsidRPr="00C81A8D">
        <w:rPr>
          <w:rStyle w:val="PlaceholderText"/>
          <w:color w:val="auto"/>
          <w:sz w:val="22"/>
          <w:szCs w:val="22"/>
        </w:rPr>
        <w:t>Úprava vymedzuje</w:t>
      </w:r>
      <w:r w:rsidRPr="00C81A8D" w:rsidR="00853095">
        <w:rPr>
          <w:rStyle w:val="PlaceholderText"/>
          <w:color w:val="auto"/>
          <w:sz w:val="22"/>
          <w:szCs w:val="22"/>
        </w:rPr>
        <w:t xml:space="preserve"> obmedzenie postúpenia</w:t>
      </w:r>
      <w:r w:rsidRPr="00C81A8D">
        <w:rPr>
          <w:rStyle w:val="PlaceholderText"/>
          <w:color w:val="auto"/>
          <w:sz w:val="22"/>
          <w:szCs w:val="22"/>
        </w:rPr>
        <w:t xml:space="preserve"> pohľadávok iba na veriteľov s neobmedzenou licenciou, banky, zahraničné banky a pobočky zahraničných bánk.</w:t>
      </w:r>
    </w:p>
    <w:p w:rsidR="004F4453" w:rsidRPr="00C81A8D" w:rsidP="00B204DF">
      <w:pPr>
        <w:widowControl/>
        <w:bidi w:val="0"/>
        <w:jc w:val="both"/>
        <w:rPr>
          <w:rStyle w:val="PlaceholderText"/>
          <w:color w:val="auto"/>
          <w:sz w:val="22"/>
          <w:szCs w:val="22"/>
        </w:rPr>
      </w:pPr>
    </w:p>
    <w:p w:rsidR="004F4453" w:rsidRPr="00C81A8D" w:rsidP="00B204DF">
      <w:pPr>
        <w:widowControl/>
        <w:bidi w:val="0"/>
        <w:jc w:val="both"/>
        <w:rPr>
          <w:rStyle w:val="PlaceholderText"/>
          <w:b/>
          <w:color w:val="auto"/>
          <w:sz w:val="22"/>
          <w:szCs w:val="22"/>
        </w:rPr>
      </w:pPr>
      <w:r w:rsidRPr="00C81A8D">
        <w:rPr>
          <w:rStyle w:val="PlaceholderText"/>
          <w:b/>
          <w:color w:val="auto"/>
          <w:sz w:val="22"/>
          <w:szCs w:val="22"/>
        </w:rPr>
        <w:t>K</w:t>
      </w:r>
      <w:r w:rsidRPr="00B35E3A">
        <w:rPr>
          <w:rStyle w:val="PlaceholderText"/>
          <w:b/>
          <w:color w:val="auto"/>
          <w:sz w:val="22"/>
          <w:szCs w:val="22"/>
        </w:rPr>
        <w:t> </w:t>
      </w:r>
      <w:r w:rsidRPr="00B01E21" w:rsidR="00B01E21">
        <w:rPr>
          <w:rStyle w:val="PlaceholderText"/>
          <w:b/>
          <w:color w:val="auto"/>
          <w:sz w:val="22"/>
          <w:szCs w:val="22"/>
        </w:rPr>
        <w:t xml:space="preserve">bodu </w:t>
      </w:r>
      <w:r w:rsidR="00DD3836">
        <w:rPr>
          <w:rStyle w:val="PlaceholderText"/>
          <w:b/>
          <w:color w:val="auto"/>
          <w:sz w:val="22"/>
          <w:szCs w:val="22"/>
        </w:rPr>
        <w:t>20</w:t>
      </w:r>
    </w:p>
    <w:p w:rsidR="004F4453" w:rsidRPr="00D94F50" w:rsidP="00B204DF">
      <w:pPr>
        <w:widowControl/>
        <w:bidi w:val="0"/>
        <w:jc w:val="both"/>
        <w:rPr>
          <w:rStyle w:val="PlaceholderText"/>
          <w:color w:val="auto"/>
          <w:sz w:val="22"/>
          <w:szCs w:val="22"/>
        </w:rPr>
      </w:pPr>
      <w:r w:rsidRPr="0091580F" w:rsidR="0091580F">
        <w:rPr>
          <w:rStyle w:val="PlaceholderText"/>
          <w:color w:val="auto"/>
          <w:sz w:val="22"/>
          <w:szCs w:val="22"/>
        </w:rPr>
        <w:t>Navrhovaným ustanovením sa spresňuje ustanovenie § 17 ods. 1 s cieľom zohľadniť aplikačnú prax v oblasti postupovania pohľadávok</w:t>
      </w:r>
      <w:r w:rsidRPr="00B35E3A">
        <w:rPr>
          <w:rStyle w:val="PlaceholderText"/>
          <w:color w:val="auto"/>
          <w:sz w:val="22"/>
          <w:szCs w:val="22"/>
        </w:rPr>
        <w:t xml:space="preserve">. </w:t>
      </w:r>
    </w:p>
    <w:p w:rsidR="00CC034A" w:rsidRPr="00516A4F" w:rsidP="00B204DF">
      <w:pPr>
        <w:widowControl/>
        <w:bidi w:val="0"/>
        <w:jc w:val="both"/>
        <w:rPr>
          <w:rStyle w:val="PlaceholderText"/>
          <w:color w:val="auto"/>
          <w:sz w:val="22"/>
          <w:szCs w:val="22"/>
        </w:rPr>
      </w:pPr>
    </w:p>
    <w:p w:rsidR="00CC034A" w:rsidRPr="0091580F" w:rsidP="00B204DF">
      <w:pPr>
        <w:widowControl/>
        <w:bidi w:val="0"/>
        <w:jc w:val="both"/>
        <w:rPr>
          <w:rStyle w:val="PlaceholderText"/>
          <w:b/>
          <w:color w:val="auto"/>
          <w:sz w:val="22"/>
          <w:szCs w:val="22"/>
        </w:rPr>
      </w:pPr>
      <w:r w:rsidRPr="00516A4F">
        <w:rPr>
          <w:rStyle w:val="PlaceholderText"/>
          <w:b/>
          <w:color w:val="auto"/>
          <w:sz w:val="22"/>
          <w:szCs w:val="22"/>
        </w:rPr>
        <w:t xml:space="preserve">K bodu </w:t>
      </w:r>
      <w:r w:rsidR="008015A9">
        <w:rPr>
          <w:rStyle w:val="PlaceholderText"/>
          <w:b/>
          <w:color w:val="auto"/>
          <w:sz w:val="22"/>
          <w:szCs w:val="22"/>
        </w:rPr>
        <w:t>2</w:t>
      </w:r>
      <w:r w:rsidR="00DD3836">
        <w:rPr>
          <w:rStyle w:val="PlaceholderText"/>
          <w:b/>
          <w:color w:val="auto"/>
          <w:sz w:val="22"/>
          <w:szCs w:val="22"/>
        </w:rPr>
        <w:t>1</w:t>
      </w:r>
    </w:p>
    <w:p w:rsidR="004F74C5" w:rsidRPr="004F74C5" w:rsidP="004F74C5">
      <w:pPr>
        <w:widowControl/>
        <w:bidi w:val="0"/>
        <w:jc w:val="both"/>
        <w:rPr>
          <w:rStyle w:val="PlaceholderText"/>
          <w:color w:val="auto"/>
          <w:sz w:val="22"/>
          <w:szCs w:val="22"/>
        </w:rPr>
      </w:pPr>
      <w:r w:rsidRPr="004F74C5">
        <w:rPr>
          <w:rStyle w:val="PlaceholderText"/>
          <w:color w:val="auto"/>
          <w:sz w:val="22"/>
          <w:szCs w:val="22"/>
        </w:rPr>
        <w:t>Z dôvodu zosúladenia pojmu finančná inštitúcia uvedeného v § 20a ods. 16 sa „banky, zahraničné banky a pobočky zahraničných bánk nahrádzajú týmto jednotným pojmom</w:t>
      </w:r>
      <w:r w:rsidRPr="00370414">
        <w:rPr>
          <w:rStyle w:val="PlaceholderText"/>
          <w:color w:val="auto"/>
          <w:sz w:val="22"/>
          <w:szCs w:val="22"/>
        </w:rPr>
        <w:t xml:space="preserve">. </w:t>
      </w:r>
    </w:p>
    <w:p w:rsidR="00A25BF9" w:rsidRPr="00C81A8D">
      <w:pPr>
        <w:widowControl/>
        <w:bidi w:val="0"/>
        <w:jc w:val="both"/>
        <w:rPr>
          <w:rStyle w:val="PlaceholderText"/>
          <w:b/>
          <w:color w:val="auto"/>
          <w:sz w:val="22"/>
          <w:szCs w:val="22"/>
        </w:rPr>
      </w:pPr>
    </w:p>
    <w:p w:rsidR="00776A82" w:rsidRPr="00B01E21">
      <w:pPr>
        <w:widowControl/>
        <w:bidi w:val="0"/>
        <w:jc w:val="both"/>
        <w:rPr>
          <w:rStyle w:val="PlaceholderText"/>
          <w:b/>
          <w:color w:val="auto"/>
          <w:sz w:val="22"/>
          <w:szCs w:val="22"/>
        </w:rPr>
      </w:pPr>
      <w:r w:rsidRPr="00C81A8D">
        <w:rPr>
          <w:rStyle w:val="PlaceholderText"/>
          <w:b/>
          <w:color w:val="auto"/>
          <w:sz w:val="22"/>
          <w:szCs w:val="22"/>
        </w:rPr>
        <w:t xml:space="preserve">K bodu </w:t>
      </w:r>
      <w:r w:rsidR="00B01E21">
        <w:rPr>
          <w:rStyle w:val="PlaceholderText"/>
          <w:b/>
          <w:color w:val="auto"/>
          <w:sz w:val="22"/>
          <w:szCs w:val="22"/>
        </w:rPr>
        <w:t>2</w:t>
      </w:r>
      <w:r w:rsidR="00DD3836">
        <w:rPr>
          <w:rStyle w:val="PlaceholderText"/>
          <w:b/>
          <w:color w:val="auto"/>
          <w:sz w:val="22"/>
          <w:szCs w:val="22"/>
        </w:rPr>
        <w:t>2</w:t>
      </w:r>
    </w:p>
    <w:p w:rsidR="00776A82" w:rsidRPr="00516A4F">
      <w:pPr>
        <w:widowControl/>
        <w:bidi w:val="0"/>
        <w:jc w:val="both"/>
        <w:rPr>
          <w:rStyle w:val="PlaceholderText"/>
          <w:color w:val="auto"/>
          <w:sz w:val="22"/>
          <w:szCs w:val="22"/>
        </w:rPr>
      </w:pPr>
      <w:r w:rsidRPr="00516A4F">
        <w:rPr>
          <w:rStyle w:val="PlaceholderText"/>
          <w:color w:val="auto"/>
          <w:sz w:val="22"/>
          <w:szCs w:val="22"/>
        </w:rPr>
        <w:t xml:space="preserve">Úprava povinnosti veriteľa informovať spotrebiteľa o postúpení pohľadávky. </w:t>
      </w:r>
    </w:p>
    <w:p w:rsidR="00776A82" w:rsidRPr="0091580F">
      <w:pPr>
        <w:widowControl/>
        <w:bidi w:val="0"/>
        <w:jc w:val="both"/>
        <w:rPr>
          <w:rStyle w:val="PlaceholderText"/>
          <w:b/>
          <w:color w:val="auto"/>
          <w:sz w:val="22"/>
          <w:szCs w:val="22"/>
        </w:rPr>
      </w:pPr>
    </w:p>
    <w:p w:rsidR="00C56F59" w:rsidRPr="0091580F">
      <w:pPr>
        <w:widowControl/>
        <w:bidi w:val="0"/>
        <w:jc w:val="both"/>
        <w:rPr>
          <w:rStyle w:val="PlaceholderText"/>
          <w:color w:val="auto"/>
          <w:sz w:val="22"/>
          <w:szCs w:val="22"/>
        </w:rPr>
      </w:pPr>
      <w:r w:rsidRPr="0091580F">
        <w:rPr>
          <w:rStyle w:val="PlaceholderText"/>
          <w:b/>
          <w:color w:val="auto"/>
          <w:sz w:val="22"/>
          <w:szCs w:val="22"/>
        </w:rPr>
        <w:t xml:space="preserve">K bodu </w:t>
      </w:r>
      <w:r w:rsidRPr="0091580F" w:rsidR="00B01E21">
        <w:rPr>
          <w:rStyle w:val="PlaceholderText"/>
          <w:b/>
          <w:color w:val="auto"/>
          <w:sz w:val="22"/>
          <w:szCs w:val="22"/>
        </w:rPr>
        <w:t>2</w:t>
      </w:r>
      <w:r w:rsidR="00DD3836">
        <w:rPr>
          <w:rStyle w:val="PlaceholderText"/>
          <w:b/>
          <w:color w:val="auto"/>
          <w:sz w:val="22"/>
          <w:szCs w:val="22"/>
        </w:rPr>
        <w:t>3</w:t>
      </w:r>
    </w:p>
    <w:p w:rsidR="00C56F59" w:rsidRPr="00C81A8D">
      <w:pPr>
        <w:widowControl/>
        <w:bidi w:val="0"/>
        <w:jc w:val="both"/>
        <w:rPr>
          <w:rStyle w:val="PlaceholderText"/>
          <w:color w:val="auto"/>
          <w:sz w:val="22"/>
          <w:szCs w:val="22"/>
        </w:rPr>
      </w:pPr>
      <w:r w:rsidRPr="00C81A8D">
        <w:rPr>
          <w:rStyle w:val="PlaceholderText"/>
          <w:color w:val="auto"/>
          <w:sz w:val="22"/>
          <w:szCs w:val="22"/>
        </w:rPr>
        <w:t>Legislatívno-technická úprava v nadväznosti na povoľovací režim.</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b/>
          <w:color w:val="auto"/>
          <w:sz w:val="22"/>
          <w:szCs w:val="22"/>
        </w:rPr>
      </w:pPr>
      <w:r w:rsidRPr="00C81A8D">
        <w:rPr>
          <w:rStyle w:val="PlaceholderText"/>
          <w:b/>
          <w:color w:val="auto"/>
          <w:sz w:val="22"/>
          <w:szCs w:val="22"/>
        </w:rPr>
        <w:t xml:space="preserve">K bodu </w:t>
      </w:r>
      <w:r w:rsidRPr="00C81A8D" w:rsidR="00B01E21">
        <w:rPr>
          <w:rStyle w:val="PlaceholderText"/>
          <w:b/>
          <w:color w:val="auto"/>
          <w:sz w:val="22"/>
          <w:szCs w:val="22"/>
        </w:rPr>
        <w:t>2</w:t>
      </w:r>
      <w:r w:rsidR="00DD3836">
        <w:rPr>
          <w:rStyle w:val="PlaceholderText"/>
          <w:b/>
          <w:color w:val="auto"/>
          <w:sz w:val="22"/>
          <w:szCs w:val="22"/>
        </w:rPr>
        <w:t>4</w:t>
      </w:r>
    </w:p>
    <w:p w:rsidR="00E2247F" w:rsidRPr="00C81A8D">
      <w:pPr>
        <w:widowControl/>
        <w:bidi w:val="0"/>
        <w:jc w:val="both"/>
        <w:rPr>
          <w:rStyle w:val="PlaceholderText"/>
          <w:color w:val="auto"/>
          <w:sz w:val="22"/>
          <w:szCs w:val="22"/>
        </w:rPr>
      </w:pPr>
      <w:r w:rsidRPr="00C81A8D">
        <w:rPr>
          <w:rStyle w:val="PlaceholderText"/>
          <w:color w:val="auto"/>
          <w:sz w:val="22"/>
          <w:szCs w:val="22"/>
        </w:rPr>
        <w:t>Za účelom zvýšenia transparentnosti zákona č. 129/2010 Z. z. sa navrhuje upraviť</w:t>
      </w:r>
      <w:r w:rsidRPr="00C81A8D" w:rsidR="0091580F">
        <w:rPr>
          <w:rStyle w:val="PlaceholderText"/>
          <w:color w:val="auto"/>
          <w:sz w:val="22"/>
          <w:szCs w:val="22"/>
        </w:rPr>
        <w:t xml:space="preserve"> znenie § 20 ods. 1 úvodnej vety</w:t>
      </w:r>
      <w:r w:rsidRPr="00C81A8D">
        <w:rPr>
          <w:rStyle w:val="PlaceholderText"/>
          <w:color w:val="auto"/>
          <w:sz w:val="22"/>
          <w:szCs w:val="22"/>
        </w:rPr>
        <w:t xml:space="preserve"> tak, aby bolo precízne zosúladené s vymedzením definície veriteľa v ustanovení § 2 písm. b) zákona č. 129/2010 Z. z.</w:t>
      </w:r>
      <w:r w:rsidR="00A41C8D">
        <w:rPr>
          <w:rStyle w:val="PlaceholderText"/>
          <w:color w:val="auto"/>
          <w:sz w:val="22"/>
          <w:szCs w:val="22"/>
        </w:rPr>
        <w:t>,</w:t>
      </w:r>
      <w:r w:rsidRPr="00C81A8D">
        <w:rPr>
          <w:rStyle w:val="PlaceholderText"/>
          <w:color w:val="auto"/>
          <w:sz w:val="22"/>
          <w:szCs w:val="22"/>
        </w:rPr>
        <w:t xml:space="preserve"> čím sa zároveň prispieva k zdokonaleniu legislatívnych predpokladov na zabezpečenie efektívnejšieho, operatívnejšieho a účinnejšieho výkonu dohľadu pri postihovaní neoprávneného ponúkania alebo poskytovania spotrebiteľských úverov bez povolenia vyžadovaného zákonom č. 129/2010 Z. z.</w:t>
      </w:r>
    </w:p>
    <w:p w:rsidR="00E2247F" w:rsidRPr="00B35E3A">
      <w:pPr>
        <w:widowControl/>
        <w:bidi w:val="0"/>
        <w:jc w:val="both"/>
        <w:rPr>
          <w:rStyle w:val="PlaceholderText"/>
          <w:b/>
          <w:color w:val="auto"/>
          <w:sz w:val="22"/>
          <w:szCs w:val="22"/>
        </w:rPr>
      </w:pPr>
    </w:p>
    <w:p w:rsidR="00E2247F" w:rsidRPr="00C81A8D">
      <w:pPr>
        <w:widowControl/>
        <w:bidi w:val="0"/>
        <w:jc w:val="both"/>
        <w:rPr>
          <w:rStyle w:val="PlaceholderText"/>
          <w:b/>
          <w:color w:val="auto"/>
          <w:sz w:val="22"/>
          <w:szCs w:val="22"/>
        </w:rPr>
      </w:pPr>
      <w:r w:rsidRPr="00C81A8D">
        <w:rPr>
          <w:rStyle w:val="PlaceholderText"/>
          <w:b/>
          <w:color w:val="auto"/>
          <w:sz w:val="22"/>
          <w:szCs w:val="22"/>
        </w:rPr>
        <w:t xml:space="preserve">K bodu </w:t>
      </w:r>
      <w:r w:rsidR="00B01E21">
        <w:rPr>
          <w:rStyle w:val="PlaceholderText"/>
          <w:b/>
          <w:color w:val="auto"/>
          <w:sz w:val="22"/>
          <w:szCs w:val="22"/>
        </w:rPr>
        <w:t>2</w:t>
      </w:r>
      <w:r w:rsidR="00DD3836">
        <w:rPr>
          <w:rStyle w:val="PlaceholderText"/>
          <w:b/>
          <w:color w:val="auto"/>
          <w:sz w:val="22"/>
          <w:szCs w:val="22"/>
        </w:rPr>
        <w:t>5</w:t>
      </w:r>
    </w:p>
    <w:p w:rsidR="00C56F59" w:rsidRPr="00D94F50">
      <w:pPr>
        <w:widowControl/>
        <w:bidi w:val="0"/>
        <w:jc w:val="both"/>
        <w:rPr>
          <w:rStyle w:val="PlaceholderText"/>
          <w:color w:val="auto"/>
          <w:sz w:val="22"/>
          <w:szCs w:val="22"/>
        </w:rPr>
      </w:pPr>
      <w:r w:rsidRPr="00B35E3A">
        <w:rPr>
          <w:rStyle w:val="PlaceholderText"/>
          <w:color w:val="auto"/>
          <w:sz w:val="22"/>
          <w:szCs w:val="22"/>
        </w:rPr>
        <w:t>Legislatívno-technická úprava v</w:t>
      </w:r>
      <w:r w:rsidRPr="00D94F50">
        <w:rPr>
          <w:rStyle w:val="PlaceholderText"/>
          <w:color w:val="auto"/>
          <w:sz w:val="22"/>
          <w:szCs w:val="22"/>
        </w:rPr>
        <w:t xml:space="preserve"> nadväznosti na opravu správneho odkazu. </w:t>
      </w:r>
    </w:p>
    <w:p w:rsidR="00C56F59" w:rsidRPr="00516A4F">
      <w:pPr>
        <w:widowControl/>
        <w:bidi w:val="0"/>
        <w:jc w:val="both"/>
        <w:rPr>
          <w:rStyle w:val="PlaceholderText"/>
          <w:color w:val="auto"/>
          <w:sz w:val="22"/>
          <w:szCs w:val="22"/>
        </w:rPr>
      </w:pPr>
    </w:p>
    <w:p w:rsidR="00C56F59" w:rsidRPr="0091580F">
      <w:pPr>
        <w:widowControl/>
        <w:bidi w:val="0"/>
        <w:jc w:val="both"/>
        <w:rPr>
          <w:rStyle w:val="PlaceholderText"/>
          <w:color w:val="auto"/>
          <w:sz w:val="22"/>
          <w:szCs w:val="22"/>
        </w:rPr>
      </w:pPr>
      <w:r w:rsidRPr="00516A4F">
        <w:rPr>
          <w:rStyle w:val="PlaceholderText"/>
          <w:b/>
          <w:color w:val="auto"/>
          <w:sz w:val="22"/>
          <w:szCs w:val="22"/>
        </w:rPr>
        <w:t xml:space="preserve">K bodu </w:t>
      </w:r>
      <w:r w:rsidRPr="0091580F" w:rsidR="004F4453">
        <w:rPr>
          <w:rStyle w:val="PlaceholderText"/>
          <w:b/>
          <w:color w:val="auto"/>
          <w:sz w:val="22"/>
          <w:szCs w:val="22"/>
        </w:rPr>
        <w:t>2</w:t>
      </w:r>
      <w:r w:rsidR="00DD3836">
        <w:rPr>
          <w:rStyle w:val="PlaceholderText"/>
          <w:b/>
          <w:color w:val="auto"/>
          <w:sz w:val="22"/>
          <w:szCs w:val="22"/>
        </w:rPr>
        <w:t>6</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Navrhovanou úpravou sa do zákona dopĺňa, že veriteľ môže mať formu aj európskej spoločnosti, čím sa umožní, aby aj takáto forma spoločnosti mohla po splnení zákonom stanovených požiadaviek poskytovať spotrebiteľské úvery.</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B01E21">
        <w:rPr>
          <w:rStyle w:val="PlaceholderText"/>
          <w:b/>
          <w:color w:val="auto"/>
          <w:sz w:val="22"/>
          <w:szCs w:val="22"/>
        </w:rPr>
        <w:t>2</w:t>
      </w:r>
      <w:r w:rsidR="00DD3836">
        <w:rPr>
          <w:rStyle w:val="PlaceholderText"/>
          <w:b/>
          <w:color w:val="auto"/>
          <w:sz w:val="22"/>
          <w:szCs w:val="22"/>
        </w:rPr>
        <w:t>7</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Navrhovaná úprava zohľadňuje skutočnosť, že v prípade sp</w:t>
      </w:r>
      <w:r w:rsidRPr="00C81A8D" w:rsidR="00781F83">
        <w:rPr>
          <w:rStyle w:val="PlaceholderText"/>
          <w:color w:val="auto"/>
          <w:sz w:val="22"/>
          <w:szCs w:val="22"/>
        </w:rPr>
        <w:t>lnenia podmienok uvedených v</w:t>
      </w:r>
      <w:r w:rsidRPr="00C81A8D">
        <w:rPr>
          <w:rStyle w:val="PlaceholderText"/>
          <w:color w:val="auto"/>
          <w:sz w:val="22"/>
          <w:szCs w:val="22"/>
        </w:rPr>
        <w:t xml:space="preserve"> § 20a ods. 7 postačuje, aby mal veriteľ podľa § 20 ods. 1 písm. a) ustanoveného len vedúceho zamestnanca zodpovedného za výkon vnútornej kontroly. </w:t>
      </w:r>
    </w:p>
    <w:p w:rsidR="00A27154"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CC034A">
        <w:rPr>
          <w:rStyle w:val="PlaceholderText"/>
          <w:b/>
          <w:color w:val="auto"/>
          <w:sz w:val="22"/>
          <w:szCs w:val="22"/>
        </w:rPr>
        <w:t>2</w:t>
      </w:r>
      <w:r w:rsidR="00DD3836">
        <w:rPr>
          <w:rStyle w:val="PlaceholderText"/>
          <w:b/>
          <w:color w:val="auto"/>
          <w:sz w:val="22"/>
          <w:szCs w:val="22"/>
        </w:rPr>
        <w:t>8</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Navrhovaná úprava zohľadňuje skutočnosť, že v prípade sp</w:t>
      </w:r>
      <w:r w:rsidRPr="00C81A8D" w:rsidR="00781F83">
        <w:rPr>
          <w:rStyle w:val="PlaceholderText"/>
          <w:color w:val="auto"/>
          <w:sz w:val="22"/>
          <w:szCs w:val="22"/>
        </w:rPr>
        <w:t>lnenia podmienok uvedených v</w:t>
      </w:r>
      <w:r w:rsidRPr="00C81A8D">
        <w:rPr>
          <w:rStyle w:val="PlaceholderText"/>
          <w:color w:val="auto"/>
          <w:sz w:val="22"/>
          <w:szCs w:val="22"/>
        </w:rPr>
        <w:t xml:space="preserve"> § 20a ods. 7 postačuje, aby mal veriteľ podľa § 20 ods. 1 písm. a) ustanoveného len vedúceho zamestnanca zodpovedného za výkon vnútornej kontroly. Súčasne sa do ustanovenia § 20a ods. 3 písm. d) dopĺňa požiadavka  na predloženie dokladu o vzdelaní, ktorý osvedčuje, že zahraničné vzdelanie je porovnateľné so slovens</w:t>
      </w:r>
      <w:r w:rsidRPr="00C81A8D" w:rsidR="00781F83">
        <w:rPr>
          <w:rStyle w:val="PlaceholderText"/>
          <w:color w:val="auto"/>
          <w:sz w:val="22"/>
          <w:szCs w:val="22"/>
        </w:rPr>
        <w:t>kým vzdelaním.</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sidR="00F86D43">
        <w:rPr>
          <w:rStyle w:val="PlaceholderText"/>
          <w:b/>
          <w:color w:val="auto"/>
          <w:sz w:val="22"/>
          <w:szCs w:val="22"/>
        </w:rPr>
        <w:t>K bodu 2</w:t>
      </w:r>
      <w:r w:rsidR="00DD3836">
        <w:rPr>
          <w:rStyle w:val="PlaceholderText"/>
          <w:b/>
          <w:color w:val="auto"/>
          <w:sz w:val="22"/>
          <w:szCs w:val="22"/>
        </w:rPr>
        <w:t>9</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Navrhovaná úprava zohľadňuje skutočnosť, že v prípade spl</w:t>
      </w:r>
      <w:r w:rsidRPr="00C81A8D" w:rsidR="00781F83">
        <w:rPr>
          <w:rStyle w:val="PlaceholderText"/>
          <w:color w:val="auto"/>
          <w:sz w:val="22"/>
          <w:szCs w:val="22"/>
        </w:rPr>
        <w:t>nenia podmienok uvedených v </w:t>
      </w:r>
      <w:r w:rsidRPr="00C81A8D">
        <w:rPr>
          <w:rStyle w:val="PlaceholderText"/>
          <w:color w:val="auto"/>
          <w:sz w:val="22"/>
          <w:szCs w:val="22"/>
        </w:rPr>
        <w:t>§ 20a ods. 7 postačuje, aby mal veriteľ podľa § 20 ods. 1 písm. a) ustanoveného len vedúceho zamestnanca zodpovedného za výkon vnútornej kontroly. Súčasne sa do ustanovenia § 20a ods. 3 písm. f) dopĺňa požiadavka  na predloženie čestného vyhlásenia o úplnosti, správnosti, pravdivosti, pravosti a aktuálnosti dokladov s úradne osvedčeným podpisom osoby, ktorá sa navrhuje do funkcie vymedzenej zákonom, čím sa z dôvodu právnej istoty zabezpečí jednoznačné preukázanie, že predmetné vyhlásenie uskutočnila osoba, kto</w:t>
      </w:r>
      <w:r w:rsidRPr="00C81A8D" w:rsidR="00781F83">
        <w:rPr>
          <w:rStyle w:val="PlaceholderText"/>
          <w:color w:val="auto"/>
          <w:sz w:val="22"/>
          <w:szCs w:val="22"/>
        </w:rPr>
        <w:t>rej dôveryhodnosť sa posudzuje.</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b/>
          <w:color w:val="auto"/>
          <w:sz w:val="22"/>
          <w:szCs w:val="22"/>
        </w:rPr>
        <w:t xml:space="preserve">K bodu </w:t>
      </w:r>
      <w:r w:rsidR="00DD3836">
        <w:rPr>
          <w:rStyle w:val="PlaceholderText"/>
          <w:b/>
          <w:color w:val="auto"/>
          <w:sz w:val="22"/>
          <w:szCs w:val="22"/>
        </w:rPr>
        <w:t>30</w:t>
      </w:r>
    </w:p>
    <w:p w:rsidR="00C56F59" w:rsidRPr="00C81A8D">
      <w:pPr>
        <w:widowControl/>
        <w:bidi w:val="0"/>
        <w:jc w:val="both"/>
        <w:rPr>
          <w:rStyle w:val="PlaceholderText"/>
          <w:color w:val="auto"/>
          <w:sz w:val="22"/>
          <w:szCs w:val="22"/>
        </w:rPr>
      </w:pPr>
      <w:r w:rsidRPr="00C81A8D">
        <w:rPr>
          <w:rStyle w:val="PlaceholderText"/>
          <w:color w:val="auto"/>
          <w:sz w:val="22"/>
          <w:szCs w:val="22"/>
        </w:rPr>
        <w:t>Navrhovaná úprava zohľadňuje skutočnosť, že v prípade splnenia podmienok uvedený</w:t>
      </w:r>
      <w:r w:rsidRPr="00C81A8D" w:rsidR="00781F83">
        <w:rPr>
          <w:rStyle w:val="PlaceholderText"/>
          <w:color w:val="auto"/>
          <w:sz w:val="22"/>
          <w:szCs w:val="22"/>
        </w:rPr>
        <w:t>ch v </w:t>
      </w:r>
      <w:r w:rsidRPr="00C81A8D">
        <w:rPr>
          <w:rStyle w:val="PlaceholderText"/>
          <w:color w:val="auto"/>
          <w:sz w:val="22"/>
          <w:szCs w:val="22"/>
        </w:rPr>
        <w:t xml:space="preserve">§ 20a ods. 7 postačuje, aby mal veriteľ podľa § 20 ods. 1 písm. a) ustanoveného len vedúceho zamestnanca zodpovedného za výkon vnútornej kontroly. Tým však nie je dotknutá povinnosť vytvorenia systému vnútornej kontroly a nastavenia procesov kontrolnej činnosti. </w:t>
      </w:r>
    </w:p>
    <w:p w:rsidR="00C56F59" w:rsidRPr="00C81A8D">
      <w:pPr>
        <w:widowControl/>
        <w:bidi w:val="0"/>
        <w:jc w:val="both"/>
        <w:rPr>
          <w:rStyle w:val="PlaceholderText"/>
          <w:color w:val="auto"/>
          <w:sz w:val="22"/>
          <w:szCs w:val="22"/>
        </w:rPr>
      </w:pPr>
    </w:p>
    <w:p w:rsidR="00C56F59" w:rsidRPr="00B01E21">
      <w:pPr>
        <w:widowControl/>
        <w:bidi w:val="0"/>
        <w:jc w:val="both"/>
        <w:rPr>
          <w:rStyle w:val="PlaceholderText"/>
          <w:color w:val="auto"/>
          <w:sz w:val="22"/>
          <w:szCs w:val="22"/>
        </w:rPr>
      </w:pPr>
      <w:r w:rsidRPr="00C81A8D">
        <w:rPr>
          <w:rStyle w:val="PlaceholderText"/>
          <w:b/>
          <w:color w:val="auto"/>
          <w:sz w:val="22"/>
          <w:szCs w:val="22"/>
        </w:rPr>
        <w:t xml:space="preserve">K bodu </w:t>
      </w:r>
      <w:r w:rsidR="00E87B66">
        <w:rPr>
          <w:rStyle w:val="PlaceholderText"/>
          <w:b/>
          <w:color w:val="auto"/>
          <w:sz w:val="22"/>
          <w:szCs w:val="22"/>
        </w:rPr>
        <w:t>3</w:t>
      </w:r>
      <w:r w:rsidR="00DD3836">
        <w:rPr>
          <w:rStyle w:val="PlaceholderText"/>
          <w:b/>
          <w:color w:val="auto"/>
          <w:sz w:val="22"/>
          <w:szCs w:val="22"/>
        </w:rPr>
        <w:t>1</w:t>
      </w:r>
      <w:r w:rsidRPr="00B01E21" w:rsidR="00D10FAD">
        <w:rPr>
          <w:rStyle w:val="PlaceholderText"/>
          <w:b/>
          <w:color w:val="auto"/>
          <w:sz w:val="22"/>
          <w:szCs w:val="22"/>
        </w:rPr>
        <w:t xml:space="preserve"> </w:t>
      </w:r>
      <w:r w:rsidRPr="00B01E21">
        <w:rPr>
          <w:rStyle w:val="PlaceholderText"/>
          <w:b/>
          <w:color w:val="auto"/>
          <w:sz w:val="22"/>
          <w:szCs w:val="22"/>
        </w:rPr>
        <w:t xml:space="preserve">a </w:t>
      </w:r>
      <w:r w:rsidR="00B01E21">
        <w:rPr>
          <w:rStyle w:val="PlaceholderText"/>
          <w:b/>
          <w:color w:val="auto"/>
          <w:sz w:val="22"/>
          <w:szCs w:val="22"/>
        </w:rPr>
        <w:t>3</w:t>
      </w:r>
      <w:r w:rsidR="00DD3836">
        <w:rPr>
          <w:rStyle w:val="PlaceholderText"/>
          <w:b/>
          <w:color w:val="auto"/>
          <w:sz w:val="22"/>
          <w:szCs w:val="22"/>
        </w:rPr>
        <w:t>2</w:t>
      </w:r>
    </w:p>
    <w:p w:rsidR="00C56F59" w:rsidRPr="0091580F">
      <w:pPr>
        <w:widowControl/>
        <w:bidi w:val="0"/>
        <w:jc w:val="both"/>
        <w:rPr>
          <w:rStyle w:val="PlaceholderText"/>
          <w:color w:val="auto"/>
          <w:sz w:val="22"/>
          <w:szCs w:val="22"/>
        </w:rPr>
      </w:pPr>
      <w:r w:rsidRPr="00516A4F">
        <w:rPr>
          <w:rStyle w:val="PlaceholderText"/>
          <w:color w:val="auto"/>
          <w:sz w:val="22"/>
          <w:szCs w:val="22"/>
        </w:rPr>
        <w:t>Navrhovaná úprava zohľadňuje skutočnosť, že v prípade spl</w:t>
      </w:r>
      <w:r w:rsidRPr="00516A4F" w:rsidR="00781F83">
        <w:rPr>
          <w:rStyle w:val="PlaceholderText"/>
          <w:color w:val="auto"/>
          <w:sz w:val="22"/>
          <w:szCs w:val="22"/>
        </w:rPr>
        <w:t>nenia podmienok uvedených v</w:t>
      </w:r>
      <w:r w:rsidRPr="0091580F" w:rsidR="00781F83">
        <w:rPr>
          <w:rStyle w:val="PlaceholderText"/>
          <w:color w:val="auto"/>
          <w:sz w:val="22"/>
          <w:szCs w:val="22"/>
        </w:rPr>
        <w:t> </w:t>
      </w:r>
      <w:r w:rsidRPr="0091580F">
        <w:rPr>
          <w:rStyle w:val="PlaceholderText"/>
          <w:color w:val="auto"/>
          <w:sz w:val="22"/>
          <w:szCs w:val="22"/>
        </w:rPr>
        <w:t>§ 20a ods. 7 postačuje, aby mal veriteľ podľa § 20 ods. 1 písm. a) ustanoveného len vedúceho zamestnanca zodpovedného za výkon vnútornej kontroly.</w:t>
      </w:r>
    </w:p>
    <w:p w:rsidR="00C56F59" w:rsidRPr="00C81A8D">
      <w:pPr>
        <w:widowControl/>
        <w:bidi w:val="0"/>
        <w:jc w:val="both"/>
        <w:rPr>
          <w:rStyle w:val="PlaceholderText"/>
          <w:color w:val="auto"/>
          <w:sz w:val="22"/>
          <w:szCs w:val="22"/>
        </w:rPr>
      </w:pPr>
    </w:p>
    <w:p w:rsidR="00C56F59" w:rsidRPr="00C81A8D">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B01E21">
        <w:rPr>
          <w:rStyle w:val="PlaceholderText"/>
          <w:b/>
          <w:color w:val="auto"/>
          <w:sz w:val="22"/>
          <w:szCs w:val="22"/>
        </w:rPr>
        <w:t>3</w:t>
      </w:r>
      <w:r w:rsidR="00DD3836">
        <w:rPr>
          <w:rStyle w:val="PlaceholderText"/>
          <w:b/>
          <w:color w:val="auto"/>
          <w:sz w:val="22"/>
          <w:szCs w:val="22"/>
        </w:rPr>
        <w:t>3</w:t>
      </w:r>
    </w:p>
    <w:p w:rsidR="00C56F59" w:rsidRPr="00C81A8D">
      <w:pPr>
        <w:widowControl/>
        <w:bidi w:val="0"/>
        <w:jc w:val="both"/>
        <w:rPr>
          <w:rStyle w:val="PlaceholderText"/>
          <w:color w:val="auto"/>
          <w:sz w:val="22"/>
          <w:szCs w:val="22"/>
        </w:rPr>
      </w:pPr>
      <w:r w:rsidRPr="00C81A8D">
        <w:rPr>
          <w:rStyle w:val="PlaceholderText"/>
          <w:color w:val="auto"/>
          <w:sz w:val="22"/>
          <w:szCs w:val="22"/>
        </w:rPr>
        <w:t>Legislatívno-technická úprava za účelom vymedzenia, že sa jedná o činnosti, ktoré sú predmetom do</w:t>
      </w:r>
      <w:r w:rsidRPr="00C81A8D" w:rsidR="00781F83">
        <w:rPr>
          <w:rStyle w:val="PlaceholderText"/>
          <w:color w:val="auto"/>
          <w:sz w:val="22"/>
          <w:szCs w:val="22"/>
        </w:rPr>
        <w:t>hľadu Národnej banky Slovenska.</w:t>
      </w:r>
    </w:p>
    <w:p w:rsidR="00C56F59" w:rsidRPr="00C81A8D">
      <w:pPr>
        <w:widowControl/>
        <w:bidi w:val="0"/>
        <w:jc w:val="both"/>
        <w:rPr>
          <w:rStyle w:val="PlaceholderText"/>
          <w:color w:val="auto"/>
          <w:sz w:val="22"/>
          <w:szCs w:val="22"/>
        </w:rPr>
      </w:pPr>
    </w:p>
    <w:p w:rsidR="00C56F59" w:rsidRPr="00C81A8D" w:rsidP="00A87657">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B01E21">
        <w:rPr>
          <w:rStyle w:val="PlaceholderText"/>
          <w:b/>
          <w:color w:val="auto"/>
          <w:sz w:val="22"/>
          <w:szCs w:val="22"/>
        </w:rPr>
        <w:t>3</w:t>
      </w:r>
      <w:r w:rsidR="00DD3836">
        <w:rPr>
          <w:rStyle w:val="PlaceholderText"/>
          <w:b/>
          <w:color w:val="auto"/>
          <w:sz w:val="22"/>
          <w:szCs w:val="22"/>
        </w:rPr>
        <w:t>4</w:t>
      </w:r>
    </w:p>
    <w:p w:rsidR="00C56F59" w:rsidRPr="00C81A8D" w:rsidP="00A87657">
      <w:pPr>
        <w:widowControl/>
        <w:bidi w:val="0"/>
        <w:jc w:val="both"/>
        <w:rPr>
          <w:rStyle w:val="PlaceholderText"/>
          <w:color w:val="auto"/>
          <w:sz w:val="22"/>
          <w:szCs w:val="22"/>
        </w:rPr>
      </w:pPr>
      <w:r w:rsidRPr="00C81A8D">
        <w:rPr>
          <w:rStyle w:val="PlaceholderText"/>
          <w:color w:val="auto"/>
          <w:sz w:val="22"/>
          <w:szCs w:val="22"/>
        </w:rPr>
        <w:t xml:space="preserve">Legislatívno-technická úprava za účelom vymedzenia, že pri posudzovaní vhodnosti </w:t>
      </w:r>
      <w:r w:rsidR="00A41C8D">
        <w:rPr>
          <w:rStyle w:val="PlaceholderText"/>
          <w:color w:val="auto"/>
          <w:sz w:val="22"/>
          <w:szCs w:val="22"/>
        </w:rPr>
        <w:t>ide</w:t>
      </w:r>
      <w:r w:rsidRPr="00C81A8D" w:rsidR="00A41C8D">
        <w:rPr>
          <w:rStyle w:val="PlaceholderText"/>
          <w:color w:val="auto"/>
          <w:sz w:val="22"/>
          <w:szCs w:val="22"/>
        </w:rPr>
        <w:t xml:space="preserve"> </w:t>
      </w:r>
      <w:r w:rsidRPr="00C81A8D">
        <w:rPr>
          <w:rStyle w:val="PlaceholderText"/>
          <w:color w:val="auto"/>
          <w:sz w:val="22"/>
          <w:szCs w:val="22"/>
        </w:rPr>
        <w:t>o rozhodnutia orgá</w:t>
      </w:r>
      <w:r w:rsidRPr="00C81A8D" w:rsidR="00781F83">
        <w:rPr>
          <w:rStyle w:val="PlaceholderText"/>
          <w:color w:val="auto"/>
          <w:sz w:val="22"/>
          <w:szCs w:val="22"/>
        </w:rPr>
        <w:t>nu dozoru alebo orgánu dohľadu.</w:t>
      </w:r>
    </w:p>
    <w:p w:rsidR="00C56F59" w:rsidRPr="00C81A8D" w:rsidP="00A87657">
      <w:pPr>
        <w:widowControl/>
        <w:bidi w:val="0"/>
        <w:jc w:val="both"/>
        <w:rPr>
          <w:rStyle w:val="PlaceholderText"/>
          <w:color w:val="auto"/>
          <w:sz w:val="22"/>
          <w:szCs w:val="22"/>
        </w:rPr>
      </w:pPr>
    </w:p>
    <w:p w:rsidR="00C56F59" w:rsidRPr="00C81A8D" w:rsidP="00A87657">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B01E21">
        <w:rPr>
          <w:rStyle w:val="PlaceholderText"/>
          <w:b/>
          <w:color w:val="auto"/>
          <w:sz w:val="22"/>
          <w:szCs w:val="22"/>
        </w:rPr>
        <w:t>3</w:t>
      </w:r>
      <w:r w:rsidR="00DD3836">
        <w:rPr>
          <w:rStyle w:val="PlaceholderText"/>
          <w:b/>
          <w:color w:val="auto"/>
          <w:sz w:val="22"/>
          <w:szCs w:val="22"/>
        </w:rPr>
        <w:t>5</w:t>
      </w:r>
    </w:p>
    <w:p w:rsidR="00C56F59" w:rsidRPr="00C81A8D" w:rsidP="00A87657">
      <w:pPr>
        <w:widowControl/>
        <w:bidi w:val="0"/>
        <w:jc w:val="both"/>
        <w:rPr>
          <w:rStyle w:val="PlaceholderText"/>
          <w:color w:val="auto"/>
          <w:sz w:val="22"/>
          <w:szCs w:val="22"/>
        </w:rPr>
      </w:pPr>
      <w:r w:rsidRPr="00C81A8D">
        <w:rPr>
          <w:rStyle w:val="PlaceholderText"/>
          <w:color w:val="auto"/>
          <w:sz w:val="22"/>
          <w:szCs w:val="22"/>
        </w:rPr>
        <w:t>Doplnením navrhovaného ustanovenia § 20a ods. 19 písm. c) sa postupy na schvaľovanie spotrebiteľských úverov dopĺňajú o ďalšie postupy, ktoré budú jeho súčasťou. Ide o  tieto tri postupy:</w:t>
      </w:r>
    </w:p>
    <w:p w:rsidR="00C56F59" w:rsidRPr="00C81A8D" w:rsidP="00A87657">
      <w:pPr>
        <w:widowControl/>
        <w:bidi w:val="0"/>
        <w:jc w:val="both"/>
        <w:rPr>
          <w:rStyle w:val="PlaceholderText"/>
          <w:color w:val="auto"/>
          <w:sz w:val="22"/>
          <w:szCs w:val="22"/>
        </w:rPr>
      </w:pPr>
      <w:r w:rsidRPr="00C81A8D">
        <w:rPr>
          <w:rStyle w:val="PlaceholderText"/>
          <w:color w:val="auto"/>
          <w:sz w:val="22"/>
          <w:szCs w:val="22"/>
        </w:rPr>
        <w:t xml:space="preserve">a) postup týkajúci sa uplatňovania limitu pre ukazovateľ schopnosti splácať spotrebiteľský úver podľa </w:t>
      </w:r>
      <w:r w:rsidR="005328F2">
        <w:rPr>
          <w:rStyle w:val="PlaceholderText"/>
          <w:color w:val="auto"/>
          <w:sz w:val="22"/>
          <w:szCs w:val="22"/>
        </w:rPr>
        <w:t xml:space="preserve">§ 7 </w:t>
      </w:r>
      <w:r w:rsidR="00D12436">
        <w:rPr>
          <w:rStyle w:val="PlaceholderText"/>
          <w:color w:val="auto"/>
          <w:sz w:val="22"/>
          <w:szCs w:val="22"/>
        </w:rPr>
        <w:t xml:space="preserve">ods. </w:t>
      </w:r>
      <w:r w:rsidRPr="00C81A8D" w:rsidR="00A96348">
        <w:rPr>
          <w:rStyle w:val="PlaceholderText"/>
          <w:color w:val="auto"/>
          <w:sz w:val="22"/>
          <w:szCs w:val="22"/>
        </w:rPr>
        <w:t>19 až 28</w:t>
      </w:r>
      <w:r w:rsidRPr="00C81A8D" w:rsidR="00781F83">
        <w:rPr>
          <w:rStyle w:val="PlaceholderText"/>
          <w:color w:val="auto"/>
          <w:sz w:val="22"/>
          <w:szCs w:val="22"/>
        </w:rPr>
        <w:t>,</w:t>
      </w:r>
    </w:p>
    <w:p w:rsidR="00C56F59" w:rsidRPr="00C81A8D" w:rsidP="00A87657">
      <w:pPr>
        <w:widowControl/>
        <w:bidi w:val="0"/>
        <w:jc w:val="both"/>
        <w:rPr>
          <w:rStyle w:val="PlaceholderText"/>
          <w:color w:val="auto"/>
          <w:sz w:val="22"/>
          <w:szCs w:val="22"/>
        </w:rPr>
      </w:pPr>
      <w:r w:rsidRPr="00C81A8D">
        <w:rPr>
          <w:rStyle w:val="PlaceholderText"/>
          <w:color w:val="auto"/>
          <w:sz w:val="22"/>
          <w:szCs w:val="22"/>
        </w:rPr>
        <w:t>b) postup týkajúci  sa uplatňovania lehoty splatnosti spotrebiteľského úveru podľa</w:t>
      </w:r>
      <w:r w:rsidR="005328F2">
        <w:rPr>
          <w:rStyle w:val="PlaceholderText"/>
          <w:color w:val="auto"/>
          <w:sz w:val="22"/>
          <w:szCs w:val="22"/>
        </w:rPr>
        <w:t xml:space="preserve"> </w:t>
      </w:r>
      <w:r w:rsidRPr="005328F2" w:rsidR="005328F2">
        <w:rPr>
          <w:rStyle w:val="PlaceholderText"/>
          <w:color w:val="auto"/>
          <w:sz w:val="22"/>
          <w:szCs w:val="22"/>
        </w:rPr>
        <w:t>§ 7</w:t>
      </w:r>
      <w:r w:rsidRPr="00C81A8D">
        <w:rPr>
          <w:rStyle w:val="PlaceholderText"/>
          <w:color w:val="auto"/>
          <w:sz w:val="22"/>
          <w:szCs w:val="22"/>
        </w:rPr>
        <w:t xml:space="preserve"> ods</w:t>
      </w:r>
      <w:r w:rsidR="00D12436">
        <w:rPr>
          <w:rStyle w:val="PlaceholderText"/>
          <w:color w:val="auto"/>
          <w:sz w:val="22"/>
          <w:szCs w:val="22"/>
        </w:rPr>
        <w:t>.</w:t>
      </w:r>
      <w:r w:rsidRPr="00C81A8D">
        <w:rPr>
          <w:rStyle w:val="PlaceholderText"/>
          <w:color w:val="auto"/>
          <w:sz w:val="22"/>
          <w:szCs w:val="22"/>
        </w:rPr>
        <w:t xml:space="preserve"> </w:t>
      </w:r>
      <w:r w:rsidRPr="00C81A8D" w:rsidR="00A96348">
        <w:rPr>
          <w:rStyle w:val="PlaceholderText"/>
          <w:color w:val="auto"/>
          <w:sz w:val="22"/>
          <w:szCs w:val="22"/>
        </w:rPr>
        <w:t>29 až 31</w:t>
      </w:r>
      <w:r w:rsidRPr="00C81A8D">
        <w:rPr>
          <w:rStyle w:val="PlaceholderText"/>
          <w:color w:val="auto"/>
          <w:sz w:val="22"/>
          <w:szCs w:val="22"/>
        </w:rPr>
        <w:t>,</w:t>
      </w:r>
    </w:p>
    <w:p w:rsidR="006D1B8A" w:rsidRPr="00C81A8D" w:rsidP="00A87657">
      <w:pPr>
        <w:widowControl/>
        <w:bidi w:val="0"/>
        <w:jc w:val="both"/>
        <w:rPr>
          <w:rStyle w:val="PlaceholderText"/>
          <w:color w:val="auto"/>
          <w:sz w:val="22"/>
          <w:szCs w:val="22"/>
        </w:rPr>
      </w:pPr>
      <w:r w:rsidRPr="00C81A8D" w:rsidR="00C56F59">
        <w:rPr>
          <w:rStyle w:val="PlaceholderText"/>
          <w:color w:val="auto"/>
          <w:sz w:val="22"/>
          <w:szCs w:val="22"/>
        </w:rPr>
        <w:t xml:space="preserve">c) postup týkajúci sa uplatňovania požiadaviek na spôsob a podmienky splácania spotrebiteľského úveru podľa </w:t>
      </w:r>
      <w:r w:rsidRPr="005328F2" w:rsidR="005328F2">
        <w:rPr>
          <w:rStyle w:val="PlaceholderText"/>
          <w:color w:val="auto"/>
          <w:sz w:val="22"/>
          <w:szCs w:val="22"/>
        </w:rPr>
        <w:t>§ 7</w:t>
      </w:r>
      <w:r w:rsidR="005328F2">
        <w:rPr>
          <w:rStyle w:val="PlaceholderText"/>
          <w:color w:val="auto"/>
          <w:sz w:val="22"/>
          <w:szCs w:val="22"/>
        </w:rPr>
        <w:t xml:space="preserve"> </w:t>
      </w:r>
      <w:r w:rsidRPr="00C81A8D" w:rsidR="00C56F59">
        <w:rPr>
          <w:rStyle w:val="PlaceholderText"/>
          <w:color w:val="auto"/>
          <w:sz w:val="22"/>
          <w:szCs w:val="22"/>
        </w:rPr>
        <w:t>ods</w:t>
      </w:r>
      <w:r w:rsidR="00D12436">
        <w:rPr>
          <w:rStyle w:val="PlaceholderText"/>
          <w:color w:val="auto"/>
          <w:sz w:val="22"/>
          <w:szCs w:val="22"/>
        </w:rPr>
        <w:t xml:space="preserve">. </w:t>
      </w:r>
      <w:r w:rsidRPr="00C81A8D" w:rsidR="00A96348">
        <w:rPr>
          <w:rStyle w:val="PlaceholderText"/>
          <w:color w:val="auto"/>
          <w:sz w:val="22"/>
          <w:szCs w:val="22"/>
        </w:rPr>
        <w:t>32</w:t>
      </w:r>
      <w:r w:rsidRPr="00C81A8D" w:rsidR="00C56F59">
        <w:rPr>
          <w:rStyle w:val="PlaceholderText"/>
          <w:color w:val="auto"/>
          <w:sz w:val="22"/>
          <w:szCs w:val="22"/>
        </w:rPr>
        <w:t xml:space="preserve"> až </w:t>
      </w:r>
      <w:r w:rsidRPr="00C81A8D" w:rsidR="00A96348">
        <w:rPr>
          <w:rStyle w:val="PlaceholderText"/>
          <w:color w:val="auto"/>
          <w:sz w:val="22"/>
          <w:szCs w:val="22"/>
        </w:rPr>
        <w:t>38</w:t>
      </w:r>
      <w:r w:rsidRPr="00C81A8D" w:rsidR="00C56F59">
        <w:rPr>
          <w:rStyle w:val="PlaceholderText"/>
          <w:color w:val="auto"/>
          <w:sz w:val="22"/>
          <w:szCs w:val="22"/>
        </w:rPr>
        <w:t>.</w:t>
      </w:r>
    </w:p>
    <w:p w:rsidR="00C56F59" w:rsidRPr="00C81A8D" w:rsidP="00A87657">
      <w:pPr>
        <w:widowControl/>
        <w:bidi w:val="0"/>
        <w:jc w:val="both"/>
        <w:rPr>
          <w:rStyle w:val="PlaceholderText"/>
          <w:color w:val="auto"/>
          <w:sz w:val="22"/>
          <w:szCs w:val="22"/>
        </w:rPr>
      </w:pPr>
    </w:p>
    <w:p w:rsidR="006D1B8A" w:rsidRPr="00C81A8D" w:rsidP="00A87657">
      <w:pPr>
        <w:widowControl/>
        <w:bidi w:val="0"/>
        <w:jc w:val="both"/>
        <w:rPr>
          <w:rStyle w:val="PlaceholderText"/>
          <w:b/>
          <w:color w:val="auto"/>
          <w:sz w:val="22"/>
          <w:szCs w:val="22"/>
        </w:rPr>
      </w:pPr>
      <w:r w:rsidRPr="00C81A8D" w:rsidR="00C56F59">
        <w:rPr>
          <w:rStyle w:val="PlaceholderText"/>
          <w:b/>
          <w:color w:val="auto"/>
          <w:sz w:val="22"/>
          <w:szCs w:val="22"/>
        </w:rPr>
        <w:t xml:space="preserve">K bodu </w:t>
      </w:r>
      <w:r w:rsidRPr="00C81A8D" w:rsidR="00B01E21">
        <w:rPr>
          <w:rStyle w:val="PlaceholderText"/>
          <w:b/>
          <w:color w:val="auto"/>
          <w:sz w:val="22"/>
          <w:szCs w:val="22"/>
        </w:rPr>
        <w:t>3</w:t>
      </w:r>
      <w:r w:rsidR="00DD3836">
        <w:rPr>
          <w:rStyle w:val="PlaceholderText"/>
          <w:b/>
          <w:color w:val="auto"/>
          <w:sz w:val="22"/>
          <w:szCs w:val="22"/>
        </w:rPr>
        <w:t>6</w:t>
      </w:r>
    </w:p>
    <w:p w:rsidR="006D1B8A" w:rsidRPr="00C81A8D" w:rsidP="00A87657">
      <w:pPr>
        <w:widowControl/>
        <w:bidi w:val="0"/>
        <w:jc w:val="both"/>
        <w:rPr>
          <w:rStyle w:val="PlaceholderText"/>
          <w:color w:val="auto"/>
          <w:sz w:val="22"/>
          <w:szCs w:val="22"/>
        </w:rPr>
      </w:pPr>
      <w:r w:rsidRPr="00C81A8D" w:rsidR="00F86BC2">
        <w:rPr>
          <w:rStyle w:val="PlaceholderText"/>
          <w:color w:val="auto"/>
          <w:sz w:val="22"/>
          <w:szCs w:val="22"/>
        </w:rPr>
        <w:t xml:space="preserve">Úprava v nadväznosti na body </w:t>
      </w:r>
      <w:r w:rsidR="00E87B66">
        <w:rPr>
          <w:rStyle w:val="PlaceholderText"/>
          <w:color w:val="auto"/>
          <w:sz w:val="22"/>
          <w:szCs w:val="22"/>
        </w:rPr>
        <w:t>3</w:t>
      </w:r>
      <w:r w:rsidR="00DD3836">
        <w:rPr>
          <w:rStyle w:val="PlaceholderText"/>
          <w:color w:val="auto"/>
          <w:sz w:val="22"/>
          <w:szCs w:val="22"/>
        </w:rPr>
        <w:t>1</w:t>
      </w:r>
      <w:r w:rsidRPr="0091580F" w:rsidR="00E87B66">
        <w:rPr>
          <w:rStyle w:val="PlaceholderText"/>
          <w:color w:val="auto"/>
          <w:sz w:val="22"/>
          <w:szCs w:val="22"/>
        </w:rPr>
        <w:t xml:space="preserve"> </w:t>
      </w:r>
      <w:r w:rsidRPr="0091580F" w:rsidR="00F86BC2">
        <w:rPr>
          <w:rStyle w:val="PlaceholderText"/>
          <w:color w:val="auto"/>
          <w:sz w:val="22"/>
          <w:szCs w:val="22"/>
        </w:rPr>
        <w:t>a</w:t>
      </w:r>
      <w:r w:rsidR="00E87B66">
        <w:rPr>
          <w:rStyle w:val="PlaceholderText"/>
          <w:color w:val="auto"/>
          <w:sz w:val="22"/>
          <w:szCs w:val="22"/>
        </w:rPr>
        <w:t xml:space="preserve"> 3</w:t>
      </w:r>
      <w:r w:rsidR="00DD3836">
        <w:rPr>
          <w:rStyle w:val="PlaceholderText"/>
          <w:color w:val="auto"/>
          <w:sz w:val="22"/>
          <w:szCs w:val="22"/>
        </w:rPr>
        <w:t>2</w:t>
      </w:r>
      <w:r w:rsidRPr="0091580F" w:rsidR="00E539B5">
        <w:rPr>
          <w:rStyle w:val="PlaceholderText"/>
          <w:color w:val="auto"/>
          <w:sz w:val="22"/>
          <w:szCs w:val="22"/>
        </w:rPr>
        <w:t>.</w:t>
      </w:r>
    </w:p>
    <w:p w:rsidR="00941017" w:rsidRPr="00C81A8D" w:rsidP="00A87657">
      <w:pPr>
        <w:widowControl/>
        <w:bidi w:val="0"/>
        <w:jc w:val="both"/>
        <w:rPr>
          <w:rStyle w:val="PlaceholderText"/>
          <w:b/>
          <w:color w:val="auto"/>
          <w:sz w:val="22"/>
          <w:szCs w:val="22"/>
        </w:rPr>
      </w:pPr>
    </w:p>
    <w:p w:rsidR="006D1B8A" w:rsidRPr="00C81A8D" w:rsidP="00A87657">
      <w:pPr>
        <w:widowControl/>
        <w:bidi w:val="0"/>
        <w:jc w:val="both"/>
        <w:rPr>
          <w:rStyle w:val="PlaceholderText"/>
          <w:b/>
          <w:color w:val="auto"/>
          <w:sz w:val="22"/>
          <w:szCs w:val="22"/>
        </w:rPr>
      </w:pPr>
      <w:r w:rsidRPr="00C81A8D" w:rsidR="00E2247F">
        <w:rPr>
          <w:rStyle w:val="PlaceholderText"/>
          <w:b/>
          <w:color w:val="auto"/>
          <w:sz w:val="22"/>
          <w:szCs w:val="22"/>
        </w:rPr>
        <w:t>K bodu 3</w:t>
      </w:r>
      <w:r w:rsidR="00DD3836">
        <w:rPr>
          <w:rStyle w:val="PlaceholderText"/>
          <w:b/>
          <w:color w:val="auto"/>
          <w:sz w:val="22"/>
          <w:szCs w:val="22"/>
        </w:rPr>
        <w:t>7</w:t>
      </w:r>
    </w:p>
    <w:p w:rsidR="00C56F59" w:rsidRPr="0091580F" w:rsidP="00A87657">
      <w:pPr>
        <w:widowControl/>
        <w:bidi w:val="0"/>
        <w:jc w:val="both"/>
        <w:rPr>
          <w:rStyle w:val="PlaceholderText"/>
          <w:color w:val="auto"/>
          <w:sz w:val="22"/>
          <w:szCs w:val="22"/>
        </w:rPr>
      </w:pPr>
      <w:r w:rsidRPr="00B35E3A">
        <w:rPr>
          <w:rStyle w:val="PlaceholderText"/>
          <w:color w:val="auto"/>
          <w:sz w:val="22"/>
          <w:szCs w:val="22"/>
        </w:rPr>
        <w:t>Podľa aktuálneho znenia zákona o spotrebiteľských úveroch Národná banka Slovenska nemá zákonné splnomocnenie na zbieranie potrebných údajov od veriteľov, ktorí majú udelené povolenie poskytovať</w:t>
      </w:r>
      <w:r w:rsidRPr="00D94F50">
        <w:rPr>
          <w:rStyle w:val="PlaceholderText"/>
          <w:color w:val="auto"/>
          <w:sz w:val="22"/>
          <w:szCs w:val="22"/>
        </w:rPr>
        <w:t xml:space="preserve"> spotrebiteľské úvery v</w:t>
      </w:r>
      <w:r w:rsidRPr="00516A4F">
        <w:rPr>
          <w:rStyle w:val="PlaceholderText"/>
          <w:color w:val="auto"/>
          <w:sz w:val="22"/>
          <w:szCs w:val="22"/>
        </w:rPr>
        <w:t> neobmedzenom rozsahu, touto úpravou sa toto splnomocňovacie ustanovenie navr</w:t>
      </w:r>
      <w:r w:rsidRPr="0091580F" w:rsidR="00781F83">
        <w:rPr>
          <w:rStyle w:val="PlaceholderText"/>
          <w:color w:val="auto"/>
          <w:sz w:val="22"/>
          <w:szCs w:val="22"/>
        </w:rPr>
        <w:t xml:space="preserve">huje do návrhu zákona doplniť. </w:t>
      </w:r>
      <w:r w:rsidRPr="0091580F">
        <w:rPr>
          <w:rStyle w:val="PlaceholderText"/>
          <w:color w:val="auto"/>
          <w:sz w:val="22"/>
          <w:szCs w:val="22"/>
        </w:rPr>
        <w:t xml:space="preserve">Pre veriteľov s povolením poskytovať spotrebiteľské úvery v obmedzenom rozsahu je takého splnomocňovacie ustanovenie uvedené v § 20b ods. 9. </w:t>
      </w:r>
    </w:p>
    <w:p w:rsidR="00C56F59" w:rsidRPr="00C81A8D" w:rsidP="00A87657">
      <w:pPr>
        <w:widowControl/>
        <w:bidi w:val="0"/>
        <w:jc w:val="both"/>
        <w:rPr>
          <w:rStyle w:val="PlaceholderText"/>
          <w:color w:val="auto"/>
          <w:sz w:val="22"/>
          <w:szCs w:val="22"/>
        </w:rPr>
      </w:pPr>
    </w:p>
    <w:p w:rsidR="00C56F59" w:rsidRPr="00C81A8D" w:rsidP="00A87657">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CC034A">
        <w:rPr>
          <w:rStyle w:val="PlaceholderText"/>
          <w:b/>
          <w:color w:val="auto"/>
          <w:sz w:val="22"/>
          <w:szCs w:val="22"/>
        </w:rPr>
        <w:t>3</w:t>
      </w:r>
      <w:r w:rsidR="00DD3836">
        <w:rPr>
          <w:rStyle w:val="PlaceholderText"/>
          <w:b/>
          <w:color w:val="auto"/>
          <w:sz w:val="22"/>
          <w:szCs w:val="22"/>
        </w:rPr>
        <w:t>8</w:t>
      </w:r>
    </w:p>
    <w:p w:rsidR="00C56F59" w:rsidRPr="00C81A8D" w:rsidP="00A87657">
      <w:pPr>
        <w:widowControl/>
        <w:bidi w:val="0"/>
        <w:jc w:val="both"/>
        <w:rPr>
          <w:rStyle w:val="PlaceholderText"/>
          <w:color w:val="auto"/>
          <w:sz w:val="22"/>
          <w:szCs w:val="22"/>
        </w:rPr>
      </w:pPr>
      <w:r w:rsidRPr="00C81A8D">
        <w:rPr>
          <w:rStyle w:val="PlaceholderText"/>
          <w:color w:val="auto"/>
          <w:sz w:val="22"/>
          <w:szCs w:val="22"/>
        </w:rPr>
        <w:t xml:space="preserve">Navrhovanou úpravou sa do § 20b ods. 2 dopĺňa právna forma veriteľa podľa § 20 ods. 1 písm. b). Súčasne sa upravujú požiadavky na prílohy, ktoré majú byť súčasťou žiadosti tak, aby boli </w:t>
      </w:r>
      <w:r w:rsidRPr="00C81A8D" w:rsidR="00262FAB">
        <w:rPr>
          <w:rStyle w:val="PlaceholderText"/>
          <w:color w:val="auto"/>
          <w:sz w:val="22"/>
          <w:szCs w:val="22"/>
        </w:rPr>
        <w:t xml:space="preserve">v </w:t>
      </w:r>
      <w:r w:rsidRPr="00C81A8D">
        <w:rPr>
          <w:rStyle w:val="PlaceholderText"/>
          <w:color w:val="auto"/>
          <w:sz w:val="22"/>
          <w:szCs w:val="22"/>
        </w:rPr>
        <w:t xml:space="preserve">súlade s podmienkami na udelenie povolenia. </w:t>
      </w:r>
    </w:p>
    <w:p w:rsidR="00C56F59" w:rsidRPr="00C81A8D" w:rsidP="00A87657">
      <w:pPr>
        <w:widowControl/>
        <w:bidi w:val="0"/>
        <w:jc w:val="both"/>
        <w:rPr>
          <w:rStyle w:val="PlaceholderText"/>
          <w:color w:val="auto"/>
          <w:sz w:val="22"/>
          <w:szCs w:val="22"/>
        </w:rPr>
      </w:pPr>
    </w:p>
    <w:p w:rsidR="00C56F59" w:rsidRPr="00C81A8D" w:rsidP="00A87657">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CC034A">
        <w:rPr>
          <w:rStyle w:val="PlaceholderText"/>
          <w:b/>
          <w:color w:val="auto"/>
          <w:sz w:val="22"/>
          <w:szCs w:val="22"/>
        </w:rPr>
        <w:t>3</w:t>
      </w:r>
      <w:r w:rsidR="00DD3836">
        <w:rPr>
          <w:rStyle w:val="PlaceholderText"/>
          <w:b/>
          <w:color w:val="auto"/>
          <w:sz w:val="22"/>
          <w:szCs w:val="22"/>
        </w:rPr>
        <w:t>9</w:t>
      </w:r>
    </w:p>
    <w:p w:rsidR="00C56F59" w:rsidRPr="0091580F" w:rsidP="00A87657">
      <w:pPr>
        <w:widowControl/>
        <w:bidi w:val="0"/>
        <w:jc w:val="both"/>
        <w:rPr>
          <w:rStyle w:val="PlaceholderText"/>
          <w:color w:val="auto"/>
          <w:sz w:val="22"/>
          <w:szCs w:val="22"/>
        </w:rPr>
      </w:pPr>
      <w:r w:rsidRPr="00C81A8D">
        <w:rPr>
          <w:rStyle w:val="PlaceholderText"/>
          <w:color w:val="auto"/>
          <w:sz w:val="22"/>
          <w:szCs w:val="22"/>
        </w:rPr>
        <w:t xml:space="preserve">Navrhovanou úpravou sa do zákona dopĺňa povinnosť veriteľa podľa § 20 ods. 1 písm. b) informovať Národnú banku Slovenska o začatí poskytovania spotrebiteľských úverov. Uvedená informácia je potrebná </w:t>
      </w:r>
      <w:r w:rsidRPr="00C81A8D" w:rsidR="00C91A67">
        <w:rPr>
          <w:rStyle w:val="PlaceholderText"/>
          <w:color w:val="auto"/>
          <w:sz w:val="22"/>
          <w:szCs w:val="22"/>
        </w:rPr>
        <w:t xml:space="preserve">na </w:t>
      </w:r>
      <w:r w:rsidRPr="00C81A8D">
        <w:rPr>
          <w:rStyle w:val="PlaceholderText"/>
          <w:color w:val="auto"/>
          <w:sz w:val="22"/>
          <w:szCs w:val="22"/>
        </w:rPr>
        <w:t xml:space="preserve">účely </w:t>
      </w:r>
      <w:r w:rsidR="0091580F">
        <w:rPr>
          <w:rStyle w:val="PlaceholderText"/>
          <w:color w:val="auto"/>
          <w:sz w:val="22"/>
          <w:szCs w:val="22"/>
        </w:rPr>
        <w:t>výpočtu</w:t>
      </w:r>
      <w:r w:rsidRPr="0091580F" w:rsidR="0091580F">
        <w:rPr>
          <w:rStyle w:val="PlaceholderText"/>
          <w:color w:val="auto"/>
          <w:sz w:val="22"/>
          <w:szCs w:val="22"/>
        </w:rPr>
        <w:t xml:space="preserve"> </w:t>
      </w:r>
      <w:r w:rsidRPr="0091580F">
        <w:rPr>
          <w:rStyle w:val="PlaceholderText"/>
          <w:color w:val="auto"/>
          <w:sz w:val="22"/>
          <w:szCs w:val="22"/>
        </w:rPr>
        <w:t>celkového objemu poskytnutých úverov, ktorý je obmedzený pri veriteľoch podľa § 20 ods. 1 písm. b).</w:t>
      </w:r>
    </w:p>
    <w:p w:rsidR="00C56F59" w:rsidRPr="00C81A8D" w:rsidP="00A87657">
      <w:pPr>
        <w:widowControl/>
        <w:bidi w:val="0"/>
        <w:jc w:val="both"/>
        <w:rPr>
          <w:rStyle w:val="PlaceholderText"/>
          <w:color w:val="auto"/>
          <w:sz w:val="22"/>
          <w:szCs w:val="22"/>
        </w:rPr>
      </w:pPr>
    </w:p>
    <w:p w:rsidR="00550A85" w:rsidRPr="00C81A8D" w:rsidP="00550A85">
      <w:pPr>
        <w:widowControl/>
        <w:bidi w:val="0"/>
        <w:jc w:val="both"/>
        <w:rPr>
          <w:rStyle w:val="PlaceholderText"/>
          <w:b/>
          <w:color w:val="auto"/>
          <w:sz w:val="22"/>
          <w:szCs w:val="22"/>
        </w:rPr>
      </w:pPr>
      <w:r w:rsidRPr="00C81A8D">
        <w:rPr>
          <w:rStyle w:val="PlaceholderText"/>
          <w:b/>
          <w:color w:val="auto"/>
          <w:sz w:val="22"/>
          <w:szCs w:val="22"/>
        </w:rPr>
        <w:t xml:space="preserve">K bodu </w:t>
      </w:r>
      <w:r w:rsidR="00DD3836">
        <w:rPr>
          <w:rStyle w:val="PlaceholderText"/>
          <w:b/>
          <w:color w:val="auto"/>
          <w:sz w:val="22"/>
          <w:szCs w:val="22"/>
        </w:rPr>
        <w:t>40</w:t>
      </w:r>
    </w:p>
    <w:p w:rsidR="00550A85" w:rsidRPr="00C81A8D" w:rsidP="00550A85">
      <w:pPr>
        <w:widowControl/>
        <w:bidi w:val="0"/>
        <w:jc w:val="both"/>
        <w:rPr>
          <w:rStyle w:val="PlaceholderText"/>
          <w:color w:val="auto"/>
          <w:sz w:val="22"/>
          <w:szCs w:val="22"/>
        </w:rPr>
      </w:pPr>
      <w:r w:rsidRPr="00C81A8D">
        <w:rPr>
          <w:rStyle w:val="PlaceholderText"/>
          <w:color w:val="auto"/>
          <w:sz w:val="22"/>
          <w:szCs w:val="22"/>
        </w:rPr>
        <w:t>Navrhovanou právnou úpravou sa dopĺňa veriteľ, ktorý má formu európskej spoločnosti.</w:t>
      </w:r>
    </w:p>
    <w:p w:rsidR="00550A85" w:rsidRPr="00C81A8D" w:rsidP="00A87657">
      <w:pPr>
        <w:widowControl/>
        <w:bidi w:val="0"/>
        <w:jc w:val="both"/>
        <w:rPr>
          <w:rStyle w:val="PlaceholderText"/>
          <w:b/>
          <w:color w:val="auto"/>
          <w:sz w:val="22"/>
          <w:szCs w:val="22"/>
        </w:rPr>
      </w:pPr>
    </w:p>
    <w:p w:rsidR="00920E09" w:rsidRPr="00C81A8D" w:rsidP="00A87657">
      <w:pPr>
        <w:widowControl/>
        <w:bidi w:val="0"/>
        <w:jc w:val="both"/>
        <w:rPr>
          <w:rStyle w:val="PlaceholderText"/>
          <w:b/>
          <w:color w:val="auto"/>
          <w:sz w:val="22"/>
          <w:szCs w:val="22"/>
        </w:rPr>
      </w:pPr>
      <w:r w:rsidRPr="00C81A8D">
        <w:rPr>
          <w:rStyle w:val="PlaceholderText"/>
          <w:b/>
          <w:color w:val="auto"/>
          <w:sz w:val="22"/>
          <w:szCs w:val="22"/>
        </w:rPr>
        <w:t xml:space="preserve">K bodu </w:t>
      </w:r>
      <w:r w:rsidR="00E87B66">
        <w:rPr>
          <w:rStyle w:val="PlaceholderText"/>
          <w:b/>
          <w:color w:val="auto"/>
          <w:sz w:val="22"/>
          <w:szCs w:val="22"/>
        </w:rPr>
        <w:t>4</w:t>
      </w:r>
      <w:r w:rsidR="00DD3836">
        <w:rPr>
          <w:rStyle w:val="PlaceholderText"/>
          <w:b/>
          <w:color w:val="auto"/>
          <w:sz w:val="22"/>
          <w:szCs w:val="22"/>
        </w:rPr>
        <w:t>1</w:t>
      </w:r>
    </w:p>
    <w:p w:rsidR="006929E4" w:rsidRPr="00C81A8D" w:rsidP="006929E4">
      <w:pPr>
        <w:bidi w:val="0"/>
        <w:jc w:val="both"/>
        <w:rPr>
          <w:rFonts w:ascii="Times New Roman" w:hAnsi="Times New Roman"/>
          <w:sz w:val="22"/>
          <w:szCs w:val="22"/>
        </w:rPr>
      </w:pPr>
      <w:r w:rsidRPr="00C81A8D">
        <w:rPr>
          <w:rFonts w:ascii="Times New Roman" w:hAnsi="Times New Roman"/>
          <w:sz w:val="22"/>
          <w:szCs w:val="22"/>
        </w:rPr>
        <w:t>Návrh zákona v súlade so zákonom č. 297/2008 Z. z. o ochrane pred legalizáciou príjmov z trestnej činnosti a o ochrane pred financovaním terorizmu a o zmene a doplnení niektorých zákonov v znení neskorších predpisov upravuje povinnosť žiadateľa o udelenie predchádzajúceho súhlasu podľa § 20d ods. 1 písm. d) zákona č. 129/2010 Z. z. splniť podmienky na preukázanie prehľadného a dôveryhodného pôvodu prostriedkov použitých na nadobudnutie alebo zvýšenie kvalifikovanej účasti u veriteľa, prehľadnosti skupiny s úzkymi väzbami a právneho poriadku, ktorý nebude brániť výkonu dohľadu nad veriteľom a priložiť k žiadosti prílohy podľa § 20a ods. 3 písm. c), n), o) a p) zákona č. 129/2010 Z. z.</w:t>
      </w:r>
    </w:p>
    <w:p w:rsidR="001D7E8E" w:rsidRPr="00C81A8D" w:rsidP="00A87657">
      <w:pPr>
        <w:widowControl/>
        <w:bidi w:val="0"/>
        <w:jc w:val="both"/>
        <w:rPr>
          <w:rStyle w:val="PlaceholderText"/>
          <w:color w:val="auto"/>
          <w:sz w:val="22"/>
          <w:szCs w:val="22"/>
        </w:rPr>
      </w:pPr>
    </w:p>
    <w:p w:rsidR="00E2247F" w:rsidRPr="00B01E21" w:rsidP="00A87657">
      <w:pPr>
        <w:widowControl/>
        <w:bidi w:val="0"/>
        <w:jc w:val="both"/>
        <w:rPr>
          <w:rStyle w:val="PlaceholderText"/>
          <w:b/>
          <w:color w:val="auto"/>
          <w:sz w:val="22"/>
          <w:szCs w:val="22"/>
        </w:rPr>
      </w:pPr>
      <w:r w:rsidRPr="00C81A8D" w:rsidR="00C56F59">
        <w:rPr>
          <w:rStyle w:val="PlaceholderText"/>
          <w:b/>
          <w:color w:val="auto"/>
          <w:sz w:val="22"/>
          <w:szCs w:val="22"/>
        </w:rPr>
        <w:t xml:space="preserve">K bodu </w:t>
      </w:r>
      <w:r w:rsidR="00B01E21">
        <w:rPr>
          <w:rStyle w:val="PlaceholderText"/>
          <w:b/>
          <w:color w:val="auto"/>
          <w:sz w:val="22"/>
          <w:szCs w:val="22"/>
        </w:rPr>
        <w:t>4</w:t>
      </w:r>
      <w:r w:rsidR="00DD3836">
        <w:rPr>
          <w:rStyle w:val="PlaceholderText"/>
          <w:b/>
          <w:color w:val="auto"/>
          <w:sz w:val="22"/>
          <w:szCs w:val="22"/>
        </w:rPr>
        <w:t>2</w:t>
      </w:r>
    </w:p>
    <w:p w:rsidR="00E539B5" w:rsidRPr="00C81A8D" w:rsidP="00A87657">
      <w:pPr>
        <w:widowControl/>
        <w:bidi w:val="0"/>
        <w:jc w:val="both"/>
        <w:rPr>
          <w:rStyle w:val="PlaceholderText"/>
          <w:color w:val="auto"/>
          <w:sz w:val="22"/>
          <w:szCs w:val="22"/>
        </w:rPr>
      </w:pPr>
      <w:r w:rsidRPr="00C81A8D">
        <w:rPr>
          <w:rStyle w:val="PlaceholderText"/>
          <w:color w:val="auto"/>
          <w:sz w:val="22"/>
          <w:szCs w:val="22"/>
        </w:rPr>
        <w:t>V§ 17 sú ustanovené pravidlá prevodu a prechodu pohľadávok zo spotrebiteľských úverov na inú oprávnenú osobu, ktorou môže byť len banka, zahraničná banka alebo pobočka zahraničnej banky a veriteľ s povolením na poskytovanie spotrebiteľských úverov. Ustanovenie korešponduje so všeobecnou právnou úpravou zmeny v osobe veriteľa podľa Občianskeho zákonníka. S nadobudnutými pohľadávkami zo spotrebiteľských úverov z hľadiska ochrany spotrebiteľa nakladá nový veriteľ ako so svojimi vlastnými pohľadávkami a správa týchto pohľadávok je aj po ich postúpení na iného veriteľa predmetom dohľadu. Podľa § 20e ods. 1 by potom mal byť veriteľ povinný viesť oddelenú evidenciu zmlúv a zmluvných dokumentov ku všetkým spotrebiteľským úverom bez ohľadu na to, či tieto spotrebiteľské úvery sám poskytol alebo sa stal veriteľom v dôsledku prevodu alebo prechodu pohľadávky zo spotrebiteľského úveru. Jednoznačnou formuláciou zákona sa odstránia pochybnosti o správnom postupe pri vedení analytickej evidencie zmlúv a zmluvnej dokumentácie.</w:t>
      </w:r>
    </w:p>
    <w:p w:rsidR="00C56F59" w:rsidRPr="00B35E3A" w:rsidP="00A87657">
      <w:pPr>
        <w:widowControl/>
        <w:bidi w:val="0"/>
        <w:jc w:val="both"/>
        <w:rPr>
          <w:rStyle w:val="PlaceholderText"/>
          <w:color w:val="auto"/>
          <w:sz w:val="22"/>
          <w:szCs w:val="22"/>
        </w:rPr>
      </w:pPr>
    </w:p>
    <w:p w:rsidR="00E539B5" w:rsidRPr="00B01E21" w:rsidP="00E539B5">
      <w:pPr>
        <w:widowControl/>
        <w:bidi w:val="0"/>
        <w:jc w:val="both"/>
        <w:rPr>
          <w:rStyle w:val="PlaceholderText"/>
          <w:b/>
          <w:color w:val="auto"/>
          <w:sz w:val="22"/>
          <w:szCs w:val="22"/>
        </w:rPr>
      </w:pPr>
      <w:r w:rsidRPr="00D94F50" w:rsidR="004F4453">
        <w:rPr>
          <w:rStyle w:val="PlaceholderText"/>
          <w:b/>
          <w:color w:val="auto"/>
          <w:sz w:val="22"/>
          <w:szCs w:val="22"/>
        </w:rPr>
        <w:t>K </w:t>
      </w:r>
      <w:r w:rsidR="00B01E21">
        <w:rPr>
          <w:rStyle w:val="PlaceholderText"/>
          <w:b/>
          <w:color w:val="auto"/>
          <w:sz w:val="22"/>
          <w:szCs w:val="22"/>
        </w:rPr>
        <w:t>bodu 4</w:t>
      </w:r>
      <w:r w:rsidR="00DD3836">
        <w:rPr>
          <w:rStyle w:val="PlaceholderText"/>
          <w:b/>
          <w:color w:val="auto"/>
          <w:sz w:val="22"/>
          <w:szCs w:val="22"/>
        </w:rPr>
        <w:t>3</w:t>
      </w:r>
    </w:p>
    <w:p w:rsidR="00C56F59" w:rsidRPr="0091580F" w:rsidP="00A87657">
      <w:pPr>
        <w:widowControl/>
        <w:bidi w:val="0"/>
        <w:jc w:val="both"/>
        <w:rPr>
          <w:rStyle w:val="PlaceholderText"/>
          <w:color w:val="auto"/>
          <w:sz w:val="22"/>
          <w:szCs w:val="22"/>
        </w:rPr>
      </w:pPr>
      <w:r w:rsidRPr="00516A4F">
        <w:rPr>
          <w:rStyle w:val="PlaceholderText"/>
          <w:color w:val="auto"/>
          <w:sz w:val="22"/>
          <w:szCs w:val="22"/>
        </w:rPr>
        <w:t>Navrhovaná úprava zohľadňuje názov sektoru sprostredkovania</w:t>
      </w:r>
      <w:r w:rsidRPr="00516A4F" w:rsidR="00781F83">
        <w:rPr>
          <w:rStyle w:val="PlaceholderText"/>
          <w:color w:val="auto"/>
          <w:sz w:val="22"/>
          <w:szCs w:val="22"/>
        </w:rPr>
        <w:t xml:space="preserve"> podľa zákona č. 186/2009 Z. z.</w:t>
      </w:r>
    </w:p>
    <w:p w:rsidR="00C56F59" w:rsidRPr="0091580F" w:rsidP="00A87657">
      <w:pPr>
        <w:widowControl/>
        <w:bidi w:val="0"/>
        <w:jc w:val="both"/>
        <w:rPr>
          <w:rStyle w:val="PlaceholderText"/>
          <w:color w:val="auto"/>
          <w:sz w:val="22"/>
          <w:szCs w:val="22"/>
        </w:rPr>
      </w:pPr>
    </w:p>
    <w:p w:rsidR="009131F8" w:rsidRPr="0091580F" w:rsidP="00A87657">
      <w:pPr>
        <w:widowControl/>
        <w:bidi w:val="0"/>
        <w:jc w:val="both"/>
        <w:rPr>
          <w:rStyle w:val="PlaceholderText"/>
          <w:b/>
          <w:color w:val="auto"/>
          <w:sz w:val="22"/>
          <w:szCs w:val="22"/>
        </w:rPr>
      </w:pPr>
      <w:r w:rsidRPr="0091580F" w:rsidR="00175B98">
        <w:rPr>
          <w:rStyle w:val="PlaceholderText"/>
          <w:b/>
          <w:color w:val="auto"/>
          <w:sz w:val="22"/>
          <w:szCs w:val="22"/>
        </w:rPr>
        <w:t xml:space="preserve">K bodu </w:t>
      </w:r>
      <w:r w:rsidRPr="0091580F" w:rsidR="00B01E21">
        <w:rPr>
          <w:rStyle w:val="PlaceholderText"/>
          <w:b/>
          <w:color w:val="auto"/>
          <w:sz w:val="22"/>
          <w:szCs w:val="22"/>
        </w:rPr>
        <w:t>4</w:t>
      </w:r>
      <w:r w:rsidR="00DD3836">
        <w:rPr>
          <w:rStyle w:val="PlaceholderText"/>
          <w:b/>
          <w:color w:val="auto"/>
          <w:sz w:val="22"/>
          <w:szCs w:val="22"/>
        </w:rPr>
        <w:t>4</w:t>
      </w:r>
    </w:p>
    <w:p w:rsidR="009131F8" w:rsidRPr="00C81A8D" w:rsidP="00A87657">
      <w:pPr>
        <w:widowControl/>
        <w:bidi w:val="0"/>
        <w:jc w:val="both"/>
        <w:rPr>
          <w:rStyle w:val="PlaceholderText"/>
          <w:color w:val="auto"/>
          <w:sz w:val="22"/>
          <w:szCs w:val="22"/>
        </w:rPr>
      </w:pPr>
      <w:r w:rsidRPr="00C81A8D">
        <w:rPr>
          <w:rStyle w:val="PlaceholderText"/>
          <w:color w:val="auto"/>
          <w:sz w:val="22"/>
          <w:szCs w:val="22"/>
        </w:rPr>
        <w:t xml:space="preserve">Legislatívno-technická úprava. </w:t>
      </w:r>
    </w:p>
    <w:p w:rsidR="009131F8" w:rsidRPr="00B35E3A" w:rsidP="00A87657">
      <w:pPr>
        <w:widowControl/>
        <w:bidi w:val="0"/>
        <w:jc w:val="both"/>
        <w:rPr>
          <w:rStyle w:val="PlaceholderText"/>
          <w:b/>
          <w:color w:val="auto"/>
          <w:sz w:val="22"/>
          <w:szCs w:val="22"/>
        </w:rPr>
      </w:pPr>
    </w:p>
    <w:p w:rsidR="00175B98" w:rsidRPr="00B01E21" w:rsidP="00A87657">
      <w:pPr>
        <w:widowControl/>
        <w:bidi w:val="0"/>
        <w:jc w:val="both"/>
        <w:rPr>
          <w:rStyle w:val="PlaceholderText"/>
          <w:b/>
          <w:color w:val="auto"/>
          <w:sz w:val="22"/>
          <w:szCs w:val="22"/>
        </w:rPr>
      </w:pPr>
      <w:r w:rsidRPr="00B35E3A" w:rsidR="009131F8">
        <w:rPr>
          <w:rStyle w:val="PlaceholderText"/>
          <w:b/>
          <w:color w:val="auto"/>
          <w:sz w:val="22"/>
          <w:szCs w:val="22"/>
        </w:rPr>
        <w:t>K bodu 4</w:t>
      </w:r>
      <w:r w:rsidR="00DD3836">
        <w:rPr>
          <w:rStyle w:val="PlaceholderText"/>
          <w:b/>
          <w:color w:val="auto"/>
          <w:sz w:val="22"/>
          <w:szCs w:val="22"/>
        </w:rPr>
        <w:t>5</w:t>
      </w:r>
    </w:p>
    <w:p w:rsidR="00B86DEF" w:rsidRPr="00C81A8D" w:rsidP="00B86DEF">
      <w:pPr>
        <w:widowControl/>
        <w:bidi w:val="0"/>
        <w:jc w:val="both"/>
        <w:rPr>
          <w:rStyle w:val="PlaceholderText"/>
          <w:color w:val="auto"/>
          <w:sz w:val="22"/>
          <w:szCs w:val="22"/>
        </w:rPr>
      </w:pPr>
      <w:r w:rsidRPr="00B01E21" w:rsidR="00F83ED6">
        <w:rPr>
          <w:rStyle w:val="PlaceholderText"/>
          <w:color w:val="auto"/>
          <w:sz w:val="22"/>
          <w:szCs w:val="22"/>
        </w:rPr>
        <w:t>Úprava v</w:t>
      </w:r>
      <w:r w:rsidRPr="00C81A8D">
        <w:rPr>
          <w:rStyle w:val="PlaceholderText"/>
          <w:color w:val="auto"/>
          <w:sz w:val="22"/>
          <w:szCs w:val="22"/>
        </w:rPr>
        <w:t xml:space="preserve"> záujme zdokonalenia legislatívnych predpokladov na zabezpečenie efektívnejšieho, operatívnejšieho a účinnejšieho výkonu dohľadu pri preskúmavaní podozrení o neoprávnenom ponúkaní a poskytovaní spotrebiteľských </w:t>
      </w:r>
      <w:r w:rsidRPr="00B35E3A">
        <w:rPr>
          <w:rStyle w:val="PlaceholderText"/>
          <w:color w:val="auto"/>
          <w:sz w:val="22"/>
          <w:szCs w:val="22"/>
        </w:rPr>
        <w:t>úverov</w:t>
      </w:r>
      <w:r w:rsidRPr="00C81A8D">
        <w:rPr>
          <w:rStyle w:val="PlaceholderText"/>
          <w:color w:val="auto"/>
          <w:sz w:val="22"/>
          <w:szCs w:val="22"/>
        </w:rPr>
        <w:t xml:space="preserve"> alebo iných úverov a pôžičiek spotrebiteľom bez povolenia vyžadovaného zákonom č. 129/2010 Z. z.</w:t>
      </w:r>
    </w:p>
    <w:p w:rsidR="00B86DEF" w:rsidRPr="00B35E3A" w:rsidP="00C964BB">
      <w:pPr>
        <w:bidi w:val="0"/>
        <w:jc w:val="both"/>
        <w:rPr>
          <w:rFonts w:ascii="Times New Roman" w:hAnsi="Times New Roman"/>
          <w:sz w:val="22"/>
          <w:szCs w:val="22"/>
        </w:rPr>
      </w:pPr>
    </w:p>
    <w:p w:rsidR="00C964BB" w:rsidRPr="00B01E21" w:rsidP="00C964BB">
      <w:pPr>
        <w:bidi w:val="0"/>
        <w:jc w:val="both"/>
        <w:rPr>
          <w:rFonts w:ascii="Times New Roman" w:hAnsi="Times New Roman"/>
          <w:b/>
          <w:sz w:val="22"/>
          <w:szCs w:val="22"/>
        </w:rPr>
      </w:pPr>
      <w:r w:rsidRPr="00B01E21">
        <w:rPr>
          <w:rFonts w:ascii="Times New Roman" w:hAnsi="Times New Roman"/>
          <w:b/>
          <w:sz w:val="22"/>
          <w:szCs w:val="22"/>
        </w:rPr>
        <w:t xml:space="preserve">K bodu </w:t>
      </w:r>
      <w:r w:rsidR="00B01E21">
        <w:rPr>
          <w:rFonts w:ascii="Times New Roman" w:hAnsi="Times New Roman"/>
          <w:b/>
          <w:sz w:val="22"/>
          <w:szCs w:val="22"/>
        </w:rPr>
        <w:t>4</w:t>
      </w:r>
      <w:r w:rsidR="00DD3836">
        <w:rPr>
          <w:rFonts w:ascii="Times New Roman" w:hAnsi="Times New Roman"/>
          <w:b/>
          <w:sz w:val="22"/>
          <w:szCs w:val="22"/>
        </w:rPr>
        <w:t>6</w:t>
      </w:r>
    </w:p>
    <w:p w:rsidR="00C964BB" w:rsidRPr="0091580F" w:rsidP="00C964BB">
      <w:pPr>
        <w:bidi w:val="0"/>
        <w:jc w:val="both"/>
        <w:rPr>
          <w:rFonts w:ascii="Times New Roman" w:hAnsi="Times New Roman"/>
          <w:sz w:val="22"/>
          <w:szCs w:val="22"/>
        </w:rPr>
      </w:pPr>
      <w:r w:rsidRPr="00516A4F">
        <w:rPr>
          <w:rFonts w:ascii="Times New Roman" w:hAnsi="Times New Roman"/>
          <w:sz w:val="22"/>
          <w:szCs w:val="22"/>
        </w:rPr>
        <w:t xml:space="preserve">Návrh zákona spresňuje postup Národnej banky Slovenska pri ukladaní pokút </w:t>
      </w:r>
      <w:r w:rsidRPr="0091580F" w:rsidR="0091580F">
        <w:rPr>
          <w:rFonts w:ascii="Times New Roman" w:hAnsi="Times New Roman"/>
          <w:sz w:val="22"/>
          <w:szCs w:val="22"/>
        </w:rPr>
        <w:t xml:space="preserve">a opatrení na nápravu </w:t>
      </w:r>
      <w:r w:rsidRPr="0091580F" w:rsidR="00F83ED6">
        <w:rPr>
          <w:rFonts w:ascii="Times New Roman" w:hAnsi="Times New Roman"/>
          <w:sz w:val="22"/>
          <w:szCs w:val="22"/>
        </w:rPr>
        <w:t xml:space="preserve">pri neoprávnenom ponúkaní a poskytovaní spotrebiteľských úverov alebo iných úverov a pôžičiek spotrebiteľom bez povolenia vyžadovaného zákonom č. 129/2010 Z. z. s </w:t>
      </w:r>
      <w:r w:rsidRPr="0091580F">
        <w:rPr>
          <w:rFonts w:ascii="Times New Roman" w:hAnsi="Times New Roman"/>
          <w:sz w:val="22"/>
          <w:szCs w:val="22"/>
        </w:rPr>
        <w:t>odkazom na zákon č. 747/2004 Z. z.</w:t>
      </w:r>
    </w:p>
    <w:p w:rsidR="00175B98" w:rsidRPr="00C81A8D" w:rsidP="00A87657">
      <w:pPr>
        <w:widowControl/>
        <w:bidi w:val="0"/>
        <w:jc w:val="both"/>
        <w:rPr>
          <w:rStyle w:val="PlaceholderText"/>
          <w:b/>
          <w:color w:val="auto"/>
          <w:sz w:val="22"/>
          <w:szCs w:val="22"/>
        </w:rPr>
      </w:pPr>
    </w:p>
    <w:p w:rsidR="00722F97" w:rsidRPr="00C81A8D" w:rsidP="00A87657">
      <w:pPr>
        <w:widowControl/>
        <w:bidi w:val="0"/>
        <w:jc w:val="both"/>
        <w:rPr>
          <w:rStyle w:val="PlaceholderText"/>
          <w:b/>
          <w:color w:val="auto"/>
          <w:sz w:val="22"/>
          <w:szCs w:val="22"/>
        </w:rPr>
      </w:pPr>
      <w:r w:rsidRPr="00C81A8D" w:rsidR="000C1EE0">
        <w:rPr>
          <w:rStyle w:val="PlaceholderText"/>
          <w:b/>
          <w:color w:val="auto"/>
          <w:sz w:val="22"/>
          <w:szCs w:val="22"/>
        </w:rPr>
        <w:t xml:space="preserve">K bodu </w:t>
      </w:r>
      <w:r w:rsidRPr="00C81A8D" w:rsidR="00F21E10">
        <w:rPr>
          <w:rStyle w:val="PlaceholderText"/>
          <w:b/>
          <w:color w:val="auto"/>
          <w:sz w:val="22"/>
          <w:szCs w:val="22"/>
        </w:rPr>
        <w:t>4</w:t>
      </w:r>
      <w:r w:rsidR="00DD3836">
        <w:rPr>
          <w:rStyle w:val="PlaceholderText"/>
          <w:b/>
          <w:color w:val="auto"/>
          <w:sz w:val="22"/>
          <w:szCs w:val="22"/>
        </w:rPr>
        <w:t>7</w:t>
      </w:r>
    </w:p>
    <w:p w:rsidR="007463B4" w:rsidRPr="00C81A8D" w:rsidP="007463B4">
      <w:pPr>
        <w:bidi w:val="0"/>
        <w:jc w:val="both"/>
        <w:rPr>
          <w:rFonts w:ascii="Times New Roman" w:hAnsi="Times New Roman"/>
          <w:sz w:val="22"/>
          <w:szCs w:val="22"/>
        </w:rPr>
      </w:pPr>
      <w:r w:rsidRPr="00C81A8D">
        <w:rPr>
          <w:rFonts w:ascii="Times New Roman" w:hAnsi="Times New Roman"/>
          <w:sz w:val="22"/>
          <w:szCs w:val="22"/>
        </w:rPr>
        <w:t xml:space="preserve">Legislatívno-technická úprava. </w:t>
      </w:r>
    </w:p>
    <w:p w:rsidR="000C1EE0" w:rsidRPr="00C81A8D" w:rsidP="00A87657">
      <w:pPr>
        <w:widowControl/>
        <w:bidi w:val="0"/>
        <w:jc w:val="both"/>
        <w:rPr>
          <w:rStyle w:val="PlaceholderText"/>
          <w:b/>
          <w:color w:val="auto"/>
          <w:sz w:val="22"/>
          <w:szCs w:val="22"/>
        </w:rPr>
      </w:pPr>
    </w:p>
    <w:p w:rsidR="00B86DEF" w:rsidRPr="00C81A8D" w:rsidP="00C81A8D">
      <w:pPr>
        <w:widowControl/>
        <w:tabs>
          <w:tab w:val="left" w:pos="1260"/>
        </w:tabs>
        <w:bidi w:val="0"/>
        <w:jc w:val="both"/>
        <w:rPr>
          <w:rStyle w:val="PlaceholderText"/>
          <w:b/>
          <w:color w:val="auto"/>
          <w:sz w:val="22"/>
          <w:szCs w:val="22"/>
        </w:rPr>
      </w:pPr>
      <w:r w:rsidRPr="00C81A8D" w:rsidR="008A6D34">
        <w:rPr>
          <w:rStyle w:val="PlaceholderText"/>
          <w:b/>
          <w:color w:val="auto"/>
          <w:sz w:val="22"/>
          <w:szCs w:val="22"/>
        </w:rPr>
        <w:t xml:space="preserve">K bodu </w:t>
      </w:r>
      <w:r w:rsidRPr="00C81A8D" w:rsidR="00A2193F">
        <w:rPr>
          <w:rStyle w:val="PlaceholderText"/>
          <w:b/>
          <w:color w:val="auto"/>
          <w:sz w:val="22"/>
          <w:szCs w:val="22"/>
        </w:rPr>
        <w:t>4</w:t>
      </w:r>
      <w:r w:rsidR="00DD3836">
        <w:rPr>
          <w:rStyle w:val="PlaceholderText"/>
          <w:b/>
          <w:color w:val="auto"/>
          <w:sz w:val="22"/>
          <w:szCs w:val="22"/>
        </w:rPr>
        <w:t>8</w:t>
      </w:r>
    </w:p>
    <w:p w:rsidR="00B86DEF" w:rsidRPr="00C81A8D" w:rsidP="00C81A8D">
      <w:pPr>
        <w:widowControl/>
        <w:tabs>
          <w:tab w:val="left" w:pos="1260"/>
        </w:tabs>
        <w:bidi w:val="0"/>
        <w:jc w:val="both"/>
        <w:rPr>
          <w:rFonts w:ascii="Times New Roman" w:hAnsi="Times New Roman"/>
          <w:sz w:val="22"/>
          <w:szCs w:val="22"/>
        </w:rPr>
      </w:pPr>
      <w:r w:rsidRPr="00C81A8D">
        <w:rPr>
          <w:rFonts w:ascii="Times New Roman" w:hAnsi="Times New Roman"/>
          <w:sz w:val="22"/>
          <w:szCs w:val="22"/>
        </w:rPr>
        <w:t xml:space="preserve">Za účelom zvýšenia transparentnosti zákona č. 129/2010 Z. z. sa navrhuje v § 23 novom odseku 9 výslovne (explicitne) ustanoviť, že uložením sankcií podľa zákona o spotrebiteľských úveroch a iných úveroch a pôžičkách pre spotrebiteľov (zákona č. 129/2010 Z. z. v znení neskorších predpisov) nie je dotknutá zodpovednosť podľa osobitných predpisov, čím sa prispieva k zvýšeniu transparentnosti zákona predovšetkým pre spotrebiteľov. Pritom navrhnuté znenie § 23 nového odseku 9 zákona č. 129/2010 Z. z. je obsahovo harmonizované s aktuálnymi obdobnými štandardnými ustanoveniami ďalších zákonov v oblasti finančného trhu, napríklad s ustanoveniami § 50 ods. 8 zákona o bankách (zákona č. 483/2001 Z. z. v znení neskorších predpisov), § 144 ods. 13 zákona o cenných papieroch a investičných službách (zákona č. 566/2001 Z. z. v znení neskorších predpisov), § 35h ods. 2 zákona o dohľade nad finančným trhom (zákona č. 747/2004 Z. z. v znení neskorších predpisov), § 60 ods. 5, § 62 ods. 3, § 78 ods. 4 a 9 a § 86 ods. 4 a 18 zákona o platobných službách (zákona č. 492/2009 Z. z. v znení neskorších predpisov), § 202 ods. 9 zákona o kolektívnom investovaní (zákona č. 203/2011 Z. z. v znení neskorších predpisov), § 115 ods. 6 štvrtej vety zákona o starobnom dôchodkovom sporení (zákona č. 43/2004 Z. z. v znení neskorších predpisov), § 71 ods. 4 štvrtej vety zákona o doplnkovom dôchodkovom sporení (zákona č. 650/2004 Z. z. v znení neskorších predpisov) a § 24a ods. 3 druhej vety Devízového zákona (zákona NR SR č. 202/1995 Z. z. v znení neskorších predpisov). Navrhovanou legislatívnou úpravou sa tiež prispieva k zdokonaleniu legislatívy súvisiacej s výkonom dohľadu v oblasti spotrebiteľských úverov alebo iných úverov a pôžičiek pre spotrebiteľov. </w:t>
      </w:r>
    </w:p>
    <w:p w:rsidR="00B86DEF" w:rsidRPr="00C81A8D" w:rsidP="00C81A8D">
      <w:pPr>
        <w:widowControl/>
        <w:tabs>
          <w:tab w:val="left" w:pos="1260"/>
        </w:tabs>
        <w:bidi w:val="0"/>
        <w:jc w:val="both"/>
        <w:rPr>
          <w:rFonts w:ascii="Times New Roman" w:hAnsi="Times New Roman"/>
          <w:sz w:val="22"/>
          <w:szCs w:val="22"/>
        </w:rPr>
      </w:pPr>
    </w:p>
    <w:p w:rsidR="0021056F" w:rsidRPr="00C81A8D" w:rsidP="00C81A8D">
      <w:pPr>
        <w:widowControl/>
        <w:tabs>
          <w:tab w:val="left" w:pos="1260"/>
        </w:tabs>
        <w:bidi w:val="0"/>
        <w:jc w:val="both"/>
        <w:rPr>
          <w:rFonts w:ascii="Times New Roman" w:hAnsi="Times New Roman"/>
          <w:sz w:val="22"/>
          <w:szCs w:val="22"/>
        </w:rPr>
      </w:pPr>
      <w:r w:rsidRPr="0091580F" w:rsidR="0091580F">
        <w:rPr>
          <w:rFonts w:ascii="Times New Roman" w:hAnsi="Times New Roman"/>
          <w:sz w:val="22"/>
          <w:szCs w:val="22"/>
        </w:rPr>
        <w:t xml:space="preserve">Navrhovaným ustanovením v § 23 ods. 10 sa </w:t>
      </w:r>
      <w:r w:rsidRPr="0091580F">
        <w:rPr>
          <w:rFonts w:ascii="Times New Roman" w:hAnsi="Times New Roman"/>
          <w:sz w:val="22"/>
          <w:szCs w:val="22"/>
        </w:rPr>
        <w:t>splnomocňuje  Národn</w:t>
      </w:r>
      <w:r w:rsidR="0091580F">
        <w:rPr>
          <w:rFonts w:ascii="Times New Roman" w:hAnsi="Times New Roman"/>
          <w:sz w:val="22"/>
          <w:szCs w:val="22"/>
        </w:rPr>
        <w:t>á</w:t>
      </w:r>
      <w:r w:rsidRPr="0091580F">
        <w:rPr>
          <w:rFonts w:ascii="Times New Roman" w:hAnsi="Times New Roman"/>
          <w:sz w:val="22"/>
          <w:szCs w:val="22"/>
        </w:rPr>
        <w:t xml:space="preserve"> bank</w:t>
      </w:r>
      <w:r w:rsidR="0091580F">
        <w:rPr>
          <w:rFonts w:ascii="Times New Roman" w:hAnsi="Times New Roman"/>
          <w:sz w:val="22"/>
          <w:szCs w:val="22"/>
        </w:rPr>
        <w:t>a</w:t>
      </w:r>
      <w:r w:rsidRPr="0091580F">
        <w:rPr>
          <w:rFonts w:ascii="Times New Roman" w:hAnsi="Times New Roman"/>
          <w:sz w:val="22"/>
          <w:szCs w:val="22"/>
        </w:rPr>
        <w:t xml:space="preserve"> Slovenska na vydanie všeobecne záväzného opatrenia, v</w:t>
      </w:r>
      <w:r w:rsidRPr="00C81A8D">
        <w:rPr>
          <w:rFonts w:ascii="Times New Roman" w:hAnsi="Times New Roman"/>
          <w:sz w:val="22"/>
          <w:szCs w:val="22"/>
        </w:rPr>
        <w:t> ktorom na účely výkonu dohľadu nad veriteľmi a na štatistické účely ustanoví veriteľom povinnosť predkladať pravidelné výkazy, hlásenia, správy alebo in</w:t>
      </w:r>
      <w:r w:rsidR="0091580F">
        <w:rPr>
          <w:rFonts w:ascii="Times New Roman" w:hAnsi="Times New Roman"/>
          <w:sz w:val="22"/>
          <w:szCs w:val="22"/>
        </w:rPr>
        <w:t>é</w:t>
      </w:r>
      <w:r w:rsidRPr="0091580F">
        <w:rPr>
          <w:rFonts w:ascii="Times New Roman" w:hAnsi="Times New Roman"/>
          <w:sz w:val="22"/>
          <w:szCs w:val="22"/>
        </w:rPr>
        <w:t xml:space="preserve"> informácie a ustanovuje veriteľom povinnosť  plniť si tie</w:t>
      </w:r>
      <w:r w:rsidRPr="00C81A8D">
        <w:rPr>
          <w:rFonts w:ascii="Times New Roman" w:hAnsi="Times New Roman"/>
          <w:sz w:val="22"/>
          <w:szCs w:val="22"/>
        </w:rPr>
        <w:t>to povinnosti.</w:t>
      </w:r>
    </w:p>
    <w:p w:rsidR="008A6D34" w:rsidRPr="00C81A8D" w:rsidP="00A87657">
      <w:pPr>
        <w:widowControl/>
        <w:bidi w:val="0"/>
        <w:jc w:val="both"/>
        <w:rPr>
          <w:rStyle w:val="PlaceholderText"/>
          <w:b/>
          <w:color w:val="auto"/>
          <w:sz w:val="22"/>
          <w:szCs w:val="22"/>
        </w:rPr>
      </w:pPr>
    </w:p>
    <w:p w:rsidR="00C56F59" w:rsidRPr="00C81A8D" w:rsidP="00A87657">
      <w:pPr>
        <w:widowControl/>
        <w:bidi w:val="0"/>
        <w:jc w:val="both"/>
        <w:rPr>
          <w:rStyle w:val="PlaceholderText"/>
          <w:b/>
          <w:color w:val="auto"/>
          <w:sz w:val="22"/>
          <w:szCs w:val="22"/>
        </w:rPr>
      </w:pPr>
      <w:r w:rsidRPr="00C81A8D" w:rsidR="00577F8C">
        <w:rPr>
          <w:rStyle w:val="PlaceholderText"/>
          <w:b/>
          <w:color w:val="auto"/>
          <w:sz w:val="22"/>
          <w:szCs w:val="22"/>
        </w:rPr>
        <w:t xml:space="preserve">K bodu </w:t>
      </w:r>
      <w:r w:rsidRPr="00C81A8D" w:rsidR="00A2193F">
        <w:rPr>
          <w:rStyle w:val="PlaceholderText"/>
          <w:b/>
          <w:color w:val="auto"/>
          <w:sz w:val="22"/>
          <w:szCs w:val="22"/>
        </w:rPr>
        <w:t>4</w:t>
      </w:r>
      <w:r w:rsidR="00DD3836">
        <w:rPr>
          <w:rStyle w:val="PlaceholderText"/>
          <w:b/>
          <w:color w:val="auto"/>
          <w:sz w:val="22"/>
          <w:szCs w:val="22"/>
        </w:rPr>
        <w:t>9</w:t>
      </w:r>
    </w:p>
    <w:p w:rsidR="00C56F59" w:rsidRPr="00C81A8D" w:rsidP="00A87657">
      <w:pPr>
        <w:widowControl/>
        <w:bidi w:val="0"/>
        <w:jc w:val="both"/>
        <w:rPr>
          <w:rStyle w:val="PlaceholderText"/>
          <w:color w:val="auto"/>
          <w:sz w:val="22"/>
          <w:szCs w:val="22"/>
        </w:rPr>
      </w:pPr>
      <w:r w:rsidRPr="00C81A8D">
        <w:rPr>
          <w:rStyle w:val="PlaceholderText"/>
          <w:color w:val="auto"/>
          <w:sz w:val="22"/>
          <w:szCs w:val="22"/>
        </w:rPr>
        <w:t>Navrhovaným ustanovením v § 24 sa dosiahne to, aby aj in</w:t>
      </w:r>
      <w:r w:rsidRPr="00C81A8D" w:rsidR="00262FAB">
        <w:rPr>
          <w:rStyle w:val="PlaceholderText"/>
          <w:color w:val="auto"/>
          <w:sz w:val="22"/>
          <w:szCs w:val="22"/>
        </w:rPr>
        <w:t>í</w:t>
      </w:r>
      <w:r w:rsidRPr="00C81A8D">
        <w:rPr>
          <w:rStyle w:val="PlaceholderText"/>
          <w:color w:val="auto"/>
          <w:sz w:val="22"/>
          <w:szCs w:val="22"/>
        </w:rPr>
        <w:t xml:space="preserve"> veritelia poskytovali spotrebiteľské úvery podľa nových požiadaviek uvedených v </w:t>
      </w:r>
      <w:r w:rsidRPr="00C81A8D" w:rsidR="00F4601A">
        <w:rPr>
          <w:rStyle w:val="PlaceholderText"/>
          <w:color w:val="auto"/>
          <w:sz w:val="22"/>
          <w:szCs w:val="22"/>
        </w:rPr>
        <w:t>odsekoch 1</w:t>
      </w:r>
      <w:r w:rsidR="0091580F">
        <w:rPr>
          <w:rStyle w:val="PlaceholderText"/>
          <w:color w:val="auto"/>
          <w:sz w:val="22"/>
          <w:szCs w:val="22"/>
        </w:rPr>
        <w:t>6</w:t>
      </w:r>
      <w:r w:rsidRPr="0091580F">
        <w:rPr>
          <w:rStyle w:val="PlaceholderText"/>
          <w:color w:val="auto"/>
          <w:sz w:val="22"/>
          <w:szCs w:val="22"/>
        </w:rPr>
        <w:t xml:space="preserve"> až </w:t>
      </w:r>
      <w:r w:rsidRPr="0091580F" w:rsidR="00F4601A">
        <w:rPr>
          <w:rStyle w:val="PlaceholderText"/>
          <w:color w:val="auto"/>
          <w:sz w:val="22"/>
          <w:szCs w:val="22"/>
        </w:rPr>
        <w:t>42</w:t>
      </w:r>
      <w:r w:rsidRPr="0091580F">
        <w:rPr>
          <w:rStyle w:val="PlaceholderText"/>
          <w:color w:val="auto"/>
          <w:sz w:val="22"/>
          <w:szCs w:val="22"/>
        </w:rPr>
        <w:t>, čím sa dosiahne súladné poskytovanie spotrebiteľských úverov na zá</w:t>
      </w:r>
      <w:r w:rsidRPr="00C81A8D">
        <w:rPr>
          <w:rStyle w:val="PlaceholderText"/>
          <w:color w:val="auto"/>
          <w:sz w:val="22"/>
          <w:szCs w:val="22"/>
        </w:rPr>
        <w:t xml:space="preserve">klade rovnakých podmienok. </w:t>
      </w:r>
    </w:p>
    <w:p w:rsidR="00DB50DE" w:rsidRPr="00C81A8D" w:rsidP="00A87657">
      <w:pPr>
        <w:widowControl/>
        <w:bidi w:val="0"/>
        <w:jc w:val="both"/>
        <w:rPr>
          <w:rStyle w:val="PlaceholderText"/>
          <w:color w:val="auto"/>
          <w:sz w:val="22"/>
          <w:szCs w:val="22"/>
        </w:rPr>
      </w:pPr>
    </w:p>
    <w:p w:rsidR="00DB50DE" w:rsidRPr="00C81A8D" w:rsidP="00DB50DE">
      <w:pPr>
        <w:widowControl/>
        <w:bidi w:val="0"/>
        <w:jc w:val="both"/>
        <w:rPr>
          <w:rStyle w:val="PlaceholderText"/>
          <w:color w:val="auto"/>
          <w:sz w:val="22"/>
          <w:szCs w:val="22"/>
        </w:rPr>
      </w:pPr>
      <w:r w:rsidRPr="00C81A8D">
        <w:rPr>
          <w:rStyle w:val="PlaceholderText"/>
          <w:b/>
          <w:color w:val="auto"/>
          <w:sz w:val="22"/>
          <w:szCs w:val="22"/>
        </w:rPr>
        <w:t xml:space="preserve">K bodu </w:t>
      </w:r>
      <w:r w:rsidR="00DD3836">
        <w:rPr>
          <w:rStyle w:val="PlaceholderText"/>
          <w:b/>
          <w:color w:val="auto"/>
          <w:sz w:val="22"/>
          <w:szCs w:val="22"/>
        </w:rPr>
        <w:t>50</w:t>
      </w:r>
    </w:p>
    <w:p w:rsidR="00DB50DE" w:rsidRPr="00C81A8D" w:rsidP="00A87657">
      <w:pPr>
        <w:widowControl/>
        <w:bidi w:val="0"/>
        <w:jc w:val="both"/>
        <w:rPr>
          <w:rStyle w:val="PlaceholderText"/>
          <w:color w:val="auto"/>
          <w:sz w:val="22"/>
          <w:szCs w:val="22"/>
        </w:rPr>
      </w:pPr>
      <w:r w:rsidRPr="00C81A8D">
        <w:rPr>
          <w:rStyle w:val="PlaceholderText"/>
          <w:color w:val="auto"/>
          <w:sz w:val="22"/>
          <w:szCs w:val="22"/>
        </w:rPr>
        <w:t>Za účelom zvýšenia transparentnosti zákona č. 129/2010 Z. z. sa navrhuje upraviť znenie § 24 ods. 3 tak, aby bolo precízne zosúladené s vymedzením definície iného veriteľa v ustanovení § 2 písm. c) zákona č. 129/2010 Z. z. čím sa zároveň prispieva k zdokonaleniu legislatívnych predpokladov na zabezpečenie efektívnejšieho, operatívnejšieho a účinnejšieho výkonu dohľadu pri postihovaní neoprávneného ponúkania alebo poskytovania iných úverov a pôžičiek pre spotrebiteľov ako spotrebiteľských úverov bez povolenia vyžadovaného zákonom č. 129/2010 Z. z.</w:t>
      </w:r>
    </w:p>
    <w:p w:rsidR="00B86DEF" w:rsidRPr="00C81A8D" w:rsidP="00B86DEF">
      <w:pPr>
        <w:bidi w:val="0"/>
        <w:jc w:val="both"/>
        <w:rPr>
          <w:rFonts w:ascii="Times New Roman" w:hAnsi="Times New Roman"/>
          <w:sz w:val="22"/>
          <w:szCs w:val="22"/>
        </w:rPr>
      </w:pPr>
    </w:p>
    <w:p w:rsidR="00FE3B7F" w:rsidRPr="00C81A8D" w:rsidP="00B86DEF">
      <w:pPr>
        <w:bidi w:val="0"/>
        <w:jc w:val="both"/>
        <w:rPr>
          <w:rFonts w:ascii="Times New Roman" w:hAnsi="Times New Roman"/>
          <w:b/>
          <w:sz w:val="22"/>
          <w:szCs w:val="22"/>
        </w:rPr>
      </w:pPr>
      <w:r w:rsidRPr="00C81A8D" w:rsidR="00B86DEF">
        <w:rPr>
          <w:rFonts w:ascii="Times New Roman" w:hAnsi="Times New Roman"/>
          <w:b/>
          <w:sz w:val="22"/>
          <w:szCs w:val="22"/>
        </w:rPr>
        <w:t xml:space="preserve">K bodu </w:t>
      </w:r>
      <w:r w:rsidR="00E87B66">
        <w:rPr>
          <w:rFonts w:ascii="Times New Roman" w:hAnsi="Times New Roman"/>
          <w:b/>
          <w:sz w:val="22"/>
          <w:szCs w:val="22"/>
        </w:rPr>
        <w:t>5</w:t>
      </w:r>
      <w:r w:rsidR="00DD3836">
        <w:rPr>
          <w:rFonts w:ascii="Times New Roman" w:hAnsi="Times New Roman"/>
          <w:b/>
          <w:sz w:val="22"/>
          <w:szCs w:val="22"/>
        </w:rPr>
        <w:t>1</w:t>
      </w:r>
    </w:p>
    <w:p w:rsidR="00C56F59" w:rsidRPr="0091580F" w:rsidP="00A87657">
      <w:pPr>
        <w:widowControl/>
        <w:bidi w:val="0"/>
        <w:jc w:val="both"/>
        <w:rPr>
          <w:rStyle w:val="PlaceholderText"/>
          <w:color w:val="auto"/>
          <w:sz w:val="22"/>
          <w:szCs w:val="22"/>
        </w:rPr>
      </w:pPr>
      <w:r w:rsidRPr="00B01E21">
        <w:rPr>
          <w:rStyle w:val="PlaceholderText"/>
          <w:color w:val="auto"/>
          <w:sz w:val="22"/>
          <w:szCs w:val="22"/>
        </w:rPr>
        <w:t>Navrhovanou úpravou sa do zákona dopĺňa, že veriteľ môže mať formu aj európskej spoločnosti, čím sa umožní, aby aj takáto forma spoloč</w:t>
      </w:r>
      <w:r w:rsidRPr="00516A4F">
        <w:rPr>
          <w:rStyle w:val="PlaceholderText"/>
          <w:color w:val="auto"/>
          <w:sz w:val="22"/>
          <w:szCs w:val="22"/>
        </w:rPr>
        <w:t>nosti mohla po splnení zákonom stanovených požiadaviek p</w:t>
      </w:r>
      <w:r w:rsidRPr="00516A4F" w:rsidR="00781F83">
        <w:rPr>
          <w:rStyle w:val="PlaceholderText"/>
          <w:color w:val="auto"/>
          <w:sz w:val="22"/>
          <w:szCs w:val="22"/>
        </w:rPr>
        <w:t>oskytovať spotrebiteľské úvery.</w:t>
      </w:r>
    </w:p>
    <w:p w:rsidR="00C56F59" w:rsidRPr="00C81A8D" w:rsidP="00A87657">
      <w:pPr>
        <w:widowControl/>
        <w:bidi w:val="0"/>
        <w:jc w:val="both"/>
        <w:rPr>
          <w:rStyle w:val="PlaceholderText"/>
          <w:color w:val="auto"/>
          <w:sz w:val="22"/>
          <w:szCs w:val="22"/>
        </w:rPr>
      </w:pPr>
    </w:p>
    <w:p w:rsidR="00C56F59" w:rsidRPr="00A2193F" w:rsidP="00A87657">
      <w:pPr>
        <w:widowControl/>
        <w:bidi w:val="0"/>
        <w:jc w:val="both"/>
        <w:rPr>
          <w:rStyle w:val="PlaceholderText"/>
          <w:color w:val="auto"/>
          <w:sz w:val="22"/>
          <w:szCs w:val="22"/>
        </w:rPr>
      </w:pPr>
      <w:r w:rsidRPr="00C81A8D">
        <w:rPr>
          <w:rStyle w:val="PlaceholderText"/>
          <w:b/>
          <w:color w:val="auto"/>
          <w:sz w:val="22"/>
          <w:szCs w:val="22"/>
        </w:rPr>
        <w:t>K</w:t>
      </w:r>
      <w:r w:rsidR="00A2193F">
        <w:rPr>
          <w:rStyle w:val="PlaceholderText"/>
          <w:b/>
          <w:color w:val="auto"/>
          <w:sz w:val="22"/>
          <w:szCs w:val="22"/>
        </w:rPr>
        <w:t> </w:t>
      </w:r>
      <w:r w:rsidRPr="00A2193F">
        <w:rPr>
          <w:rStyle w:val="PlaceholderText"/>
          <w:b/>
          <w:color w:val="auto"/>
          <w:sz w:val="22"/>
          <w:szCs w:val="22"/>
        </w:rPr>
        <w:t>bodu</w:t>
      </w:r>
      <w:r w:rsidR="00A2193F">
        <w:rPr>
          <w:rStyle w:val="PlaceholderText"/>
          <w:b/>
          <w:color w:val="auto"/>
          <w:sz w:val="22"/>
          <w:szCs w:val="22"/>
        </w:rPr>
        <w:t xml:space="preserve"> 5</w:t>
      </w:r>
      <w:r w:rsidR="00DD3836">
        <w:rPr>
          <w:rStyle w:val="PlaceholderText"/>
          <w:b/>
          <w:color w:val="auto"/>
          <w:sz w:val="22"/>
          <w:szCs w:val="22"/>
        </w:rPr>
        <w:t>2</w:t>
      </w:r>
    </w:p>
    <w:p w:rsidR="00C56F59" w:rsidRPr="0091580F" w:rsidP="00A87657">
      <w:pPr>
        <w:widowControl/>
        <w:bidi w:val="0"/>
        <w:jc w:val="both"/>
        <w:rPr>
          <w:rStyle w:val="PlaceholderText"/>
          <w:color w:val="auto"/>
          <w:sz w:val="22"/>
          <w:szCs w:val="22"/>
        </w:rPr>
      </w:pPr>
      <w:r w:rsidRPr="00516A4F">
        <w:rPr>
          <w:rStyle w:val="PlaceholderText"/>
          <w:color w:val="auto"/>
          <w:sz w:val="22"/>
          <w:szCs w:val="22"/>
        </w:rPr>
        <w:t>Legislatívno-technická úprava v </w:t>
      </w:r>
      <w:r w:rsidRPr="0091580F">
        <w:rPr>
          <w:rStyle w:val="PlaceholderText"/>
          <w:color w:val="auto"/>
          <w:sz w:val="22"/>
          <w:szCs w:val="22"/>
        </w:rPr>
        <w:t>nadväznosti na skutočnosť, že iný veriteľ nie je povinný mať zri</w:t>
      </w:r>
      <w:r w:rsidRPr="0091580F" w:rsidR="00781F83">
        <w:rPr>
          <w:rStyle w:val="PlaceholderText"/>
          <w:color w:val="auto"/>
          <w:sz w:val="22"/>
          <w:szCs w:val="22"/>
        </w:rPr>
        <w:t>adený útvar vnútornej kontroly.</w:t>
      </w:r>
    </w:p>
    <w:p w:rsidR="00C56F59" w:rsidRPr="00C81A8D" w:rsidP="00A87657">
      <w:pPr>
        <w:widowControl/>
        <w:bidi w:val="0"/>
        <w:jc w:val="both"/>
        <w:rPr>
          <w:rStyle w:val="PlaceholderText"/>
          <w:color w:val="auto"/>
          <w:sz w:val="22"/>
          <w:szCs w:val="22"/>
        </w:rPr>
      </w:pPr>
    </w:p>
    <w:p w:rsidR="00C56F59" w:rsidRPr="00C81A8D" w:rsidP="00A87657">
      <w:pPr>
        <w:widowControl/>
        <w:bidi w:val="0"/>
        <w:jc w:val="both"/>
        <w:rPr>
          <w:rStyle w:val="PlaceholderText"/>
          <w:color w:val="auto"/>
          <w:sz w:val="22"/>
          <w:szCs w:val="22"/>
        </w:rPr>
      </w:pPr>
      <w:r w:rsidRPr="00C81A8D">
        <w:rPr>
          <w:rStyle w:val="PlaceholderText"/>
          <w:b/>
          <w:color w:val="auto"/>
          <w:sz w:val="22"/>
          <w:szCs w:val="22"/>
        </w:rPr>
        <w:t xml:space="preserve">K bodu </w:t>
      </w:r>
      <w:r w:rsidRPr="00C81A8D" w:rsidR="00A2193F">
        <w:rPr>
          <w:rStyle w:val="PlaceholderText"/>
          <w:b/>
          <w:color w:val="auto"/>
          <w:sz w:val="22"/>
          <w:szCs w:val="22"/>
        </w:rPr>
        <w:t>5</w:t>
      </w:r>
      <w:r w:rsidR="00DD3836">
        <w:rPr>
          <w:rStyle w:val="PlaceholderText"/>
          <w:b/>
          <w:color w:val="auto"/>
          <w:sz w:val="22"/>
          <w:szCs w:val="22"/>
        </w:rPr>
        <w:t>3</w:t>
      </w:r>
    </w:p>
    <w:p w:rsidR="00C56F59" w:rsidRPr="00C81A8D" w:rsidP="00A87657">
      <w:pPr>
        <w:widowControl/>
        <w:bidi w:val="0"/>
        <w:jc w:val="both"/>
        <w:rPr>
          <w:rStyle w:val="PlaceholderText"/>
          <w:color w:val="auto"/>
          <w:sz w:val="22"/>
          <w:szCs w:val="22"/>
        </w:rPr>
      </w:pPr>
      <w:r w:rsidRPr="00C81A8D">
        <w:rPr>
          <w:rStyle w:val="PlaceholderText"/>
          <w:color w:val="auto"/>
          <w:sz w:val="22"/>
          <w:szCs w:val="22"/>
        </w:rPr>
        <w:t>Navrhovanou úpravou sa dopĺňajú do ustanovenia § 24 ods. 7  prílohy, ktoré je potrebné predložiť so žiadosťou za účelom preukázania splnenia podmienok vymedzených v § 24 ods.</w:t>
      </w:r>
      <w:r w:rsidRPr="00C81A8D" w:rsidR="00B955B0">
        <w:rPr>
          <w:rStyle w:val="PlaceholderText"/>
          <w:color w:val="auto"/>
          <w:sz w:val="22"/>
          <w:szCs w:val="22"/>
        </w:rPr>
        <w:t xml:space="preserve"> </w:t>
      </w:r>
      <w:r w:rsidRPr="00C81A8D">
        <w:rPr>
          <w:rStyle w:val="PlaceholderText"/>
          <w:color w:val="auto"/>
          <w:sz w:val="22"/>
          <w:szCs w:val="22"/>
        </w:rPr>
        <w:t>5.</w:t>
      </w:r>
    </w:p>
    <w:p w:rsidR="00DB50DE" w:rsidRPr="00C81A8D" w:rsidP="00A87657">
      <w:pPr>
        <w:widowControl/>
        <w:bidi w:val="0"/>
        <w:jc w:val="both"/>
        <w:rPr>
          <w:rStyle w:val="PlaceholderText"/>
          <w:color w:val="auto"/>
          <w:sz w:val="22"/>
          <w:szCs w:val="22"/>
        </w:rPr>
      </w:pPr>
    </w:p>
    <w:p w:rsidR="0013322C" w:rsidP="00DB50DE">
      <w:pPr>
        <w:widowControl/>
        <w:bidi w:val="0"/>
        <w:jc w:val="both"/>
        <w:rPr>
          <w:rFonts w:ascii="Times New Roman" w:hAnsi="Times New Roman"/>
          <w:b/>
          <w:sz w:val="22"/>
          <w:szCs w:val="22"/>
        </w:rPr>
      </w:pPr>
      <w:r w:rsidRPr="00C81A8D" w:rsidR="004F4453">
        <w:rPr>
          <w:rFonts w:ascii="Times New Roman" w:hAnsi="Times New Roman"/>
          <w:b/>
          <w:sz w:val="22"/>
          <w:szCs w:val="22"/>
        </w:rPr>
        <w:t>K </w:t>
      </w:r>
      <w:r w:rsidRPr="00C81A8D" w:rsidR="00A2193F">
        <w:rPr>
          <w:rFonts w:ascii="Times New Roman" w:hAnsi="Times New Roman"/>
          <w:b/>
          <w:sz w:val="22"/>
          <w:szCs w:val="22"/>
        </w:rPr>
        <w:t>bodu 5</w:t>
      </w:r>
      <w:r w:rsidR="00DD3836">
        <w:rPr>
          <w:rFonts w:ascii="Times New Roman" w:hAnsi="Times New Roman"/>
          <w:b/>
          <w:sz w:val="22"/>
          <w:szCs w:val="22"/>
        </w:rPr>
        <w:t>4</w:t>
      </w:r>
    </w:p>
    <w:p w:rsidR="0013322C" w:rsidRPr="00F04C84" w:rsidP="00DB50DE">
      <w:pPr>
        <w:widowControl/>
        <w:bidi w:val="0"/>
        <w:jc w:val="both"/>
        <w:rPr>
          <w:rFonts w:ascii="Times New Roman" w:hAnsi="Times New Roman"/>
          <w:sz w:val="22"/>
          <w:szCs w:val="22"/>
        </w:rPr>
      </w:pPr>
      <w:r w:rsidRPr="00F04C84">
        <w:rPr>
          <w:rFonts w:ascii="Times New Roman" w:hAnsi="Times New Roman"/>
          <w:sz w:val="22"/>
          <w:szCs w:val="22"/>
        </w:rPr>
        <w:t>Legislatívno- technická úprava.</w:t>
      </w:r>
    </w:p>
    <w:p w:rsidR="0013322C" w:rsidP="00DB50DE">
      <w:pPr>
        <w:widowControl/>
        <w:bidi w:val="0"/>
        <w:jc w:val="both"/>
        <w:rPr>
          <w:rFonts w:ascii="Times New Roman" w:hAnsi="Times New Roman"/>
          <w:b/>
          <w:sz w:val="22"/>
          <w:szCs w:val="22"/>
        </w:rPr>
      </w:pPr>
    </w:p>
    <w:p w:rsidR="00DB50DE" w:rsidRPr="00C81A8D" w:rsidP="00DB50DE">
      <w:pPr>
        <w:widowControl/>
        <w:bidi w:val="0"/>
        <w:jc w:val="both"/>
        <w:rPr>
          <w:rFonts w:ascii="Times New Roman" w:hAnsi="Times New Roman"/>
          <w:sz w:val="22"/>
          <w:szCs w:val="22"/>
        </w:rPr>
      </w:pPr>
      <w:r w:rsidR="0013322C">
        <w:rPr>
          <w:rFonts w:ascii="Times New Roman" w:hAnsi="Times New Roman"/>
          <w:b/>
          <w:sz w:val="22"/>
          <w:szCs w:val="22"/>
        </w:rPr>
        <w:t>K bodu 5</w:t>
      </w:r>
      <w:r w:rsidR="00DD3836">
        <w:rPr>
          <w:rFonts w:ascii="Times New Roman" w:hAnsi="Times New Roman"/>
          <w:b/>
          <w:sz w:val="22"/>
          <w:szCs w:val="22"/>
        </w:rPr>
        <w:t>5</w:t>
      </w:r>
    </w:p>
    <w:p w:rsidR="00DB50DE" w:rsidRPr="00C81A8D" w:rsidP="00A87657">
      <w:pPr>
        <w:widowControl/>
        <w:bidi w:val="0"/>
        <w:jc w:val="both"/>
        <w:rPr>
          <w:rStyle w:val="PlaceholderText"/>
          <w:color w:val="auto"/>
          <w:sz w:val="22"/>
          <w:szCs w:val="22"/>
        </w:rPr>
      </w:pPr>
      <w:r w:rsidRPr="00C81A8D">
        <w:rPr>
          <w:rStyle w:val="PlaceholderText"/>
          <w:color w:val="auto"/>
          <w:sz w:val="22"/>
          <w:szCs w:val="22"/>
        </w:rPr>
        <w:t xml:space="preserve">Za účelom zvýšenia transparentnosti zákona č. 129/2010 Z. z. sa navrhuje doplnenie nového § 24b s osobitnými spoločnými ustanoveniami, v ktorých sa výslovne uvedie, že bez zákonom vyžadovaného povolenia ani nad rozsah povolenia nikto nesmie v rámci svojho podnikania ponúkať ani poskytovať spotrebiteľské úvery a rovnako ani iné úvery a pôžičky pre spotrebiteľov. Z doterajších ustanovení § 20 ods. 1, § 24 ods. 3, § 20 ods. 8 a § 2 písm. b) a c) zákona č. 129/2010 Z. z. je síce zrejmé zákonné pravidlo, že legálne (oprávnené) podnikateľské poskytovanie spotrebiteľských úverov a iných úverov a pôžičiek pre spotrebiteľov je možné len na základe bankového povolenia (či obdobného oprávnenia úverovej inštitúcie z EÚ) alebo povolenia na poskytovania spotrebiteľských úverov, respektíve povolenia na poskytovania iných úverov a pôžičiek pre spotrebiteľov (povolenia pre iného veriteľa), ale toto zákonné pravidlo zatiaľ nebolo výslovne (explicitne) uvedené v zákone č. 129/2010 Z. z., čo sa už niektoré subjekty pokúsili zneužívať na nelegálne konanie (nepovolené, neoprávnené podnikanie) sledujúce obchádzanie zákona (in fraudem legis) vrátane otvoreného konfliktu s ním (contra legem). Pritom treba konštatovať, že ustanovenia navrhnutého nového § 24b síce nemajú vplyv na už existujúce zákonné pravidlo o legálnosti (oprávnenosti) podnikateľského poskytovania spotrebiteľských úverov a iných úverov a pôžičiek pre spotrebiteľov len na základe zákonom vyžadovaného povolenia, ale ustanoveniami navrhnutého nového § 24b sa zvyšuje transparentnosť ustanovení zákona č. 129/2010 Z. z. a tým sa tiež sťažuje obchádzanie tohto zákona. Zároveň sa navrhnutým novým § 24b – a aj súvisiacimi prechodnými ustanoveniami v novom § 25i – prispieva k zdokonaleniu legislatívnych predpokladov na zabezpečenie efektívnejšieho, operatívnejšieho a účinnejšieho výkonu dohľadu, čo patrí medzi principiálne požiadavky podľa európskych právnych noriem, ktoré sa týkajú finančných inštitúcií a dohľadu nad finančnými inštitúciami v jednotlivých oblastiach (segmentoch) finančného trhu vrátane poskytovateľov spotrebiteľských úverov (veriteľov). </w:t>
      </w:r>
    </w:p>
    <w:p w:rsidR="000C41DD" w:rsidRPr="00C81A8D" w:rsidP="00A87657">
      <w:pPr>
        <w:widowControl/>
        <w:bidi w:val="0"/>
        <w:jc w:val="both"/>
        <w:rPr>
          <w:rStyle w:val="PlaceholderText"/>
          <w:b/>
          <w:color w:val="auto"/>
          <w:sz w:val="22"/>
          <w:szCs w:val="22"/>
        </w:rPr>
      </w:pPr>
    </w:p>
    <w:p w:rsidR="000C41DD" w:rsidRPr="00C81A8D" w:rsidP="00A87657">
      <w:pPr>
        <w:widowControl/>
        <w:bidi w:val="0"/>
        <w:jc w:val="both"/>
        <w:rPr>
          <w:rStyle w:val="PlaceholderText"/>
          <w:b/>
          <w:color w:val="auto"/>
          <w:sz w:val="22"/>
          <w:szCs w:val="22"/>
        </w:rPr>
      </w:pPr>
      <w:r w:rsidRPr="00C81A8D" w:rsidR="00EC05B9">
        <w:rPr>
          <w:rStyle w:val="PlaceholderText"/>
          <w:b/>
          <w:color w:val="auto"/>
          <w:sz w:val="22"/>
          <w:szCs w:val="22"/>
        </w:rPr>
        <w:t xml:space="preserve">K bodu </w:t>
      </w:r>
      <w:r w:rsidRPr="00C81A8D" w:rsidR="009131F8">
        <w:rPr>
          <w:rStyle w:val="PlaceholderText"/>
          <w:b/>
          <w:color w:val="auto"/>
          <w:sz w:val="22"/>
          <w:szCs w:val="22"/>
        </w:rPr>
        <w:t>5</w:t>
      </w:r>
      <w:r w:rsidR="00DD3836">
        <w:rPr>
          <w:rStyle w:val="PlaceholderText"/>
          <w:b/>
          <w:color w:val="auto"/>
          <w:sz w:val="22"/>
          <w:szCs w:val="22"/>
        </w:rPr>
        <w:t>6</w:t>
      </w:r>
    </w:p>
    <w:p w:rsidR="000C41DD" w:rsidRPr="00C81A8D" w:rsidP="00A87657">
      <w:pPr>
        <w:widowControl/>
        <w:bidi w:val="0"/>
        <w:jc w:val="both"/>
        <w:rPr>
          <w:rStyle w:val="PlaceholderText"/>
          <w:color w:val="auto"/>
          <w:sz w:val="22"/>
          <w:szCs w:val="22"/>
        </w:rPr>
      </w:pPr>
      <w:r w:rsidRPr="00C81A8D">
        <w:rPr>
          <w:rStyle w:val="PlaceholderText"/>
          <w:color w:val="auto"/>
          <w:sz w:val="22"/>
          <w:szCs w:val="22"/>
        </w:rPr>
        <w:t>Prechodné ustanovenia.</w:t>
      </w:r>
    </w:p>
    <w:p w:rsidR="00DB50DE" w:rsidRPr="00C81A8D" w:rsidP="00A87657">
      <w:pPr>
        <w:widowControl/>
        <w:bidi w:val="0"/>
        <w:jc w:val="both"/>
        <w:rPr>
          <w:rStyle w:val="PlaceholderText"/>
          <w:color w:val="auto"/>
          <w:sz w:val="22"/>
          <w:szCs w:val="22"/>
        </w:rPr>
      </w:pPr>
    </w:p>
    <w:p w:rsidR="00DB50DE" w:rsidRPr="00C81A8D" w:rsidP="00A87657">
      <w:pPr>
        <w:widowControl/>
        <w:bidi w:val="0"/>
        <w:jc w:val="both"/>
        <w:rPr>
          <w:rStyle w:val="PlaceholderText"/>
          <w:color w:val="auto"/>
          <w:sz w:val="22"/>
          <w:szCs w:val="22"/>
        </w:rPr>
      </w:pPr>
      <w:r w:rsidRPr="00C81A8D">
        <w:rPr>
          <w:rStyle w:val="PlaceholderText"/>
          <w:color w:val="auto"/>
          <w:sz w:val="22"/>
          <w:szCs w:val="22"/>
        </w:rPr>
        <w:t>Navrhnutými prechodnými ustanoveniami § 25i nového odseku 2 sa na základe dostupných poznatkov reflektuje skutočnosť, že rôznymi zákonnými cestami (najmä prostredníctvom súdov a mediátorov) sa dosiaľ ešte stále rieši pomerne značný počet nezrovnalostí a sporov medzi spotrebiteľmi a bývalými poskytovateľmi spotrebiteľských úverov (veriteľmi), ktorí boli zaregistrovaní v registri veriteľov poskytujúcich spotrebiteľské úvery vedenom do 31. 8. 2015, pričom na prospech spotrebiteľov by bola možnosť jednoduchého a operatívneho získavania údajov z tohto registra tak, že údaje z tohto registra by boli zverejnené na oficiálnom webovom sídle Národnej banky Slovenska. Navrhnutými prechodnými ustanoveniami § 25i nového odseku 3 sa reflektujú ustanovenia navrhnutého nového § 24b v zákone č. 129/2010 Z. z. tak, aby sa eliminoval priestor na obchádzanie ustanovení zákona č. 129/2010 Z. z. v súvislosti s doplnením nového § 24b do zákona č. 129/2010 Z. z., teda do zákona o spotrebiteľských úveroch a o iných úveroch a pôžičkách pre spotrebiteľov.</w:t>
      </w:r>
    </w:p>
    <w:p w:rsidR="00CC034A" w:rsidRPr="00C81A8D" w:rsidP="00A87657">
      <w:pPr>
        <w:widowControl/>
        <w:bidi w:val="0"/>
        <w:jc w:val="both"/>
        <w:rPr>
          <w:rStyle w:val="PlaceholderText"/>
          <w:color w:val="auto"/>
          <w:sz w:val="22"/>
          <w:szCs w:val="22"/>
        </w:rPr>
      </w:pPr>
    </w:p>
    <w:p w:rsidR="00CC034A" w:rsidRPr="00A2193F" w:rsidP="00A87657">
      <w:pPr>
        <w:widowControl/>
        <w:bidi w:val="0"/>
        <w:jc w:val="both"/>
        <w:rPr>
          <w:rStyle w:val="PlaceholderText"/>
          <w:b/>
          <w:color w:val="auto"/>
          <w:sz w:val="22"/>
          <w:szCs w:val="22"/>
        </w:rPr>
      </w:pPr>
      <w:r w:rsidRPr="00C81A8D">
        <w:rPr>
          <w:rStyle w:val="PlaceholderText"/>
          <w:b/>
          <w:color w:val="auto"/>
          <w:sz w:val="22"/>
          <w:szCs w:val="22"/>
        </w:rPr>
        <w:t xml:space="preserve">K bodu </w:t>
      </w:r>
      <w:r w:rsidRPr="00C81A8D" w:rsidR="004F4453">
        <w:rPr>
          <w:rStyle w:val="PlaceholderText"/>
          <w:b/>
          <w:color w:val="auto"/>
          <w:sz w:val="22"/>
          <w:szCs w:val="22"/>
        </w:rPr>
        <w:t>5</w:t>
      </w:r>
      <w:r w:rsidR="00DD3836">
        <w:rPr>
          <w:rStyle w:val="PlaceholderText"/>
          <w:b/>
          <w:color w:val="auto"/>
          <w:sz w:val="22"/>
          <w:szCs w:val="22"/>
        </w:rPr>
        <w:t>7</w:t>
      </w:r>
    </w:p>
    <w:p w:rsidR="00E167A8" w:rsidRPr="00C81A8D" w:rsidP="00A87657">
      <w:pPr>
        <w:widowControl/>
        <w:bidi w:val="0"/>
        <w:jc w:val="both"/>
        <w:rPr>
          <w:rStyle w:val="PlaceholderText"/>
          <w:color w:val="auto"/>
          <w:sz w:val="22"/>
          <w:szCs w:val="22"/>
        </w:rPr>
      </w:pPr>
      <w:r w:rsidRPr="0091580F">
        <w:rPr>
          <w:rStyle w:val="PlaceholderText"/>
          <w:color w:val="auto"/>
          <w:sz w:val="22"/>
          <w:szCs w:val="22"/>
        </w:rPr>
        <w:t xml:space="preserve">K navrhovanej zmene ustanovenia písm. e) v bode </w:t>
      </w:r>
      <w:r w:rsidR="0091580F">
        <w:rPr>
          <w:rStyle w:val="PlaceholderText"/>
          <w:color w:val="auto"/>
          <w:sz w:val="22"/>
          <w:szCs w:val="22"/>
        </w:rPr>
        <w:t xml:space="preserve">časti </w:t>
      </w:r>
      <w:r w:rsidRPr="0091580F">
        <w:rPr>
          <w:rStyle w:val="PlaceholderText"/>
          <w:color w:val="auto"/>
          <w:sz w:val="22"/>
          <w:szCs w:val="22"/>
        </w:rPr>
        <w:t xml:space="preserve">II prílohy č. 2 k zákonu č. 129/2010 Z.z. dochádza v dôsledku potreby zjednotenia znenia zákona so znením príslušného ustanovenia smernice Európskeho parlamentu a Rady 2008/48/ES o zmluvách o spotrebiteľskom úvere a o zrušení smernice Rady 87/102/EHS (ďalej len ,,smernica 2008/48/ES“) na podnet Európskej komisie. Podľa znenia písm. </w:t>
      </w:r>
      <w:r w:rsidR="0091580F">
        <w:rPr>
          <w:rStyle w:val="PlaceholderText"/>
          <w:color w:val="auto"/>
          <w:sz w:val="22"/>
          <w:szCs w:val="22"/>
        </w:rPr>
        <w:t xml:space="preserve">časti </w:t>
      </w:r>
      <w:r w:rsidRPr="0091580F">
        <w:rPr>
          <w:rStyle w:val="PlaceholderText"/>
          <w:color w:val="auto"/>
          <w:sz w:val="22"/>
          <w:szCs w:val="22"/>
        </w:rPr>
        <w:t>e) bodu II prílohy I k smernici 2008/48/ES otvorená zmluva, ktorou sa rozumie úverová zmluva bez pevne stanovenej dĺžky trvania, v rámci ktorej má klient možnosť opakovaného čerpania úveru aj v prípade, že nesplatil plnú sumu predchádzajúceho čerpania, tzv. revolvingové</w:t>
      </w:r>
      <w:r w:rsidRPr="00C81A8D">
        <w:rPr>
          <w:rStyle w:val="PlaceholderText"/>
          <w:color w:val="auto"/>
          <w:sz w:val="22"/>
          <w:szCs w:val="22"/>
        </w:rPr>
        <w:t xml:space="preserve"> úvery, zahŕňa aj špecifické úvery, pri ktorých sa vyžaduje ich úplné splatenie, t. j. všetko naraz jednorazovo, po ktorom je úver možné čerpať znova (napr. American Express kreditná karta). V prípade špecifických úverov teda nie je možné ďalej čerpať úver, ak by bola splatená len určitá jeho časť. Slovo ,,zahŕňa“ zdôrazňuje skutočnosť, že nejde o štandardný spôsob splatenia úveru, ale o špecifický spôsob. Aktuálne znenie zákona č. 129/2010 Z.</w:t>
      </w:r>
      <w:r w:rsidR="00A41C8D">
        <w:rPr>
          <w:rStyle w:val="PlaceholderText"/>
          <w:color w:val="auto"/>
          <w:sz w:val="22"/>
          <w:szCs w:val="22"/>
        </w:rPr>
        <w:t xml:space="preserve"> </w:t>
      </w:r>
      <w:r w:rsidRPr="00C81A8D">
        <w:rPr>
          <w:rStyle w:val="PlaceholderText"/>
          <w:color w:val="auto"/>
          <w:sz w:val="22"/>
          <w:szCs w:val="22"/>
        </w:rPr>
        <w:t>z. nemalo úpravu špecifických úverov v príslušnom ustanovení zákona zakotvenú a z uvedeného dôvodu bolo potrebné upraviť aj tento typ úverov v súlade so smernicou 2008/48/ES.</w:t>
      </w:r>
    </w:p>
    <w:p w:rsidR="0069358A" w:rsidRPr="00C81A8D" w:rsidP="00A87657">
      <w:pPr>
        <w:widowControl/>
        <w:bidi w:val="0"/>
        <w:jc w:val="both"/>
        <w:rPr>
          <w:rStyle w:val="PlaceholderText"/>
          <w:color w:val="auto"/>
          <w:sz w:val="22"/>
          <w:szCs w:val="22"/>
        </w:rPr>
      </w:pPr>
    </w:p>
    <w:p w:rsidR="00C02513" w:rsidRPr="00C81A8D" w:rsidP="00C02513">
      <w:pPr>
        <w:widowControl/>
        <w:bidi w:val="0"/>
        <w:jc w:val="both"/>
        <w:rPr>
          <w:rStyle w:val="PlaceholderText"/>
          <w:b/>
          <w:color w:val="auto"/>
          <w:sz w:val="22"/>
          <w:szCs w:val="22"/>
        </w:rPr>
      </w:pPr>
      <w:r w:rsidRPr="00C81A8D" w:rsidR="00CC034A">
        <w:rPr>
          <w:rStyle w:val="PlaceholderText"/>
          <w:b/>
          <w:color w:val="auto"/>
          <w:sz w:val="22"/>
          <w:szCs w:val="22"/>
        </w:rPr>
        <w:t>K č</w:t>
      </w:r>
      <w:r w:rsidRPr="00C81A8D">
        <w:rPr>
          <w:rStyle w:val="PlaceholderText"/>
          <w:b/>
          <w:color w:val="auto"/>
          <w:sz w:val="22"/>
          <w:szCs w:val="22"/>
        </w:rPr>
        <w:t>l. II</w:t>
      </w:r>
    </w:p>
    <w:p w:rsidR="00CC034A" w:rsidRPr="00C81A8D" w:rsidP="00C02513">
      <w:pPr>
        <w:widowControl/>
        <w:bidi w:val="0"/>
        <w:jc w:val="both"/>
        <w:rPr>
          <w:rStyle w:val="PlaceholderText"/>
          <w:b/>
          <w:color w:val="auto"/>
          <w:sz w:val="22"/>
          <w:szCs w:val="22"/>
        </w:rPr>
      </w:pPr>
    </w:p>
    <w:p w:rsidR="00F66C38" w:rsidRPr="00C81A8D" w:rsidP="00F66C38">
      <w:pPr>
        <w:widowControl/>
        <w:bidi w:val="0"/>
        <w:jc w:val="both"/>
        <w:rPr>
          <w:rStyle w:val="PlaceholderText"/>
          <w:b/>
          <w:color w:val="auto"/>
          <w:sz w:val="22"/>
          <w:szCs w:val="22"/>
        </w:rPr>
      </w:pPr>
      <w:r w:rsidRPr="00C81A8D">
        <w:rPr>
          <w:rStyle w:val="PlaceholderText"/>
          <w:b/>
          <w:color w:val="auto"/>
          <w:sz w:val="22"/>
          <w:szCs w:val="22"/>
        </w:rPr>
        <w:t>K bodu 1</w:t>
      </w:r>
    </w:p>
    <w:p w:rsidR="00400E37" w:rsidRPr="00A42E6A" w:rsidP="00A42E6A">
      <w:pPr>
        <w:widowControl/>
        <w:bidi w:val="0"/>
        <w:jc w:val="both"/>
        <w:rPr>
          <w:rStyle w:val="PlaceholderText"/>
          <w:color w:val="auto"/>
          <w:sz w:val="22"/>
          <w:szCs w:val="22"/>
        </w:rPr>
      </w:pPr>
      <w:r w:rsidRPr="00A42E6A" w:rsidR="0019427C">
        <w:rPr>
          <w:rStyle w:val="PlaceholderText"/>
          <w:color w:val="auto"/>
          <w:sz w:val="22"/>
          <w:szCs w:val="22"/>
        </w:rPr>
        <w:t>Ustanovením</w:t>
      </w:r>
      <w:r w:rsidRPr="00A42E6A">
        <w:rPr>
          <w:rStyle w:val="PlaceholderText"/>
          <w:color w:val="auto"/>
          <w:sz w:val="22"/>
          <w:szCs w:val="22"/>
        </w:rPr>
        <w:t xml:space="preserve"> § 8 ods. 10  sa ukladá povinnosť posudzovať položky vstupujúce do výpočtu pre ukazovateľ schopnosti spotrebiteľa splácať úver na bývanie na základe jednoznačných, overiteľných, aktuálnych a</w:t>
      </w:r>
      <w:r w:rsidRPr="00DD3836">
        <w:rPr>
          <w:rStyle w:val="PlaceholderText"/>
          <w:color w:val="auto"/>
          <w:sz w:val="22"/>
          <w:szCs w:val="22"/>
        </w:rPr>
        <w:t> </w:t>
      </w:r>
      <w:r w:rsidRPr="00A42E6A">
        <w:rPr>
          <w:rStyle w:val="PlaceholderText"/>
          <w:color w:val="auto"/>
          <w:sz w:val="22"/>
          <w:szCs w:val="22"/>
        </w:rPr>
        <w:t>pravdivých informácii. Tieto informácie, majú byť ľahko a</w:t>
      </w:r>
      <w:r w:rsidRPr="00DD3836">
        <w:rPr>
          <w:rStyle w:val="PlaceholderText"/>
          <w:color w:val="auto"/>
          <w:sz w:val="22"/>
          <w:szCs w:val="22"/>
        </w:rPr>
        <w:t> </w:t>
      </w:r>
      <w:r w:rsidRPr="00A42E6A">
        <w:rPr>
          <w:rStyle w:val="PlaceholderText"/>
          <w:color w:val="auto"/>
          <w:sz w:val="22"/>
          <w:szCs w:val="22"/>
        </w:rPr>
        <w:t>jednoznačne overiteľné nielen na základe predložených podkladov od spotrebiteľa ale aj ďalších zdrojov, ktoré sú nezávislé od spotrebiteľa (napríklad overovaním predložených dokladov u</w:t>
      </w:r>
      <w:r w:rsidRPr="00DD3836">
        <w:rPr>
          <w:rStyle w:val="PlaceholderText"/>
          <w:color w:val="auto"/>
          <w:sz w:val="22"/>
          <w:szCs w:val="22"/>
        </w:rPr>
        <w:t> </w:t>
      </w:r>
      <w:r w:rsidRPr="00A42E6A">
        <w:rPr>
          <w:rStyle w:val="PlaceholderText"/>
          <w:color w:val="auto"/>
          <w:sz w:val="22"/>
          <w:szCs w:val="22"/>
        </w:rPr>
        <w:t>osôb, ktoré ich vystavili, používaním spoločnej databázy na overovanie údajov a</w:t>
      </w:r>
      <w:r w:rsidRPr="00DD3836">
        <w:rPr>
          <w:rStyle w:val="PlaceholderText"/>
          <w:color w:val="auto"/>
          <w:sz w:val="22"/>
          <w:szCs w:val="22"/>
        </w:rPr>
        <w:t> </w:t>
      </w:r>
      <w:r w:rsidRPr="00A42E6A">
        <w:rPr>
          <w:rStyle w:val="PlaceholderText"/>
          <w:color w:val="auto"/>
          <w:sz w:val="22"/>
          <w:szCs w:val="22"/>
        </w:rPr>
        <w:t>podobne).</w:t>
      </w:r>
    </w:p>
    <w:p w:rsidR="00400E37" w:rsidP="00F66C38">
      <w:pPr>
        <w:widowControl/>
        <w:bidi w:val="0"/>
        <w:jc w:val="both"/>
        <w:rPr>
          <w:rStyle w:val="PlaceholderText"/>
          <w:color w:val="auto"/>
          <w:sz w:val="22"/>
          <w:szCs w:val="22"/>
        </w:rPr>
      </w:pPr>
    </w:p>
    <w:p w:rsidR="00B8437D" w:rsidRPr="00C81A8D" w:rsidP="00F66C38">
      <w:pPr>
        <w:widowControl/>
        <w:bidi w:val="0"/>
        <w:jc w:val="both"/>
        <w:rPr>
          <w:rStyle w:val="PlaceholderText"/>
          <w:color w:val="auto"/>
          <w:sz w:val="22"/>
          <w:szCs w:val="22"/>
        </w:rPr>
      </w:pPr>
      <w:r w:rsidRPr="00C81A8D">
        <w:rPr>
          <w:rStyle w:val="PlaceholderText"/>
          <w:color w:val="auto"/>
          <w:sz w:val="22"/>
          <w:szCs w:val="22"/>
        </w:rPr>
        <w:t>S ohľadom na znižovanie administratívnej záťaže spotrebiteľa pri preukazovaní rôznych druhov nákladov je vhodné stanoviť jednoznačný mechanizmus na určovanie výšky nákladov s použitím vzorca. Životné minimum a príjem sú vstupujúce veličiny na účely výpočtu nákladov na zabezpečenie základných životných potrieb spotrebiteľa a osôb, voči ktorým má spotrebiteľ vyživovaciu povinnosť. Minimálne štandardy na výpočet vzorca určí Ná</w:t>
      </w:r>
      <w:r w:rsidRPr="00B35E3A">
        <w:rPr>
          <w:rStyle w:val="PlaceholderText"/>
          <w:color w:val="auto"/>
          <w:sz w:val="22"/>
          <w:szCs w:val="22"/>
        </w:rPr>
        <w:t>rodná banka Slovenska opatrením.</w:t>
      </w:r>
    </w:p>
    <w:p w:rsidR="00B8437D" w:rsidRPr="00B35E3A" w:rsidP="00F66C38">
      <w:pPr>
        <w:widowControl/>
        <w:bidi w:val="0"/>
        <w:jc w:val="both"/>
        <w:rPr>
          <w:rStyle w:val="PlaceholderText"/>
          <w:color w:val="auto"/>
          <w:sz w:val="22"/>
          <w:szCs w:val="22"/>
        </w:rPr>
      </w:pPr>
    </w:p>
    <w:p w:rsidR="00B8437D" w:rsidRPr="00C81A8D" w:rsidP="00F66C38">
      <w:pPr>
        <w:widowControl/>
        <w:bidi w:val="0"/>
        <w:jc w:val="both"/>
        <w:rPr>
          <w:rStyle w:val="PlaceholderText"/>
          <w:b/>
          <w:color w:val="auto"/>
          <w:sz w:val="22"/>
          <w:szCs w:val="22"/>
        </w:rPr>
      </w:pPr>
      <w:r w:rsidRPr="00C81A8D">
        <w:rPr>
          <w:rStyle w:val="PlaceholderText"/>
          <w:b/>
          <w:color w:val="auto"/>
          <w:sz w:val="22"/>
          <w:szCs w:val="22"/>
        </w:rPr>
        <w:t>K</w:t>
      </w:r>
      <w:r w:rsidRPr="00B35E3A">
        <w:rPr>
          <w:rStyle w:val="PlaceholderText"/>
          <w:b/>
          <w:color w:val="auto"/>
          <w:sz w:val="22"/>
          <w:szCs w:val="22"/>
        </w:rPr>
        <w:t> </w:t>
      </w:r>
      <w:r w:rsidRPr="00C81A8D">
        <w:rPr>
          <w:rStyle w:val="PlaceholderText"/>
          <w:b/>
          <w:color w:val="auto"/>
          <w:sz w:val="22"/>
          <w:szCs w:val="22"/>
        </w:rPr>
        <w:t>bodu 2</w:t>
      </w:r>
    </w:p>
    <w:p w:rsidR="00F66C38" w:rsidRPr="00A2193F" w:rsidP="00F66C38">
      <w:pPr>
        <w:widowControl/>
        <w:bidi w:val="0"/>
        <w:jc w:val="both"/>
        <w:rPr>
          <w:rStyle w:val="PlaceholderText"/>
          <w:color w:val="auto"/>
          <w:sz w:val="22"/>
          <w:szCs w:val="22"/>
        </w:rPr>
      </w:pPr>
      <w:r w:rsidRPr="00B35E3A">
        <w:rPr>
          <w:rStyle w:val="PlaceholderText"/>
          <w:color w:val="auto"/>
          <w:sz w:val="22"/>
          <w:szCs w:val="22"/>
        </w:rPr>
        <w:t>Legislatívno-technická úprava v nadvä</w:t>
      </w:r>
      <w:r w:rsidRPr="00D94F50">
        <w:rPr>
          <w:rStyle w:val="PlaceholderText"/>
          <w:color w:val="auto"/>
          <w:sz w:val="22"/>
          <w:szCs w:val="22"/>
        </w:rPr>
        <w:t>znosti na doplnenie nových ustanovení v § 8 ods. 31 až 36</w:t>
      </w:r>
      <w:r w:rsidRPr="00D94F50" w:rsidR="001E61CB">
        <w:rPr>
          <w:rStyle w:val="PlaceholderText"/>
          <w:color w:val="auto"/>
          <w:sz w:val="22"/>
          <w:szCs w:val="22"/>
        </w:rPr>
        <w:t>.</w:t>
      </w:r>
    </w:p>
    <w:p w:rsidR="001E61CB" w:rsidRPr="00516A4F" w:rsidP="00F66C38">
      <w:pPr>
        <w:widowControl/>
        <w:bidi w:val="0"/>
        <w:jc w:val="both"/>
        <w:rPr>
          <w:rStyle w:val="PlaceholderText"/>
          <w:color w:val="auto"/>
          <w:sz w:val="22"/>
          <w:szCs w:val="22"/>
        </w:rPr>
      </w:pPr>
    </w:p>
    <w:p w:rsidR="001E61CB" w:rsidRPr="0091580F" w:rsidP="00F66C38">
      <w:pPr>
        <w:widowControl/>
        <w:bidi w:val="0"/>
        <w:jc w:val="both"/>
        <w:rPr>
          <w:rStyle w:val="PlaceholderText"/>
          <w:b/>
          <w:color w:val="auto"/>
          <w:sz w:val="22"/>
          <w:szCs w:val="22"/>
        </w:rPr>
      </w:pPr>
      <w:r w:rsidRPr="00516A4F">
        <w:rPr>
          <w:rStyle w:val="PlaceholderText"/>
          <w:b/>
          <w:color w:val="auto"/>
          <w:sz w:val="22"/>
          <w:szCs w:val="22"/>
        </w:rPr>
        <w:t>K</w:t>
      </w:r>
      <w:r w:rsidRPr="0091580F">
        <w:rPr>
          <w:rStyle w:val="PlaceholderText"/>
          <w:b/>
          <w:color w:val="auto"/>
          <w:sz w:val="22"/>
          <w:szCs w:val="22"/>
        </w:rPr>
        <w:t xml:space="preserve"> bodom </w:t>
      </w:r>
      <w:r w:rsidRPr="0091580F" w:rsidR="00B8437D">
        <w:rPr>
          <w:rStyle w:val="PlaceholderText"/>
          <w:b/>
          <w:color w:val="auto"/>
          <w:sz w:val="22"/>
          <w:szCs w:val="22"/>
        </w:rPr>
        <w:t>3</w:t>
      </w:r>
      <w:r w:rsidRPr="0091580F">
        <w:rPr>
          <w:rStyle w:val="PlaceholderText"/>
          <w:b/>
          <w:color w:val="auto"/>
          <w:sz w:val="22"/>
          <w:szCs w:val="22"/>
        </w:rPr>
        <w:t xml:space="preserve"> až </w:t>
      </w:r>
      <w:r w:rsidRPr="0091580F" w:rsidR="00B8437D">
        <w:rPr>
          <w:rStyle w:val="PlaceholderText"/>
          <w:b/>
          <w:color w:val="auto"/>
          <w:sz w:val="22"/>
          <w:szCs w:val="22"/>
        </w:rPr>
        <w:t>6</w:t>
      </w:r>
    </w:p>
    <w:p w:rsidR="001E61CB" w:rsidRPr="00C81A8D" w:rsidP="00F66C38">
      <w:pPr>
        <w:widowControl/>
        <w:bidi w:val="0"/>
        <w:jc w:val="both"/>
        <w:rPr>
          <w:rStyle w:val="PlaceholderText"/>
          <w:b/>
          <w:color w:val="auto"/>
          <w:sz w:val="22"/>
          <w:szCs w:val="22"/>
        </w:rPr>
      </w:pPr>
      <w:r w:rsidRPr="00C81A8D">
        <w:rPr>
          <w:rStyle w:val="PlaceholderText"/>
          <w:color w:val="auto"/>
          <w:sz w:val="22"/>
          <w:szCs w:val="22"/>
        </w:rPr>
        <w:t>Legislatívno-technická úprava v nadväznosti na novelizačný bod 1.</w:t>
      </w:r>
    </w:p>
    <w:p w:rsidR="00C02513" w:rsidRPr="00C81A8D" w:rsidP="00C02513">
      <w:pPr>
        <w:widowControl/>
        <w:bidi w:val="0"/>
        <w:jc w:val="both"/>
        <w:rPr>
          <w:rStyle w:val="PlaceholderText"/>
          <w:color w:val="auto"/>
          <w:sz w:val="22"/>
          <w:szCs w:val="22"/>
        </w:rPr>
      </w:pPr>
    </w:p>
    <w:p w:rsidR="00F66C38" w:rsidRPr="00C81A8D" w:rsidP="00C02513">
      <w:pPr>
        <w:widowControl/>
        <w:bidi w:val="0"/>
        <w:jc w:val="both"/>
        <w:rPr>
          <w:rStyle w:val="PlaceholderText"/>
          <w:b/>
          <w:color w:val="auto"/>
          <w:sz w:val="22"/>
          <w:szCs w:val="22"/>
        </w:rPr>
      </w:pPr>
      <w:r w:rsidRPr="00C81A8D" w:rsidR="0074246B">
        <w:rPr>
          <w:rStyle w:val="PlaceholderText"/>
          <w:b/>
          <w:color w:val="auto"/>
          <w:sz w:val="22"/>
          <w:szCs w:val="22"/>
        </w:rPr>
        <w:t xml:space="preserve">K bodu </w:t>
      </w:r>
      <w:r w:rsidRPr="00C81A8D" w:rsidR="00B8437D">
        <w:rPr>
          <w:rStyle w:val="PlaceholderText"/>
          <w:b/>
          <w:color w:val="auto"/>
          <w:sz w:val="22"/>
          <w:szCs w:val="22"/>
        </w:rPr>
        <w:t>7</w:t>
      </w:r>
    </w:p>
    <w:p w:rsidR="0094376C" w:rsidRPr="00C81A8D" w:rsidP="0094376C">
      <w:pPr>
        <w:widowControl/>
        <w:bidi w:val="0"/>
        <w:jc w:val="both"/>
        <w:rPr>
          <w:rStyle w:val="PlaceholderText"/>
          <w:color w:val="auto"/>
          <w:sz w:val="22"/>
          <w:szCs w:val="22"/>
        </w:rPr>
      </w:pPr>
      <w:r w:rsidRPr="00C81A8D">
        <w:rPr>
          <w:rStyle w:val="PlaceholderText"/>
          <w:color w:val="auto"/>
          <w:sz w:val="22"/>
          <w:szCs w:val="22"/>
        </w:rPr>
        <w:t>(§ 8 ods. 31)</w:t>
      </w:r>
    </w:p>
    <w:p w:rsidR="0094376C" w:rsidRPr="00C81A8D" w:rsidP="0094376C">
      <w:pPr>
        <w:widowControl/>
        <w:bidi w:val="0"/>
        <w:jc w:val="both"/>
        <w:rPr>
          <w:rStyle w:val="PlaceholderText"/>
          <w:color w:val="auto"/>
          <w:sz w:val="22"/>
          <w:szCs w:val="22"/>
        </w:rPr>
      </w:pPr>
      <w:r w:rsidRPr="00C81A8D" w:rsidR="00A11E74">
        <w:rPr>
          <w:rStyle w:val="PlaceholderText"/>
          <w:color w:val="auto"/>
          <w:sz w:val="22"/>
          <w:szCs w:val="22"/>
        </w:rPr>
        <w:t>Navrhovaným ustanovením § 8</w:t>
      </w:r>
      <w:r w:rsidRPr="00C81A8D">
        <w:rPr>
          <w:rStyle w:val="PlaceholderText"/>
          <w:color w:val="auto"/>
          <w:sz w:val="22"/>
          <w:szCs w:val="22"/>
        </w:rPr>
        <w:t xml:space="preserve"> ods. 31 sa ukladá povinnosť vypracúvať vnútorné predpisy o určení podmienok pre postupné splácanie úverov na bývanie a zároveň ich pravidelne prehodnocovať. Tieto predpisy sa týkajú určenia výšky platieb spotrebiteľa v čase poskytnutia úveru, ako aj v čase </w:t>
      </w:r>
      <w:r w:rsidRPr="00C81A8D" w:rsidR="00A74620">
        <w:rPr>
          <w:rStyle w:val="PlaceholderText"/>
          <w:color w:val="auto"/>
          <w:sz w:val="22"/>
          <w:szCs w:val="22"/>
        </w:rPr>
        <w:t xml:space="preserve">každej </w:t>
      </w:r>
      <w:r w:rsidRPr="00C81A8D">
        <w:rPr>
          <w:rStyle w:val="PlaceholderText"/>
          <w:color w:val="auto"/>
          <w:sz w:val="22"/>
          <w:szCs w:val="22"/>
        </w:rPr>
        <w:t>refixácie úrokovej sadzby.</w:t>
      </w:r>
    </w:p>
    <w:p w:rsidR="0094376C" w:rsidRPr="00C81A8D" w:rsidP="0094376C">
      <w:pPr>
        <w:widowControl/>
        <w:bidi w:val="0"/>
        <w:jc w:val="both"/>
        <w:rPr>
          <w:rStyle w:val="PlaceholderText"/>
          <w:color w:val="auto"/>
          <w:sz w:val="22"/>
          <w:szCs w:val="22"/>
        </w:rPr>
      </w:pPr>
    </w:p>
    <w:p w:rsidR="0094376C" w:rsidRPr="00C81A8D" w:rsidP="0094376C">
      <w:pPr>
        <w:widowControl/>
        <w:bidi w:val="0"/>
        <w:jc w:val="both"/>
        <w:rPr>
          <w:rStyle w:val="PlaceholderText"/>
          <w:color w:val="auto"/>
          <w:sz w:val="22"/>
          <w:szCs w:val="22"/>
        </w:rPr>
      </w:pPr>
      <w:r w:rsidRPr="00C81A8D">
        <w:rPr>
          <w:rStyle w:val="PlaceholderText"/>
          <w:color w:val="auto"/>
          <w:sz w:val="22"/>
          <w:szCs w:val="22"/>
        </w:rPr>
        <w:t>(§ 8 ods. 32)</w:t>
      </w:r>
    </w:p>
    <w:p w:rsidR="00A11E74" w:rsidRPr="00C81A8D" w:rsidP="00A11E74">
      <w:pPr>
        <w:widowControl/>
        <w:bidi w:val="0"/>
        <w:jc w:val="both"/>
        <w:rPr>
          <w:rStyle w:val="PlaceholderText"/>
          <w:color w:val="auto"/>
          <w:sz w:val="22"/>
          <w:szCs w:val="22"/>
        </w:rPr>
      </w:pPr>
      <w:r w:rsidRPr="00C81A8D">
        <w:rPr>
          <w:rStyle w:val="PlaceholderText"/>
          <w:color w:val="auto"/>
          <w:sz w:val="22"/>
          <w:szCs w:val="22"/>
        </w:rPr>
        <w:t>V navrhovanom ustanovení § 8 ods. 32 sa uvádzajú podrobnosti</w:t>
      </w:r>
      <w:r w:rsidRPr="00C81A8D" w:rsidR="00C91A67">
        <w:rPr>
          <w:rStyle w:val="PlaceholderText"/>
          <w:color w:val="auto"/>
          <w:sz w:val="22"/>
          <w:szCs w:val="22"/>
        </w:rPr>
        <w:t>,</w:t>
      </w:r>
      <w:r w:rsidRPr="00C81A8D">
        <w:rPr>
          <w:rStyle w:val="PlaceholderText"/>
          <w:color w:val="auto"/>
          <w:sz w:val="22"/>
          <w:szCs w:val="22"/>
        </w:rPr>
        <w:t xml:space="preserve"> ako je potrebné nastaviť podmienky na postupné splácanie úveru na bývanie. Od </w:t>
      </w:r>
      <w:r w:rsidR="0091580F">
        <w:rPr>
          <w:rStyle w:val="PlaceholderText"/>
          <w:color w:val="auto"/>
          <w:sz w:val="22"/>
          <w:szCs w:val="22"/>
        </w:rPr>
        <w:t>týchto</w:t>
      </w:r>
      <w:r w:rsidRPr="0091580F" w:rsidR="0091580F">
        <w:rPr>
          <w:rStyle w:val="PlaceholderText"/>
          <w:color w:val="auto"/>
          <w:sz w:val="22"/>
          <w:szCs w:val="22"/>
        </w:rPr>
        <w:t xml:space="preserve"> </w:t>
      </w:r>
      <w:r w:rsidRPr="0091580F">
        <w:rPr>
          <w:rStyle w:val="PlaceholderText"/>
          <w:color w:val="auto"/>
          <w:sz w:val="22"/>
          <w:szCs w:val="22"/>
        </w:rPr>
        <w:t>podmien</w:t>
      </w:r>
      <w:r w:rsidR="0091580F">
        <w:rPr>
          <w:rStyle w:val="PlaceholderText"/>
          <w:color w:val="auto"/>
          <w:sz w:val="22"/>
          <w:szCs w:val="22"/>
        </w:rPr>
        <w:t>o</w:t>
      </w:r>
      <w:r w:rsidRPr="0091580F">
        <w:rPr>
          <w:rStyle w:val="PlaceholderText"/>
          <w:color w:val="auto"/>
          <w:sz w:val="22"/>
          <w:szCs w:val="22"/>
        </w:rPr>
        <w:t xml:space="preserve">k je možné upustiť za predpokladu, že nastanú prípady  uvedené v </w:t>
      </w:r>
      <w:r w:rsidRPr="00C81A8D" w:rsidR="00C91A67">
        <w:rPr>
          <w:rStyle w:val="PlaceholderText"/>
          <w:color w:val="auto"/>
          <w:sz w:val="22"/>
          <w:szCs w:val="22"/>
        </w:rPr>
        <w:t xml:space="preserve">    </w:t>
      </w:r>
      <w:r w:rsidRPr="00C81A8D">
        <w:rPr>
          <w:rStyle w:val="PlaceholderText"/>
          <w:color w:val="auto"/>
          <w:sz w:val="22"/>
          <w:szCs w:val="22"/>
        </w:rPr>
        <w:t>§ 8 ods. 33</w:t>
      </w:r>
      <w:r w:rsidRPr="00C81A8D" w:rsidR="00AA3DA6">
        <w:rPr>
          <w:rStyle w:val="PlaceholderText"/>
          <w:color w:val="auto"/>
          <w:sz w:val="22"/>
          <w:szCs w:val="22"/>
        </w:rPr>
        <w:t xml:space="preserve"> a 35</w:t>
      </w:r>
      <w:r w:rsidRPr="00C81A8D">
        <w:rPr>
          <w:rStyle w:val="PlaceholderText"/>
          <w:color w:val="auto"/>
          <w:sz w:val="22"/>
          <w:szCs w:val="22"/>
        </w:rPr>
        <w:t>. Pod pravidelnými splátkami sa myslia splátky platené pravidelne v rovnakej výške  platenej peňažnej sumy. Ide o splátky zostatkovej istiny a úrokov vrátane príslušenstva, pričom vzájomný pomer medzi splátkami istiny a úrokov sa môže meniť.</w:t>
      </w:r>
    </w:p>
    <w:p w:rsidR="00B37873" w:rsidRPr="00C81A8D" w:rsidP="00A11E74">
      <w:pPr>
        <w:widowControl/>
        <w:bidi w:val="0"/>
        <w:jc w:val="both"/>
        <w:rPr>
          <w:rStyle w:val="PlaceholderText"/>
          <w:color w:val="auto"/>
          <w:sz w:val="22"/>
          <w:szCs w:val="22"/>
        </w:rPr>
      </w:pPr>
    </w:p>
    <w:p w:rsidR="00CA696C" w:rsidRPr="00C81A8D" w:rsidP="00CA696C">
      <w:pPr>
        <w:widowControl/>
        <w:bidi w:val="0"/>
        <w:jc w:val="both"/>
        <w:rPr>
          <w:rStyle w:val="PlaceholderText"/>
          <w:color w:val="auto"/>
          <w:sz w:val="22"/>
          <w:szCs w:val="22"/>
        </w:rPr>
      </w:pPr>
      <w:r w:rsidRPr="00C81A8D">
        <w:rPr>
          <w:rStyle w:val="PlaceholderText"/>
          <w:color w:val="auto"/>
          <w:sz w:val="22"/>
          <w:szCs w:val="22"/>
        </w:rPr>
        <w:t>(§ 8 ods. 3</w:t>
      </w:r>
      <w:r w:rsidRPr="00C81A8D" w:rsidR="00FB0B31">
        <w:rPr>
          <w:rStyle w:val="PlaceholderText"/>
          <w:color w:val="auto"/>
          <w:sz w:val="22"/>
          <w:szCs w:val="22"/>
        </w:rPr>
        <w:t>3</w:t>
      </w:r>
      <w:r w:rsidRPr="00C81A8D">
        <w:rPr>
          <w:rStyle w:val="PlaceholderText"/>
          <w:color w:val="auto"/>
          <w:sz w:val="22"/>
          <w:szCs w:val="22"/>
        </w:rPr>
        <w:t>)</w:t>
      </w:r>
    </w:p>
    <w:p w:rsidR="00CA696C" w:rsidRPr="00C81A8D" w:rsidP="00CA696C">
      <w:pPr>
        <w:widowControl/>
        <w:bidi w:val="0"/>
        <w:jc w:val="both"/>
        <w:rPr>
          <w:rStyle w:val="PlaceholderText"/>
          <w:color w:val="auto"/>
          <w:sz w:val="22"/>
          <w:szCs w:val="22"/>
        </w:rPr>
      </w:pPr>
      <w:r w:rsidRPr="00C81A8D">
        <w:rPr>
          <w:rStyle w:val="PlaceholderText"/>
          <w:color w:val="auto"/>
          <w:sz w:val="22"/>
          <w:szCs w:val="22"/>
        </w:rPr>
        <w:t>V navrhovanom ustanovení § 8 ods. 3</w:t>
      </w:r>
      <w:r w:rsidRPr="00C81A8D" w:rsidR="00FB0B31">
        <w:rPr>
          <w:rStyle w:val="PlaceholderText"/>
          <w:color w:val="auto"/>
          <w:sz w:val="22"/>
          <w:szCs w:val="22"/>
        </w:rPr>
        <w:t>3</w:t>
      </w:r>
      <w:r w:rsidRPr="00C81A8D">
        <w:rPr>
          <w:rStyle w:val="PlaceholderText"/>
          <w:color w:val="auto"/>
          <w:sz w:val="22"/>
          <w:szCs w:val="22"/>
        </w:rPr>
        <w:t xml:space="preserve"> sa určujú výnimky z uplatnenia odseku 31 písm. b), ktoré môžu nastať počas celej doby splatnosti úveru na bývanie a ktoré spočívajú v</w:t>
      </w:r>
    </w:p>
    <w:p w:rsidR="00CA696C" w:rsidRPr="00C81A8D" w:rsidP="00CA696C">
      <w:pPr>
        <w:widowControl/>
        <w:bidi w:val="0"/>
        <w:jc w:val="both"/>
        <w:rPr>
          <w:rStyle w:val="PlaceholderText"/>
          <w:color w:val="auto"/>
          <w:sz w:val="22"/>
          <w:szCs w:val="22"/>
        </w:rPr>
      </w:pPr>
      <w:r w:rsidRPr="00C81A8D">
        <w:rPr>
          <w:rStyle w:val="PlaceholderText"/>
          <w:color w:val="auto"/>
          <w:sz w:val="22"/>
          <w:szCs w:val="22"/>
        </w:rPr>
        <w:t>a) vzniku možnosti odkladu alebo dočasného zníženia splátok úroku alebo istiny z dôvodu neočakávaných finančných ťažkostí spotrebiteľa (napríklad, keď sa spotrebiteľ dostane do platobnej neschopnosti),</w:t>
      </w:r>
    </w:p>
    <w:p w:rsidR="00CA696C" w:rsidRPr="00C81A8D" w:rsidP="00CA696C">
      <w:pPr>
        <w:widowControl/>
        <w:bidi w:val="0"/>
        <w:jc w:val="both"/>
        <w:rPr>
          <w:rStyle w:val="PlaceholderText"/>
          <w:color w:val="auto"/>
          <w:sz w:val="22"/>
          <w:szCs w:val="22"/>
        </w:rPr>
      </w:pPr>
      <w:r w:rsidRPr="00C81A8D">
        <w:rPr>
          <w:rStyle w:val="PlaceholderText"/>
          <w:color w:val="auto"/>
          <w:sz w:val="22"/>
          <w:szCs w:val="22"/>
        </w:rPr>
        <w:t>b) možnosti, ak sa ich neplnenie počas celého obdobia splatnosti úveru na bývanie  týka obdobia 6 mesiacov (to znamená, že počas celej doby splatnosti úveru</w:t>
      </w:r>
      <w:r w:rsidRPr="00C81A8D" w:rsidR="008806F8">
        <w:rPr>
          <w:rStyle w:val="PlaceholderText"/>
          <w:color w:val="auto"/>
          <w:sz w:val="22"/>
          <w:szCs w:val="22"/>
        </w:rPr>
        <w:t xml:space="preserve"> na bývanie</w:t>
      </w:r>
      <w:r w:rsidRPr="00C81A8D">
        <w:rPr>
          <w:rStyle w:val="PlaceholderText"/>
          <w:color w:val="auto"/>
          <w:sz w:val="22"/>
          <w:szCs w:val="22"/>
        </w:rPr>
        <w:t xml:space="preserve"> je možné poskytnúť spotrebiteľovi odklad najviac 6 mesačných splátok),</w:t>
      </w:r>
    </w:p>
    <w:p w:rsidR="00FB0B31" w:rsidRPr="00C81A8D" w:rsidP="00CA696C">
      <w:pPr>
        <w:widowControl/>
        <w:bidi w:val="0"/>
        <w:jc w:val="both"/>
        <w:rPr>
          <w:rStyle w:val="PlaceholderText"/>
          <w:color w:val="auto"/>
          <w:sz w:val="22"/>
          <w:szCs w:val="22"/>
        </w:rPr>
      </w:pPr>
      <w:r w:rsidRPr="00C81A8D">
        <w:rPr>
          <w:rStyle w:val="PlaceholderText"/>
          <w:color w:val="auto"/>
          <w:sz w:val="22"/>
          <w:szCs w:val="22"/>
        </w:rPr>
        <w:t xml:space="preserve">c) </w:t>
      </w:r>
      <w:r w:rsidRPr="00C81A8D">
        <w:rPr>
          <w:rFonts w:ascii="Times New Roman" w:hAnsi="Times New Roman"/>
          <w:sz w:val="22"/>
          <w:szCs w:val="22"/>
        </w:rPr>
        <w:t>v zmene úrokovej sadzby v čase jej refixácie na základe vývoja na finančných trhoch (ide o zmenu úrokovej sadzby založenej na základe kvalifikovaného odhadu počas jej refixácie),</w:t>
      </w:r>
    </w:p>
    <w:p w:rsidR="00FB0B31" w:rsidRPr="00C81A8D" w:rsidP="00FB0B31">
      <w:pPr>
        <w:bidi w:val="0"/>
        <w:spacing w:line="276" w:lineRule="auto"/>
        <w:jc w:val="both"/>
        <w:rPr>
          <w:rFonts w:ascii="Times New Roman" w:hAnsi="Times New Roman"/>
          <w:sz w:val="22"/>
          <w:szCs w:val="22"/>
        </w:rPr>
      </w:pPr>
      <w:r w:rsidRPr="00C81A8D">
        <w:rPr>
          <w:rFonts w:ascii="Times New Roman" w:hAnsi="Times New Roman"/>
          <w:sz w:val="22"/>
          <w:szCs w:val="22"/>
        </w:rPr>
        <w:t xml:space="preserve">d) a e) sú existujúce výnimky podľa zákona o bankách, </w:t>
      </w:r>
    </w:p>
    <w:p w:rsidR="00FB0B31" w:rsidRPr="0091580F" w:rsidP="00FB0B31">
      <w:pPr>
        <w:bidi w:val="0"/>
        <w:spacing w:line="276" w:lineRule="auto"/>
        <w:jc w:val="both"/>
        <w:rPr>
          <w:rFonts w:ascii="Times New Roman" w:hAnsi="Times New Roman"/>
          <w:sz w:val="22"/>
          <w:szCs w:val="22"/>
        </w:rPr>
      </w:pPr>
      <w:r w:rsidRPr="00C81A8D">
        <w:rPr>
          <w:rFonts w:ascii="Times New Roman" w:hAnsi="Times New Roman"/>
          <w:sz w:val="22"/>
          <w:szCs w:val="22"/>
        </w:rPr>
        <w:t>f) v prípade podmienky, ktorú si vyžiadala aplikačná prax. Pri výstavbe nehnuteľnost</w:t>
      </w:r>
      <w:r w:rsidR="0091580F">
        <w:rPr>
          <w:rFonts w:ascii="Times New Roman" w:hAnsi="Times New Roman"/>
          <w:sz w:val="22"/>
          <w:szCs w:val="22"/>
        </w:rPr>
        <w:t>i</w:t>
      </w:r>
      <w:r w:rsidRPr="0091580F">
        <w:rPr>
          <w:rFonts w:ascii="Times New Roman" w:hAnsi="Times New Roman"/>
          <w:sz w:val="22"/>
          <w:szCs w:val="22"/>
        </w:rPr>
        <w:t xml:space="preserve"> sa úver čerpá postupne a počas tohto obdobia sa úver nespláca</w:t>
      </w:r>
      <w:r w:rsidR="0091580F">
        <w:rPr>
          <w:rFonts w:ascii="Times New Roman" w:hAnsi="Times New Roman"/>
          <w:sz w:val="22"/>
          <w:szCs w:val="22"/>
        </w:rPr>
        <w:t>.</w:t>
      </w:r>
    </w:p>
    <w:p w:rsidR="00FB0B31" w:rsidRPr="00C81A8D" w:rsidP="00CA696C">
      <w:pPr>
        <w:widowControl/>
        <w:bidi w:val="0"/>
        <w:jc w:val="both"/>
        <w:rPr>
          <w:rStyle w:val="PlaceholderText"/>
          <w:color w:val="auto"/>
          <w:sz w:val="22"/>
          <w:szCs w:val="22"/>
        </w:rPr>
      </w:pPr>
    </w:p>
    <w:p w:rsidR="00CA696C" w:rsidRPr="00C81A8D" w:rsidP="00CA696C">
      <w:pPr>
        <w:widowControl/>
        <w:bidi w:val="0"/>
        <w:jc w:val="both"/>
        <w:rPr>
          <w:rStyle w:val="PlaceholderText"/>
          <w:color w:val="auto"/>
          <w:sz w:val="22"/>
          <w:szCs w:val="22"/>
        </w:rPr>
      </w:pPr>
      <w:r w:rsidRPr="00C81A8D">
        <w:rPr>
          <w:rStyle w:val="PlaceholderText"/>
          <w:color w:val="auto"/>
          <w:sz w:val="22"/>
          <w:szCs w:val="22"/>
        </w:rPr>
        <w:t>(§ 8 ods. 3</w:t>
      </w:r>
      <w:r w:rsidRPr="00C81A8D" w:rsidR="00FB0B31">
        <w:rPr>
          <w:rStyle w:val="PlaceholderText"/>
          <w:color w:val="auto"/>
          <w:sz w:val="22"/>
          <w:szCs w:val="22"/>
        </w:rPr>
        <w:t>4</w:t>
      </w:r>
      <w:r w:rsidRPr="00C81A8D">
        <w:rPr>
          <w:rStyle w:val="PlaceholderText"/>
          <w:color w:val="auto"/>
          <w:sz w:val="22"/>
          <w:szCs w:val="22"/>
        </w:rPr>
        <w:t>)</w:t>
      </w:r>
    </w:p>
    <w:p w:rsidR="00CA696C" w:rsidRPr="00C81A8D" w:rsidP="00CA696C">
      <w:pPr>
        <w:widowControl/>
        <w:bidi w:val="0"/>
        <w:jc w:val="both"/>
        <w:rPr>
          <w:rStyle w:val="PlaceholderText"/>
          <w:color w:val="auto"/>
          <w:sz w:val="22"/>
          <w:szCs w:val="22"/>
        </w:rPr>
      </w:pPr>
      <w:r w:rsidRPr="00C81A8D">
        <w:rPr>
          <w:rStyle w:val="PlaceholderText"/>
          <w:color w:val="auto"/>
          <w:sz w:val="22"/>
          <w:szCs w:val="22"/>
        </w:rPr>
        <w:t>V navrhovanom ustanovení § 8 ods. 3</w:t>
      </w:r>
      <w:r w:rsidRPr="00C81A8D" w:rsidR="00FB0B31">
        <w:rPr>
          <w:rStyle w:val="PlaceholderText"/>
          <w:color w:val="auto"/>
          <w:sz w:val="22"/>
          <w:szCs w:val="22"/>
        </w:rPr>
        <w:t>4</w:t>
      </w:r>
      <w:r w:rsidRPr="00C81A8D">
        <w:rPr>
          <w:rStyle w:val="PlaceholderText"/>
          <w:color w:val="auto"/>
          <w:sz w:val="22"/>
          <w:szCs w:val="22"/>
        </w:rPr>
        <w:t xml:space="preserve"> sa špecifikuje spôsob výpočtu splátok pri úveroch, pri ktorých úroková sadzba nie je pevne stanovená počas celej doby splatnosti úveru na bývanie  a jej zmena v čase jej refixácie závisí od vývoja na finančných trhoch.</w:t>
      </w:r>
    </w:p>
    <w:p w:rsidR="00CA696C" w:rsidRPr="00C81A8D" w:rsidP="00CA696C">
      <w:pPr>
        <w:widowControl/>
        <w:bidi w:val="0"/>
        <w:jc w:val="both"/>
        <w:rPr>
          <w:rStyle w:val="PlaceholderText"/>
          <w:color w:val="auto"/>
          <w:sz w:val="22"/>
          <w:szCs w:val="22"/>
        </w:rPr>
      </w:pPr>
    </w:p>
    <w:p w:rsidR="00CA696C" w:rsidRPr="00C81A8D" w:rsidP="00CA696C">
      <w:pPr>
        <w:widowControl/>
        <w:bidi w:val="0"/>
        <w:jc w:val="both"/>
        <w:rPr>
          <w:rStyle w:val="PlaceholderText"/>
          <w:color w:val="auto"/>
          <w:sz w:val="22"/>
          <w:szCs w:val="22"/>
        </w:rPr>
      </w:pPr>
      <w:r w:rsidRPr="00C81A8D" w:rsidR="00164571">
        <w:rPr>
          <w:rStyle w:val="PlaceholderText"/>
          <w:color w:val="auto"/>
          <w:sz w:val="22"/>
          <w:szCs w:val="22"/>
        </w:rPr>
        <w:t>(§ 8</w:t>
      </w:r>
      <w:r w:rsidRPr="00C81A8D">
        <w:rPr>
          <w:rStyle w:val="PlaceholderText"/>
          <w:color w:val="auto"/>
          <w:sz w:val="22"/>
          <w:szCs w:val="22"/>
        </w:rPr>
        <w:t xml:space="preserve"> ods. 3</w:t>
      </w:r>
      <w:r w:rsidRPr="00C81A8D" w:rsidR="00FB0B31">
        <w:rPr>
          <w:rStyle w:val="PlaceholderText"/>
          <w:color w:val="auto"/>
          <w:sz w:val="22"/>
          <w:szCs w:val="22"/>
        </w:rPr>
        <w:t>5</w:t>
      </w:r>
      <w:r w:rsidRPr="00C81A8D">
        <w:rPr>
          <w:rStyle w:val="PlaceholderText"/>
          <w:color w:val="auto"/>
          <w:sz w:val="22"/>
          <w:szCs w:val="22"/>
        </w:rPr>
        <w:t>)</w:t>
      </w:r>
    </w:p>
    <w:p w:rsidR="00CA696C" w:rsidRPr="0091580F" w:rsidP="00CA696C">
      <w:pPr>
        <w:widowControl/>
        <w:bidi w:val="0"/>
        <w:jc w:val="both"/>
        <w:rPr>
          <w:rStyle w:val="PlaceholderText"/>
          <w:color w:val="auto"/>
          <w:sz w:val="22"/>
          <w:szCs w:val="22"/>
        </w:rPr>
      </w:pPr>
      <w:r w:rsidRPr="00C81A8D">
        <w:rPr>
          <w:rStyle w:val="PlaceholderText"/>
          <w:color w:val="auto"/>
          <w:sz w:val="22"/>
          <w:szCs w:val="22"/>
        </w:rPr>
        <w:t>V navrhovanom ustanovení</w:t>
      </w:r>
      <w:r w:rsidRPr="00C81A8D" w:rsidR="00164571">
        <w:rPr>
          <w:rStyle w:val="PlaceholderText"/>
          <w:color w:val="auto"/>
          <w:sz w:val="22"/>
          <w:szCs w:val="22"/>
        </w:rPr>
        <w:t xml:space="preserve"> § 8</w:t>
      </w:r>
      <w:r w:rsidRPr="00C81A8D">
        <w:rPr>
          <w:rStyle w:val="PlaceholderText"/>
          <w:color w:val="auto"/>
          <w:sz w:val="22"/>
          <w:szCs w:val="22"/>
        </w:rPr>
        <w:t xml:space="preserve"> ods. 3</w:t>
      </w:r>
      <w:r w:rsidRPr="00C81A8D" w:rsidR="00FB0B31">
        <w:rPr>
          <w:rStyle w:val="PlaceholderText"/>
          <w:color w:val="auto"/>
          <w:sz w:val="22"/>
          <w:szCs w:val="22"/>
        </w:rPr>
        <w:t>5</w:t>
      </w:r>
      <w:r w:rsidRPr="00C81A8D">
        <w:rPr>
          <w:rStyle w:val="PlaceholderText"/>
          <w:color w:val="auto"/>
          <w:sz w:val="22"/>
          <w:szCs w:val="22"/>
        </w:rPr>
        <w:t xml:space="preserve"> sa špecifikujú podmienky splácania úverov na stavebné účely podľa § 12 ods. 2 písm. a) zákona č. 310/1992 Zb. o stavebnom sporení. Pri týchto úveroch je možné nahradiť požiadavku ich pravidelného splácania </w:t>
      </w:r>
      <w:r w:rsidRPr="00C81A8D" w:rsidR="00A30FC4">
        <w:rPr>
          <w:rStyle w:val="PlaceholderText"/>
          <w:color w:val="auto"/>
          <w:sz w:val="22"/>
          <w:szCs w:val="22"/>
        </w:rPr>
        <w:t>, ak sú prostriedky pravidelne poukazované ako vklady na účet stavebného sporiteľa.  Pri</w:t>
      </w:r>
      <w:r w:rsidR="0091580F">
        <w:rPr>
          <w:rStyle w:val="PlaceholderText"/>
          <w:color w:val="auto"/>
          <w:sz w:val="22"/>
          <w:szCs w:val="22"/>
        </w:rPr>
        <w:t>t</w:t>
      </w:r>
      <w:r w:rsidRPr="0091580F" w:rsidR="00A30FC4">
        <w:rPr>
          <w:rStyle w:val="PlaceholderText"/>
          <w:color w:val="auto"/>
          <w:sz w:val="22"/>
          <w:szCs w:val="22"/>
        </w:rPr>
        <w:t>om výška poukazovanej čiastky je minimálne vo výške, ktorá by umožňovala splatiť rozdiel medzi sumou potrebn</w:t>
      </w:r>
      <w:r w:rsidRPr="00C81A8D" w:rsidR="00A30FC4">
        <w:rPr>
          <w:rStyle w:val="PlaceholderText"/>
          <w:color w:val="auto"/>
          <w:sz w:val="22"/>
          <w:szCs w:val="22"/>
        </w:rPr>
        <w:t xml:space="preserve">ou na vznik nároku na poskytnutie stavebného úveru a sumou na účte stavebného </w:t>
      </w:r>
      <w:r w:rsidR="0091580F">
        <w:rPr>
          <w:rStyle w:val="PlaceholderText"/>
          <w:color w:val="auto"/>
          <w:sz w:val="22"/>
          <w:szCs w:val="22"/>
        </w:rPr>
        <w:t>sporiteľa</w:t>
      </w:r>
      <w:r w:rsidRPr="0091580F" w:rsidR="0091580F">
        <w:rPr>
          <w:rStyle w:val="PlaceholderText"/>
          <w:color w:val="auto"/>
          <w:sz w:val="22"/>
          <w:szCs w:val="22"/>
        </w:rPr>
        <w:t xml:space="preserve"> </w:t>
      </w:r>
      <w:r w:rsidRPr="0091580F" w:rsidR="00A30FC4">
        <w:rPr>
          <w:rStyle w:val="PlaceholderText"/>
          <w:color w:val="auto"/>
          <w:sz w:val="22"/>
          <w:szCs w:val="22"/>
        </w:rPr>
        <w:t>v čase poskytnutia spotrebiteľského úveru rovnomerným spôsobom pri zohľadnení jeho úrokovej sadzby a lehoty splatnosti</w:t>
      </w:r>
      <w:r w:rsidR="0091580F">
        <w:rPr>
          <w:rStyle w:val="PlaceholderText"/>
          <w:color w:val="auto"/>
          <w:sz w:val="22"/>
          <w:szCs w:val="22"/>
        </w:rPr>
        <w:t xml:space="preserve"> úveru</w:t>
      </w:r>
      <w:r w:rsidRPr="0091580F" w:rsidR="00A30FC4">
        <w:rPr>
          <w:rStyle w:val="PlaceholderText"/>
          <w:color w:val="auto"/>
          <w:sz w:val="22"/>
          <w:szCs w:val="22"/>
        </w:rPr>
        <w:t xml:space="preserve">. </w:t>
      </w:r>
      <w:r w:rsidRPr="0091580F">
        <w:rPr>
          <w:rStyle w:val="PlaceholderText"/>
          <w:color w:val="auto"/>
          <w:sz w:val="22"/>
          <w:szCs w:val="22"/>
        </w:rPr>
        <w:t xml:space="preserve"> Táto špecifikácia nadväzuje na trhovú prax aplikovanú na splácanie medziúverov.</w:t>
      </w:r>
    </w:p>
    <w:p w:rsidR="001F62A8" w:rsidRPr="00C81A8D" w:rsidP="00C02513">
      <w:pPr>
        <w:widowControl/>
        <w:bidi w:val="0"/>
        <w:jc w:val="both"/>
        <w:rPr>
          <w:rStyle w:val="PlaceholderText"/>
          <w:b/>
          <w:color w:val="auto"/>
          <w:sz w:val="22"/>
          <w:szCs w:val="22"/>
        </w:rPr>
      </w:pPr>
    </w:p>
    <w:p w:rsidR="00FB0B31" w:rsidRPr="00C81A8D" w:rsidP="00C02513">
      <w:pPr>
        <w:widowControl/>
        <w:bidi w:val="0"/>
        <w:jc w:val="both"/>
        <w:rPr>
          <w:rStyle w:val="PlaceholderText"/>
          <w:color w:val="auto"/>
          <w:sz w:val="22"/>
          <w:szCs w:val="22"/>
        </w:rPr>
      </w:pPr>
      <w:r w:rsidRPr="00C81A8D">
        <w:rPr>
          <w:rStyle w:val="PlaceholderText"/>
          <w:color w:val="auto"/>
          <w:sz w:val="22"/>
          <w:szCs w:val="22"/>
        </w:rPr>
        <w:t>(§ 8 ods. 36)</w:t>
      </w:r>
    </w:p>
    <w:p w:rsidR="00FB0B31" w:rsidRPr="00C81A8D" w:rsidP="00C02513">
      <w:pPr>
        <w:widowControl/>
        <w:bidi w:val="0"/>
        <w:jc w:val="both"/>
        <w:rPr>
          <w:rStyle w:val="PlaceholderText"/>
          <w:color w:val="auto"/>
          <w:sz w:val="22"/>
          <w:szCs w:val="22"/>
        </w:rPr>
      </w:pPr>
      <w:r w:rsidRPr="00C81A8D">
        <w:rPr>
          <w:rStyle w:val="PlaceholderText"/>
          <w:color w:val="auto"/>
          <w:sz w:val="22"/>
          <w:szCs w:val="22"/>
        </w:rPr>
        <w:t xml:space="preserve">V navrhovanom ustanovení § </w:t>
      </w:r>
      <w:r w:rsidRPr="00C81A8D" w:rsidR="00A74620">
        <w:rPr>
          <w:rStyle w:val="PlaceholderText"/>
          <w:color w:val="auto"/>
          <w:sz w:val="22"/>
          <w:szCs w:val="22"/>
        </w:rPr>
        <w:t>8</w:t>
      </w:r>
      <w:r w:rsidRPr="00C81A8D">
        <w:rPr>
          <w:rStyle w:val="PlaceholderText"/>
          <w:color w:val="auto"/>
          <w:sz w:val="22"/>
          <w:szCs w:val="22"/>
        </w:rPr>
        <w:t xml:space="preserve"> ods. 36 sa špecifikuje, že časť úverov na bývanie zabezpečená finančným zabezpečením je vyňatá z požiadavky rovnomerného a pravidelného splácania.</w:t>
      </w:r>
    </w:p>
    <w:p w:rsidR="00FB0B31" w:rsidRPr="00C81A8D" w:rsidP="00C02513">
      <w:pPr>
        <w:widowControl/>
        <w:bidi w:val="0"/>
        <w:jc w:val="both"/>
        <w:rPr>
          <w:rStyle w:val="PlaceholderText"/>
          <w:b/>
          <w:color w:val="auto"/>
          <w:sz w:val="22"/>
          <w:szCs w:val="22"/>
        </w:rPr>
      </w:pPr>
    </w:p>
    <w:p w:rsidR="00853095" w:rsidRPr="00C81A8D" w:rsidP="00853095">
      <w:pPr>
        <w:widowControl/>
        <w:bidi w:val="0"/>
        <w:jc w:val="both"/>
        <w:rPr>
          <w:rStyle w:val="PlaceholderText"/>
          <w:b/>
          <w:color w:val="auto"/>
          <w:sz w:val="22"/>
          <w:szCs w:val="22"/>
        </w:rPr>
      </w:pPr>
      <w:r w:rsidRPr="00C81A8D">
        <w:rPr>
          <w:rStyle w:val="PlaceholderText"/>
          <w:b/>
          <w:color w:val="auto"/>
          <w:sz w:val="22"/>
          <w:szCs w:val="22"/>
        </w:rPr>
        <w:t xml:space="preserve">K bodu </w:t>
      </w:r>
      <w:r w:rsidRPr="00C81A8D" w:rsidR="00B8437D">
        <w:rPr>
          <w:rStyle w:val="PlaceholderText"/>
          <w:b/>
          <w:color w:val="auto"/>
          <w:sz w:val="22"/>
          <w:szCs w:val="22"/>
        </w:rPr>
        <w:t>8</w:t>
      </w:r>
      <w:r w:rsidRPr="00C81A8D" w:rsidR="00E62E34">
        <w:rPr>
          <w:rStyle w:val="PlaceholderText"/>
          <w:b/>
          <w:color w:val="auto"/>
          <w:sz w:val="22"/>
          <w:szCs w:val="22"/>
        </w:rPr>
        <w:t xml:space="preserve"> a</w:t>
      </w:r>
      <w:r w:rsidRPr="00C81A8D">
        <w:rPr>
          <w:rStyle w:val="PlaceholderText"/>
          <w:b/>
          <w:color w:val="auto"/>
          <w:sz w:val="22"/>
          <w:szCs w:val="22"/>
        </w:rPr>
        <w:t xml:space="preserve"> 1</w:t>
      </w:r>
      <w:r w:rsidRPr="00C81A8D" w:rsidR="00B8437D">
        <w:rPr>
          <w:rStyle w:val="PlaceholderText"/>
          <w:b/>
          <w:color w:val="auto"/>
          <w:sz w:val="22"/>
          <w:szCs w:val="22"/>
        </w:rPr>
        <w:t>1</w:t>
      </w:r>
    </w:p>
    <w:p w:rsidR="00853095" w:rsidRPr="00C81A8D" w:rsidP="00853095">
      <w:pPr>
        <w:widowControl/>
        <w:bidi w:val="0"/>
        <w:jc w:val="both"/>
        <w:rPr>
          <w:rStyle w:val="PlaceholderText"/>
          <w:color w:val="auto"/>
          <w:sz w:val="22"/>
          <w:szCs w:val="22"/>
        </w:rPr>
      </w:pPr>
      <w:r w:rsidRPr="00C81A8D">
        <w:rPr>
          <w:rStyle w:val="PlaceholderText"/>
          <w:color w:val="auto"/>
          <w:sz w:val="22"/>
          <w:szCs w:val="22"/>
        </w:rPr>
        <w:t>Legislatívno-technická úprava.</w:t>
      </w:r>
    </w:p>
    <w:p w:rsidR="00853095" w:rsidRPr="00C81A8D" w:rsidP="00853095">
      <w:pPr>
        <w:widowControl/>
        <w:bidi w:val="0"/>
        <w:jc w:val="both"/>
        <w:rPr>
          <w:rStyle w:val="PlaceholderText"/>
          <w:color w:val="auto"/>
          <w:sz w:val="22"/>
          <w:szCs w:val="22"/>
        </w:rPr>
      </w:pPr>
    </w:p>
    <w:p w:rsidR="00853095" w:rsidRPr="00C81A8D" w:rsidP="00853095">
      <w:pPr>
        <w:widowControl/>
        <w:bidi w:val="0"/>
        <w:jc w:val="both"/>
        <w:rPr>
          <w:rStyle w:val="PlaceholderText"/>
          <w:b/>
          <w:color w:val="auto"/>
          <w:sz w:val="22"/>
          <w:szCs w:val="22"/>
        </w:rPr>
      </w:pPr>
      <w:r w:rsidRPr="00C81A8D">
        <w:rPr>
          <w:rStyle w:val="PlaceholderText"/>
          <w:b/>
          <w:color w:val="auto"/>
          <w:sz w:val="22"/>
          <w:szCs w:val="22"/>
        </w:rPr>
        <w:t xml:space="preserve">K bodu </w:t>
      </w:r>
      <w:r w:rsidRPr="00C81A8D" w:rsidR="00B8437D">
        <w:rPr>
          <w:rStyle w:val="PlaceholderText"/>
          <w:b/>
          <w:color w:val="auto"/>
          <w:sz w:val="22"/>
          <w:szCs w:val="22"/>
        </w:rPr>
        <w:t>9</w:t>
      </w:r>
    </w:p>
    <w:p w:rsidR="00853095" w:rsidRPr="0091580F" w:rsidP="00853095">
      <w:pPr>
        <w:widowControl/>
        <w:bidi w:val="0"/>
        <w:jc w:val="both"/>
        <w:rPr>
          <w:rStyle w:val="PlaceholderText"/>
          <w:color w:val="auto"/>
          <w:sz w:val="22"/>
          <w:szCs w:val="22"/>
        </w:rPr>
      </w:pPr>
      <w:r w:rsidRPr="00C81A8D">
        <w:rPr>
          <w:rStyle w:val="PlaceholderText"/>
          <w:color w:val="auto"/>
          <w:sz w:val="22"/>
          <w:szCs w:val="22"/>
        </w:rPr>
        <w:t>Úprava vymedzuje obmedzenie postúpenia pohľadávok iba na veriteľov s neobmedzenou licenciou, banky, zahraničné banky a pobočky zahraničných bánk.</w:t>
      </w:r>
      <w:r w:rsidRPr="00C81A8D" w:rsidR="00E11DCD">
        <w:rPr>
          <w:rStyle w:val="PlaceholderText"/>
          <w:color w:val="auto"/>
          <w:sz w:val="22"/>
          <w:szCs w:val="22"/>
        </w:rPr>
        <w:t xml:space="preserve"> </w:t>
      </w:r>
      <w:r w:rsidRPr="00C81A8D">
        <w:rPr>
          <w:rStyle w:val="PlaceholderText"/>
          <w:color w:val="auto"/>
          <w:sz w:val="22"/>
          <w:szCs w:val="22"/>
        </w:rPr>
        <w:t xml:space="preserve">Vo vzťahu k úprave prevádzania práv je potrebné zohľadniť prípady podľa osobitných predpisov, </w:t>
      </w:r>
      <w:r w:rsidRPr="00C81A8D" w:rsidR="0091580F">
        <w:rPr>
          <w:rStyle w:val="PlaceholderText"/>
          <w:color w:val="auto"/>
          <w:sz w:val="22"/>
          <w:szCs w:val="22"/>
        </w:rPr>
        <w:t>ke</w:t>
      </w:r>
      <w:r w:rsidR="0091580F">
        <w:rPr>
          <w:rStyle w:val="PlaceholderText"/>
          <w:color w:val="auto"/>
          <w:sz w:val="22"/>
          <w:szCs w:val="22"/>
        </w:rPr>
        <w:t>ď</w:t>
      </w:r>
      <w:r w:rsidRPr="0091580F" w:rsidR="0091580F">
        <w:rPr>
          <w:rStyle w:val="PlaceholderText"/>
          <w:color w:val="auto"/>
          <w:sz w:val="22"/>
          <w:szCs w:val="22"/>
        </w:rPr>
        <w:t xml:space="preserve"> </w:t>
      </w:r>
      <w:r w:rsidRPr="0091580F">
        <w:rPr>
          <w:rStyle w:val="PlaceholderText"/>
          <w:color w:val="auto"/>
          <w:sz w:val="22"/>
          <w:szCs w:val="22"/>
        </w:rPr>
        <w:t xml:space="preserve">sú navrhované obmedzenia  vzhľadom na účel týchto osobitných úprav nežiaduce. </w:t>
      </w:r>
    </w:p>
    <w:p w:rsidR="00853095" w:rsidRPr="00C81A8D" w:rsidP="00853095">
      <w:pPr>
        <w:widowControl/>
        <w:bidi w:val="0"/>
        <w:jc w:val="both"/>
        <w:rPr>
          <w:rStyle w:val="PlaceholderText"/>
          <w:color w:val="auto"/>
          <w:sz w:val="22"/>
          <w:szCs w:val="22"/>
        </w:rPr>
      </w:pPr>
    </w:p>
    <w:p w:rsidR="00853095" w:rsidRPr="00C81A8D" w:rsidP="00853095">
      <w:pPr>
        <w:widowControl/>
        <w:bidi w:val="0"/>
        <w:jc w:val="both"/>
        <w:rPr>
          <w:rStyle w:val="PlaceholderText"/>
          <w:b/>
          <w:color w:val="auto"/>
          <w:sz w:val="22"/>
          <w:szCs w:val="22"/>
        </w:rPr>
      </w:pPr>
      <w:r w:rsidRPr="00C81A8D">
        <w:rPr>
          <w:rStyle w:val="PlaceholderText"/>
          <w:b/>
          <w:color w:val="auto"/>
          <w:sz w:val="22"/>
          <w:szCs w:val="22"/>
        </w:rPr>
        <w:t xml:space="preserve">K bodu </w:t>
      </w:r>
      <w:r w:rsidRPr="00C81A8D" w:rsidR="00B8437D">
        <w:rPr>
          <w:rStyle w:val="PlaceholderText"/>
          <w:b/>
          <w:color w:val="auto"/>
          <w:sz w:val="22"/>
          <w:szCs w:val="22"/>
        </w:rPr>
        <w:t>10</w:t>
      </w:r>
    </w:p>
    <w:p w:rsidR="00853095" w:rsidRPr="0091580F" w:rsidP="00853095">
      <w:pPr>
        <w:widowControl/>
        <w:bidi w:val="0"/>
        <w:jc w:val="both"/>
        <w:rPr>
          <w:rStyle w:val="PlaceholderText"/>
          <w:color w:val="auto"/>
          <w:sz w:val="22"/>
          <w:szCs w:val="22"/>
        </w:rPr>
      </w:pPr>
      <w:r w:rsidRPr="00C81A8D">
        <w:rPr>
          <w:rStyle w:val="PlaceholderText"/>
          <w:color w:val="auto"/>
          <w:sz w:val="22"/>
          <w:szCs w:val="22"/>
        </w:rPr>
        <w:t xml:space="preserve">Legislatívno-technická úprava v nadväznosti na bod </w:t>
      </w:r>
      <w:r w:rsidR="0091580F">
        <w:rPr>
          <w:rStyle w:val="PlaceholderText"/>
          <w:color w:val="auto"/>
          <w:sz w:val="22"/>
          <w:szCs w:val="22"/>
        </w:rPr>
        <w:t>9</w:t>
      </w:r>
      <w:r w:rsidRPr="0091580F">
        <w:rPr>
          <w:rStyle w:val="PlaceholderText"/>
          <w:color w:val="auto"/>
          <w:sz w:val="22"/>
          <w:szCs w:val="22"/>
        </w:rPr>
        <w:t>.</w:t>
      </w:r>
    </w:p>
    <w:p w:rsidR="00D37E74" w:rsidRPr="00C81A8D" w:rsidP="00853095">
      <w:pPr>
        <w:widowControl/>
        <w:bidi w:val="0"/>
        <w:jc w:val="both"/>
        <w:rPr>
          <w:rStyle w:val="PlaceholderText"/>
          <w:color w:val="auto"/>
          <w:sz w:val="22"/>
          <w:szCs w:val="22"/>
        </w:rPr>
      </w:pPr>
    </w:p>
    <w:p w:rsidR="00D37E74" w:rsidRPr="00D94F50" w:rsidP="00853095">
      <w:pPr>
        <w:widowControl/>
        <w:bidi w:val="0"/>
        <w:jc w:val="both"/>
        <w:rPr>
          <w:rStyle w:val="PlaceholderText"/>
          <w:b/>
          <w:color w:val="auto"/>
          <w:sz w:val="22"/>
          <w:szCs w:val="22"/>
        </w:rPr>
      </w:pPr>
      <w:r w:rsidRPr="00C81A8D">
        <w:rPr>
          <w:rStyle w:val="PlaceholderText"/>
          <w:b/>
          <w:color w:val="auto"/>
          <w:sz w:val="22"/>
          <w:szCs w:val="22"/>
        </w:rPr>
        <w:t>K</w:t>
      </w:r>
      <w:r w:rsidRPr="00B35E3A">
        <w:rPr>
          <w:rStyle w:val="PlaceholderText"/>
          <w:b/>
          <w:color w:val="auto"/>
          <w:sz w:val="22"/>
          <w:szCs w:val="22"/>
        </w:rPr>
        <w:t> </w:t>
      </w:r>
      <w:r w:rsidRPr="00C81A8D">
        <w:rPr>
          <w:rStyle w:val="PlaceholderText"/>
          <w:b/>
          <w:color w:val="auto"/>
          <w:sz w:val="22"/>
          <w:szCs w:val="22"/>
        </w:rPr>
        <w:t>bodu 1</w:t>
      </w:r>
      <w:r w:rsidRPr="00B35E3A" w:rsidR="00B8437D">
        <w:rPr>
          <w:rStyle w:val="PlaceholderText"/>
          <w:b/>
          <w:color w:val="auto"/>
          <w:sz w:val="22"/>
          <w:szCs w:val="22"/>
        </w:rPr>
        <w:t>2</w:t>
      </w:r>
    </w:p>
    <w:p w:rsidR="00D37E74" w:rsidRPr="00B35E3A" w:rsidP="00853095">
      <w:pPr>
        <w:widowControl/>
        <w:bidi w:val="0"/>
        <w:jc w:val="both"/>
        <w:rPr>
          <w:rStyle w:val="PlaceholderText"/>
          <w:color w:val="auto"/>
          <w:sz w:val="22"/>
          <w:szCs w:val="22"/>
        </w:rPr>
      </w:pPr>
      <w:r w:rsidRPr="00C81A8D">
        <w:rPr>
          <w:rStyle w:val="PlaceholderText"/>
          <w:color w:val="auto"/>
          <w:sz w:val="22"/>
          <w:szCs w:val="22"/>
        </w:rPr>
        <w:t xml:space="preserve">Navrhnutou úpravou § 24 ods. 3 zákona o úveroch na bývanie sa zabezpečí jeho obsahová harmonizácia so súvisiacimi aktuálnymi ustanoveniami s obdobnými aktuálnymi ustanoveniami v § 23 ods. 6 zákona o spotrebiteľských úveroch a o iných úveroch a pôžičkách pre spotrebiteľov (zákona č. 129/2010 Z. z. v znení čl. VI zákona č. 438/2015 Z. z.), čo je opodstatnené a dôvodné vzhľadom na príbuznosť problematiky spotrebiteľských úverov a úverov na bývanie, ale taktiež je to v záujme zdokonalenia legislatívnych predpokladov na zabezpečenie efektívnejšieho, operatívnejšieho a účinnejšieho výkonu dohľadu v oblastiach úverov na bývanie aj spotrebiteľských úverov na rovnakej úrovni, akú už existujúca zákonná regulácia zakotvuje pre oblasť spotrebiteľských úverov podľa zákona č. 129/2010 Z. z. v znení </w:t>
      </w:r>
      <w:r w:rsidR="00A41C8D">
        <w:rPr>
          <w:rStyle w:val="PlaceholderText"/>
          <w:color w:val="auto"/>
          <w:sz w:val="22"/>
          <w:szCs w:val="22"/>
        </w:rPr>
        <w:t>neskorších predpisov.</w:t>
      </w:r>
    </w:p>
    <w:p w:rsidR="00853095" w:rsidRPr="00D94F50" w:rsidP="00C02513">
      <w:pPr>
        <w:widowControl/>
        <w:bidi w:val="0"/>
        <w:jc w:val="both"/>
        <w:rPr>
          <w:rStyle w:val="PlaceholderText"/>
          <w:b/>
          <w:color w:val="auto"/>
          <w:sz w:val="22"/>
          <w:szCs w:val="22"/>
        </w:rPr>
      </w:pPr>
    </w:p>
    <w:p w:rsidR="001F62A8" w:rsidRPr="0091580F" w:rsidP="00C02513">
      <w:pPr>
        <w:widowControl/>
        <w:bidi w:val="0"/>
        <w:jc w:val="both"/>
        <w:rPr>
          <w:rStyle w:val="PlaceholderText"/>
          <w:b/>
          <w:color w:val="auto"/>
          <w:sz w:val="22"/>
          <w:szCs w:val="22"/>
        </w:rPr>
      </w:pPr>
      <w:r w:rsidRPr="00D94F50" w:rsidR="00853095">
        <w:rPr>
          <w:rStyle w:val="PlaceholderText"/>
          <w:b/>
          <w:color w:val="auto"/>
          <w:sz w:val="22"/>
          <w:szCs w:val="22"/>
        </w:rPr>
        <w:t>K</w:t>
      </w:r>
      <w:r w:rsidRPr="00A2193F" w:rsidR="00853095">
        <w:rPr>
          <w:rStyle w:val="PlaceholderText"/>
          <w:b/>
          <w:color w:val="auto"/>
          <w:sz w:val="22"/>
          <w:szCs w:val="22"/>
        </w:rPr>
        <w:t> </w:t>
      </w:r>
      <w:r w:rsidRPr="00516A4F" w:rsidR="00853095">
        <w:rPr>
          <w:rStyle w:val="PlaceholderText"/>
          <w:b/>
          <w:color w:val="auto"/>
          <w:sz w:val="22"/>
          <w:szCs w:val="22"/>
        </w:rPr>
        <w:t>bodu 1</w:t>
      </w:r>
      <w:r w:rsidRPr="0091580F" w:rsidR="00B8437D">
        <w:rPr>
          <w:rStyle w:val="PlaceholderText"/>
          <w:b/>
          <w:color w:val="auto"/>
          <w:sz w:val="22"/>
          <w:szCs w:val="22"/>
        </w:rPr>
        <w:t>3</w:t>
      </w:r>
    </w:p>
    <w:p w:rsidR="001F62A8" w:rsidRPr="00C81A8D" w:rsidP="001F62A8">
      <w:pPr>
        <w:widowControl/>
        <w:bidi w:val="0"/>
        <w:jc w:val="both"/>
        <w:rPr>
          <w:rStyle w:val="PlaceholderText"/>
          <w:color w:val="auto"/>
          <w:sz w:val="22"/>
          <w:szCs w:val="22"/>
        </w:rPr>
      </w:pPr>
      <w:r w:rsidRPr="00C81A8D">
        <w:rPr>
          <w:rStyle w:val="PlaceholderText"/>
          <w:color w:val="auto"/>
          <w:sz w:val="22"/>
          <w:szCs w:val="22"/>
        </w:rPr>
        <w:t>Prechodné ustanovenia.</w:t>
      </w:r>
    </w:p>
    <w:p w:rsidR="0069358A" w:rsidRPr="00C81A8D" w:rsidP="00A87657">
      <w:pPr>
        <w:widowControl/>
        <w:bidi w:val="0"/>
        <w:jc w:val="both"/>
        <w:rPr>
          <w:rStyle w:val="PlaceholderText"/>
          <w:color w:val="auto"/>
          <w:sz w:val="22"/>
          <w:szCs w:val="22"/>
        </w:rPr>
      </w:pPr>
    </w:p>
    <w:p w:rsidR="000C41DD" w:rsidRPr="00C81A8D" w:rsidP="00A87657">
      <w:pPr>
        <w:widowControl/>
        <w:bidi w:val="0"/>
        <w:jc w:val="both"/>
        <w:rPr>
          <w:rStyle w:val="PlaceholderText"/>
          <w:b/>
          <w:color w:val="auto"/>
          <w:sz w:val="22"/>
          <w:szCs w:val="22"/>
        </w:rPr>
      </w:pPr>
      <w:r w:rsidRPr="00C81A8D" w:rsidR="00CC034A">
        <w:rPr>
          <w:rStyle w:val="PlaceholderText"/>
          <w:b/>
          <w:color w:val="auto"/>
          <w:sz w:val="22"/>
          <w:szCs w:val="22"/>
        </w:rPr>
        <w:t>K čl. III</w:t>
      </w:r>
    </w:p>
    <w:p w:rsidR="00CB459C" w:rsidRPr="00C81A8D" w:rsidP="00A87657">
      <w:pPr>
        <w:widowControl/>
        <w:bidi w:val="0"/>
        <w:jc w:val="both"/>
        <w:rPr>
          <w:rStyle w:val="PlaceholderText"/>
          <w:b/>
          <w:color w:val="auto"/>
          <w:sz w:val="22"/>
          <w:szCs w:val="22"/>
        </w:rPr>
      </w:pPr>
    </w:p>
    <w:p w:rsidR="00715023" w:rsidRPr="00C81A8D" w:rsidP="00A87657">
      <w:pPr>
        <w:widowControl/>
        <w:bidi w:val="0"/>
        <w:jc w:val="both"/>
        <w:rPr>
          <w:rStyle w:val="PlaceholderText"/>
          <w:b/>
          <w:color w:val="auto"/>
          <w:sz w:val="22"/>
          <w:szCs w:val="22"/>
        </w:rPr>
      </w:pPr>
      <w:r w:rsidRPr="00C81A8D" w:rsidR="00CB459C">
        <w:rPr>
          <w:rStyle w:val="PlaceholderText"/>
          <w:b/>
          <w:color w:val="auto"/>
          <w:sz w:val="22"/>
          <w:szCs w:val="22"/>
        </w:rPr>
        <w:t>K bodu 1</w:t>
      </w:r>
    </w:p>
    <w:p w:rsidR="00792A61" w:rsidRPr="00C81A8D" w:rsidP="00A87657">
      <w:pPr>
        <w:widowControl/>
        <w:bidi w:val="0"/>
        <w:jc w:val="both"/>
        <w:rPr>
          <w:rStyle w:val="PlaceholderText"/>
          <w:color w:val="auto"/>
          <w:sz w:val="22"/>
          <w:szCs w:val="22"/>
        </w:rPr>
      </w:pPr>
      <w:r w:rsidRPr="00C81A8D">
        <w:rPr>
          <w:rStyle w:val="PlaceholderText"/>
          <w:color w:val="auto"/>
          <w:sz w:val="22"/>
          <w:szCs w:val="22"/>
        </w:rPr>
        <w:t>Navrhnutou úpravou § 50 ods. 10 zákona o bankách sa zabezpečí jeho obsahová harmonizácia so súvisiacimi aktuálnymi ustanoveniami v § 23 ods. 6 zákona o spotrebiteľských úveroch a o iných úveroch a pôžičkách pre spotrebiteľov (zákona č. 129/2010 Z. z. v znení čl. VI zákona č. 438/2015 Z. z.), čo je opodstatnené a dôvodné vzhľadom na príbuznosť problematiky bankovníctva a spotrebiteľských úverov, keďže banky a pobočky zahraničných bánk patria medzi najvýznamnejších poskytovateľov spotrebiteľských úverov (veriteľov), ale taktiež je to v záujme zdokonalenia legislatívnych predpokladov na zabezpečenie efektívnejšieho, operatívnejšieho a účinnejšieho výkonu dohľadu v oblastiach spotrebiteľských úverov a bankovníctva na rovnakej úrovni, akú už existujúca zákonná regulácia zakotvuje pre oblasť spotrebiteľských úverov podľa zákona č. 129/2010 Z. z. v znení zákona č. 438/2015 Z. z.</w:t>
      </w:r>
    </w:p>
    <w:p w:rsidR="00792A61" w:rsidRPr="00B35E3A" w:rsidP="00A87657">
      <w:pPr>
        <w:widowControl/>
        <w:bidi w:val="0"/>
        <w:jc w:val="both"/>
        <w:rPr>
          <w:rStyle w:val="PlaceholderText"/>
          <w:b/>
          <w:color w:val="auto"/>
          <w:sz w:val="22"/>
          <w:szCs w:val="22"/>
        </w:rPr>
      </w:pPr>
    </w:p>
    <w:p w:rsidR="00792A61" w:rsidRPr="00D94F50" w:rsidP="00A87657">
      <w:pPr>
        <w:widowControl/>
        <w:bidi w:val="0"/>
        <w:jc w:val="both"/>
        <w:rPr>
          <w:rStyle w:val="PlaceholderText"/>
          <w:b/>
          <w:color w:val="auto"/>
          <w:sz w:val="22"/>
          <w:szCs w:val="22"/>
        </w:rPr>
      </w:pPr>
    </w:p>
    <w:p w:rsidR="00792A61" w:rsidRPr="0091580F" w:rsidP="00A87657">
      <w:pPr>
        <w:widowControl/>
        <w:bidi w:val="0"/>
        <w:jc w:val="both"/>
        <w:rPr>
          <w:rStyle w:val="PlaceholderText"/>
          <w:b/>
          <w:color w:val="auto"/>
          <w:sz w:val="22"/>
          <w:szCs w:val="22"/>
        </w:rPr>
      </w:pPr>
      <w:r w:rsidRPr="00516A4F">
        <w:rPr>
          <w:rStyle w:val="PlaceholderText"/>
          <w:b/>
          <w:color w:val="auto"/>
          <w:sz w:val="22"/>
          <w:szCs w:val="22"/>
        </w:rPr>
        <w:t xml:space="preserve">K bodu </w:t>
      </w:r>
      <w:r w:rsidRPr="00516A4F" w:rsidR="00BC14C5">
        <w:rPr>
          <w:rStyle w:val="PlaceholderText"/>
          <w:b/>
          <w:color w:val="auto"/>
          <w:sz w:val="22"/>
          <w:szCs w:val="22"/>
        </w:rPr>
        <w:t>2</w:t>
      </w:r>
    </w:p>
    <w:p w:rsidR="007D6D91" w:rsidRPr="00C81A8D" w:rsidP="007D6D91">
      <w:pPr>
        <w:widowControl/>
        <w:bidi w:val="0"/>
        <w:jc w:val="both"/>
        <w:rPr>
          <w:rStyle w:val="PlaceholderText"/>
          <w:color w:val="auto"/>
          <w:sz w:val="22"/>
          <w:szCs w:val="22"/>
        </w:rPr>
      </w:pPr>
      <w:r w:rsidRPr="0091580F">
        <w:rPr>
          <w:rStyle w:val="PlaceholderText"/>
          <w:color w:val="auto"/>
          <w:sz w:val="22"/>
          <w:szCs w:val="22"/>
        </w:rPr>
        <w:t xml:space="preserve">Navrhovaným znením sa len potvrdzuje už existujúci právny stav a prax nadväzujúca na ustanovenia zákona č.129/2010 Z. z. o spotrebiteľských úveroch a o iných úveroch a pôžičkách pre spotrebiteľov a o zmene a doplnení niektorých zákonov. V nadväznosti na existujúcu úpravu </w:t>
      </w:r>
      <w:r w:rsidRPr="0091580F" w:rsidR="00112B67">
        <w:rPr>
          <w:rStyle w:val="PlaceholderText"/>
          <w:color w:val="auto"/>
          <w:sz w:val="22"/>
          <w:szCs w:val="22"/>
        </w:rPr>
        <w:t>zákona s</w:t>
      </w:r>
      <w:r w:rsidRPr="0091580F" w:rsidR="0091580F">
        <w:rPr>
          <w:rStyle w:val="PlaceholderText"/>
          <w:color w:val="auto"/>
          <w:sz w:val="22"/>
          <w:szCs w:val="22"/>
        </w:rPr>
        <w:t>a bezsúhlasový režim jednoznačne</w:t>
      </w:r>
      <w:r w:rsidRPr="00C81A8D" w:rsidR="00112B67">
        <w:rPr>
          <w:rStyle w:val="PlaceholderText"/>
          <w:color w:val="auto"/>
          <w:sz w:val="22"/>
          <w:szCs w:val="22"/>
        </w:rPr>
        <w:t xml:space="preserve"> aplikuje aj v prípade zadávania a získavania údajov v rámci posudzovania schopnosti spotrebiteľa splácať spotrebiteľský úver. </w:t>
      </w:r>
    </w:p>
    <w:p w:rsidR="00CB459C" w:rsidRPr="00C81A8D" w:rsidP="00091133">
      <w:pPr>
        <w:widowControl/>
        <w:bidi w:val="0"/>
        <w:jc w:val="both"/>
        <w:rPr>
          <w:rStyle w:val="PlaceholderText"/>
          <w:color w:val="auto"/>
          <w:sz w:val="22"/>
          <w:szCs w:val="22"/>
        </w:rPr>
      </w:pPr>
    </w:p>
    <w:p w:rsidR="00BC14C5" w:rsidRPr="00C81A8D" w:rsidP="007D6D91">
      <w:pPr>
        <w:widowControl/>
        <w:bidi w:val="0"/>
        <w:jc w:val="both"/>
        <w:rPr>
          <w:rStyle w:val="PlaceholderText"/>
          <w:color w:val="auto"/>
          <w:sz w:val="22"/>
          <w:szCs w:val="22"/>
        </w:rPr>
      </w:pPr>
    </w:p>
    <w:p w:rsidR="00BC14C5" w:rsidRPr="00C81A8D" w:rsidP="007D6D91">
      <w:pPr>
        <w:widowControl/>
        <w:bidi w:val="0"/>
        <w:jc w:val="both"/>
        <w:rPr>
          <w:rStyle w:val="PlaceholderText"/>
          <w:b/>
          <w:color w:val="auto"/>
          <w:sz w:val="22"/>
          <w:szCs w:val="22"/>
        </w:rPr>
      </w:pPr>
      <w:r w:rsidRPr="00C81A8D">
        <w:rPr>
          <w:rStyle w:val="PlaceholderText"/>
          <w:b/>
          <w:color w:val="auto"/>
          <w:sz w:val="22"/>
          <w:szCs w:val="22"/>
        </w:rPr>
        <w:t xml:space="preserve">K bodu </w:t>
      </w:r>
      <w:r w:rsidRPr="00B35E3A">
        <w:rPr>
          <w:rStyle w:val="PlaceholderText"/>
          <w:b/>
          <w:color w:val="auto"/>
          <w:sz w:val="22"/>
          <w:szCs w:val="22"/>
        </w:rPr>
        <w:t>3</w:t>
      </w:r>
    </w:p>
    <w:p w:rsidR="00BC14C5" w:rsidRPr="00C81A8D" w:rsidP="007D6D91">
      <w:pPr>
        <w:widowControl/>
        <w:bidi w:val="0"/>
        <w:jc w:val="both"/>
        <w:rPr>
          <w:rStyle w:val="PlaceholderText"/>
          <w:color w:val="auto"/>
          <w:sz w:val="22"/>
          <w:szCs w:val="22"/>
        </w:rPr>
      </w:pPr>
      <w:r w:rsidRPr="00B35E3A">
        <w:rPr>
          <w:rStyle w:val="PlaceholderText"/>
          <w:color w:val="auto"/>
          <w:sz w:val="22"/>
          <w:szCs w:val="22"/>
        </w:rPr>
        <w:t>Navrhnutou úpravou (doplnením) ustanovení § 92 ods. 8 zákona o bankách (zákona č. 483/2001 Z. z. v znení neskorších predpisov) sa rešpektuje skutočnosť, že ustanovenie § 92 ods. 8 pôvodne reguloval</w:t>
      </w:r>
      <w:r w:rsidR="00A41C8D">
        <w:rPr>
          <w:rStyle w:val="PlaceholderText"/>
          <w:color w:val="auto"/>
          <w:sz w:val="22"/>
          <w:szCs w:val="22"/>
        </w:rPr>
        <w:t>o</w:t>
      </w:r>
      <w:r w:rsidRPr="00B35E3A">
        <w:rPr>
          <w:rStyle w:val="PlaceholderText"/>
          <w:color w:val="auto"/>
          <w:sz w:val="22"/>
          <w:szCs w:val="22"/>
        </w:rPr>
        <w:t xml:space="preserve"> a reguluje postupovanie pohľadávok z akýchkoľ</w:t>
      </w:r>
      <w:r w:rsidRPr="00D94F50">
        <w:rPr>
          <w:rStyle w:val="PlaceholderText"/>
          <w:color w:val="auto"/>
          <w:sz w:val="22"/>
          <w:szCs w:val="22"/>
        </w:rPr>
        <w:t>vek bankových úverov, pričom však medzičasom (od roku 2016) boli zakotvené osobi</w:t>
      </w:r>
      <w:r w:rsidRPr="00516A4F">
        <w:rPr>
          <w:rStyle w:val="PlaceholderText"/>
          <w:color w:val="auto"/>
          <w:sz w:val="22"/>
          <w:szCs w:val="22"/>
        </w:rPr>
        <w:t>tné zákonné pravidlá pre postupovanie pohľadávok zo zmlúv o spotrebiteľskom úvere a aj pre postupovanie pohľadávok zo zmlúv o úveroch na bývanie. Rešpektujúc a zohľadňujúc uvedené skutočnosti sa navrhuje doplnenie § 92 ods. 8 prvej vety zákona o bankách ta</w:t>
      </w:r>
      <w:r w:rsidRPr="00C81A8D">
        <w:rPr>
          <w:rStyle w:val="PlaceholderText"/>
          <w:color w:val="auto"/>
          <w:sz w:val="22"/>
          <w:szCs w:val="22"/>
        </w:rPr>
        <w:t>k, aby sa adekvátne zabezpečila harmonizácia ustanovení § 92 ods. 8 zákona o bankách (zákona č. 483/2001 Z. z. v znení neskorších predpisov) s relevantnými ustanoveniami zákona o spotrebiteľských úveroch a o iných úveroch a pôžičkách pre spotrebiteľov (zákona č. 129/2010 Z. z. v znení neskorších predpisov) a taktiež s relevantnými ustanoveniami zákona o úveroch na bývanie (zákona č. 90/2016 Z. z.).</w:t>
      </w:r>
    </w:p>
    <w:p w:rsidR="00BC14C5" w:rsidRPr="00C81A8D" w:rsidP="007D6D91">
      <w:pPr>
        <w:widowControl/>
        <w:bidi w:val="0"/>
        <w:jc w:val="both"/>
        <w:rPr>
          <w:rStyle w:val="PlaceholderText"/>
          <w:color w:val="auto"/>
          <w:sz w:val="22"/>
          <w:szCs w:val="22"/>
        </w:rPr>
      </w:pPr>
    </w:p>
    <w:p w:rsidR="00BC14C5" w:rsidRPr="00C81A8D" w:rsidP="007D6D91">
      <w:pPr>
        <w:widowControl/>
        <w:bidi w:val="0"/>
        <w:jc w:val="both"/>
        <w:rPr>
          <w:rStyle w:val="PlaceholderText"/>
          <w:b/>
          <w:color w:val="auto"/>
          <w:sz w:val="22"/>
          <w:szCs w:val="22"/>
        </w:rPr>
      </w:pPr>
      <w:r w:rsidRPr="00C81A8D">
        <w:rPr>
          <w:rStyle w:val="PlaceholderText"/>
          <w:b/>
          <w:color w:val="auto"/>
          <w:sz w:val="22"/>
          <w:szCs w:val="22"/>
        </w:rPr>
        <w:t>K</w:t>
      </w:r>
      <w:r w:rsidRPr="00B35E3A">
        <w:rPr>
          <w:rStyle w:val="PlaceholderText"/>
          <w:b/>
          <w:color w:val="auto"/>
          <w:sz w:val="22"/>
          <w:szCs w:val="22"/>
        </w:rPr>
        <w:t> </w:t>
      </w:r>
      <w:r w:rsidRPr="00C81A8D">
        <w:rPr>
          <w:rStyle w:val="PlaceholderText"/>
          <w:b/>
          <w:color w:val="auto"/>
          <w:sz w:val="22"/>
          <w:szCs w:val="22"/>
        </w:rPr>
        <w:t xml:space="preserve">bodu 4 </w:t>
      </w:r>
    </w:p>
    <w:p w:rsidR="00BC14C5" w:rsidRPr="00C81A8D" w:rsidP="007D6D91">
      <w:pPr>
        <w:widowControl/>
        <w:bidi w:val="0"/>
        <w:jc w:val="both"/>
        <w:rPr>
          <w:rStyle w:val="PlaceholderText"/>
          <w:color w:val="auto"/>
          <w:sz w:val="22"/>
          <w:szCs w:val="22"/>
        </w:rPr>
      </w:pPr>
      <w:r w:rsidRPr="00B35E3A">
        <w:rPr>
          <w:rStyle w:val="PlaceholderText"/>
          <w:color w:val="auto"/>
          <w:sz w:val="22"/>
          <w:szCs w:val="22"/>
        </w:rPr>
        <w:t>Navrhnuté znenie pr</w:t>
      </w:r>
      <w:r w:rsidRPr="00D94F50">
        <w:rPr>
          <w:rStyle w:val="PlaceholderText"/>
          <w:color w:val="auto"/>
          <w:sz w:val="22"/>
          <w:szCs w:val="22"/>
        </w:rPr>
        <w:t>echodných ustanovení v novom § 122y súvisí s úpravami podľa navrhnutej novelizácie zákona o bankách vrátane navrhnutej úpravy § 50 ods. 10. Pritom navrhnuté prechodné ustanovenia v novom § 122y zákona o bankách sú obsahovo rovnaké ako analogické štandardné prechodné ustanovenia ďalších zákonov v oblasti finančného trhu, napríklad ust</w:t>
      </w:r>
      <w:r w:rsidRPr="00516A4F">
        <w:rPr>
          <w:rStyle w:val="PlaceholderText"/>
          <w:color w:val="auto"/>
          <w:sz w:val="22"/>
          <w:szCs w:val="22"/>
        </w:rPr>
        <w:t>anovenia § 173r ods. 2 zákona o cenných papieroch a investičných službách (zákona č. 566/2001 Z. z. v znení zákona č. 132/2013 Z. z.), § 99b ods. 2 zákona o poisťovníctve (zákona č. 8/2008 Z. z. v znení zákona č. 132/2013 Z. z.), § 42a ods. 5 zákona o fina</w:t>
      </w:r>
      <w:r w:rsidRPr="00C81A8D">
        <w:rPr>
          <w:rStyle w:val="PlaceholderText"/>
          <w:color w:val="auto"/>
          <w:sz w:val="22"/>
          <w:szCs w:val="22"/>
        </w:rPr>
        <w:t>nčnom sprostredkovaní a finančnom poradenstve (zákona č. 186/2009 Z. z. v znení zákona č. 132/2013 Z. z.), § 101 ods. 1 a § 101e zákona o platobných službách (zákona č. 492/2009 Z. z. v znení zákona č. 206/2013 Z. z.), § 220a zákona o kolektívnom investovaní (zákona č. 203/2011 Z. z. v znení zákona č. 206/2013 Z. z.), § 123ao ods. 2 zákona o starobnom dôchodkovom sporení (zákona č. 43/2004 Z. z. v znení zákona č. 183/2014 Z. z.), § 87n ods. 4 zákona o doplnkovom dôchodkovom sporení (zákona č. 650/2004 Z. z. v znení zákona č. 318/2013 Z. z.), § 43f ods. 1 a 2 Devízového zákona (zákona NR SR č. 202/1995 Z. z. v znení zákona č. 140/2014 Z. z.) a § 25g zákona o spotrebiteľských úveroch a o iných úveroch a pôžičkách pre spotrebiteľov (zákona č. 129/2010 Z. z. v znení zákona č. 438/2015 Z. z.). Navrhnutým spresnením prechodných ustanovení sa do určitej miery prispieva aj k zdokonaleniu legislatívnych predpokladov na zabezpečenie efektívneho a účinného výkonu dohľadu nad finančným trhom.</w:t>
      </w:r>
    </w:p>
    <w:p w:rsidR="00715023" w:rsidRPr="00C81A8D" w:rsidP="00A87657">
      <w:pPr>
        <w:widowControl/>
        <w:bidi w:val="0"/>
        <w:jc w:val="both"/>
        <w:rPr>
          <w:rStyle w:val="PlaceholderText"/>
          <w:color w:val="auto"/>
          <w:sz w:val="22"/>
          <w:szCs w:val="22"/>
        </w:rPr>
      </w:pPr>
    </w:p>
    <w:p w:rsidR="00715023" w:rsidRPr="00C81A8D" w:rsidP="00A87657">
      <w:pPr>
        <w:widowControl/>
        <w:bidi w:val="0"/>
        <w:jc w:val="both"/>
        <w:rPr>
          <w:rStyle w:val="PlaceholderText"/>
          <w:b/>
          <w:color w:val="auto"/>
          <w:sz w:val="22"/>
          <w:szCs w:val="22"/>
        </w:rPr>
      </w:pPr>
    </w:p>
    <w:p w:rsidR="00C56F59" w:rsidP="00A87657">
      <w:pPr>
        <w:widowControl/>
        <w:bidi w:val="0"/>
        <w:jc w:val="both"/>
        <w:rPr>
          <w:rStyle w:val="PlaceholderText"/>
          <w:b/>
          <w:color w:val="auto"/>
          <w:sz w:val="22"/>
          <w:szCs w:val="22"/>
        </w:rPr>
      </w:pPr>
      <w:r w:rsidRPr="00C81A8D" w:rsidR="00CC034A">
        <w:rPr>
          <w:rStyle w:val="PlaceholderText"/>
          <w:b/>
          <w:color w:val="auto"/>
          <w:sz w:val="22"/>
          <w:szCs w:val="22"/>
        </w:rPr>
        <w:t>K čl. IV</w:t>
      </w:r>
    </w:p>
    <w:p w:rsidR="00284A1A" w:rsidRPr="00C81A8D" w:rsidP="00A87657">
      <w:pPr>
        <w:widowControl/>
        <w:bidi w:val="0"/>
        <w:jc w:val="both"/>
        <w:rPr>
          <w:rStyle w:val="PlaceholderText"/>
          <w:color w:val="auto"/>
          <w:sz w:val="22"/>
          <w:szCs w:val="22"/>
        </w:rPr>
      </w:pPr>
    </w:p>
    <w:p w:rsidR="00C56F59" w:rsidP="00EE22E6">
      <w:pPr>
        <w:widowControl/>
        <w:bidi w:val="0"/>
        <w:jc w:val="both"/>
        <w:rPr>
          <w:rStyle w:val="PlaceholderText"/>
          <w:color w:val="auto"/>
          <w:sz w:val="22"/>
          <w:szCs w:val="22"/>
        </w:rPr>
      </w:pPr>
      <w:r w:rsidRPr="00C81A8D">
        <w:rPr>
          <w:rStyle w:val="PlaceholderText"/>
          <w:color w:val="auto"/>
          <w:sz w:val="22"/>
          <w:szCs w:val="22"/>
        </w:rPr>
        <w:t xml:space="preserve">Navrhuje sa, aby </w:t>
      </w:r>
      <w:r w:rsidRPr="00C81A8D" w:rsidR="00E85E23">
        <w:rPr>
          <w:rStyle w:val="PlaceholderText"/>
          <w:color w:val="auto"/>
          <w:sz w:val="22"/>
          <w:szCs w:val="22"/>
        </w:rPr>
        <w:t>zákon nadobudol účinn</w:t>
      </w:r>
      <w:r w:rsidRPr="00C81A8D" w:rsidR="0091580F">
        <w:rPr>
          <w:rStyle w:val="PlaceholderText"/>
          <w:color w:val="auto"/>
          <w:sz w:val="22"/>
          <w:szCs w:val="22"/>
        </w:rPr>
        <w:t xml:space="preserve">osť 1. januára 2017 okrem </w:t>
      </w:r>
      <w:r w:rsidR="00DF1B27">
        <w:rPr>
          <w:rStyle w:val="PlaceholderText"/>
          <w:color w:val="auto"/>
          <w:sz w:val="22"/>
          <w:szCs w:val="22"/>
        </w:rPr>
        <w:t xml:space="preserve">čl. I. </w:t>
      </w:r>
      <w:r w:rsidRPr="00C81A8D" w:rsidR="0091580F">
        <w:rPr>
          <w:rStyle w:val="PlaceholderText"/>
          <w:color w:val="auto"/>
          <w:sz w:val="22"/>
          <w:szCs w:val="22"/>
        </w:rPr>
        <w:t>b</w:t>
      </w:r>
      <w:r w:rsidR="00C81A8D">
        <w:rPr>
          <w:rStyle w:val="PlaceholderText"/>
          <w:color w:val="auto"/>
          <w:sz w:val="22"/>
          <w:szCs w:val="22"/>
        </w:rPr>
        <w:t>odov 2</w:t>
      </w:r>
      <w:r w:rsidR="00051EFC">
        <w:rPr>
          <w:rStyle w:val="PlaceholderText"/>
          <w:color w:val="auto"/>
          <w:sz w:val="22"/>
          <w:szCs w:val="22"/>
        </w:rPr>
        <w:t>,3</w:t>
      </w:r>
      <w:r w:rsidR="00C81A8D">
        <w:rPr>
          <w:rStyle w:val="PlaceholderText"/>
          <w:color w:val="auto"/>
          <w:sz w:val="22"/>
          <w:szCs w:val="22"/>
        </w:rPr>
        <w:t xml:space="preserve"> a </w:t>
      </w:r>
      <w:r w:rsidRPr="00C81A8D" w:rsidR="0091580F">
        <w:rPr>
          <w:rStyle w:val="PlaceholderText"/>
          <w:color w:val="auto"/>
          <w:sz w:val="22"/>
          <w:szCs w:val="22"/>
        </w:rPr>
        <w:t>8</w:t>
      </w:r>
      <w:r w:rsidR="00EE22E6">
        <w:rPr>
          <w:rStyle w:val="PlaceholderText"/>
          <w:color w:val="auto"/>
          <w:sz w:val="22"/>
          <w:szCs w:val="22"/>
        </w:rPr>
        <w:t>, ktoré</w:t>
      </w:r>
      <w:r w:rsidRPr="00C81A8D" w:rsidR="00E85E23">
        <w:rPr>
          <w:rStyle w:val="PlaceholderText"/>
          <w:color w:val="auto"/>
          <w:sz w:val="22"/>
          <w:szCs w:val="22"/>
        </w:rPr>
        <w:t xml:space="preserve"> nadobúda</w:t>
      </w:r>
      <w:r w:rsidR="00EE22E6">
        <w:rPr>
          <w:rStyle w:val="PlaceholderText"/>
          <w:color w:val="auto"/>
          <w:sz w:val="22"/>
          <w:szCs w:val="22"/>
        </w:rPr>
        <w:t>jú</w:t>
      </w:r>
      <w:r w:rsidRPr="00C81A8D" w:rsidR="00E85E23">
        <w:rPr>
          <w:rStyle w:val="PlaceholderText"/>
          <w:color w:val="auto"/>
          <w:sz w:val="22"/>
          <w:szCs w:val="22"/>
        </w:rPr>
        <w:t xml:space="preserve"> účinnosť 1. júna 2017.</w:t>
      </w:r>
    </w:p>
    <w:p w:rsidR="00A25ED8" w:rsidP="00EE22E6">
      <w:pPr>
        <w:widowControl/>
        <w:bidi w:val="0"/>
        <w:jc w:val="both"/>
        <w:rPr>
          <w:rStyle w:val="PlaceholderText"/>
          <w:color w:val="auto"/>
          <w:sz w:val="22"/>
          <w:szCs w:val="22"/>
        </w:rPr>
      </w:pPr>
    </w:p>
    <w:p w:rsidR="00A25ED8" w:rsidP="00EE22E6">
      <w:pPr>
        <w:widowControl/>
        <w:bidi w:val="0"/>
        <w:jc w:val="both"/>
        <w:rPr>
          <w:rStyle w:val="PlaceholderText"/>
          <w:color w:val="auto"/>
          <w:sz w:val="22"/>
          <w:szCs w:val="22"/>
        </w:rPr>
      </w:pPr>
      <w:r>
        <w:rPr>
          <w:rStyle w:val="PlaceholderText"/>
          <w:color w:val="auto"/>
          <w:sz w:val="22"/>
          <w:szCs w:val="22"/>
        </w:rPr>
        <w:t>Schválené vládou Slovenskej republiky dňa 17. augusta 2016.</w:t>
      </w:r>
    </w:p>
    <w:p w:rsidR="00F514A7" w:rsidP="00EE22E6">
      <w:pPr>
        <w:widowControl/>
        <w:bidi w:val="0"/>
        <w:jc w:val="both"/>
        <w:rPr>
          <w:rStyle w:val="PlaceholderText"/>
          <w:color w:val="auto"/>
          <w:sz w:val="22"/>
          <w:szCs w:val="22"/>
        </w:rPr>
      </w:pPr>
    </w:p>
    <w:p w:rsidR="00F514A7" w:rsidP="00EE22E6">
      <w:pPr>
        <w:widowControl/>
        <w:bidi w:val="0"/>
        <w:jc w:val="both"/>
        <w:rPr>
          <w:rStyle w:val="PlaceholderText"/>
          <w:color w:val="auto"/>
          <w:sz w:val="22"/>
          <w:szCs w:val="22"/>
        </w:rPr>
      </w:pPr>
    </w:p>
    <w:p w:rsidR="00F514A7" w:rsidP="00EE22E6">
      <w:pPr>
        <w:widowControl/>
        <w:bidi w:val="0"/>
        <w:jc w:val="both"/>
        <w:rPr>
          <w:rStyle w:val="PlaceholderText"/>
          <w:color w:val="auto"/>
          <w:sz w:val="22"/>
          <w:szCs w:val="22"/>
        </w:rPr>
      </w:pPr>
    </w:p>
    <w:p w:rsidR="00F514A7" w:rsidP="00F514A7">
      <w:pPr>
        <w:bidi w:val="0"/>
        <w:jc w:val="center"/>
        <w:rPr>
          <w:rFonts w:ascii="Times New Roman" w:hAnsi="Times New Roman"/>
        </w:rPr>
      </w:pPr>
      <w:r w:rsidRPr="003F63DB">
        <w:rPr>
          <w:rFonts w:ascii="Times New Roman" w:hAnsi="Times New Roman"/>
        </w:rPr>
        <w:t>Robert  F i c o</w:t>
      </w:r>
      <w:r w:rsidRPr="00F535F0" w:rsidR="00F535F0">
        <w:rPr>
          <w:rFonts w:ascii="Times New Roman" w:hAnsi="Times New Roman"/>
        </w:rPr>
        <w:t>, v. r.</w:t>
      </w:r>
    </w:p>
    <w:p w:rsidR="00F514A7" w:rsidRPr="003F63DB" w:rsidP="00F514A7">
      <w:pPr>
        <w:bidi w:val="0"/>
        <w:jc w:val="center"/>
        <w:rPr>
          <w:rFonts w:ascii="Times New Roman" w:hAnsi="Times New Roman"/>
        </w:rPr>
      </w:pPr>
      <w:r w:rsidRPr="003F63DB">
        <w:rPr>
          <w:rFonts w:ascii="Times New Roman" w:hAnsi="Times New Roman"/>
        </w:rPr>
        <w:t>predseda vlády</w:t>
      </w:r>
    </w:p>
    <w:p w:rsidR="00F514A7" w:rsidRPr="003F63DB" w:rsidP="00F514A7">
      <w:pPr>
        <w:bidi w:val="0"/>
        <w:jc w:val="center"/>
        <w:rPr>
          <w:rFonts w:ascii="Times New Roman" w:hAnsi="Times New Roman"/>
        </w:rPr>
      </w:pPr>
      <w:r w:rsidRPr="003F63DB">
        <w:rPr>
          <w:rFonts w:ascii="Times New Roman" w:hAnsi="Times New Roman"/>
        </w:rPr>
        <w:t>Slovenskej republiky</w:t>
      </w:r>
    </w:p>
    <w:p w:rsidR="00F514A7" w:rsidRPr="003F63DB" w:rsidP="00F514A7">
      <w:pPr>
        <w:bidi w:val="0"/>
        <w:jc w:val="center"/>
        <w:rPr>
          <w:rFonts w:ascii="Times New Roman" w:hAnsi="Times New Roman"/>
        </w:rPr>
      </w:pPr>
    </w:p>
    <w:p w:rsidR="00F514A7" w:rsidRPr="003F63DB" w:rsidP="00F514A7">
      <w:pPr>
        <w:bidi w:val="0"/>
        <w:jc w:val="center"/>
        <w:rPr>
          <w:rFonts w:ascii="Times New Roman" w:hAnsi="Times New Roman"/>
        </w:rPr>
      </w:pPr>
    </w:p>
    <w:p w:rsidR="00F514A7" w:rsidRPr="003F63DB" w:rsidP="00F514A7">
      <w:pPr>
        <w:bidi w:val="0"/>
        <w:jc w:val="center"/>
        <w:rPr>
          <w:rFonts w:ascii="Times New Roman" w:hAnsi="Times New Roman"/>
        </w:rPr>
      </w:pPr>
    </w:p>
    <w:p w:rsidR="00F514A7" w:rsidRPr="003F63DB" w:rsidP="00F514A7">
      <w:pPr>
        <w:bidi w:val="0"/>
        <w:jc w:val="center"/>
        <w:rPr>
          <w:rFonts w:ascii="Times New Roman" w:hAnsi="Times New Roman"/>
        </w:rPr>
      </w:pPr>
    </w:p>
    <w:p w:rsidR="00F514A7" w:rsidRPr="003F63DB" w:rsidP="00F514A7">
      <w:pPr>
        <w:bidi w:val="0"/>
        <w:jc w:val="center"/>
        <w:rPr>
          <w:rFonts w:ascii="Times New Roman" w:hAnsi="Times New Roman"/>
        </w:rPr>
      </w:pPr>
    </w:p>
    <w:p w:rsidR="00F514A7" w:rsidRPr="003F63DB" w:rsidP="00F514A7">
      <w:pPr>
        <w:bidi w:val="0"/>
        <w:jc w:val="center"/>
        <w:rPr>
          <w:rFonts w:ascii="Times New Roman" w:hAnsi="Times New Roman"/>
        </w:rPr>
      </w:pPr>
    </w:p>
    <w:p w:rsidR="00F514A7" w:rsidP="00F514A7">
      <w:pPr>
        <w:bidi w:val="0"/>
        <w:jc w:val="center"/>
        <w:rPr>
          <w:rFonts w:ascii="Times New Roman" w:hAnsi="Times New Roman"/>
        </w:rPr>
      </w:pPr>
      <w:r w:rsidRPr="003F63DB">
        <w:rPr>
          <w:rFonts w:ascii="Times New Roman" w:hAnsi="Times New Roman"/>
        </w:rPr>
        <w:t>Peter K a ž i m í r</w:t>
      </w:r>
      <w:r w:rsidR="00F535F0">
        <w:rPr>
          <w:rFonts w:ascii="Times New Roman" w:hAnsi="Times New Roman"/>
        </w:rPr>
        <w:t>, v. r.</w:t>
      </w:r>
    </w:p>
    <w:p w:rsidR="00F514A7" w:rsidRPr="003F63DB" w:rsidP="00F514A7">
      <w:pPr>
        <w:bidi w:val="0"/>
        <w:jc w:val="center"/>
        <w:rPr>
          <w:rFonts w:ascii="Times New Roman" w:hAnsi="Times New Roman"/>
        </w:rPr>
      </w:pPr>
      <w:r w:rsidRPr="003F63DB">
        <w:rPr>
          <w:rFonts w:ascii="Times New Roman" w:hAnsi="Times New Roman"/>
        </w:rPr>
        <w:t>minister financií</w:t>
      </w:r>
    </w:p>
    <w:p w:rsidR="00F514A7" w:rsidP="00F514A7">
      <w:pPr>
        <w:bidi w:val="0"/>
        <w:jc w:val="center"/>
        <w:rPr>
          <w:rFonts w:ascii="Times New Roman" w:hAnsi="Times New Roman"/>
        </w:rPr>
      </w:pPr>
      <w:r w:rsidRPr="003F63DB">
        <w:rPr>
          <w:rFonts w:ascii="Times New Roman" w:hAnsi="Times New Roman"/>
        </w:rPr>
        <w:t>Slovenskej republiky</w:t>
      </w:r>
    </w:p>
    <w:p w:rsidR="00F514A7" w:rsidP="00F514A7">
      <w:pPr>
        <w:bidi w:val="0"/>
        <w:jc w:val="center"/>
        <w:rPr>
          <w:rFonts w:ascii="Times New Roman" w:hAnsi="Times New Roman"/>
        </w:rPr>
      </w:pPr>
    </w:p>
    <w:p w:rsidR="00F514A7" w:rsidP="00F514A7">
      <w:pPr>
        <w:bidi w:val="0"/>
        <w:jc w:val="center"/>
        <w:rPr>
          <w:rFonts w:ascii="Times New Roman" w:hAnsi="Times New Roman"/>
        </w:rPr>
      </w:pPr>
    </w:p>
    <w:p w:rsidR="00F514A7" w:rsidP="00F514A7">
      <w:pPr>
        <w:bidi w:val="0"/>
        <w:jc w:val="center"/>
        <w:rPr>
          <w:rFonts w:ascii="Times New Roman" w:hAnsi="Times New Roman"/>
        </w:rPr>
      </w:pPr>
    </w:p>
    <w:p w:rsidR="00F514A7" w:rsidP="00F514A7">
      <w:pPr>
        <w:bidi w:val="0"/>
        <w:jc w:val="center"/>
        <w:rPr>
          <w:rFonts w:ascii="Times New Roman" w:hAnsi="Times New Roman"/>
        </w:rPr>
      </w:pPr>
    </w:p>
    <w:p w:rsidR="00F514A7" w:rsidP="00F514A7">
      <w:pPr>
        <w:bidi w:val="0"/>
        <w:jc w:val="center"/>
        <w:rPr>
          <w:rFonts w:ascii="Times New Roman" w:hAnsi="Times New Roman"/>
        </w:rPr>
      </w:pPr>
    </w:p>
    <w:p w:rsidR="00F514A7" w:rsidP="00F514A7">
      <w:pPr>
        <w:bidi w:val="0"/>
        <w:jc w:val="center"/>
        <w:rPr>
          <w:rFonts w:ascii="Times New Roman" w:hAnsi="Times New Roman"/>
        </w:rPr>
      </w:pPr>
      <w:r>
        <w:rPr>
          <w:rFonts w:ascii="Times New Roman" w:hAnsi="Times New Roman"/>
        </w:rPr>
        <w:t>Jozef M a k ú ch</w:t>
      </w:r>
      <w:r w:rsidRPr="00F535F0" w:rsidR="00F535F0">
        <w:rPr>
          <w:rFonts w:ascii="Times New Roman" w:hAnsi="Times New Roman"/>
        </w:rPr>
        <w:t>, v. r.</w:t>
      </w:r>
    </w:p>
    <w:p w:rsidR="00F514A7" w:rsidP="00F514A7">
      <w:pPr>
        <w:bidi w:val="0"/>
        <w:jc w:val="center"/>
        <w:rPr>
          <w:rFonts w:ascii="Times New Roman" w:hAnsi="Times New Roman"/>
        </w:rPr>
      </w:pPr>
      <w:r>
        <w:rPr>
          <w:rFonts w:ascii="Times New Roman" w:hAnsi="Times New Roman"/>
        </w:rPr>
        <w:t>g</w:t>
      </w:r>
      <w:r w:rsidRPr="00B03F1A">
        <w:rPr>
          <w:rFonts w:ascii="Times New Roman" w:hAnsi="Times New Roman"/>
        </w:rPr>
        <w:t xml:space="preserve">uvernér </w:t>
      </w:r>
    </w:p>
    <w:p w:rsidR="00F514A7" w:rsidRPr="003F63DB" w:rsidP="00F514A7">
      <w:pPr>
        <w:bidi w:val="0"/>
        <w:jc w:val="center"/>
        <w:rPr>
          <w:rFonts w:ascii="Times New Roman" w:hAnsi="Times New Roman"/>
        </w:rPr>
      </w:pPr>
      <w:r w:rsidRPr="00B03F1A">
        <w:rPr>
          <w:rFonts w:ascii="Times New Roman" w:hAnsi="Times New Roman"/>
        </w:rPr>
        <w:t>Národnej banky Slovenska</w:t>
      </w:r>
    </w:p>
    <w:p w:rsidR="00F514A7" w:rsidRPr="00C81A8D" w:rsidP="00EE22E6">
      <w:pPr>
        <w:widowControl/>
        <w:bidi w:val="0"/>
        <w:jc w:val="both"/>
        <w:rPr>
          <w:rStyle w:val="PlaceholderText"/>
          <w:color w:val="auto"/>
          <w:sz w:val="22"/>
          <w:szCs w:val="22"/>
        </w:rPr>
      </w:pPr>
    </w:p>
    <w:sectPr w:rsidSect="00377199">
      <w:footerReference w:type="default" r:id="rId7"/>
      <w:pgSz w:w="11907" w:h="16839" w:code="9"/>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0" w:rsidRPr="007D5FC0">
    <w:pPr>
      <w:pStyle w:val="Footer"/>
      <w:bidi w:val="0"/>
      <w:jc w:val="center"/>
      <w:rPr>
        <w:rFonts w:ascii="Times New Roman" w:hAnsi="Times New Roman"/>
        <w:sz w:val="22"/>
        <w:szCs w:val="22"/>
      </w:rPr>
    </w:pPr>
    <w:r w:rsidRPr="007D5FC0">
      <w:rPr>
        <w:rFonts w:ascii="Times New Roman" w:hAnsi="Times New Roman"/>
        <w:sz w:val="22"/>
        <w:szCs w:val="22"/>
      </w:rPr>
      <w:fldChar w:fldCharType="begin"/>
    </w:r>
    <w:r w:rsidRPr="007D5FC0">
      <w:rPr>
        <w:rFonts w:ascii="Times New Roman" w:hAnsi="Times New Roman"/>
        <w:sz w:val="22"/>
        <w:szCs w:val="22"/>
      </w:rPr>
      <w:instrText>PAGE   \* MERGEFORMAT</w:instrText>
    </w:r>
    <w:r w:rsidRPr="007D5FC0">
      <w:rPr>
        <w:rFonts w:ascii="Times New Roman" w:hAnsi="Times New Roman"/>
        <w:sz w:val="22"/>
        <w:szCs w:val="22"/>
      </w:rPr>
      <w:fldChar w:fldCharType="separate"/>
    </w:r>
    <w:r w:rsidR="00681E85">
      <w:rPr>
        <w:rFonts w:ascii="Times New Roman" w:hAnsi="Times New Roman"/>
        <w:noProof/>
        <w:sz w:val="22"/>
        <w:szCs w:val="22"/>
      </w:rPr>
      <w:t>31</w:t>
    </w:r>
    <w:r w:rsidRPr="007D5FC0">
      <w:rPr>
        <w:rFonts w:ascii="Times New Roman" w:hAnsi="Times New Roman"/>
        <w:sz w:val="22"/>
        <w:szCs w:val="22"/>
      </w:rPr>
      <w:fldChar w:fldCharType="end"/>
    </w:r>
  </w:p>
  <w:p w:rsidR="0035056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eastAsia="Times New Roman" w:cs="Times New Roman"/>
        <w:rtl w:val="0"/>
        <w:cs w:val="0"/>
      </w:rPr>
    </w:lvl>
    <w:lvl w:ilvl="2">
      <w:start w:val="1"/>
      <w:numFmt w:val="lowerRoman"/>
      <w:lvlText w:val="%3."/>
      <w:lvlJc w:val="right"/>
      <w:pPr>
        <w:ind w:left="2160"/>
      </w:pPr>
      <w:rPr>
        <w:rFonts w:eastAsia="Times New Roman" w:cs="Times New Roman"/>
        <w:rtl w:val="0"/>
        <w:cs w:val="0"/>
      </w:rPr>
    </w:lvl>
    <w:lvl w:ilvl="3">
      <w:start w:val="1"/>
      <w:numFmt w:val="decimal"/>
      <w:lvlText w:val="%4."/>
      <w:lvlJc w:val="left"/>
      <w:pPr>
        <w:ind w:left="2880" w:hanging="360"/>
      </w:pPr>
      <w:rPr>
        <w:rFonts w:eastAsia="Times New Roman" w:cs="Times New Roman"/>
        <w:rtl w:val="0"/>
        <w:cs w:val="0"/>
      </w:rPr>
    </w:lvl>
    <w:lvl w:ilvl="4">
      <w:start w:val="1"/>
      <w:numFmt w:val="lowerLetter"/>
      <w:lvlText w:val="%5."/>
      <w:lvlJc w:val="left"/>
      <w:pPr>
        <w:ind w:left="3600" w:hanging="360"/>
      </w:pPr>
      <w:rPr>
        <w:rFonts w:eastAsia="Times New Roman" w:cs="Times New Roman"/>
        <w:rtl w:val="0"/>
        <w:cs w:val="0"/>
      </w:rPr>
    </w:lvl>
    <w:lvl w:ilvl="5">
      <w:start w:val="1"/>
      <w:numFmt w:val="lowerRoman"/>
      <w:lvlText w:val="%6."/>
      <w:lvlJc w:val="right"/>
      <w:pPr>
        <w:ind w:left="4320"/>
      </w:pPr>
      <w:rPr>
        <w:rFonts w:eastAsia="Times New Roman" w:cs="Times New Roman"/>
        <w:rtl w:val="0"/>
        <w:cs w:val="0"/>
      </w:rPr>
    </w:lvl>
    <w:lvl w:ilvl="6">
      <w:start w:val="1"/>
      <w:numFmt w:val="decimal"/>
      <w:lvlText w:val="%7."/>
      <w:lvlJc w:val="left"/>
      <w:pPr>
        <w:ind w:left="5040" w:hanging="360"/>
      </w:pPr>
      <w:rPr>
        <w:rFonts w:eastAsia="Times New Roman" w:cs="Times New Roman"/>
        <w:rtl w:val="0"/>
        <w:cs w:val="0"/>
      </w:rPr>
    </w:lvl>
    <w:lvl w:ilvl="7">
      <w:start w:val="1"/>
      <w:numFmt w:val="lowerLetter"/>
      <w:lvlText w:val="%8."/>
      <w:lvlJc w:val="left"/>
      <w:pPr>
        <w:ind w:left="5760" w:hanging="360"/>
      </w:pPr>
      <w:rPr>
        <w:rFonts w:eastAsia="Times New Roman" w:cs="Times New Roman"/>
        <w:rtl w:val="0"/>
        <w:cs w:val="0"/>
      </w:rPr>
    </w:lvl>
    <w:lvl w:ilvl="8">
      <w:start w:val="1"/>
      <w:numFmt w:val="lowerRoman"/>
      <w:lvlText w:val="%9."/>
      <w:lvlJc w:val="right"/>
      <w:pPr>
        <w:ind w:left="6480"/>
      </w:pPr>
      <w:rPr>
        <w:rFonts w:eastAsia="Times New Roman" w:cs="Times New Roman"/>
        <w:rtl w:val="0"/>
        <w:cs w:val="0"/>
      </w:rPr>
    </w:lvl>
  </w:abstractNum>
  <w:abstractNum w:abstractNumId="1">
    <w:nsid w:val="00000002"/>
    <w:multiLevelType w:val="multilevel"/>
    <w:tmpl w:val="00000002"/>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eastAsia="Times New Roman" w:cs="Times New Roman"/>
        <w:rtl w:val="0"/>
        <w:cs w:val="0"/>
      </w:rPr>
    </w:lvl>
    <w:lvl w:ilvl="2">
      <w:start w:val="1"/>
      <w:numFmt w:val="lowerRoman"/>
      <w:lvlText w:val="%3."/>
      <w:lvlJc w:val="right"/>
      <w:pPr>
        <w:ind w:left="2160"/>
      </w:pPr>
      <w:rPr>
        <w:rFonts w:eastAsia="Times New Roman" w:cs="Times New Roman"/>
        <w:rtl w:val="0"/>
        <w:cs w:val="0"/>
      </w:rPr>
    </w:lvl>
    <w:lvl w:ilvl="3">
      <w:start w:val="1"/>
      <w:numFmt w:val="decimal"/>
      <w:lvlText w:val="%4."/>
      <w:lvlJc w:val="left"/>
      <w:pPr>
        <w:ind w:left="2880" w:hanging="360"/>
      </w:pPr>
      <w:rPr>
        <w:rFonts w:eastAsia="Times New Roman" w:cs="Times New Roman"/>
        <w:rtl w:val="0"/>
        <w:cs w:val="0"/>
      </w:rPr>
    </w:lvl>
    <w:lvl w:ilvl="4">
      <w:start w:val="1"/>
      <w:numFmt w:val="lowerLetter"/>
      <w:lvlText w:val="%5."/>
      <w:lvlJc w:val="left"/>
      <w:pPr>
        <w:ind w:left="3600" w:hanging="360"/>
      </w:pPr>
      <w:rPr>
        <w:rFonts w:eastAsia="Times New Roman" w:cs="Times New Roman"/>
        <w:rtl w:val="0"/>
        <w:cs w:val="0"/>
      </w:rPr>
    </w:lvl>
    <w:lvl w:ilvl="5">
      <w:start w:val="1"/>
      <w:numFmt w:val="lowerRoman"/>
      <w:lvlText w:val="%6."/>
      <w:lvlJc w:val="right"/>
      <w:pPr>
        <w:ind w:left="4320"/>
      </w:pPr>
      <w:rPr>
        <w:rFonts w:eastAsia="Times New Roman" w:cs="Times New Roman"/>
        <w:rtl w:val="0"/>
        <w:cs w:val="0"/>
      </w:rPr>
    </w:lvl>
    <w:lvl w:ilvl="6">
      <w:start w:val="1"/>
      <w:numFmt w:val="decimal"/>
      <w:lvlText w:val="%7."/>
      <w:lvlJc w:val="left"/>
      <w:pPr>
        <w:ind w:left="5040" w:hanging="360"/>
      </w:pPr>
      <w:rPr>
        <w:rFonts w:eastAsia="Times New Roman" w:cs="Times New Roman"/>
        <w:rtl w:val="0"/>
        <w:cs w:val="0"/>
      </w:rPr>
    </w:lvl>
    <w:lvl w:ilvl="7">
      <w:start w:val="1"/>
      <w:numFmt w:val="lowerLetter"/>
      <w:lvlText w:val="%8."/>
      <w:lvlJc w:val="left"/>
      <w:pPr>
        <w:ind w:left="5760" w:hanging="360"/>
      </w:pPr>
      <w:rPr>
        <w:rFonts w:eastAsia="Times New Roman" w:cs="Times New Roman"/>
        <w:rtl w:val="0"/>
        <w:cs w:val="0"/>
      </w:rPr>
    </w:lvl>
    <w:lvl w:ilvl="8">
      <w:start w:val="1"/>
      <w:numFmt w:val="lowerRoman"/>
      <w:lvlText w:val="%9."/>
      <w:lvlJc w:val="right"/>
      <w:pPr>
        <w:ind w:left="6480"/>
      </w:pPr>
      <w:rPr>
        <w:rFonts w:eastAsia="Times New Roman" w:cs="Times New Roman"/>
        <w:rtl w:val="0"/>
        <w:cs w:val="0"/>
      </w:rPr>
    </w:lvl>
  </w:abstractNum>
  <w:abstractNum w:abstractNumId="2">
    <w:nsid w:val="00000003"/>
    <w:multiLevelType w:val="multilevel"/>
    <w:tmpl w:val="00000003"/>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eastAsia="Times New Roman" w:cs="Times New Roman"/>
        <w:rtl w:val="0"/>
        <w:cs w:val="0"/>
      </w:rPr>
    </w:lvl>
    <w:lvl w:ilvl="2">
      <w:start w:val="1"/>
      <w:numFmt w:val="lowerRoman"/>
      <w:lvlText w:val="%3."/>
      <w:lvlJc w:val="right"/>
      <w:pPr>
        <w:ind w:left="2160"/>
      </w:pPr>
      <w:rPr>
        <w:rFonts w:eastAsia="Times New Roman" w:cs="Times New Roman"/>
        <w:rtl w:val="0"/>
        <w:cs w:val="0"/>
      </w:rPr>
    </w:lvl>
    <w:lvl w:ilvl="3">
      <w:start w:val="1"/>
      <w:numFmt w:val="decimal"/>
      <w:lvlText w:val="%4."/>
      <w:lvlJc w:val="left"/>
      <w:pPr>
        <w:ind w:left="2880" w:hanging="360"/>
      </w:pPr>
      <w:rPr>
        <w:rFonts w:eastAsia="Times New Roman" w:cs="Times New Roman"/>
        <w:rtl w:val="0"/>
        <w:cs w:val="0"/>
      </w:rPr>
    </w:lvl>
    <w:lvl w:ilvl="4">
      <w:start w:val="1"/>
      <w:numFmt w:val="lowerLetter"/>
      <w:lvlText w:val="%5."/>
      <w:lvlJc w:val="left"/>
      <w:pPr>
        <w:ind w:left="3600" w:hanging="360"/>
      </w:pPr>
      <w:rPr>
        <w:rFonts w:eastAsia="Times New Roman" w:cs="Times New Roman"/>
        <w:rtl w:val="0"/>
        <w:cs w:val="0"/>
      </w:rPr>
    </w:lvl>
    <w:lvl w:ilvl="5">
      <w:start w:val="1"/>
      <w:numFmt w:val="lowerRoman"/>
      <w:lvlText w:val="%6."/>
      <w:lvlJc w:val="right"/>
      <w:pPr>
        <w:ind w:left="4320"/>
      </w:pPr>
      <w:rPr>
        <w:rFonts w:eastAsia="Times New Roman" w:cs="Times New Roman"/>
        <w:rtl w:val="0"/>
        <w:cs w:val="0"/>
      </w:rPr>
    </w:lvl>
    <w:lvl w:ilvl="6">
      <w:start w:val="1"/>
      <w:numFmt w:val="decimal"/>
      <w:lvlText w:val="%7."/>
      <w:lvlJc w:val="left"/>
      <w:pPr>
        <w:ind w:left="5040" w:hanging="360"/>
      </w:pPr>
      <w:rPr>
        <w:rFonts w:eastAsia="Times New Roman" w:cs="Times New Roman"/>
        <w:rtl w:val="0"/>
        <w:cs w:val="0"/>
      </w:rPr>
    </w:lvl>
    <w:lvl w:ilvl="7">
      <w:start w:val="1"/>
      <w:numFmt w:val="lowerLetter"/>
      <w:lvlText w:val="%8."/>
      <w:lvlJc w:val="left"/>
      <w:pPr>
        <w:ind w:left="5760" w:hanging="360"/>
      </w:pPr>
      <w:rPr>
        <w:rFonts w:eastAsia="Times New Roman" w:cs="Times New Roman"/>
        <w:rtl w:val="0"/>
        <w:cs w:val="0"/>
      </w:rPr>
    </w:lvl>
    <w:lvl w:ilvl="8">
      <w:start w:val="1"/>
      <w:numFmt w:val="lowerRoman"/>
      <w:lvlText w:val="%9."/>
      <w:lvlJc w:val="right"/>
      <w:pPr>
        <w:ind w:left="6480"/>
      </w:pPr>
      <w:rPr>
        <w:rFonts w:eastAsia="Times New Roman" w:cs="Times New Roman"/>
        <w:rtl w:val="0"/>
        <w:cs w:val="0"/>
      </w:rPr>
    </w:lvl>
  </w:abstractNum>
  <w:abstractNum w:abstractNumId="3">
    <w:nsid w:val="00000004"/>
    <w:multiLevelType w:val="multilevel"/>
    <w:tmpl w:val="00000004"/>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eastAsia="Times New Roman" w:cs="Times New Roman"/>
        <w:rtl w:val="0"/>
        <w:cs w:val="0"/>
      </w:rPr>
    </w:lvl>
    <w:lvl w:ilvl="2">
      <w:start w:val="1"/>
      <w:numFmt w:val="lowerRoman"/>
      <w:lvlText w:val="%3."/>
      <w:lvlJc w:val="right"/>
      <w:pPr>
        <w:ind w:left="2160"/>
      </w:pPr>
      <w:rPr>
        <w:rFonts w:eastAsia="Times New Roman" w:cs="Times New Roman"/>
        <w:rtl w:val="0"/>
        <w:cs w:val="0"/>
      </w:rPr>
    </w:lvl>
    <w:lvl w:ilvl="3">
      <w:start w:val="1"/>
      <w:numFmt w:val="decimal"/>
      <w:lvlText w:val="%4."/>
      <w:lvlJc w:val="left"/>
      <w:pPr>
        <w:ind w:left="2880" w:hanging="360"/>
      </w:pPr>
      <w:rPr>
        <w:rFonts w:eastAsia="Times New Roman" w:cs="Times New Roman"/>
        <w:rtl w:val="0"/>
        <w:cs w:val="0"/>
      </w:rPr>
    </w:lvl>
    <w:lvl w:ilvl="4">
      <w:start w:val="1"/>
      <w:numFmt w:val="lowerLetter"/>
      <w:lvlText w:val="%5."/>
      <w:lvlJc w:val="left"/>
      <w:pPr>
        <w:ind w:left="3600" w:hanging="360"/>
      </w:pPr>
      <w:rPr>
        <w:rFonts w:eastAsia="Times New Roman" w:cs="Times New Roman"/>
        <w:rtl w:val="0"/>
        <w:cs w:val="0"/>
      </w:rPr>
    </w:lvl>
    <w:lvl w:ilvl="5">
      <w:start w:val="1"/>
      <w:numFmt w:val="lowerRoman"/>
      <w:lvlText w:val="%6."/>
      <w:lvlJc w:val="right"/>
      <w:pPr>
        <w:ind w:left="4320"/>
      </w:pPr>
      <w:rPr>
        <w:rFonts w:eastAsia="Times New Roman" w:cs="Times New Roman"/>
        <w:rtl w:val="0"/>
        <w:cs w:val="0"/>
      </w:rPr>
    </w:lvl>
    <w:lvl w:ilvl="6">
      <w:start w:val="1"/>
      <w:numFmt w:val="decimal"/>
      <w:lvlText w:val="%7."/>
      <w:lvlJc w:val="left"/>
      <w:pPr>
        <w:ind w:left="5040" w:hanging="360"/>
      </w:pPr>
      <w:rPr>
        <w:rFonts w:eastAsia="Times New Roman" w:cs="Times New Roman"/>
        <w:rtl w:val="0"/>
        <w:cs w:val="0"/>
      </w:rPr>
    </w:lvl>
    <w:lvl w:ilvl="7">
      <w:start w:val="1"/>
      <w:numFmt w:val="lowerLetter"/>
      <w:lvlText w:val="%8."/>
      <w:lvlJc w:val="left"/>
      <w:pPr>
        <w:ind w:left="5760" w:hanging="360"/>
      </w:pPr>
      <w:rPr>
        <w:rFonts w:eastAsia="Times New Roman" w:cs="Times New Roman"/>
        <w:rtl w:val="0"/>
        <w:cs w:val="0"/>
      </w:rPr>
    </w:lvl>
    <w:lvl w:ilvl="8">
      <w:start w:val="1"/>
      <w:numFmt w:val="lowerRoman"/>
      <w:lvlText w:val="%9."/>
      <w:lvlJc w:val="right"/>
      <w:pPr>
        <w:ind w:left="6480"/>
      </w:pPr>
      <w:rPr>
        <w:rFonts w:eastAsia="Times New Roman" w:cs="Times New Roman"/>
        <w:rtl w:val="0"/>
        <w:cs w:val="0"/>
      </w:rPr>
    </w:lvl>
  </w:abstractNum>
  <w:abstractNum w:abstractNumId="4">
    <w:nsid w:val="00000005"/>
    <w:multiLevelType w:val="multilevel"/>
    <w:tmpl w:val="00000005"/>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eastAsia="Times New Roman" w:cs="Times New Roman"/>
        <w:rtl w:val="0"/>
        <w:cs w:val="0"/>
      </w:rPr>
    </w:lvl>
    <w:lvl w:ilvl="2">
      <w:start w:val="1"/>
      <w:numFmt w:val="lowerRoman"/>
      <w:lvlText w:val="%3."/>
      <w:lvlJc w:val="right"/>
      <w:pPr>
        <w:ind w:left="2160"/>
      </w:pPr>
      <w:rPr>
        <w:rFonts w:eastAsia="Times New Roman" w:cs="Times New Roman"/>
        <w:rtl w:val="0"/>
        <w:cs w:val="0"/>
      </w:rPr>
    </w:lvl>
    <w:lvl w:ilvl="3">
      <w:start w:val="1"/>
      <w:numFmt w:val="decimal"/>
      <w:lvlText w:val="%4."/>
      <w:lvlJc w:val="left"/>
      <w:pPr>
        <w:ind w:left="2880" w:hanging="360"/>
      </w:pPr>
      <w:rPr>
        <w:rFonts w:eastAsia="Times New Roman" w:cs="Times New Roman"/>
        <w:rtl w:val="0"/>
        <w:cs w:val="0"/>
      </w:rPr>
    </w:lvl>
    <w:lvl w:ilvl="4">
      <w:start w:val="1"/>
      <w:numFmt w:val="lowerLetter"/>
      <w:lvlText w:val="%5."/>
      <w:lvlJc w:val="left"/>
      <w:pPr>
        <w:ind w:left="3600" w:hanging="360"/>
      </w:pPr>
      <w:rPr>
        <w:rFonts w:eastAsia="Times New Roman" w:cs="Times New Roman"/>
        <w:rtl w:val="0"/>
        <w:cs w:val="0"/>
      </w:rPr>
    </w:lvl>
    <w:lvl w:ilvl="5">
      <w:start w:val="1"/>
      <w:numFmt w:val="lowerRoman"/>
      <w:lvlText w:val="%6."/>
      <w:lvlJc w:val="right"/>
      <w:pPr>
        <w:ind w:left="4320"/>
      </w:pPr>
      <w:rPr>
        <w:rFonts w:eastAsia="Times New Roman" w:cs="Times New Roman"/>
        <w:rtl w:val="0"/>
        <w:cs w:val="0"/>
      </w:rPr>
    </w:lvl>
    <w:lvl w:ilvl="6">
      <w:start w:val="1"/>
      <w:numFmt w:val="decimal"/>
      <w:lvlText w:val="%7."/>
      <w:lvlJc w:val="left"/>
      <w:pPr>
        <w:ind w:left="5040" w:hanging="360"/>
      </w:pPr>
      <w:rPr>
        <w:rFonts w:eastAsia="Times New Roman" w:cs="Times New Roman"/>
        <w:rtl w:val="0"/>
        <w:cs w:val="0"/>
      </w:rPr>
    </w:lvl>
    <w:lvl w:ilvl="7">
      <w:start w:val="1"/>
      <w:numFmt w:val="lowerLetter"/>
      <w:lvlText w:val="%8."/>
      <w:lvlJc w:val="left"/>
      <w:pPr>
        <w:ind w:left="5760" w:hanging="360"/>
      </w:pPr>
      <w:rPr>
        <w:rFonts w:eastAsia="Times New Roman" w:cs="Times New Roman"/>
        <w:rtl w:val="0"/>
        <w:cs w:val="0"/>
      </w:rPr>
    </w:lvl>
    <w:lvl w:ilvl="8">
      <w:start w:val="1"/>
      <w:numFmt w:val="lowerRoman"/>
      <w:lvlText w:val="%9."/>
      <w:lvlJc w:val="right"/>
      <w:pPr>
        <w:ind w:left="6480"/>
      </w:pPr>
      <w:rPr>
        <w:rFonts w:eastAsia="Times New Roman" w:cs="Times New Roman"/>
        <w:rtl w:val="0"/>
        <w:cs w:val="0"/>
      </w:rPr>
    </w:lvl>
  </w:abstractNum>
  <w:abstractNum w:abstractNumId="5">
    <w:nsid w:val="00000006"/>
    <w:multiLevelType w:val="multilevel"/>
    <w:tmpl w:val="00000006"/>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eastAsia="Times New Roman" w:cs="Times New Roman"/>
        <w:rtl w:val="0"/>
        <w:cs w:val="0"/>
      </w:rPr>
    </w:lvl>
    <w:lvl w:ilvl="2">
      <w:start w:val="1"/>
      <w:numFmt w:val="lowerRoman"/>
      <w:lvlText w:val="%3."/>
      <w:lvlJc w:val="right"/>
      <w:pPr>
        <w:ind w:left="2160"/>
      </w:pPr>
      <w:rPr>
        <w:rFonts w:eastAsia="Times New Roman" w:cs="Times New Roman"/>
        <w:rtl w:val="0"/>
        <w:cs w:val="0"/>
      </w:rPr>
    </w:lvl>
    <w:lvl w:ilvl="3">
      <w:start w:val="1"/>
      <w:numFmt w:val="decimal"/>
      <w:lvlText w:val="%4."/>
      <w:lvlJc w:val="left"/>
      <w:pPr>
        <w:ind w:left="2880" w:hanging="360"/>
      </w:pPr>
      <w:rPr>
        <w:rFonts w:eastAsia="Times New Roman" w:cs="Times New Roman"/>
        <w:rtl w:val="0"/>
        <w:cs w:val="0"/>
      </w:rPr>
    </w:lvl>
    <w:lvl w:ilvl="4">
      <w:start w:val="1"/>
      <w:numFmt w:val="lowerLetter"/>
      <w:lvlText w:val="%5."/>
      <w:lvlJc w:val="left"/>
      <w:pPr>
        <w:ind w:left="3600" w:hanging="360"/>
      </w:pPr>
      <w:rPr>
        <w:rFonts w:eastAsia="Times New Roman" w:cs="Times New Roman"/>
        <w:rtl w:val="0"/>
        <w:cs w:val="0"/>
      </w:rPr>
    </w:lvl>
    <w:lvl w:ilvl="5">
      <w:start w:val="1"/>
      <w:numFmt w:val="lowerRoman"/>
      <w:lvlText w:val="%6."/>
      <w:lvlJc w:val="right"/>
      <w:pPr>
        <w:ind w:left="4320"/>
      </w:pPr>
      <w:rPr>
        <w:rFonts w:eastAsia="Times New Roman" w:cs="Times New Roman"/>
        <w:rtl w:val="0"/>
        <w:cs w:val="0"/>
      </w:rPr>
    </w:lvl>
    <w:lvl w:ilvl="6">
      <w:start w:val="1"/>
      <w:numFmt w:val="decimal"/>
      <w:lvlText w:val="%7."/>
      <w:lvlJc w:val="left"/>
      <w:pPr>
        <w:ind w:left="5040" w:hanging="360"/>
      </w:pPr>
      <w:rPr>
        <w:rFonts w:eastAsia="Times New Roman" w:cs="Times New Roman"/>
        <w:rtl w:val="0"/>
        <w:cs w:val="0"/>
      </w:rPr>
    </w:lvl>
    <w:lvl w:ilvl="7">
      <w:start w:val="1"/>
      <w:numFmt w:val="lowerLetter"/>
      <w:lvlText w:val="%8."/>
      <w:lvlJc w:val="left"/>
      <w:pPr>
        <w:ind w:left="5760" w:hanging="360"/>
      </w:pPr>
      <w:rPr>
        <w:rFonts w:eastAsia="Times New Roman" w:cs="Times New Roman"/>
        <w:rtl w:val="0"/>
        <w:cs w:val="0"/>
      </w:rPr>
    </w:lvl>
    <w:lvl w:ilvl="8">
      <w:start w:val="1"/>
      <w:numFmt w:val="lowerRoman"/>
      <w:lvlText w:val="%9."/>
      <w:lvlJc w:val="right"/>
      <w:pPr>
        <w:ind w:left="6480"/>
      </w:pPr>
      <w:rPr>
        <w:rFonts w:eastAsia="Times New Roman" w:cs="Times New Roman"/>
        <w:rtl w:val="0"/>
        <w:cs w:val="0"/>
      </w:rPr>
    </w:lvl>
  </w:abstractNum>
  <w:abstractNum w:abstractNumId="6">
    <w:nsid w:val="40BB08A6"/>
    <w:multiLevelType w:val="hybridMultilevel"/>
    <w:tmpl w:val="1FB241BC"/>
    <w:lvl w:ilvl="0">
      <w:start w:val="6"/>
      <w:numFmt w:val="bullet"/>
      <w:lvlText w:val="-"/>
      <w:lvlJc w:val="left"/>
      <w:pPr>
        <w:tabs>
          <w:tab w:val="num" w:pos="900"/>
        </w:tabs>
        <w:ind w:left="900" w:hanging="360"/>
      </w:pPr>
      <w:rPr>
        <w:rFonts w:ascii="Times New Roman" w:hAnsi="Times New Roman"/>
      </w:rPr>
    </w:lvl>
    <w:lvl w:ilvl="1">
      <w:start w:val="1"/>
      <w:numFmt w:val="bullet"/>
      <w:lvlText w:val="o"/>
      <w:lvlJc w:val="left"/>
      <w:pPr>
        <w:tabs>
          <w:tab w:val="num" w:pos="1620"/>
        </w:tabs>
        <w:ind w:left="1620" w:hanging="360"/>
      </w:pPr>
      <w:rPr>
        <w:rFonts w:ascii="Courier New" w:hAnsi="Courier New"/>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rPr>
    </w:lvl>
    <w:lvl w:ilvl="8">
      <w:start w:val="1"/>
      <w:numFmt w:val="bullet"/>
      <w:lvlText w:val=""/>
      <w:lvlJc w:val="left"/>
      <w:pPr>
        <w:tabs>
          <w:tab w:val="num" w:pos="6660"/>
        </w:tabs>
        <w:ind w:left="6660" w:hanging="360"/>
      </w:pPr>
      <w:rPr>
        <w:rFonts w:ascii="Wingdings" w:hAnsi="Wingdings"/>
      </w:rPr>
    </w:lvl>
  </w:abstractNum>
  <w:abstractNum w:abstractNumId="7">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8">
    <w:nsid w:val="6BF03261"/>
    <w:multiLevelType w:val="hybridMultilevel"/>
    <w:tmpl w:val="69926042"/>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A9C0165"/>
    <w:multiLevelType w:val="hybridMultilevel"/>
    <w:tmpl w:val="E1AAE08A"/>
    <w:lvl w:ilvl="0">
      <w:start w:val="6"/>
      <w:numFmt w:val="bullet"/>
      <w:lvlText w:val="-"/>
      <w:lvlJc w:val="left"/>
      <w:pPr>
        <w:ind w:left="1145" w:hanging="360"/>
      </w:pPr>
      <w:rPr>
        <w:rFonts w:ascii="Times New Roman" w:hAnsi="Times New Roman" w:hint="default"/>
      </w:rPr>
    </w:lvl>
    <w:lvl w:ilvl="1">
      <w:start w:val="1"/>
      <w:numFmt w:val="bullet"/>
      <w:lvlText w:val="o"/>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1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8"/>
  </w:num>
  <w:num w:numId="9">
    <w:abstractNumId w:val="7"/>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6414A1"/>
    <w:rsid w:val="000003F9"/>
    <w:rsid w:val="00017554"/>
    <w:rsid w:val="00031885"/>
    <w:rsid w:val="00043B88"/>
    <w:rsid w:val="0004523D"/>
    <w:rsid w:val="00051EFC"/>
    <w:rsid w:val="00052803"/>
    <w:rsid w:val="00056CE7"/>
    <w:rsid w:val="00065285"/>
    <w:rsid w:val="0006579E"/>
    <w:rsid w:val="00074772"/>
    <w:rsid w:val="00081B24"/>
    <w:rsid w:val="00084792"/>
    <w:rsid w:val="00091133"/>
    <w:rsid w:val="00094D01"/>
    <w:rsid w:val="000A2F67"/>
    <w:rsid w:val="000C1EE0"/>
    <w:rsid w:val="000C3765"/>
    <w:rsid w:val="000C41DD"/>
    <w:rsid w:val="000D3127"/>
    <w:rsid w:val="000D6E24"/>
    <w:rsid w:val="000F6B88"/>
    <w:rsid w:val="000F6EA9"/>
    <w:rsid w:val="000F79B5"/>
    <w:rsid w:val="00112B67"/>
    <w:rsid w:val="001131A9"/>
    <w:rsid w:val="00125AC8"/>
    <w:rsid w:val="001319C2"/>
    <w:rsid w:val="00132624"/>
    <w:rsid w:val="00132DD4"/>
    <w:rsid w:val="0013322C"/>
    <w:rsid w:val="00142A6C"/>
    <w:rsid w:val="001436E7"/>
    <w:rsid w:val="001437DB"/>
    <w:rsid w:val="001478DD"/>
    <w:rsid w:val="0015091F"/>
    <w:rsid w:val="00155BBB"/>
    <w:rsid w:val="00156F95"/>
    <w:rsid w:val="0016357C"/>
    <w:rsid w:val="00164571"/>
    <w:rsid w:val="001756C7"/>
    <w:rsid w:val="00175B98"/>
    <w:rsid w:val="00181E65"/>
    <w:rsid w:val="00194252"/>
    <w:rsid w:val="0019427C"/>
    <w:rsid w:val="001946AA"/>
    <w:rsid w:val="001955BA"/>
    <w:rsid w:val="001A03AC"/>
    <w:rsid w:val="001C4FD9"/>
    <w:rsid w:val="001C74E7"/>
    <w:rsid w:val="001D70F8"/>
    <w:rsid w:val="001D7E8E"/>
    <w:rsid w:val="001E61CB"/>
    <w:rsid w:val="001F62A8"/>
    <w:rsid w:val="002034F8"/>
    <w:rsid w:val="0021056F"/>
    <w:rsid w:val="002114A7"/>
    <w:rsid w:val="00216A0C"/>
    <w:rsid w:val="00216B0F"/>
    <w:rsid w:val="00216F97"/>
    <w:rsid w:val="002203DA"/>
    <w:rsid w:val="00226D07"/>
    <w:rsid w:val="00262FAB"/>
    <w:rsid w:val="00283CBE"/>
    <w:rsid w:val="00284A1A"/>
    <w:rsid w:val="002911A5"/>
    <w:rsid w:val="002A3BE4"/>
    <w:rsid w:val="002A57A6"/>
    <w:rsid w:val="002A65E0"/>
    <w:rsid w:val="002B280D"/>
    <w:rsid w:val="002B7D13"/>
    <w:rsid w:val="002C185F"/>
    <w:rsid w:val="002C6BA5"/>
    <w:rsid w:val="002F375A"/>
    <w:rsid w:val="002F53ED"/>
    <w:rsid w:val="002F569E"/>
    <w:rsid w:val="002F770E"/>
    <w:rsid w:val="00305370"/>
    <w:rsid w:val="00306E08"/>
    <w:rsid w:val="00311022"/>
    <w:rsid w:val="00316334"/>
    <w:rsid w:val="003211BC"/>
    <w:rsid w:val="003416C3"/>
    <w:rsid w:val="0034591E"/>
    <w:rsid w:val="0035056E"/>
    <w:rsid w:val="003512C7"/>
    <w:rsid w:val="0035196B"/>
    <w:rsid w:val="00366C1D"/>
    <w:rsid w:val="00370414"/>
    <w:rsid w:val="00377199"/>
    <w:rsid w:val="00383A30"/>
    <w:rsid w:val="00393577"/>
    <w:rsid w:val="003B2B93"/>
    <w:rsid w:val="003B4D33"/>
    <w:rsid w:val="003C16D6"/>
    <w:rsid w:val="003E1925"/>
    <w:rsid w:val="003E1CAC"/>
    <w:rsid w:val="003F63DB"/>
    <w:rsid w:val="00400E37"/>
    <w:rsid w:val="004117ED"/>
    <w:rsid w:val="00434977"/>
    <w:rsid w:val="004367E4"/>
    <w:rsid w:val="00447762"/>
    <w:rsid w:val="00461C04"/>
    <w:rsid w:val="0046219B"/>
    <w:rsid w:val="00465505"/>
    <w:rsid w:val="004841A0"/>
    <w:rsid w:val="004841FD"/>
    <w:rsid w:val="00484BC8"/>
    <w:rsid w:val="00484D19"/>
    <w:rsid w:val="004A6BB3"/>
    <w:rsid w:val="004B0C23"/>
    <w:rsid w:val="004B243C"/>
    <w:rsid w:val="004B5AFB"/>
    <w:rsid w:val="004D3419"/>
    <w:rsid w:val="004E07F9"/>
    <w:rsid w:val="004F1CD0"/>
    <w:rsid w:val="004F30F0"/>
    <w:rsid w:val="004F4453"/>
    <w:rsid w:val="004F4574"/>
    <w:rsid w:val="004F49F3"/>
    <w:rsid w:val="004F74C5"/>
    <w:rsid w:val="00506F4F"/>
    <w:rsid w:val="00516A4F"/>
    <w:rsid w:val="00521AC2"/>
    <w:rsid w:val="00521B65"/>
    <w:rsid w:val="00521EC6"/>
    <w:rsid w:val="0052313A"/>
    <w:rsid w:val="0053019A"/>
    <w:rsid w:val="005328F2"/>
    <w:rsid w:val="005454B7"/>
    <w:rsid w:val="005458B4"/>
    <w:rsid w:val="00545D51"/>
    <w:rsid w:val="00550A85"/>
    <w:rsid w:val="005616E8"/>
    <w:rsid w:val="00577F8C"/>
    <w:rsid w:val="005922B5"/>
    <w:rsid w:val="00597183"/>
    <w:rsid w:val="005A336B"/>
    <w:rsid w:val="005B068A"/>
    <w:rsid w:val="005B40B5"/>
    <w:rsid w:val="005C1EEC"/>
    <w:rsid w:val="00613018"/>
    <w:rsid w:val="00621252"/>
    <w:rsid w:val="006350A2"/>
    <w:rsid w:val="006368B6"/>
    <w:rsid w:val="006414A1"/>
    <w:rsid w:val="00643176"/>
    <w:rsid w:val="0065211A"/>
    <w:rsid w:val="006529B4"/>
    <w:rsid w:val="00655A19"/>
    <w:rsid w:val="0067537C"/>
    <w:rsid w:val="00681E85"/>
    <w:rsid w:val="006877EC"/>
    <w:rsid w:val="006929E4"/>
    <w:rsid w:val="0069358A"/>
    <w:rsid w:val="006A697D"/>
    <w:rsid w:val="006B4F97"/>
    <w:rsid w:val="006C0A31"/>
    <w:rsid w:val="006C6A87"/>
    <w:rsid w:val="006D1B8A"/>
    <w:rsid w:val="006F00C4"/>
    <w:rsid w:val="00705BC2"/>
    <w:rsid w:val="00715023"/>
    <w:rsid w:val="00717EFD"/>
    <w:rsid w:val="00722F97"/>
    <w:rsid w:val="00737F28"/>
    <w:rsid w:val="0074246B"/>
    <w:rsid w:val="007463B4"/>
    <w:rsid w:val="007768A9"/>
    <w:rsid w:val="00776A82"/>
    <w:rsid w:val="00781A1A"/>
    <w:rsid w:val="00781F83"/>
    <w:rsid w:val="00786ED4"/>
    <w:rsid w:val="00792A61"/>
    <w:rsid w:val="007B36FF"/>
    <w:rsid w:val="007B5702"/>
    <w:rsid w:val="007C0E03"/>
    <w:rsid w:val="007C19DC"/>
    <w:rsid w:val="007D1202"/>
    <w:rsid w:val="007D5FC0"/>
    <w:rsid w:val="007D6D91"/>
    <w:rsid w:val="007F17FA"/>
    <w:rsid w:val="008015A9"/>
    <w:rsid w:val="00802B6C"/>
    <w:rsid w:val="00813E5D"/>
    <w:rsid w:val="0081710D"/>
    <w:rsid w:val="00831C24"/>
    <w:rsid w:val="00844438"/>
    <w:rsid w:val="00853095"/>
    <w:rsid w:val="00856250"/>
    <w:rsid w:val="00861EBD"/>
    <w:rsid w:val="008662F2"/>
    <w:rsid w:val="00872364"/>
    <w:rsid w:val="00873F05"/>
    <w:rsid w:val="00877A4D"/>
    <w:rsid w:val="008806F8"/>
    <w:rsid w:val="00880714"/>
    <w:rsid w:val="00882EDB"/>
    <w:rsid w:val="008851C6"/>
    <w:rsid w:val="00887C89"/>
    <w:rsid w:val="008A6D34"/>
    <w:rsid w:val="008A729E"/>
    <w:rsid w:val="008B4234"/>
    <w:rsid w:val="008B5D81"/>
    <w:rsid w:val="008C5C04"/>
    <w:rsid w:val="008C61C4"/>
    <w:rsid w:val="008D43A2"/>
    <w:rsid w:val="008E75D8"/>
    <w:rsid w:val="008F4888"/>
    <w:rsid w:val="00900C7E"/>
    <w:rsid w:val="00905C28"/>
    <w:rsid w:val="009060C9"/>
    <w:rsid w:val="009131F8"/>
    <w:rsid w:val="0091580F"/>
    <w:rsid w:val="00920E09"/>
    <w:rsid w:val="00921555"/>
    <w:rsid w:val="009307FE"/>
    <w:rsid w:val="00936DA9"/>
    <w:rsid w:val="00941017"/>
    <w:rsid w:val="009416FF"/>
    <w:rsid w:val="0094376C"/>
    <w:rsid w:val="009505D1"/>
    <w:rsid w:val="00955762"/>
    <w:rsid w:val="00964293"/>
    <w:rsid w:val="00965372"/>
    <w:rsid w:val="00970176"/>
    <w:rsid w:val="0098376B"/>
    <w:rsid w:val="009B3B79"/>
    <w:rsid w:val="009D3374"/>
    <w:rsid w:val="009D3492"/>
    <w:rsid w:val="009E5CDB"/>
    <w:rsid w:val="009E7A9E"/>
    <w:rsid w:val="00A11E74"/>
    <w:rsid w:val="00A13B1E"/>
    <w:rsid w:val="00A17E04"/>
    <w:rsid w:val="00A2193F"/>
    <w:rsid w:val="00A22432"/>
    <w:rsid w:val="00A230D2"/>
    <w:rsid w:val="00A25BF9"/>
    <w:rsid w:val="00A25ED8"/>
    <w:rsid w:val="00A26296"/>
    <w:rsid w:val="00A27154"/>
    <w:rsid w:val="00A30FC4"/>
    <w:rsid w:val="00A41072"/>
    <w:rsid w:val="00A41C8D"/>
    <w:rsid w:val="00A42E6A"/>
    <w:rsid w:val="00A5394F"/>
    <w:rsid w:val="00A5526B"/>
    <w:rsid w:val="00A55E85"/>
    <w:rsid w:val="00A63509"/>
    <w:rsid w:val="00A74620"/>
    <w:rsid w:val="00A81B86"/>
    <w:rsid w:val="00A82FFF"/>
    <w:rsid w:val="00A8743B"/>
    <w:rsid w:val="00A87657"/>
    <w:rsid w:val="00A96348"/>
    <w:rsid w:val="00AA2F0B"/>
    <w:rsid w:val="00AA3DA6"/>
    <w:rsid w:val="00AB00CC"/>
    <w:rsid w:val="00AC2F70"/>
    <w:rsid w:val="00AC7AEB"/>
    <w:rsid w:val="00AE4610"/>
    <w:rsid w:val="00AE4E13"/>
    <w:rsid w:val="00AF5A23"/>
    <w:rsid w:val="00AF68B4"/>
    <w:rsid w:val="00AF6AAF"/>
    <w:rsid w:val="00B01E21"/>
    <w:rsid w:val="00B03F1A"/>
    <w:rsid w:val="00B06E9F"/>
    <w:rsid w:val="00B1766E"/>
    <w:rsid w:val="00B204DF"/>
    <w:rsid w:val="00B33901"/>
    <w:rsid w:val="00B35E3A"/>
    <w:rsid w:val="00B37873"/>
    <w:rsid w:val="00B40B33"/>
    <w:rsid w:val="00B46403"/>
    <w:rsid w:val="00B47AED"/>
    <w:rsid w:val="00B563E2"/>
    <w:rsid w:val="00B7282E"/>
    <w:rsid w:val="00B77199"/>
    <w:rsid w:val="00B82B18"/>
    <w:rsid w:val="00B8437D"/>
    <w:rsid w:val="00B86DEF"/>
    <w:rsid w:val="00B945D5"/>
    <w:rsid w:val="00B955B0"/>
    <w:rsid w:val="00BA2337"/>
    <w:rsid w:val="00BA2F76"/>
    <w:rsid w:val="00BA5D29"/>
    <w:rsid w:val="00BC14C5"/>
    <w:rsid w:val="00BC1AB7"/>
    <w:rsid w:val="00BD7EC3"/>
    <w:rsid w:val="00BE2B08"/>
    <w:rsid w:val="00BF7E0C"/>
    <w:rsid w:val="00C01C76"/>
    <w:rsid w:val="00C02513"/>
    <w:rsid w:val="00C133E6"/>
    <w:rsid w:val="00C15DCE"/>
    <w:rsid w:val="00C1624C"/>
    <w:rsid w:val="00C17E7E"/>
    <w:rsid w:val="00C56F59"/>
    <w:rsid w:val="00C65B7B"/>
    <w:rsid w:val="00C72002"/>
    <w:rsid w:val="00C74BE9"/>
    <w:rsid w:val="00C81A8D"/>
    <w:rsid w:val="00C86022"/>
    <w:rsid w:val="00C91A67"/>
    <w:rsid w:val="00C964BB"/>
    <w:rsid w:val="00CA1A9B"/>
    <w:rsid w:val="00CA696C"/>
    <w:rsid w:val="00CB41DE"/>
    <w:rsid w:val="00CB459C"/>
    <w:rsid w:val="00CC034A"/>
    <w:rsid w:val="00CC58AE"/>
    <w:rsid w:val="00CD7DAE"/>
    <w:rsid w:val="00CE0352"/>
    <w:rsid w:val="00CF3CBF"/>
    <w:rsid w:val="00CF3FFB"/>
    <w:rsid w:val="00D10FAD"/>
    <w:rsid w:val="00D12436"/>
    <w:rsid w:val="00D1278F"/>
    <w:rsid w:val="00D12B2E"/>
    <w:rsid w:val="00D20F74"/>
    <w:rsid w:val="00D37E74"/>
    <w:rsid w:val="00D4499F"/>
    <w:rsid w:val="00D549CC"/>
    <w:rsid w:val="00D5509E"/>
    <w:rsid w:val="00D57E22"/>
    <w:rsid w:val="00D64D4D"/>
    <w:rsid w:val="00D7077F"/>
    <w:rsid w:val="00D73A05"/>
    <w:rsid w:val="00D740ED"/>
    <w:rsid w:val="00D80493"/>
    <w:rsid w:val="00D85874"/>
    <w:rsid w:val="00D92100"/>
    <w:rsid w:val="00D93C00"/>
    <w:rsid w:val="00D9452B"/>
    <w:rsid w:val="00D94F50"/>
    <w:rsid w:val="00DA198B"/>
    <w:rsid w:val="00DA51C9"/>
    <w:rsid w:val="00DB50DE"/>
    <w:rsid w:val="00DC52DA"/>
    <w:rsid w:val="00DD16F1"/>
    <w:rsid w:val="00DD1C0E"/>
    <w:rsid w:val="00DD3836"/>
    <w:rsid w:val="00DE3A23"/>
    <w:rsid w:val="00DE5E60"/>
    <w:rsid w:val="00DF1B27"/>
    <w:rsid w:val="00E01CF8"/>
    <w:rsid w:val="00E02FE8"/>
    <w:rsid w:val="00E11DCD"/>
    <w:rsid w:val="00E13521"/>
    <w:rsid w:val="00E167A8"/>
    <w:rsid w:val="00E2247F"/>
    <w:rsid w:val="00E35922"/>
    <w:rsid w:val="00E367A2"/>
    <w:rsid w:val="00E407FA"/>
    <w:rsid w:val="00E44BDB"/>
    <w:rsid w:val="00E472C1"/>
    <w:rsid w:val="00E539B5"/>
    <w:rsid w:val="00E62081"/>
    <w:rsid w:val="00E62E34"/>
    <w:rsid w:val="00E74947"/>
    <w:rsid w:val="00E8013D"/>
    <w:rsid w:val="00E85E23"/>
    <w:rsid w:val="00E87B66"/>
    <w:rsid w:val="00E96113"/>
    <w:rsid w:val="00E9615E"/>
    <w:rsid w:val="00EA5AAF"/>
    <w:rsid w:val="00EA7D05"/>
    <w:rsid w:val="00EB3EB2"/>
    <w:rsid w:val="00EC05B9"/>
    <w:rsid w:val="00EC1377"/>
    <w:rsid w:val="00EC182D"/>
    <w:rsid w:val="00EE22E6"/>
    <w:rsid w:val="00F04C84"/>
    <w:rsid w:val="00F057FC"/>
    <w:rsid w:val="00F1200A"/>
    <w:rsid w:val="00F128D1"/>
    <w:rsid w:val="00F21E10"/>
    <w:rsid w:val="00F410D2"/>
    <w:rsid w:val="00F45717"/>
    <w:rsid w:val="00F4601A"/>
    <w:rsid w:val="00F514A7"/>
    <w:rsid w:val="00F519AE"/>
    <w:rsid w:val="00F535F0"/>
    <w:rsid w:val="00F53A7F"/>
    <w:rsid w:val="00F61D66"/>
    <w:rsid w:val="00F66C38"/>
    <w:rsid w:val="00F72976"/>
    <w:rsid w:val="00F83ED6"/>
    <w:rsid w:val="00F86BC2"/>
    <w:rsid w:val="00F86D43"/>
    <w:rsid w:val="00F87ACA"/>
    <w:rsid w:val="00F93E89"/>
    <w:rsid w:val="00F94D2C"/>
    <w:rsid w:val="00FB0B31"/>
    <w:rsid w:val="00FB1575"/>
    <w:rsid w:val="00FD2FAB"/>
    <w:rsid w:val="00FD3CBD"/>
    <w:rsid w:val="00FE3B7F"/>
    <w:rsid w:val="00FE452B"/>
    <w:rsid w:val="00FF524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095"/>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styleId="CommentText">
    <w:name w:val="annotation text"/>
    <w:basedOn w:val="Normal"/>
    <w:link w:val="TextkomentraChar"/>
    <w:uiPriority w:val="99"/>
    <w:semiHidden/>
    <w:unhideWhenUsed/>
    <w:rsid w:val="00B47AED"/>
    <w:pPr>
      <w:jc w:val="left"/>
    </w:pPr>
    <w:rPr>
      <w:sz w:val="20"/>
      <w:szCs w:val="20"/>
    </w:rPr>
  </w:style>
  <w:style w:type="character" w:customStyle="1" w:styleId="TextkomentraChar">
    <w:name w:val="Text komentára Char"/>
    <w:basedOn w:val="DefaultParagraphFont"/>
    <w:link w:val="CommentText"/>
    <w:uiPriority w:val="99"/>
    <w:semiHidden/>
    <w:locked/>
    <w:rsid w:val="00B47AED"/>
    <w:rPr>
      <w:rFonts w:ascii="Times New Roman" w:hAnsi="Times New Roman" w:cs="Times New Roman"/>
      <w:sz w:val="20"/>
      <w:szCs w:val="20"/>
      <w:rtl w:val="0"/>
      <w:cs w:val="0"/>
    </w:rPr>
  </w:style>
  <w:style w:type="character" w:styleId="CommentReference">
    <w:name w:val="annotation reference"/>
    <w:basedOn w:val="DefaultParagraphFont"/>
    <w:uiPriority w:val="99"/>
    <w:semiHidden/>
    <w:unhideWhenUsed/>
    <w:rsid w:val="00B47AED"/>
    <w:rPr>
      <w:rFonts w:cs="Times New Roman"/>
      <w:sz w:val="16"/>
      <w:szCs w:val="16"/>
      <w:rtl w:val="0"/>
      <w:cs w:val="0"/>
    </w:rPr>
  </w:style>
  <w:style w:type="paragraph" w:styleId="Header">
    <w:name w:val="header"/>
    <w:basedOn w:val="Normal"/>
    <w:link w:val="HlavikaChar"/>
    <w:uiPriority w:val="99"/>
    <w:unhideWhenUsed/>
    <w:rsid w:val="0035056E"/>
    <w:pPr>
      <w:tabs>
        <w:tab w:val="center" w:pos="4536"/>
        <w:tab w:val="right" w:pos="9072"/>
      </w:tabs>
      <w:jc w:val="left"/>
    </w:pPr>
  </w:style>
  <w:style w:type="character" w:customStyle="1" w:styleId="HlavikaChar">
    <w:name w:val="Hlavička Char"/>
    <w:basedOn w:val="DefaultParagraphFont"/>
    <w:link w:val="Header"/>
    <w:uiPriority w:val="99"/>
    <w:locked/>
    <w:rsid w:val="0035056E"/>
    <w:rPr>
      <w:rFonts w:ascii="Times New Roman" w:hAnsi="Times New Roman" w:cs="Times New Roman"/>
      <w:sz w:val="24"/>
      <w:szCs w:val="24"/>
      <w:rtl w:val="0"/>
      <w:cs w:val="0"/>
    </w:rPr>
  </w:style>
  <w:style w:type="paragraph" w:styleId="CommentSubject">
    <w:name w:val="annotation subject"/>
    <w:basedOn w:val="CommentText"/>
    <w:next w:val="CommentText"/>
    <w:link w:val="PredmetkomentraChar"/>
    <w:uiPriority w:val="99"/>
    <w:semiHidden/>
    <w:unhideWhenUsed/>
    <w:rsid w:val="00B47AED"/>
    <w:pPr>
      <w:jc w:val="left"/>
    </w:pPr>
    <w:rPr>
      <w:b/>
      <w:bCs/>
    </w:rPr>
  </w:style>
  <w:style w:type="character" w:customStyle="1" w:styleId="PredmetkomentraChar">
    <w:name w:val="Predmet komentára Char"/>
    <w:basedOn w:val="TextkomentraChar"/>
    <w:link w:val="CommentSubject"/>
    <w:uiPriority w:val="99"/>
    <w:semiHidden/>
    <w:locked/>
    <w:rsid w:val="00B47AED"/>
    <w:rPr>
      <w:b/>
      <w:bCs/>
    </w:rPr>
  </w:style>
  <w:style w:type="paragraph" w:styleId="Footer">
    <w:name w:val="footer"/>
    <w:basedOn w:val="Normal"/>
    <w:link w:val="PtaChar"/>
    <w:uiPriority w:val="99"/>
    <w:unhideWhenUsed/>
    <w:rsid w:val="0035056E"/>
    <w:pPr>
      <w:tabs>
        <w:tab w:val="center" w:pos="4536"/>
        <w:tab w:val="right" w:pos="9072"/>
      </w:tabs>
      <w:jc w:val="left"/>
    </w:pPr>
  </w:style>
  <w:style w:type="character" w:customStyle="1" w:styleId="PtaChar">
    <w:name w:val="Päta Char"/>
    <w:basedOn w:val="DefaultParagraphFont"/>
    <w:link w:val="Footer"/>
    <w:uiPriority w:val="99"/>
    <w:locked/>
    <w:rsid w:val="0035056E"/>
    <w:rPr>
      <w:rFonts w:ascii="Times New Roman" w:hAnsi="Times New Roman" w:cs="Times New Roman"/>
      <w:sz w:val="24"/>
      <w:szCs w:val="24"/>
      <w:rtl w:val="0"/>
      <w:cs w:val="0"/>
    </w:rPr>
  </w:style>
  <w:style w:type="paragraph" w:styleId="ListParagraph">
    <w:name w:val="List Paragraph"/>
    <w:basedOn w:val="Normal"/>
    <w:uiPriority w:val="99"/>
    <w:qFormat/>
    <w:locked/>
    <w:rsid w:val="00A25BF9"/>
    <w:pPr>
      <w:widowControl/>
      <w:adjustRightInd/>
      <w:spacing w:after="200" w:line="276" w:lineRule="auto"/>
      <w:ind w:left="720"/>
      <w:jc w:val="left"/>
    </w:pPr>
    <w:rPr>
      <w:rFonts w:ascii="Arial Narrow" w:hAnsi="Arial Narrow" w:eastAsiaTheme="minorEastAsia" w:cs="Arial Narrow"/>
      <w:sz w:val="22"/>
      <w:szCs w:val="22"/>
      <w:lang w:eastAsia="en-US"/>
    </w:rPr>
  </w:style>
  <w:style w:type="table" w:styleId="TableGrid">
    <w:name w:val="Table Grid"/>
    <w:basedOn w:val="TableNormal"/>
    <w:uiPriority w:val="59"/>
    <w:locked/>
    <w:rsid w:val="00BE2B0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ZkladntextChar"/>
    <w:uiPriority w:val="99"/>
    <w:rsid w:val="00BE2B08"/>
    <w:pPr>
      <w:adjustRightInd/>
      <w:jc w:val="left"/>
    </w:pPr>
    <w:rPr>
      <w:color w:val="000000"/>
    </w:rPr>
  </w:style>
  <w:style w:type="character" w:customStyle="1" w:styleId="ZkladntextChar">
    <w:name w:val="Základný text Char"/>
    <w:basedOn w:val="DefaultParagraphFont"/>
    <w:link w:val="BodyText"/>
    <w:uiPriority w:val="99"/>
    <w:locked/>
    <w:rsid w:val="00BE2B08"/>
    <w:rPr>
      <w:rFonts w:ascii="Times New Roman" w:hAnsi="Times New Roman" w:cs="Times New Roman"/>
      <w:color w:val="000000"/>
      <w:sz w:val="24"/>
      <w:szCs w:val="24"/>
      <w:rtl w:val="0"/>
      <w:cs w:val="0"/>
    </w:rPr>
  </w:style>
  <w:style w:type="paragraph" w:customStyle="1" w:styleId="Vchodzie">
    <w:name w:val="Vchodzie"/>
    <w:rsid w:val="00BE2B08"/>
    <w:pPr>
      <w:framePr w:wrap="auto"/>
      <w:widowControl w:val="0"/>
      <w:autoSpaceDE/>
      <w:autoSpaceDN w:val="0"/>
      <w:adjustRightInd w:val="0"/>
      <w:ind w:left="0" w:right="0"/>
      <w:jc w:val="left"/>
      <w:textAlignment w:val="auto"/>
    </w:pPr>
    <w:rPr>
      <w:rFonts w:ascii="Times New Roman" w:hAnsi="Times New Roman" w:eastAsiaTheme="minorEastAsia" w:cs="Times New Roman"/>
      <w:sz w:val="20"/>
      <w:szCs w:val="20"/>
      <w:rtl w:val="0"/>
      <w:cs w:val="0"/>
      <w:lang w:val="sk-SK" w:eastAsia="sk-SK" w:bidi="ar-SA"/>
    </w:rPr>
  </w:style>
  <w:style w:type="paragraph" w:styleId="BodyTextIndent">
    <w:name w:val="Body Text Indent"/>
    <w:basedOn w:val="Normal"/>
    <w:link w:val="ZarkazkladnhotextuChar"/>
    <w:uiPriority w:val="99"/>
    <w:semiHidden/>
    <w:unhideWhenUsed/>
    <w:rsid w:val="00A230D2"/>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A230D2"/>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tanislav.gunis@nbs.sk" TargetMode="External" /><Relationship Id="rId6" Type="http://schemas.openxmlformats.org/officeDocument/2006/relationships/hyperlink" Target="http://www.mhsr.sk/ext_dok-kalkulacka-nakladov-regulacie_final_uzamknuta/147367c"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8525-9C75-4F0E-8CA5-029CAF43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69</TotalTime>
  <Pages>31</Pages>
  <Words>12681</Words>
  <Characters>72285</Characters>
  <Application>Microsoft Office Word</Application>
  <DocSecurity>0</DocSecurity>
  <Lines>0</Lines>
  <Paragraphs>0</Paragraphs>
  <ScaleCrop>false</ScaleCrop>
  <Company>Abyss</Company>
  <LinksUpToDate>false</LinksUpToDate>
  <CharactersWithSpaces>84797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Konecna Zofia</cp:lastModifiedBy>
  <cp:revision>6</cp:revision>
  <cp:lastPrinted>2016-08-18T12:22:00Z</cp:lastPrinted>
  <dcterms:created xsi:type="dcterms:W3CDTF">2016-08-17T09:37:00Z</dcterms:created>
  <dcterms:modified xsi:type="dcterms:W3CDTF">2016-08-18T12:46:00Z</dcterms:modified>
</cp:coreProperties>
</file>