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01A1" w:rsidRPr="00A179AE" w:rsidP="003501A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3501A1" w:rsidRPr="00BF3078" w:rsidP="003501A1">
      <w:pPr>
        <w:pStyle w:val="ListParagraph"/>
        <w:bidi w:val="0"/>
        <w:ind w:left="426"/>
        <w:rPr>
          <w:b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4212"/>
        <w:gridCol w:w="705"/>
        <w:gridCol w:w="717"/>
        <w:gridCol w:w="569"/>
        <w:gridCol w:w="1417"/>
        <w:gridCol w:w="1560"/>
      </w:tblGrid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F7525F">
            <w:pPr>
              <w:bidi w:val="0"/>
              <w:jc w:val="both"/>
              <w:rPr>
                <w:rFonts w:ascii="Times New Roman" w:hAnsi="Times New Roman"/>
              </w:rPr>
            </w:pPr>
            <w:r w:rsidR="0042626F">
              <w:rPr>
                <w:rFonts w:ascii="Times New Roman" w:hAnsi="Times New Roman"/>
              </w:rPr>
              <w:t>Návrh zákona o</w:t>
            </w:r>
            <w:r w:rsidR="00F7525F">
              <w:rPr>
                <w:rFonts w:ascii="Times New Roman" w:hAnsi="Times New Roman"/>
              </w:rPr>
              <w:t> </w:t>
            </w:r>
            <w:r w:rsidR="0042626F">
              <w:rPr>
                <w:rFonts w:ascii="Times New Roman" w:hAnsi="Times New Roman"/>
              </w:rPr>
              <w:t>zmene</w:t>
            </w:r>
            <w:r w:rsidR="00F7525F">
              <w:rPr>
                <w:rFonts w:ascii="Times New Roman" w:hAnsi="Times New Roman"/>
              </w:rPr>
              <w:t xml:space="preserve"> a doplnení</w:t>
            </w:r>
            <w:r w:rsidR="0042626F">
              <w:rPr>
                <w:rFonts w:ascii="Times New Roman" w:hAnsi="Times New Roman"/>
              </w:rPr>
              <w:t xml:space="preserve"> zákona č. 346/2013 Z.</w:t>
            </w:r>
            <w:r w:rsidR="00DC1ABF">
              <w:rPr>
                <w:rFonts w:ascii="Times New Roman" w:hAnsi="Times New Roman"/>
              </w:rPr>
              <w:t xml:space="preserve"> </w:t>
            </w:r>
            <w:r w:rsidR="0042626F">
              <w:rPr>
                <w:rFonts w:ascii="Times New Roman" w:hAnsi="Times New Roman"/>
              </w:rPr>
              <w:t>z. o obmedzení používania určitých nebezpečných látok v elektrických zariadeniach a elektronických zariadeniach  a ktorým sa mení zákon č. 223/2001 Z.</w:t>
            </w:r>
            <w:r w:rsidR="00DC1ABF">
              <w:rPr>
                <w:rFonts w:ascii="Times New Roman" w:hAnsi="Times New Roman"/>
              </w:rPr>
              <w:t xml:space="preserve"> </w:t>
            </w:r>
            <w:r w:rsidR="0042626F">
              <w:rPr>
                <w:rFonts w:ascii="Times New Roman" w:hAnsi="Times New Roman"/>
              </w:rPr>
              <w:t>z. o odpad</w:t>
            </w:r>
            <w:r w:rsidR="006225AA">
              <w:rPr>
                <w:rFonts w:ascii="Times New Roman" w:hAnsi="Times New Roman"/>
              </w:rPr>
              <w:t>och</w:t>
            </w:r>
            <w:r w:rsidR="0042626F">
              <w:rPr>
                <w:rFonts w:ascii="Times New Roman" w:hAnsi="Times New Roman"/>
              </w:rPr>
              <w:t xml:space="preserve"> a o zmene a doplnení niektorých zákono</w:t>
            </w:r>
            <w:r w:rsidR="00DC1ABF">
              <w:rPr>
                <w:rFonts w:ascii="Times New Roman" w:hAnsi="Times New Roman"/>
              </w:rPr>
              <w:t>v v znení neskorších predpisov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="0042626F">
              <w:rPr>
                <w:rFonts w:ascii="Times New Roman" w:hAnsi="Times New Roman"/>
              </w:rPr>
              <w:t>Ministerstvo životného prostredia S</w:t>
            </w:r>
            <w:r w:rsidR="00D31349">
              <w:rPr>
                <w:rFonts w:ascii="Times New Roman" w:hAnsi="Times New Roman"/>
              </w:rPr>
              <w:t>lovenskej republiky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8004B9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ind w:left="175" w:hanging="175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42626F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V prípade transpozície uveďte zoznam transponovaných predpisov:</w:t>
            </w:r>
          </w:p>
          <w:p w:rsidR="00292259" w:rsidRPr="00A179AE" w:rsidP="007B71A4">
            <w:pPr>
              <w:bidi w:val="0"/>
              <w:rPr>
                <w:rFonts w:ascii="Times New Roman" w:hAnsi="Times New Roman"/>
              </w:rPr>
            </w:pPr>
            <w:r w:rsidR="0042626F">
              <w:rPr>
                <w:rFonts w:ascii="Times New Roman" w:hAnsi="Times New Roman"/>
              </w:rPr>
              <w:t>Delegovaná smern</w:t>
            </w:r>
            <w:r w:rsidR="00DC1ABF">
              <w:rPr>
                <w:rFonts w:ascii="Times New Roman" w:hAnsi="Times New Roman"/>
              </w:rPr>
              <w:t xml:space="preserve">ica Komisie (EÚ) 2015/863 z  31.3. </w:t>
            </w:r>
            <w:r w:rsidR="0042626F">
              <w:rPr>
                <w:rFonts w:ascii="Times New Roman" w:hAnsi="Times New Roman"/>
              </w:rPr>
              <w:t xml:space="preserve">2015, ktorou sa mení príloha </w:t>
            </w:r>
            <w:r>
              <w:rPr>
                <w:rFonts w:ascii="Times New Roman" w:hAnsi="Times New Roman"/>
              </w:rPr>
              <w:t>II k smernici Európskeho parlamentu a Rady 2011/65/EU, pokiaľ id</w:t>
            </w:r>
            <w:r w:rsidR="00F7525F">
              <w:rPr>
                <w:rFonts w:ascii="Times New Roman" w:hAnsi="Times New Roman"/>
              </w:rPr>
              <w:t>e o zoznam obmedzovaných látok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="00D31349">
              <w:rPr>
                <w:rFonts w:ascii="Times New Roman" w:hAnsi="Times New Roman"/>
                <w:i/>
              </w:rPr>
              <w:t>máj 2016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="00D31349">
              <w:rPr>
                <w:rFonts w:ascii="Times New Roman" w:hAnsi="Times New Roman"/>
                <w:i/>
              </w:rPr>
              <w:t>júl 2016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Definícia problému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základné problémy, na ktoré navrhovaná regulácia reaguje.</w:t>
            </w:r>
          </w:p>
          <w:p w:rsidR="003501A1" w:rsidRPr="00292259" w:rsidP="00F7525F">
            <w:pPr>
              <w:bidi w:val="0"/>
              <w:jc w:val="both"/>
              <w:rPr>
                <w:rFonts w:ascii="Times New Roman" w:hAnsi="Times New Roman"/>
              </w:rPr>
            </w:pPr>
            <w:r w:rsidRPr="00F7525F" w:rsidR="00292259">
              <w:rPr>
                <w:rFonts w:ascii="Times New Roman" w:hAnsi="Times New Roman"/>
              </w:rPr>
              <w:t>Delegovaná smernica</w:t>
            </w:r>
            <w:r w:rsidR="00292259">
              <w:rPr>
                <w:rFonts w:ascii="Times New Roman" w:hAnsi="Times New Roman"/>
                <w:b/>
              </w:rPr>
              <w:t xml:space="preserve"> </w:t>
            </w:r>
            <w:r w:rsidR="00292259">
              <w:rPr>
                <w:rFonts w:ascii="Times New Roman" w:hAnsi="Times New Roman"/>
              </w:rPr>
              <w:t xml:space="preserve">Komisie 2015/863 zohľadňuje výsledky </w:t>
            </w:r>
            <w:r w:rsidR="00F7525F">
              <w:rPr>
                <w:rFonts w:ascii="Times New Roman" w:hAnsi="Times New Roman"/>
              </w:rPr>
              <w:t xml:space="preserve">pravidelného preskúmania zoznamu </w:t>
            </w:r>
            <w:r w:rsidR="00292259">
              <w:rPr>
                <w:rFonts w:ascii="Times New Roman" w:hAnsi="Times New Roman"/>
              </w:rPr>
              <w:t xml:space="preserve"> nebezpečných látok</w:t>
            </w:r>
            <w:r w:rsidR="00F7525F">
              <w:rPr>
                <w:rFonts w:ascii="Times New Roman" w:hAnsi="Times New Roman"/>
              </w:rPr>
              <w:t xml:space="preserve"> uvedených v prílohe II  smernice 2011/65/EÚ </w:t>
            </w:r>
            <w:r w:rsidR="00292259">
              <w:rPr>
                <w:rFonts w:ascii="Times New Roman" w:hAnsi="Times New Roman"/>
              </w:rPr>
              <w:t xml:space="preserve"> v</w:t>
            </w:r>
            <w:r w:rsidR="00F7525F">
              <w:rPr>
                <w:rFonts w:ascii="Times New Roman" w:hAnsi="Times New Roman"/>
              </w:rPr>
              <w:t> </w:t>
            </w:r>
            <w:r w:rsidR="00292259">
              <w:rPr>
                <w:rFonts w:ascii="Times New Roman" w:hAnsi="Times New Roman"/>
              </w:rPr>
              <w:t>elektrozariadeniach</w:t>
            </w:r>
            <w:r w:rsidR="00F7525F">
              <w:rPr>
                <w:rFonts w:ascii="Times New Roman" w:hAnsi="Times New Roman"/>
              </w:rPr>
              <w:t xml:space="preserve"> </w:t>
            </w:r>
            <w:r w:rsidR="00292259">
              <w:rPr>
                <w:rFonts w:ascii="Times New Roman" w:hAnsi="Times New Roman"/>
              </w:rPr>
              <w:t xml:space="preserve"> s cieľom ochrany životného prostredia </w:t>
            </w:r>
            <w:r w:rsidR="006C6E9C">
              <w:rPr>
                <w:rFonts w:ascii="Times New Roman" w:hAnsi="Times New Roman"/>
              </w:rPr>
              <w:t>a ľudského zdravia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hlavné ciele navrhovaného predpisu (aký výsledný stav chcete reguláciou dosiahnuť).</w:t>
            </w:r>
          </w:p>
          <w:p w:rsidR="006C6E9C" w:rsidRPr="006C6E9C" w:rsidP="00DC1ABF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Aplikáciou delegovanej smernice v praxi by mali výrobcovia elektrozariadení zo svojich výrobkov vylúčiť ďalšie </w:t>
            </w:r>
            <w:r w:rsidR="00DC1ABF">
              <w:rPr>
                <w:rFonts w:ascii="Times New Roman" w:hAnsi="Times New Roman"/>
              </w:rPr>
              <w:t xml:space="preserve">štyri </w:t>
            </w:r>
            <w:r>
              <w:rPr>
                <w:rFonts w:ascii="Times New Roman" w:hAnsi="Times New Roman"/>
              </w:rPr>
              <w:t xml:space="preserve">nebezpečné látky s obsahom </w:t>
            </w:r>
            <w:r w:rsidR="00DC1ABF">
              <w:rPr>
                <w:rFonts w:ascii="Times New Roman" w:hAnsi="Times New Roman"/>
              </w:rPr>
              <w:t>b</w:t>
            </w:r>
            <w:r w:rsidRPr="002440A1" w:rsidR="00DC1ABF">
              <w:rPr>
                <w:rFonts w:ascii="Times New Roman" w:hAnsi="Times New Roman"/>
              </w:rPr>
              <w:t>is(2-etylhexyl)-ftalát (DEHP), benzyl-butyl-ftalát (BBP), dibutyl-ftalát (DBP) a diizobutyl-ftalát (DIBP)</w:t>
            </w:r>
            <w:r>
              <w:rPr>
                <w:rFonts w:ascii="Times New Roman" w:hAnsi="Times New Roman"/>
              </w:rPr>
              <w:t xml:space="preserve">. Súčasne niektoré výrobky používané výlučne v zdravotníctve </w:t>
            </w:r>
            <w:r w:rsidR="00F7525F">
              <w:rPr>
                <w:rFonts w:ascii="Times New Roman" w:hAnsi="Times New Roman"/>
              </w:rPr>
              <w:t>môžu</w:t>
            </w:r>
            <w:r>
              <w:rPr>
                <w:rFonts w:ascii="Times New Roman" w:hAnsi="Times New Roman"/>
              </w:rPr>
              <w:t xml:space="preserve"> tieto látky používať do určit</w:t>
            </w:r>
            <w:r w:rsidR="00D56EDE">
              <w:rPr>
                <w:rFonts w:ascii="Times New Roman" w:hAnsi="Times New Roman"/>
              </w:rPr>
              <w:t>ého dátumu</w:t>
            </w:r>
            <w:r>
              <w:rPr>
                <w:rFonts w:ascii="Times New Roman" w:hAnsi="Times New Roman"/>
              </w:rPr>
              <w:t>. Po tomto termíne by sa mali nebezpečné látky</w:t>
            </w:r>
            <w:r w:rsidR="00D56EDE">
              <w:rPr>
                <w:rFonts w:ascii="Times New Roman" w:hAnsi="Times New Roman"/>
              </w:rPr>
              <w:t xml:space="preserve"> s obsahom DEHP, BBP, DBP, DIBP</w:t>
            </w:r>
            <w:r>
              <w:rPr>
                <w:rFonts w:ascii="Times New Roman" w:hAnsi="Times New Roman"/>
              </w:rPr>
              <w:t xml:space="preserve"> odstrániť aj z týchto elektrozariadení.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subjekty, ktorých sa zmeny návrhu dotknú priamo aj nepriamo:</w:t>
            </w:r>
          </w:p>
          <w:p w:rsidR="003501A1" w:rsidRPr="006C6E9C" w:rsidP="00D56EDE">
            <w:pPr>
              <w:bidi w:val="0"/>
              <w:jc w:val="both"/>
              <w:rPr>
                <w:rFonts w:ascii="Times New Roman" w:hAnsi="Times New Roman"/>
              </w:rPr>
            </w:pPr>
            <w:r w:rsidR="006C6E9C">
              <w:rPr>
                <w:rFonts w:ascii="Times New Roman" w:hAnsi="Times New Roman"/>
              </w:rPr>
              <w:t xml:space="preserve">Obmedzenia </w:t>
            </w:r>
            <w:r w:rsidR="007F4660">
              <w:rPr>
                <w:rFonts w:ascii="Times New Roman" w:hAnsi="Times New Roman"/>
              </w:rPr>
              <w:t>budú mať vplyv</w:t>
            </w:r>
            <w:r w:rsidR="00D56EDE">
              <w:rPr>
                <w:rFonts w:ascii="Times New Roman" w:hAnsi="Times New Roman"/>
              </w:rPr>
              <w:t xml:space="preserve"> predovšetkým</w:t>
            </w:r>
            <w:r w:rsidR="007F4660">
              <w:rPr>
                <w:rFonts w:ascii="Times New Roman" w:hAnsi="Times New Roman"/>
              </w:rPr>
              <w:t xml:space="preserve"> na prvovýrobcov komponentov pre elektrozariadenia, ktorí sú v mnohých prípadoch dnes v</w:t>
            </w:r>
            <w:r w:rsidR="00D56EDE">
              <w:rPr>
                <w:rFonts w:ascii="Times New Roman" w:hAnsi="Times New Roman"/>
              </w:rPr>
              <w:t> </w:t>
            </w:r>
            <w:r w:rsidR="007F4660">
              <w:rPr>
                <w:rFonts w:ascii="Times New Roman" w:hAnsi="Times New Roman"/>
              </w:rPr>
              <w:t>Ázii</w:t>
            </w:r>
            <w:r w:rsidR="00D56EDE">
              <w:rPr>
                <w:rFonts w:ascii="Times New Roman" w:hAnsi="Times New Roman"/>
              </w:rPr>
              <w:t xml:space="preserve"> </w:t>
            </w:r>
            <w:r w:rsidR="007F4660">
              <w:rPr>
                <w:rFonts w:ascii="Times New Roman" w:hAnsi="Times New Roman"/>
              </w:rPr>
              <w:t xml:space="preserve"> </w:t>
            </w:r>
            <w:r w:rsidR="00D56EDE">
              <w:rPr>
                <w:rFonts w:ascii="Times New Roman" w:hAnsi="Times New Roman"/>
              </w:rPr>
              <w:t>(</w:t>
            </w:r>
            <w:r w:rsidR="007F4660">
              <w:rPr>
                <w:rFonts w:ascii="Times New Roman" w:hAnsi="Times New Roman"/>
              </w:rPr>
              <w:t>vývojársk</w:t>
            </w:r>
            <w:r w:rsidR="00FE04A2">
              <w:rPr>
                <w:rFonts w:ascii="Times New Roman" w:hAnsi="Times New Roman"/>
              </w:rPr>
              <w:t>e</w:t>
            </w:r>
            <w:r w:rsidR="007F4660">
              <w:rPr>
                <w:rFonts w:ascii="Times New Roman" w:hAnsi="Times New Roman"/>
              </w:rPr>
              <w:t xml:space="preserve"> oddelenia týchto výrobcov musia nájsť náhrady nebezpečných látok tak, aby nedošlo k zníženiu kvality finálneho výrobku</w:t>
            </w:r>
            <w:r w:rsidR="00D56EDE">
              <w:rPr>
                <w:rFonts w:ascii="Times New Roman" w:hAnsi="Times New Roman"/>
              </w:rPr>
              <w:t>). Ďalšími dotknutými subjektmi budú najmä v administratívnej oblasti (registrácie, evidencie)  dovozcovia a distribútori elektrozariadení.</w:t>
            </w:r>
            <w:r w:rsidR="007F4660"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09"/>
        </w:trPr>
        <w:tc>
          <w:tcPr>
            <w:tcW w:w="91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Aké alternatívne riešenia boli posudzované?</w:t>
            </w:r>
          </w:p>
          <w:p w:rsidR="003501A1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Uveďte, aké alternatívne spôsoby na odstránenie definovaného problému boli identifikované a posudzované.</w:t>
            </w:r>
          </w:p>
          <w:p w:rsidR="00FE04A2" w:rsidRPr="004B1386" w:rsidP="007B71A4">
            <w:pPr>
              <w:bidi w:val="0"/>
              <w:rPr>
                <w:rFonts w:ascii="Times New Roman" w:hAnsi="Times New Roman"/>
              </w:rPr>
            </w:pPr>
            <w:r w:rsidRPr="004B1386">
              <w:rPr>
                <w:rFonts w:ascii="Times New Roman" w:hAnsi="Times New Roman"/>
              </w:rPr>
              <w:t>Delegovaná smernica Komisie 2015/863 neumožňuje prijať alternatívne riešenia.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4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D56EDE">
              <w:rPr>
                <w:rFonts w:ascii="MS Gothic" w:eastAsia="MS Gothic" w:hAnsi="MS Gothic" w:hint="eastAsia"/>
              </w:rPr>
              <w:t>☒</w:t>
            </w:r>
            <w:r w:rsidRPr="00A179AE">
              <w:rPr>
                <w:rFonts w:ascii="Times New Roman" w:hAnsi="Times New Roman"/>
              </w:rPr>
              <w:t xml:space="preserve">  Áno</w:t>
            </w:r>
          </w:p>
        </w:tc>
        <w:tc>
          <w:tcPr>
            <w:tcW w:w="1560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D56EDE">
              <w:rPr>
                <w:rFonts w:ascii="MS Gothic" w:eastAsia="MS Gothic" w:hAnsi="MS Gothic" w:hint="eastAsia"/>
              </w:rPr>
              <w:t>☐</w:t>
            </w:r>
            <w:r w:rsidRPr="00A179AE">
              <w:rPr>
                <w:rFonts w:ascii="Times New Roman" w:hAnsi="Times New Roman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Ak áno, uveďte ktoré oblasti budú nimi upravené, resp. ktorých vykonávacích predpisov sa zmena dotkne:</w:t>
            </w:r>
          </w:p>
          <w:p w:rsidR="00D56EDE" w:rsidRPr="00D56EDE" w:rsidP="00D56EDE">
            <w:pPr>
              <w:bidi w:val="0"/>
              <w:jc w:val="both"/>
              <w:rPr>
                <w:rFonts w:ascii="Times New Roman" w:hAnsi="Times New Roman"/>
              </w:rPr>
            </w:pPr>
            <w:r w:rsidRPr="00D56EDE">
              <w:rPr>
                <w:rFonts w:ascii="Times New Roman" w:hAnsi="Times New Roman"/>
              </w:rPr>
              <w:t xml:space="preserve">Predpokladá sa, že dôjde k prijatiu delegovaných smerníc Komisie, ktoré budú obsahovať výnimky z obmedzenia používania nebezpečných látok s obsahom DEHP, BBP, DBP, DIBP. </w:t>
            </w:r>
            <w:r w:rsidR="00DC1ABF">
              <w:rPr>
                <w:rFonts w:ascii="Times New Roman" w:hAnsi="Times New Roman"/>
              </w:rPr>
              <w:t xml:space="preserve"> </w:t>
            </w:r>
            <w:r w:rsidRPr="00D56EDE">
              <w:rPr>
                <w:rFonts w:ascii="Times New Roman" w:hAnsi="Times New Roman"/>
              </w:rPr>
              <w:t>Delegované smernice</w:t>
            </w:r>
            <w:r w:rsidR="00DC1ABF">
              <w:rPr>
                <w:rFonts w:ascii="Times New Roman" w:hAnsi="Times New Roman"/>
              </w:rPr>
              <w:t xml:space="preserve"> Komisie</w:t>
            </w:r>
            <w:r w:rsidRPr="00D56EDE">
              <w:rPr>
                <w:rFonts w:ascii="Times New Roman" w:hAnsi="Times New Roman"/>
              </w:rPr>
              <w:t xml:space="preserve"> budú následne transponované (tak ako doteraz) novelou/novelami vyhlášky Ministerstva životného prostredia Slovenskej republiky č. 465/2013 Z. z. o technických požiadavkách na elektrické zariadenia a elektronické zariadenia v znení neskorších predpisov.</w:t>
            </w:r>
          </w:p>
          <w:p w:rsidR="003501A1" w:rsidRPr="00A179AE" w:rsidP="007F4660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Uveďte, v ktorých ustanoveniach ide národná právna úprava nad rámec minimálnych požiadaviek EÚ spolu s odôvodnením.</w:t>
            </w:r>
          </w:p>
          <w:p w:rsidR="004B1386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_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48"/>
        </w:trPr>
        <w:tc>
          <w:tcPr>
            <w:tcW w:w="91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95098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termín, kedy by malo dôjsť k preskúmaniu účinnosti a účelnosti navrhovaného predpisu.</w:t>
            </w:r>
          </w:p>
          <w:p w:rsidR="003501A1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kritériá, na základe ktorých bude preskúmanie vykonané.</w:t>
            </w:r>
          </w:p>
          <w:p w:rsidR="004B1386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_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4F6F1F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D13B6F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F62771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 w:rsidR="004C60B8">
              <w:rPr>
                <w:rFonts w:ascii="Times New Roman" w:hAnsi="Times New Roman"/>
              </w:rPr>
              <w:t xml:space="preserve">vyplniť iba v prípade, </w:t>
            </w:r>
            <w:r w:rsidRPr="004C60B8" w:rsidR="004C60B8">
              <w:rPr>
                <w:rFonts w:ascii="Times New Roman" w:hAnsi="Times New Roman"/>
              </w:rPr>
              <w:t>ak</w:t>
            </w:r>
            <w:r w:rsidRPr="004C60B8">
              <w:rPr>
                <w:rFonts w:ascii="Times New Roman" w:hAnsi="Times New Roman"/>
              </w:rPr>
              <w:t xml:space="preserve"> </w:t>
            </w:r>
            <w:r w:rsidRPr="004C60B8" w:rsidR="004C60B8">
              <w:rPr>
                <w:rFonts w:ascii="Times New Roman" w:hAnsi="Times New Roman"/>
              </w:rPr>
              <w:t xml:space="preserve">materiál </w:t>
            </w:r>
            <w:r w:rsidRPr="004C60B8">
              <w:rPr>
                <w:rFonts w:ascii="Times New Roman" w:hAnsi="Times New Roman"/>
              </w:rPr>
              <w:t xml:space="preserve">nie je </w:t>
            </w:r>
            <w:r w:rsidRPr="004C60B8" w:rsidR="004C60B8">
              <w:rPr>
                <w:rFonts w:ascii="Times New Roman" w:hAnsi="Times New Roman"/>
              </w:rPr>
              <w:t>zahrnutý do Plánu práce vlády Slovenskej republiky alebo Plán</w:t>
            </w:r>
            <w:r w:rsidR="004C60B8">
              <w:rPr>
                <w:rFonts w:ascii="Times New Roman" w:hAnsi="Times New Roman"/>
              </w:rPr>
              <w:t>u</w:t>
            </w:r>
            <w:r w:rsidRPr="004C60B8" w:rsidR="004C60B8">
              <w:rPr>
                <w:rFonts w:ascii="Times New Roman" w:hAnsi="Times New Roman"/>
              </w:rPr>
              <w:t xml:space="preserve"> </w:t>
            </w:r>
            <w:r w:rsidR="004C60B8">
              <w:rPr>
                <w:rFonts w:ascii="Times New Roman" w:hAnsi="Times New Roman"/>
              </w:rPr>
              <w:t xml:space="preserve">       </w:t>
            </w:r>
            <w:r w:rsidRPr="004C60B8" w:rsidR="004C60B8">
              <w:rPr>
                <w:rFonts w:ascii="Times New Roman" w:hAnsi="Times New Roman"/>
              </w:rPr>
              <w:t>legislatívnych úloh vlády Slovenskej republiky.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501A1" w:rsidP="00F22831">
            <w:pPr>
              <w:bidi w:val="0"/>
              <w:rPr>
                <w:rFonts w:ascii="Times New Roman" w:hAnsi="Times New Roman"/>
              </w:rPr>
            </w:pPr>
            <w:r w:rsidR="00F62771">
              <w:rPr>
                <w:rFonts w:ascii="Times New Roman" w:hAnsi="Times New Roman"/>
              </w:rPr>
              <w:t>*</w:t>
            </w:r>
            <w:r w:rsidR="00F22831">
              <w:rPr>
                <w:rFonts w:ascii="Times New Roman" w:hAnsi="Times New Roman"/>
              </w:rPr>
              <w:t>* nepovinné</w:t>
            </w:r>
          </w:p>
          <w:p w:rsidR="00216979" w:rsidP="00F22831">
            <w:pPr>
              <w:bidi w:val="0"/>
              <w:rPr>
                <w:rFonts w:ascii="Times New Roman" w:hAnsi="Times New Roman"/>
              </w:rPr>
            </w:pPr>
          </w:p>
          <w:tbl>
            <w:tblPr>
              <w:tblStyle w:val="TableGrid"/>
              <w:tblW w:w="9180" w:type="dxa"/>
              <w:tblLayout w:type="fixed"/>
              <w:tblLook w:val="04A0"/>
            </w:tblPr>
            <w:tblGrid>
              <w:gridCol w:w="3812"/>
              <w:gridCol w:w="541"/>
              <w:gridCol w:w="1281"/>
              <w:gridCol w:w="569"/>
              <w:gridCol w:w="1133"/>
              <w:gridCol w:w="547"/>
              <w:gridCol w:w="1297"/>
            </w:tblGrid>
            <w:tr>
              <w:tblPrEx>
                <w:tblW w:w="9180" w:type="dxa"/>
                <w:tblLayout w:type="fixed"/>
                <w:tblLook w:val="04A0"/>
              </w:tblPrEx>
              <w:tc>
                <w:tcPr>
                  <w:tcW w:w="918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>
              <w:tblPrEx>
                <w:tblW w:w="9180" w:type="dxa"/>
                <w:tblLayout w:type="fixed"/>
                <w:tblLook w:val="04A0"/>
              </w:tblPrEx>
              <w:trPr>
                <w:trHeight w:val="577"/>
              </w:trPr>
              <w:tc>
                <w:tcPr>
                  <w:tcW w:w="918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FFFFFF"/>
                    <w:right w:val="single" w:sz="4" w:space="0" w:color="auto"/>
                  </w:tcBorders>
                  <w:shd w:val="clear" w:color="auto" w:fill="E2E2E2"/>
                  <w:textDirection w:val="lrTb"/>
                  <w:vAlign w:val="center"/>
                </w:tcPr>
                <w:p w:rsidR="00216979" w:rsidRPr="00216979" w:rsidP="00216979">
                  <w:pPr>
                    <w:pStyle w:val="ListParagraph"/>
                    <w:numPr>
                      <w:numId w:val="1"/>
                    </w:numPr>
                    <w:bidi w:val="0"/>
                    <w:ind w:left="459"/>
                    <w:rPr>
                      <w:b/>
                    </w:rPr>
                  </w:pPr>
                  <w:r w:rsidRPr="00216979">
                    <w:rPr>
                      <w:b/>
                    </w:rPr>
                    <w:t>Vplyvy navrhovaného materiálu</w:t>
                  </w:r>
                </w:p>
              </w:tc>
            </w:tr>
            <w:tr>
              <w:tblPrEx>
                <w:tblW w:w="9180" w:type="dxa"/>
                <w:tblLayout w:type="fixed"/>
                <w:tblLook w:val="04A0"/>
              </w:tblPrEx>
              <w:tc>
                <w:tcPr>
                  <w:tcW w:w="381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E2E2E2"/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A179AE">
                    <w:rPr>
                      <w:rFonts w:ascii="Times New Roman" w:hAnsi="Times New Roman"/>
                      <w:b/>
                    </w:rPr>
                    <w:t>Vplyvy na rozpočet verejnej správy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179AE">
                    <w:rPr>
                      <w:rFonts w:ascii="MS Mincho" w:eastAsia="MS Mincho" w:hAnsi="MS Mincho" w:cs="MS Mincho" w:hint="eastAsia"/>
                      <w:b/>
                    </w:rPr>
                    <w:t>☐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A179AE">
                    <w:rPr>
                      <w:rFonts w:ascii="Times New Roman" w:hAnsi="Times New Roman"/>
                      <w:b/>
                    </w:rPr>
                    <w:t>Pozitívne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MS Gothic" w:eastAsia="MS Gothic" w:hAnsi="MS Gothic" w:hint="eastAsia"/>
                      <w:b/>
                    </w:rPr>
                    <w:t>☒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A179AE">
                    <w:rPr>
                      <w:rFonts w:ascii="Times New Roman" w:hAnsi="Times New Roman"/>
                      <w:b/>
                    </w:rPr>
                    <w:t>Žiadne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ind w:left="-107" w:right="-108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179AE">
                    <w:rPr>
                      <w:rFonts w:ascii="MS Mincho" w:eastAsia="MS Mincho" w:hAnsi="MS Mincho" w:cs="MS Mincho" w:hint="eastAsia"/>
                      <w:b/>
                    </w:rPr>
                    <w:t>☐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ind w:left="34"/>
                    <w:rPr>
                      <w:rFonts w:ascii="Times New Roman" w:hAnsi="Times New Roman"/>
                      <w:b/>
                    </w:rPr>
                  </w:pPr>
                  <w:r w:rsidRPr="00A179AE">
                    <w:rPr>
                      <w:rFonts w:ascii="Times New Roman" w:hAnsi="Times New Roman"/>
                      <w:b/>
                    </w:rPr>
                    <w:t>Negatívne</w:t>
                  </w:r>
                </w:p>
              </w:tc>
            </w:tr>
            <w:tr>
              <w:tblPrEx>
                <w:tblW w:w="9180" w:type="dxa"/>
                <w:tblLayout w:type="fixed"/>
                <w:tblLook w:val="04A0"/>
              </w:tblPrEx>
              <w:tc>
                <w:tcPr>
                  <w:tcW w:w="381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E2E2E2"/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rPr>
                      <w:rFonts w:ascii="Times New Roman" w:hAnsi="Times New Roman"/>
                    </w:rPr>
                  </w:pPr>
                  <w:r w:rsidRPr="00A179AE">
                    <w:rPr>
                      <w:rFonts w:ascii="Times New Roman" w:hAnsi="Times New Roman"/>
                    </w:rPr>
                    <w:t xml:space="preserve">    z toho rozpočtovo zabezpečené vplyvy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A179AE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rPr>
                      <w:rFonts w:ascii="Times New Roman" w:hAnsi="Times New Roman"/>
                    </w:rPr>
                  </w:pPr>
                  <w:r w:rsidRPr="00A179AE">
                    <w:rPr>
                      <w:rFonts w:ascii="Times New Roman" w:hAnsi="Times New Roman"/>
                    </w:rPr>
                    <w:t>Áno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A179AE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rPr>
                      <w:rFonts w:ascii="Times New Roman" w:hAnsi="Times New Roman"/>
                    </w:rPr>
                  </w:pPr>
                  <w:r w:rsidRPr="00A179AE">
                    <w:rPr>
                      <w:rFonts w:ascii="Times New Roman" w:hAnsi="Times New Roman"/>
                    </w:rPr>
                    <w:t>Nie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ind w:left="-107" w:right="-108"/>
                    <w:jc w:val="center"/>
                    <w:rPr>
                      <w:rFonts w:ascii="Times New Roman" w:hAnsi="Times New Roman"/>
                    </w:rPr>
                  </w:pPr>
                  <w:r w:rsidRPr="00A179AE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ind w:left="34"/>
                    <w:rPr>
                      <w:rFonts w:ascii="Times New Roman" w:hAnsi="Times New Roman"/>
                    </w:rPr>
                  </w:pPr>
                  <w:r w:rsidRPr="00A179AE">
                    <w:rPr>
                      <w:rFonts w:ascii="Times New Roman" w:hAnsi="Times New Roman"/>
                    </w:rPr>
                    <w:t>Čiastočne</w:t>
                  </w:r>
                </w:p>
              </w:tc>
            </w:tr>
            <w:tr>
              <w:tblPrEx>
                <w:tblW w:w="9180" w:type="dxa"/>
                <w:tblLayout w:type="fixed"/>
                <w:tblLook w:val="04A0"/>
              </w:tblPrEx>
              <w:tc>
                <w:tcPr>
                  <w:tcW w:w="3812" w:type="dxa"/>
                  <w:tcBorders>
                    <w:top w:val="single" w:sz="4" w:space="0" w:color="000000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E2E2E2"/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A179AE">
                    <w:rPr>
                      <w:rFonts w:ascii="Times New Roman" w:hAnsi="Times New Roman"/>
                      <w:b/>
                    </w:rPr>
                    <w:t>Vplyvy na podnikateľské prostredie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179AE">
                    <w:rPr>
                      <w:rFonts w:ascii="MS Mincho" w:eastAsia="MS Mincho" w:hAnsi="MS Mincho" w:cs="MS Mincho" w:hint="eastAsia"/>
                      <w:b/>
                    </w:rPr>
                    <w:t>☐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ind w:right="-108"/>
                    <w:rPr>
                      <w:rFonts w:ascii="Times New Roman" w:hAnsi="Times New Roman"/>
                      <w:b/>
                    </w:rPr>
                  </w:pPr>
                  <w:r w:rsidRPr="00A179AE">
                    <w:rPr>
                      <w:rFonts w:ascii="Times New Roman" w:hAnsi="Times New Roman"/>
                      <w:b/>
                    </w:rPr>
                    <w:t>Pozitívne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="005A1A9A">
                    <w:rPr>
                      <w:rFonts w:ascii="MS Gothic" w:eastAsia="MS Gothic" w:hAnsi="MS Gothic" w:hint="eastAsia"/>
                      <w:b/>
                    </w:rPr>
                    <w:t>☐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A179AE">
                    <w:rPr>
                      <w:rFonts w:ascii="Times New Roman" w:hAnsi="Times New Roman"/>
                      <w:b/>
                    </w:rPr>
                    <w:t>Žiadne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="005A1A9A">
                    <w:rPr>
                      <w:rFonts w:ascii="MS Gothic" w:eastAsia="MS Gothic" w:hAnsi="MS Gothic" w:hint="eastAsia"/>
                      <w:b/>
                    </w:rPr>
                    <w:t>☒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ind w:left="54"/>
                    <w:rPr>
                      <w:rFonts w:ascii="Times New Roman" w:hAnsi="Times New Roman"/>
                      <w:b/>
                    </w:rPr>
                  </w:pPr>
                  <w:r w:rsidRPr="00A179AE">
                    <w:rPr>
                      <w:rFonts w:ascii="Times New Roman" w:hAnsi="Times New Roman"/>
                      <w:b/>
                    </w:rPr>
                    <w:t>Negatívne</w:t>
                  </w:r>
                </w:p>
              </w:tc>
            </w:tr>
            <w:tr>
              <w:tblPrEx>
                <w:tblW w:w="9180" w:type="dxa"/>
                <w:tblLayout w:type="fixed"/>
                <w:tblLook w:val="04A0"/>
              </w:tblPrEx>
              <w:tc>
                <w:tcPr>
                  <w:tcW w:w="38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2E2"/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rPr>
                      <w:rFonts w:ascii="Times New Roman" w:hAnsi="Times New Roman"/>
                    </w:rPr>
                  </w:pPr>
                  <w:r w:rsidRPr="00A179AE">
                    <w:rPr>
                      <w:rFonts w:ascii="Times New Roman" w:hAnsi="Times New Roman"/>
                    </w:rPr>
                    <w:t xml:space="preserve">    z toho vplyvy na MSP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A179AE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ind w:right="-108"/>
                    <w:rPr>
                      <w:rFonts w:ascii="Times New Roman" w:hAnsi="Times New Roman"/>
                    </w:rPr>
                  </w:pPr>
                  <w:r w:rsidRPr="00A179AE">
                    <w:rPr>
                      <w:rFonts w:ascii="Times New Roman" w:hAnsi="Times New Roman"/>
                    </w:rPr>
                    <w:t>Pozitívne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A179AE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rPr>
                      <w:rFonts w:ascii="Times New Roman" w:hAnsi="Times New Roman"/>
                    </w:rPr>
                  </w:pPr>
                  <w:r w:rsidRPr="00A179AE">
                    <w:rPr>
                      <w:rFonts w:ascii="Times New Roman" w:hAnsi="Times New Roman"/>
                    </w:rPr>
                    <w:t>Žiadne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="00DC1ABF">
                    <w:rPr>
                      <w:rFonts w:ascii="MS Gothic" w:eastAsia="MS Gothic" w:hAnsi="MS Gothic" w:hint="eastAsia"/>
                    </w:rPr>
                    <w:t>☒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ind w:left="54"/>
                    <w:rPr>
                      <w:rFonts w:ascii="Times New Roman" w:hAnsi="Times New Roman"/>
                    </w:rPr>
                  </w:pPr>
                  <w:r w:rsidRPr="00A179AE">
                    <w:rPr>
                      <w:rFonts w:ascii="Times New Roman" w:hAnsi="Times New Roman"/>
                    </w:rPr>
                    <w:t>Negatívne</w:t>
                  </w:r>
                </w:p>
              </w:tc>
            </w:tr>
            <w:tr>
              <w:tblPrEx>
                <w:tblW w:w="9180" w:type="dxa"/>
                <w:tblLayout w:type="fixed"/>
                <w:tblLook w:val="04A0"/>
              </w:tblPrEx>
              <w:tc>
                <w:tcPr>
                  <w:tcW w:w="381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A179AE">
                    <w:rPr>
                      <w:rFonts w:ascii="Times New Roman" w:hAnsi="Times New Roman"/>
                      <w:b/>
                    </w:rPr>
                    <w:t>Sociálne vplyvy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179AE">
                    <w:rPr>
                      <w:rFonts w:ascii="MS Mincho" w:eastAsia="MS Mincho" w:hAnsi="MS Mincho" w:cs="MS Mincho" w:hint="eastAsia"/>
                      <w:b/>
                    </w:rPr>
                    <w:t>☐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ind w:right="-108"/>
                    <w:rPr>
                      <w:rFonts w:ascii="Times New Roman" w:hAnsi="Times New Roman"/>
                      <w:b/>
                    </w:rPr>
                  </w:pPr>
                  <w:r w:rsidRPr="00A179AE">
                    <w:rPr>
                      <w:rFonts w:ascii="Times New Roman" w:hAnsi="Times New Roman"/>
                      <w:b/>
                    </w:rPr>
                    <w:t>Pozitívne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MS Gothic" w:eastAsia="MS Gothic" w:hAnsi="MS Gothic" w:hint="eastAsia"/>
                      <w:b/>
                    </w:rPr>
                    <w:t>☒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A179AE">
                    <w:rPr>
                      <w:rFonts w:ascii="Times New Roman" w:hAnsi="Times New Roman"/>
                      <w:b/>
                    </w:rPr>
                    <w:t>Žiadne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179AE">
                    <w:rPr>
                      <w:rFonts w:ascii="MS Mincho" w:eastAsia="MS Mincho" w:hAnsi="MS Mincho" w:cs="MS Mincho" w:hint="eastAsia"/>
                      <w:b/>
                    </w:rPr>
                    <w:t>☐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ind w:left="54"/>
                    <w:rPr>
                      <w:rFonts w:ascii="Times New Roman" w:hAnsi="Times New Roman"/>
                      <w:b/>
                    </w:rPr>
                  </w:pPr>
                  <w:r w:rsidRPr="00A179AE">
                    <w:rPr>
                      <w:rFonts w:ascii="Times New Roman" w:hAnsi="Times New Roman"/>
                      <w:b/>
                    </w:rPr>
                    <w:t>Negatívne</w:t>
                  </w:r>
                </w:p>
              </w:tc>
            </w:tr>
            <w:tr>
              <w:tblPrEx>
                <w:tblW w:w="9180" w:type="dxa"/>
                <w:tblLayout w:type="fixed"/>
                <w:tblLook w:val="04A0"/>
              </w:tblPrEx>
              <w:tc>
                <w:tcPr>
                  <w:tcW w:w="3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A179AE">
                    <w:rPr>
                      <w:rFonts w:ascii="Times New Roman" w:hAnsi="Times New Roman"/>
                      <w:b/>
                    </w:rPr>
                    <w:t>Vplyvy na životné prostredie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MS Gothic" w:eastAsia="MS Gothic" w:hAnsi="MS Gothic" w:hint="eastAsia"/>
                      <w:b/>
                    </w:rPr>
                    <w:t>☒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ind w:right="-108"/>
                    <w:rPr>
                      <w:rFonts w:ascii="Times New Roman" w:hAnsi="Times New Roman"/>
                      <w:b/>
                    </w:rPr>
                  </w:pPr>
                  <w:r w:rsidRPr="00A179AE">
                    <w:rPr>
                      <w:rFonts w:ascii="Times New Roman" w:hAnsi="Times New Roman"/>
                      <w:b/>
                    </w:rPr>
                    <w:t>Pozitívne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179AE">
                    <w:rPr>
                      <w:rFonts w:ascii="MS Mincho" w:eastAsia="MS Mincho" w:hAnsi="MS Mincho" w:cs="MS Mincho" w:hint="eastAsia"/>
                      <w:b/>
                    </w:rPr>
                    <w:t>☐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A179AE">
                    <w:rPr>
                      <w:rFonts w:ascii="Times New Roman" w:hAnsi="Times New Roman"/>
                      <w:b/>
                    </w:rPr>
                    <w:t>Žiadne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179AE">
                    <w:rPr>
                      <w:rFonts w:ascii="MS Mincho" w:eastAsia="MS Mincho" w:hAnsi="MS Mincho" w:cs="MS Mincho" w:hint="eastAsia"/>
                      <w:b/>
                    </w:rPr>
                    <w:t>☐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ind w:left="54"/>
                    <w:rPr>
                      <w:rFonts w:ascii="Times New Roman" w:hAnsi="Times New Roman"/>
                      <w:b/>
                    </w:rPr>
                  </w:pPr>
                  <w:r w:rsidRPr="00A179AE">
                    <w:rPr>
                      <w:rFonts w:ascii="Times New Roman" w:hAnsi="Times New Roman"/>
                      <w:b/>
                    </w:rPr>
                    <w:t>Negatívne</w:t>
                  </w:r>
                </w:p>
              </w:tc>
            </w:tr>
            <w:tr>
              <w:tblPrEx>
                <w:tblW w:w="9180" w:type="dxa"/>
                <w:tblLayout w:type="fixed"/>
                <w:tblLook w:val="04A0"/>
              </w:tblPrEx>
              <w:tc>
                <w:tcPr>
                  <w:tcW w:w="3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A179AE">
                    <w:rPr>
                      <w:rFonts w:ascii="Times New Roman" w:hAnsi="Times New Roman"/>
                      <w:b/>
                    </w:rPr>
                    <w:t>Vplyvy na informatizáciu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179AE">
                    <w:rPr>
                      <w:rFonts w:ascii="MS Mincho" w:eastAsia="MS Mincho" w:hAnsi="MS Mincho" w:cs="MS Mincho" w:hint="eastAsia"/>
                      <w:b/>
                    </w:rPr>
                    <w:t>☐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ind w:right="-108"/>
                    <w:rPr>
                      <w:rFonts w:ascii="Times New Roman" w:hAnsi="Times New Roman"/>
                      <w:b/>
                    </w:rPr>
                  </w:pPr>
                  <w:r w:rsidRPr="00A179AE">
                    <w:rPr>
                      <w:rFonts w:ascii="Times New Roman" w:hAnsi="Times New Roman"/>
                      <w:b/>
                    </w:rPr>
                    <w:t>Pozitívne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MS Gothic" w:eastAsia="MS Gothic" w:hAnsi="MS Gothic" w:hint="eastAsia"/>
                      <w:b/>
                    </w:rPr>
                    <w:t>☒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A179AE">
                    <w:rPr>
                      <w:rFonts w:ascii="Times New Roman" w:hAnsi="Times New Roman"/>
                      <w:b/>
                    </w:rPr>
                    <w:t>Žiadne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MS Gothic" w:eastAsia="MS Gothic" w:hAnsi="MS Gothic" w:hint="eastAsia"/>
                      <w:b/>
                    </w:rPr>
                    <w:t>☐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216979" w:rsidRPr="00A179AE" w:rsidP="000A04E8">
                  <w:pPr>
                    <w:bidi w:val="0"/>
                    <w:ind w:left="54"/>
                    <w:rPr>
                      <w:rFonts w:ascii="Times New Roman" w:hAnsi="Times New Roman"/>
                      <w:b/>
                    </w:rPr>
                  </w:pPr>
                  <w:r w:rsidRPr="00A179AE">
                    <w:rPr>
                      <w:rFonts w:ascii="Times New Roman" w:hAnsi="Times New Roman"/>
                      <w:b/>
                    </w:rPr>
                    <w:t>Negatívne</w:t>
                  </w:r>
                </w:p>
              </w:tc>
            </w:tr>
          </w:tbl>
          <w:tbl>
            <w:tblPr>
              <w:tblStyle w:val="TableNormal"/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812"/>
              <w:gridCol w:w="541"/>
              <w:gridCol w:w="1281"/>
              <w:gridCol w:w="569"/>
              <w:gridCol w:w="1133"/>
              <w:gridCol w:w="547"/>
              <w:gridCol w:w="1297"/>
            </w:tblGrid>
            <w:tr>
              <w:tblPrEx>
                <w:tblW w:w="9180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Ex>
              <w:tc>
                <w:tcPr>
                  <w:tcW w:w="381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E2E2E2"/>
                  <w:textDirection w:val="lrTb"/>
                  <w:vAlign w:val="top"/>
                </w:tcPr>
                <w:p w:rsidR="00216979" w:rsidRPr="00653ADA" w:rsidP="000A04E8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eastAsia="Calibri" w:hAnsi="Times New Roman"/>
                      <w:b/>
                      <w:lang w:eastAsia="en-US"/>
                    </w:rPr>
                    <w:t>V</w:t>
                  </w:r>
                  <w:r w:rsidRPr="00127DAC">
                    <w:rPr>
                      <w:rFonts w:ascii="Times New Roman" w:eastAsia="Calibri" w:hAnsi="Times New Roman"/>
                      <w:b/>
                      <w:lang w:eastAsia="en-US"/>
                    </w:rPr>
                    <w:t>plyv</w:t>
                  </w:r>
                  <w:r>
                    <w:rPr>
                      <w:rFonts w:ascii="Times New Roman" w:eastAsia="Calibri" w:hAnsi="Times New Roman"/>
                      <w:b/>
                      <w:lang w:eastAsia="en-US"/>
                    </w:rPr>
                    <w:t>y</w:t>
                  </w:r>
                  <w:r w:rsidRPr="00127DAC"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  <w:t xml:space="preserve"> na služ</w:t>
                  </w:r>
                  <w:r w:rsidRPr="00127DAC"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  <w:t>by verejnej sprá</w:t>
                  </w:r>
                  <w:r w:rsidRPr="00127DAC"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  <w:t>vy pre obč</w:t>
                  </w:r>
                  <w:r w:rsidRPr="00127DAC"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  <w:t>ana</w:t>
                  </w:r>
                  <w:r>
                    <w:rPr>
                      <w:rFonts w:ascii="Times New Roman" w:eastAsia="Calibri" w:hAnsi="Times New Roman"/>
                      <w:b/>
                      <w:lang w:eastAsia="en-US"/>
                    </w:rPr>
                    <w:t>, z toho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extDirection w:val="lrTb"/>
                  <w:vAlign w:val="top"/>
                </w:tcPr>
                <w:p w:rsidR="00216979" w:rsidRPr="00653ADA" w:rsidP="000A04E8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b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216979" w:rsidRPr="00653ADA" w:rsidP="000A04E8">
                  <w:pPr>
                    <w:bidi w:val="0"/>
                    <w:spacing w:after="0" w:line="240" w:lineRule="auto"/>
                    <w:ind w:right="-108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216979" w:rsidRPr="00653ADA" w:rsidP="000A04E8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b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216979" w:rsidRPr="00653ADA" w:rsidP="000A04E8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216979" w:rsidRPr="00653ADA" w:rsidP="000A04E8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b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extDirection w:val="lrTb"/>
                  <w:vAlign w:val="top"/>
                </w:tcPr>
                <w:p w:rsidR="00216979" w:rsidRPr="00653ADA" w:rsidP="000A04E8">
                  <w:pPr>
                    <w:bidi w:val="0"/>
                    <w:spacing w:after="0" w:line="240" w:lineRule="auto"/>
                    <w:ind w:left="54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>
              <w:tblPrEx>
                <w:tblW w:w="9180" w:type="dxa"/>
                <w:tblLayout w:type="fixed"/>
                <w:tblLook w:val="04A0"/>
              </w:tblPrEx>
              <w:tc>
                <w:tcPr>
                  <w:tcW w:w="38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E2E2E2"/>
                  <w:textDirection w:val="lrTb"/>
                  <w:vAlign w:val="top"/>
                </w:tcPr>
                <w:p w:rsidR="00216979" w:rsidRPr="009634B3" w:rsidP="000A04E8">
                  <w:pPr>
                    <w:bidi w:val="0"/>
                    <w:spacing w:after="0" w:line="240" w:lineRule="auto"/>
                    <w:ind w:left="196" w:hanging="196"/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</w:pPr>
                  <w:r w:rsidRPr="009634B3"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  <w:t xml:space="preserve">    vplyvy služ</w:t>
                  </w:r>
                  <w:r w:rsidRPr="009634B3"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  <w:t>ieb verejnej sprá</w:t>
                  </w:r>
                  <w:r w:rsidRPr="009634B3"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  <w:t>vy na obč</w:t>
                  </w:r>
                  <w:r w:rsidRPr="009634B3"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  <w:t>ana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textDirection w:val="lrTb"/>
                  <w:vAlign w:val="top"/>
                </w:tcPr>
                <w:p w:rsidR="00216979" w:rsidRPr="009634B3" w:rsidP="000A04E8">
                  <w:pPr>
                    <w:bidi w:val="0"/>
                    <w:spacing w:after="0" w:line="240" w:lineRule="auto"/>
                    <w:jc w:val="center"/>
                    <w:rPr>
                      <w:rFonts w:ascii="MS Mincho" w:eastAsia="MS Mincho" w:hAnsi="MS Mincho" w:cs="MS Mincho"/>
                      <w:b/>
                      <w:lang w:eastAsia="en-US"/>
                    </w:rPr>
                  </w:pPr>
                  <w:r>
                    <w:rPr>
                      <w:rFonts w:ascii="MS Gothic" w:eastAsia="MS Gothic" w:hAnsi="MS Gothic" w:cs="MS Mincho" w:hint="eastAsia"/>
                      <w:b/>
                      <w:lang w:eastAsia="en-US"/>
                    </w:rPr>
                    <w:t>☐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216979" w:rsidRPr="009634B3" w:rsidP="000A04E8">
                  <w:pPr>
                    <w:bidi w:val="0"/>
                    <w:spacing w:after="0" w:line="240" w:lineRule="auto"/>
                    <w:ind w:right="-108"/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</w:pPr>
                  <w:r w:rsidRPr="009634B3"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  <w:t>Pozití</w:t>
                  </w:r>
                  <w:r w:rsidRPr="009634B3"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  <w:t>vne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216979" w:rsidRPr="009634B3" w:rsidP="000A04E8">
                  <w:pPr>
                    <w:bidi w:val="0"/>
                    <w:spacing w:after="0" w:line="240" w:lineRule="auto"/>
                    <w:jc w:val="center"/>
                    <w:rPr>
                      <w:rFonts w:ascii="MS Mincho" w:eastAsia="MS Mincho" w:hAnsi="MS Mincho" w:cs="MS Mincho"/>
                      <w:b/>
                      <w:lang w:eastAsia="en-US"/>
                    </w:rPr>
                  </w:pPr>
                  <w:r>
                    <w:rPr>
                      <w:rFonts w:ascii="MS Gothic" w:eastAsia="MS Gothic" w:hAnsi="MS Gothic" w:cs="MS Mincho" w:hint="eastAsia"/>
                      <w:b/>
                      <w:lang w:eastAsia="en-US"/>
                    </w:rPr>
                    <w:t>☒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216979" w:rsidRPr="009634B3" w:rsidP="000A04E8">
                  <w:pPr>
                    <w:bidi w:val="0"/>
                    <w:spacing w:after="0" w:line="240" w:lineRule="auto"/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</w:pPr>
                  <w:r w:rsidRPr="009634B3"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  <w:t>Ž</w:t>
                  </w:r>
                  <w:r w:rsidRPr="009634B3"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  <w:t>iadne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216979" w:rsidRPr="009634B3" w:rsidP="000A04E8">
                  <w:pPr>
                    <w:bidi w:val="0"/>
                    <w:spacing w:after="0" w:line="240" w:lineRule="auto"/>
                    <w:jc w:val="center"/>
                    <w:rPr>
                      <w:rFonts w:ascii="MS Mincho" w:eastAsia="MS Mincho" w:hAnsi="MS Mincho" w:cs="MS Mincho"/>
                      <w:b/>
                      <w:lang w:eastAsia="en-US"/>
                    </w:rPr>
                  </w:pPr>
                  <w:r>
                    <w:rPr>
                      <w:rFonts w:ascii="MS Gothic" w:eastAsia="MS Gothic" w:hAnsi="MS Gothic" w:cs="MS Mincho" w:hint="eastAsia"/>
                      <w:b/>
                      <w:lang w:eastAsia="en-US"/>
                    </w:rPr>
                    <w:t>☐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extDirection w:val="lrTb"/>
                  <w:vAlign w:val="top"/>
                </w:tcPr>
                <w:p w:rsidR="00216979" w:rsidRPr="009634B3" w:rsidP="000A04E8">
                  <w:pPr>
                    <w:bidi w:val="0"/>
                    <w:spacing w:after="0" w:line="240" w:lineRule="auto"/>
                    <w:ind w:left="54"/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</w:pPr>
                  <w:r w:rsidRPr="009634B3"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  <w:t>Negatí</w:t>
                  </w:r>
                  <w:r w:rsidRPr="009634B3"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  <w:t>vne“</w:t>
                  </w:r>
                </w:p>
              </w:tc>
            </w:tr>
            <w:tr>
              <w:tblPrEx>
                <w:tblW w:w="9180" w:type="dxa"/>
                <w:tblLayout w:type="fixed"/>
                <w:tblLook w:val="04A0"/>
              </w:tblPrEx>
              <w:tc>
                <w:tcPr>
                  <w:tcW w:w="38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  <w:textDirection w:val="lrTb"/>
                  <w:vAlign w:val="top"/>
                </w:tcPr>
                <w:p w:rsidR="00216979" w:rsidRPr="009634B3" w:rsidP="000A04E8">
                  <w:pPr>
                    <w:bidi w:val="0"/>
                    <w:spacing w:after="0" w:line="240" w:lineRule="auto"/>
                    <w:ind w:left="168" w:hanging="168"/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b/>
                      <w:lang w:eastAsia="en-US"/>
                    </w:rPr>
                    <w:t xml:space="preserve">    </w:t>
                  </w:r>
                  <w:r w:rsidRPr="009634B3"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  <w:t>vplyvy na procesy služ</w:t>
                  </w:r>
                  <w:r w:rsidRPr="009634B3"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  <w:t>ieb vo verejnej sprá</w:t>
                  </w:r>
                  <w:r w:rsidRPr="009634B3"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  <w:t>ve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9634B3" w:rsidP="000A04E8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b/>
                      <w:lang w:eastAsia="en-US"/>
                    </w:rPr>
                  </w:pPr>
                  <w:r>
                    <w:rPr>
                      <w:rFonts w:ascii="MS Gothic" w:eastAsia="MS Gothic" w:hAnsi="MS Gothic" w:cs="MS Mincho" w:hint="eastAsia"/>
                      <w:b/>
                      <w:lang w:eastAsia="en-US"/>
                    </w:rPr>
                    <w:t>☐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9634B3" w:rsidP="000A04E8">
                  <w:pPr>
                    <w:bidi w:val="0"/>
                    <w:spacing w:after="0" w:line="240" w:lineRule="auto"/>
                    <w:ind w:right="-108"/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</w:pPr>
                  <w:r w:rsidRPr="009634B3"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  <w:t>Pozití</w:t>
                  </w:r>
                  <w:r w:rsidRPr="009634B3"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  <w:t>vne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9634B3" w:rsidP="000A04E8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b/>
                      <w:lang w:eastAsia="en-US"/>
                    </w:rPr>
                  </w:pPr>
                  <w:r>
                    <w:rPr>
                      <w:rFonts w:ascii="MS Gothic" w:eastAsia="MS Gothic" w:hAnsi="MS Gothic" w:cs="MS Mincho" w:hint="eastAsia"/>
                      <w:b/>
                      <w:lang w:eastAsia="en-US"/>
                    </w:rPr>
                    <w:t>☒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9634B3" w:rsidP="000A04E8">
                  <w:pPr>
                    <w:bidi w:val="0"/>
                    <w:spacing w:after="0" w:line="240" w:lineRule="auto"/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</w:pPr>
                  <w:r w:rsidRPr="009634B3"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  <w:t>Ž</w:t>
                  </w:r>
                  <w:r w:rsidRPr="009634B3"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  <w:t>iadne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extDirection w:val="lrTb"/>
                  <w:vAlign w:val="top"/>
                </w:tcPr>
                <w:p w:rsidR="00216979" w:rsidRPr="009634B3" w:rsidP="000A04E8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b/>
                      <w:lang w:eastAsia="en-US"/>
                    </w:rPr>
                  </w:pPr>
                  <w:r>
                    <w:rPr>
                      <w:rFonts w:ascii="MS Gothic" w:eastAsia="MS Gothic" w:hAnsi="MS Gothic" w:cs="MS Mincho" w:hint="eastAsia"/>
                      <w:b/>
                      <w:lang w:eastAsia="en-US"/>
                    </w:rPr>
                    <w:t>☐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216979" w:rsidRPr="009634B3" w:rsidP="000A04E8">
                  <w:pPr>
                    <w:bidi w:val="0"/>
                    <w:spacing w:after="0" w:line="240" w:lineRule="auto"/>
                    <w:ind w:left="54"/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</w:pPr>
                  <w:r w:rsidRPr="009634B3"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  <w:t>Negatí</w:t>
                  </w:r>
                  <w:r w:rsidRPr="009634B3">
                    <w:rPr>
                      <w:rFonts w:ascii="Times New Roman" w:eastAsia="Calibri" w:hAnsi="Times New Roman" w:hint="default"/>
                      <w:b/>
                      <w:lang w:eastAsia="en-US"/>
                    </w:rPr>
                    <w:t>vne“</w:t>
                  </w:r>
                </w:p>
              </w:tc>
            </w:tr>
          </w:tbl>
          <w:p w:rsidR="00216979" w:rsidP="00F22831">
            <w:pPr>
              <w:bidi w:val="0"/>
              <w:rPr>
                <w:rFonts w:ascii="Times New Roman" w:hAnsi="Times New Roman"/>
              </w:rPr>
            </w:pPr>
          </w:p>
          <w:p w:rsidR="00216979" w:rsidP="00F22831">
            <w:pPr>
              <w:bidi w:val="0"/>
              <w:rPr>
                <w:rFonts w:ascii="Times New Roman" w:hAnsi="Times New Roman"/>
              </w:rPr>
            </w:pPr>
          </w:p>
          <w:p w:rsidR="00216979" w:rsidRPr="00A179AE" w:rsidP="00F22831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F6F1F" w:rsidRPr="00A179AE" w:rsidP="00216979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3"/>
        </w:trPr>
        <w:tc>
          <w:tcPr>
            <w:tcW w:w="9176" w:type="dxa"/>
            <w:gridSpan w:val="6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4F6F1F" w:rsidP="00C002C5">
            <w:pPr>
              <w:bidi w:val="0"/>
              <w:rPr>
                <w:rFonts w:ascii="Times New Roman" w:hAnsi="Times New Roman"/>
                <w:i/>
              </w:rPr>
            </w:pPr>
            <w:r w:rsidR="00C002C5">
              <w:rPr>
                <w:rFonts w:ascii="Times New Roman" w:hAnsi="Times New Roman"/>
                <w:i/>
              </w:rPr>
              <w:t xml:space="preserve">Predkladaný materiál má pozitívny dopad okrem životného prostredia aj na zdravie obyvateľstva, a pracovníkov. </w:t>
            </w:r>
          </w:p>
          <w:p w:rsidR="00C002C5" w:rsidRPr="00A179AE" w:rsidP="00404C41">
            <w:pPr>
              <w:bidi w:val="0"/>
              <w:jc w:val="both"/>
              <w:rPr>
                <w:rFonts w:ascii="Times New Roman" w:hAnsi="Times New Roman"/>
                <w:b/>
              </w:rPr>
            </w:pPr>
            <w:r w:rsidRPr="00147C7B" w:rsidR="00147C7B">
              <w:rPr>
                <w:rFonts w:ascii="Times New Roman" w:hAnsi="Times New Roman"/>
              </w:rPr>
              <w:t>Veľkosť vplyvu na podnikateľské</w:t>
            </w:r>
            <w:r w:rsidR="00147C7B">
              <w:rPr>
                <w:rFonts w:ascii="Times New Roman" w:hAnsi="Times New Roman"/>
              </w:rPr>
              <w:t xml:space="preserve"> prostredie</w:t>
            </w:r>
            <w:r w:rsidRPr="00147C7B" w:rsidR="00147C7B">
              <w:rPr>
                <w:rFonts w:ascii="Times New Roman" w:hAnsi="Times New Roman"/>
              </w:rPr>
              <w:t xml:space="preserve"> závisí </w:t>
            </w:r>
            <w:r w:rsidR="00404C41">
              <w:rPr>
                <w:rFonts w:ascii="Times New Roman" w:hAnsi="Times New Roman"/>
              </w:rPr>
              <w:t xml:space="preserve">aj </w:t>
            </w:r>
            <w:r w:rsidRPr="00147C7B" w:rsidR="00147C7B">
              <w:rPr>
                <w:rFonts w:ascii="Times New Roman" w:hAnsi="Times New Roman"/>
              </w:rPr>
              <w:t xml:space="preserve">od technologických procesov pri výrobe výrobkov s obsahom nebezpečných látok, ktoré sú individuálne v závislosti od výrobcu, ako aj od počtu </w:t>
            </w:r>
            <w:r w:rsidR="00404C41">
              <w:rPr>
                <w:rFonts w:ascii="Times New Roman" w:hAnsi="Times New Roman"/>
              </w:rPr>
              <w:t xml:space="preserve">ďalších </w:t>
            </w:r>
            <w:r w:rsidRPr="00147C7B" w:rsidR="00147C7B">
              <w:rPr>
                <w:rFonts w:ascii="Times New Roman" w:hAnsi="Times New Roman"/>
              </w:rPr>
              <w:t>dotknutých subjektov, ktorý</w:t>
            </w:r>
            <w:r w:rsidR="00404C41">
              <w:rPr>
                <w:rFonts w:ascii="Times New Roman" w:hAnsi="Times New Roman"/>
              </w:rPr>
              <w:t>ch</w:t>
            </w:r>
            <w:r w:rsidRPr="00147C7B" w:rsidR="00147C7B">
              <w:rPr>
                <w:rFonts w:ascii="Times New Roman" w:hAnsi="Times New Roman"/>
              </w:rPr>
              <w:t xml:space="preserve"> nie je možné </w:t>
            </w:r>
            <w:r w:rsidR="00404C41">
              <w:rPr>
                <w:rFonts w:ascii="Times New Roman" w:hAnsi="Times New Roman"/>
              </w:rPr>
              <w:t>určiť</w:t>
            </w:r>
            <w:r w:rsidRPr="00147C7B" w:rsidR="00147C7B">
              <w:rPr>
                <w:rFonts w:ascii="Times New Roman" w:hAnsi="Times New Roman"/>
              </w:rPr>
              <w:t>, a preto an</w:t>
            </w:r>
            <w:r w:rsidR="00404C41">
              <w:rPr>
                <w:rFonts w:ascii="Times New Roman" w:hAnsi="Times New Roman"/>
              </w:rPr>
              <w:t>alýza vplyvov je vypracovaná</w:t>
            </w:r>
            <w:r w:rsidRPr="00147C7B" w:rsidR="00147C7B">
              <w:rPr>
                <w:rFonts w:ascii="Times New Roman" w:hAnsi="Times New Roman"/>
              </w:rPr>
              <w:t xml:space="preserve"> kvalitatívnou formou interpretácie dostupných informácií.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216979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586"/>
        </w:trPr>
        <w:tc>
          <w:tcPr>
            <w:tcW w:w="9176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>
            <w:pPr>
              <w:bidi w:val="0"/>
              <w:rPr>
                <w:rFonts w:ascii="Times New Roman" w:hAnsi="Times New Roman"/>
                <w:i/>
              </w:rPr>
            </w:pPr>
            <w:r w:rsidR="00D13B6F">
              <w:rPr>
                <w:rFonts w:ascii="Times New Roman" w:hAnsi="Times New Roman"/>
                <w:i/>
              </w:rPr>
              <w:t>Uveďte</w:t>
            </w:r>
            <w:r w:rsidRPr="00D13B6F" w:rsidR="00D13B6F">
              <w:rPr>
                <w:rFonts w:ascii="Times New Roman" w:hAnsi="Times New Roman"/>
                <w:i/>
              </w:rPr>
              <w:t xml:space="preserve"> údaje na kontaktnú osobu, ktorú je možné kontaktovať v súvislosti s posúdením vybraných vplyvov</w:t>
            </w:r>
          </w:p>
          <w:p w:rsidR="005F4985" w:rsidRPr="005F4985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Marián Strýček, OOH, </w:t>
            </w:r>
            <w:hyperlink r:id="rId5" w:history="1">
              <w:r w:rsidRPr="00FE5126">
                <w:rPr>
                  <w:rStyle w:val="Hyperlink"/>
                  <w:rFonts w:ascii="Times New Roman" w:hAnsi="Times New Roman"/>
                </w:rPr>
                <w:t>marian.strycek@enviro.gov.sk</w:t>
              </w:r>
            </w:hyperlink>
            <w:r>
              <w:rPr>
                <w:rFonts w:ascii="Times New Roman" w:hAnsi="Times New Roman"/>
              </w:rPr>
              <w:t>, tel.: +421 2 59562273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216979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401"/>
        </w:trPr>
        <w:tc>
          <w:tcPr>
            <w:tcW w:w="9176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zdroje</w:t>
            </w:r>
            <w:r w:rsidR="00EB59E3">
              <w:rPr>
                <w:rFonts w:ascii="Times New Roman" w:hAnsi="Times New Roman"/>
                <w:i/>
              </w:rPr>
              <w:t xml:space="preserve"> </w:t>
            </w:r>
            <w:r w:rsidR="00D75D35">
              <w:rPr>
                <w:rFonts w:ascii="Times New Roman" w:hAnsi="Times New Roman"/>
                <w:i/>
              </w:rPr>
              <w:t>(štatistiky, prieskumy, spoluprácu s odborníkmi a iné)</w:t>
            </w:r>
            <w:r w:rsidRPr="00A179AE">
              <w:rPr>
                <w:rFonts w:ascii="Times New Roman" w:hAnsi="Times New Roman"/>
                <w:i/>
              </w:rPr>
              <w:t>, z ktorých ste pri vypracovávaní doložky, príp. analýz vplyvov vychádzali.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216979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76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 xml:space="preserve">Uveďte stanovisko </w:t>
            </w:r>
            <w:r>
              <w:rPr>
                <w:rFonts w:ascii="Times New Roman" w:hAnsi="Times New Roman"/>
                <w:i/>
              </w:rPr>
              <w:t>Komisie pre posudzovanie vybraných vplyvov</w:t>
            </w:r>
            <w:r w:rsidRPr="00A179AE">
              <w:rPr>
                <w:rFonts w:ascii="Times New Roman" w:hAnsi="Times New Roman"/>
                <w:i/>
              </w:rPr>
              <w:t>, ktoré Vám bolo zaslané v rámci predbežného pripomienkového konania</w:t>
            </w:r>
          </w:p>
          <w:p w:rsidR="003501A1" w:rsidP="007B71A4">
            <w:pPr>
              <w:bidi w:val="0"/>
              <w:rPr>
                <w:rFonts w:ascii="Times New Roman" w:hAnsi="Times New Roman"/>
                <w:b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="004A68DF">
              <w:rPr>
                <w:rFonts w:ascii="Times New Roman" w:hAnsi="Times New Roman"/>
                <w:b/>
              </w:rPr>
              <w:t>--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</w:tbl>
    <w:p w:rsidR="00CB3623">
      <w:pPr>
        <w:bidi w:val="0"/>
        <w:rPr>
          <w:rFonts w:ascii="Times New Roman" w:hAnsi="Times New Roman"/>
        </w:rPr>
      </w:pPr>
    </w:p>
    <w:sectPr w:rsidSect="004C60B8">
      <w:headerReference w:type="default" r:id="rId6"/>
      <w:pgSz w:w="11906" w:h="16838"/>
      <w:pgMar w:top="1417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A1" w:rsidRPr="000A15AE" w:rsidP="003501A1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1</w:t>
    </w:r>
  </w:p>
  <w:p w:rsidR="003501A1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33BC8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abstractNum w:abstractNumId="1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65A86"/>
    <w:rsid w:val="000036BE"/>
    <w:rsid w:val="00057D7F"/>
    <w:rsid w:val="000A04E8"/>
    <w:rsid w:val="000A15AE"/>
    <w:rsid w:val="000C14F2"/>
    <w:rsid w:val="001073D0"/>
    <w:rsid w:val="00121017"/>
    <w:rsid w:val="00127DAC"/>
    <w:rsid w:val="00147C7B"/>
    <w:rsid w:val="00175FD8"/>
    <w:rsid w:val="00197620"/>
    <w:rsid w:val="00216979"/>
    <w:rsid w:val="002243CA"/>
    <w:rsid w:val="002440A1"/>
    <w:rsid w:val="00251136"/>
    <w:rsid w:val="00292259"/>
    <w:rsid w:val="003336D2"/>
    <w:rsid w:val="003501A1"/>
    <w:rsid w:val="003843DB"/>
    <w:rsid w:val="00395098"/>
    <w:rsid w:val="003A76C6"/>
    <w:rsid w:val="003D6F0D"/>
    <w:rsid w:val="00404C41"/>
    <w:rsid w:val="0042626F"/>
    <w:rsid w:val="00475EE2"/>
    <w:rsid w:val="004918FA"/>
    <w:rsid w:val="004A68DF"/>
    <w:rsid w:val="004B1386"/>
    <w:rsid w:val="004C60B8"/>
    <w:rsid w:val="004C794A"/>
    <w:rsid w:val="004F6F1F"/>
    <w:rsid w:val="00550540"/>
    <w:rsid w:val="005A1A9A"/>
    <w:rsid w:val="005B7A8D"/>
    <w:rsid w:val="005F4985"/>
    <w:rsid w:val="006225AA"/>
    <w:rsid w:val="00653ADA"/>
    <w:rsid w:val="00690184"/>
    <w:rsid w:val="006C3B7D"/>
    <w:rsid w:val="006C6E9C"/>
    <w:rsid w:val="006E5AFB"/>
    <w:rsid w:val="006F7F30"/>
    <w:rsid w:val="00714243"/>
    <w:rsid w:val="007B71A4"/>
    <w:rsid w:val="007F4660"/>
    <w:rsid w:val="008004B9"/>
    <w:rsid w:val="008B01A1"/>
    <w:rsid w:val="009634B3"/>
    <w:rsid w:val="0097730E"/>
    <w:rsid w:val="009C031D"/>
    <w:rsid w:val="00A01BC4"/>
    <w:rsid w:val="00A179AE"/>
    <w:rsid w:val="00B210FD"/>
    <w:rsid w:val="00B26E79"/>
    <w:rsid w:val="00B65A86"/>
    <w:rsid w:val="00B67C02"/>
    <w:rsid w:val="00BD40A5"/>
    <w:rsid w:val="00BF3078"/>
    <w:rsid w:val="00C002C5"/>
    <w:rsid w:val="00CB3623"/>
    <w:rsid w:val="00D13B6F"/>
    <w:rsid w:val="00D31349"/>
    <w:rsid w:val="00D56EDE"/>
    <w:rsid w:val="00D619B9"/>
    <w:rsid w:val="00D61A91"/>
    <w:rsid w:val="00D75D35"/>
    <w:rsid w:val="00D94446"/>
    <w:rsid w:val="00DB5E09"/>
    <w:rsid w:val="00DC1ABF"/>
    <w:rsid w:val="00DE2A12"/>
    <w:rsid w:val="00DF59AE"/>
    <w:rsid w:val="00EB0D31"/>
    <w:rsid w:val="00EB59E3"/>
    <w:rsid w:val="00F01C15"/>
    <w:rsid w:val="00F22831"/>
    <w:rsid w:val="00F62771"/>
    <w:rsid w:val="00F7525F"/>
    <w:rsid w:val="00F841F3"/>
    <w:rsid w:val="00FE04A2"/>
    <w:rsid w:val="00FE5126"/>
    <w:rsid w:val="00FF1D0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1A1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1A1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01A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eader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2831"/>
    <w:pPr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2283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F22831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75FD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FD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75FD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FD8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75FD8"/>
    <w:rPr>
      <w:b/>
      <w:bCs/>
    </w:rPr>
  </w:style>
  <w:style w:type="character" w:styleId="Hyperlink">
    <w:name w:val="Hyperlink"/>
    <w:basedOn w:val="DefaultParagraphFont"/>
    <w:uiPriority w:val="99"/>
    <w:unhideWhenUsed/>
    <w:rsid w:val="005F4985"/>
    <w:rPr>
      <w:rFonts w:cs="Times New Roman"/>
      <w:color w:val="0000FF" w:themeColor="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arian.strycek@enviro.gov.sk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12DA6-946C-493A-9DD4-C0ADF1480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828</Words>
  <Characters>4725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Gašparíková, Jarmila</cp:lastModifiedBy>
  <cp:revision>2</cp:revision>
  <cp:lastPrinted>2016-06-30T10:45:00Z</cp:lastPrinted>
  <dcterms:created xsi:type="dcterms:W3CDTF">2016-08-18T13:42:00Z</dcterms:created>
  <dcterms:modified xsi:type="dcterms:W3CDTF">2016-08-18T13:42:00Z</dcterms:modified>
</cp:coreProperties>
</file>