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5274" w:rsidP="00DD527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DD5274" w:rsidP="00DD527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DD5274" w:rsidP="00DD52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DD5274" w:rsidP="00DD527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5274" w:rsidP="00DD5274">
      <w:pPr>
        <w:bidi w:val="0"/>
        <w:spacing w:after="0" w:line="240" w:lineRule="auto"/>
        <w:ind w:left="360" w:hanging="360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Pr="00DD5274">
        <w:rPr>
          <w:rFonts w:ascii="Times New Roman" w:hAnsi="Times New Roman"/>
          <w:sz w:val="24"/>
          <w:szCs w:val="24"/>
        </w:rPr>
        <w:t xml:space="preserve">Návrh zákona ktorým sa mení a dopĺňa zákon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5274">
        <w:rPr>
          <w:rFonts w:ascii="Times New Roman" w:hAnsi="Times New Roman"/>
          <w:sz w:val="24"/>
          <w:szCs w:val="24"/>
        </w:rPr>
        <w:t>č. 50/1976 Zb. o územnom plánovaní a stavebnom poriadku (stavebný zákon) v znení neskorších predpisov a o doplnení zákona č. 369/1990 Zb. o obecnom zriadení v znení neskorších predpisov</w:t>
      </w:r>
    </w:p>
    <w:p w:rsidR="00DD5274" w:rsidRPr="00AA3E6B" w:rsidP="00DD5274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274" w:rsidP="00DD527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DD5274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DD5274" w:rsidP="00DD5274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DD5274" w:rsidP="00DD5274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DD5274" w:rsidP="00DD52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DD5274" w:rsidP="00DD5274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DD5274" w:rsidP="00DD52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274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85092" w:rsidP="00DD527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4763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40"/>
        <w:gridCol w:w="3253"/>
      </w:tblGrid>
      <w:tr>
        <w:tblPrEx>
          <w:tblW w:w="4763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2D2CBC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8E1F84" w:rsidR="000409EE">
              <w:rPr>
                <w:rFonts w:ascii="Times New Roman" w:hAnsi="Times New Roman"/>
                <w:sz w:val="20"/>
                <w:szCs w:val="20"/>
              </w:rPr>
              <w:t>Návrh zákona ktorým sa mení a dopĺňa zákon č. 50/1976 Zb. o územnom plánovaní a stavebnom poriadku (stavebný zákon) v znení neskorších predpisov a o doplnení zákona č. 369/1990 Zb. o obecnom zriadení v znení neskorších predpisov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> 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> 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> 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0409EE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77"/>
          <w:jc w:val="center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409E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0409EE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0409EE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2D2CB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8E1F84" w:rsidR="002D2CB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Návrhom zákona sa zavádzajú pravidlá pre umiestňovanie reklamných stavieb na verejných priestranstvách miest a obcí. 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2D2CB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zákona je zaviesť pravidlá do oblasti reklamných stavieb, ktoré sa v ostatnom období svojou živelnosťou vymkli kontrole. Návrh zákona reklamné stavby plošne nezakazuje, len umožňuje obciam, aby si všeobecne záväzným nariadením umiestňovanie reklamných stavieb regulovali.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2D2CBC">
              <w:rPr>
                <w:rFonts w:ascii="Times" w:hAnsi="Times" w:cs="Times"/>
                <w:sz w:val="20"/>
                <w:szCs w:val="20"/>
              </w:rPr>
              <w:t>Stavebníci reklamných stavieb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8E1F84" w:rsidR="000409EE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        -  nepredkladajú sa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4763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8E1F84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Pr="008E1F8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8E1F8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4"/>
        <w:gridCol w:w="1848"/>
        <w:gridCol w:w="1848"/>
        <w:gridCol w:w="1616"/>
      </w:tblGrid>
      <w:tr>
        <w:tblPrEx>
          <w:tblW w:w="4878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8E1F84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8E1F84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8E1F84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78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8E1F84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8E1F84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8E1F8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8E1F84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39"/>
      </w:tblGrid>
      <w:tr>
        <w:tblPrEx>
          <w:tblW w:w="4842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2D2CBC">
            <w:pPr>
              <w:bidi w:val="0"/>
              <w:spacing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8E1F84" w:rsidR="002D2CB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Návrhom zákona sa posilňujú samosprávne kompetencie obcí a miest a stanovujú sa jednoduchšie pravidlá pre usmerňovanie celkového vzhľadu obcí. Podstatou návrhu je umožniť obciam prostredníctvom všeobecne záväzných nariadení regulovať umiestňovanie reklamných stavieb, najmä vymedziť v zastavanom území obce tie časti území, v ktorých bude umiestňovanie reklamných stavieb zakázané. 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E1F84" w:rsidR="002D2CBC">
              <w:rPr>
                <w:rFonts w:ascii="Times" w:hAnsi="Times" w:cs="Times"/>
                <w:sz w:val="20"/>
                <w:szCs w:val="20"/>
              </w:rPr>
              <w:t>miroslav_ivan@nrsr.sk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E1F84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8E1F84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8E1F84" w:rsidR="000409EE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8E1F84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8E1F84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8E1F84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8E1F84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5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E1F84">
      <w:rPr>
        <w:noProof/>
      </w:rPr>
      <w:t>2</w:t>
    </w:r>
    <w:r>
      <w:fldChar w:fldCharType="end"/>
    </w: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9EE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2CBC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51BA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7CE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B697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1F84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A7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0E6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0B4D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BE7DBE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67E3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5274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5092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B8CB-9006-4BF7-90F2-6B25EEC1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475</Words>
  <Characters>3320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11</cp:revision>
  <cp:lastPrinted>2016-05-25T13:49:00Z</cp:lastPrinted>
  <dcterms:created xsi:type="dcterms:W3CDTF">2016-08-13T16:18:00Z</dcterms:created>
  <dcterms:modified xsi:type="dcterms:W3CDTF">2016-08-17T13:35:00Z</dcterms:modified>
</cp:coreProperties>
</file>