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866"/>
        <w:gridCol w:w="567"/>
        <w:gridCol w:w="709"/>
        <w:gridCol w:w="850"/>
        <w:gridCol w:w="5103"/>
        <w:gridCol w:w="567"/>
        <w:gridCol w:w="918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D97C34" w:rsidP="0078287E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</w:rPr>
            </w:pPr>
            <w:r w:rsidRPr="00D97C34">
              <w:rPr>
                <w:rFonts w:ascii="Arial Narrow" w:hAnsi="Arial Narrow"/>
              </w:rPr>
              <w:t>TABUĽKA  ZHODY</w:t>
            </w:r>
          </w:p>
          <w:p w:rsidR="00D97C34" w:rsidRPr="00D97C34" w:rsidP="00D97C34">
            <w:pPr>
              <w:widowControl w:val="0"/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D97C34" w:rsidR="004577EC">
              <w:rPr>
                <w:rFonts w:ascii="Arial Narrow" w:hAnsi="Arial Narrow"/>
                <w:b/>
              </w:rPr>
              <w:t>k </w:t>
            </w:r>
            <w:r w:rsidRPr="00D97C34" w:rsidR="0078287E">
              <w:rPr>
                <w:rFonts w:ascii="Arial Narrow" w:hAnsi="Arial Narrow"/>
                <w:b/>
              </w:rPr>
              <w:t>n</w:t>
            </w:r>
            <w:r w:rsidRPr="00D97C34" w:rsidR="0091636B">
              <w:rPr>
                <w:rFonts w:ascii="Arial Narrow" w:hAnsi="Arial Narrow"/>
                <w:b/>
              </w:rPr>
              <w:t>ávrh</w:t>
            </w:r>
            <w:r w:rsidRPr="00D97C34" w:rsidR="00AB7D27">
              <w:rPr>
                <w:rFonts w:ascii="Arial Narrow" w:hAnsi="Arial Narrow"/>
                <w:b/>
              </w:rPr>
              <w:t>u</w:t>
            </w:r>
            <w:r w:rsidRPr="00D97C34" w:rsidR="0091636B">
              <w:rPr>
                <w:rFonts w:ascii="Arial Narrow" w:hAnsi="Arial Narrow"/>
                <w:b/>
              </w:rPr>
              <w:t xml:space="preserve"> zákona</w:t>
            </w:r>
            <w:r w:rsidRPr="00D97C34" w:rsidR="002E1D16">
              <w:rPr>
                <w:rFonts w:ascii="Arial Narrow" w:hAnsi="Arial Narrow"/>
                <w:b/>
              </w:rPr>
              <w:t xml:space="preserve">, </w:t>
            </w:r>
            <w:r w:rsidRPr="00D97C34">
              <w:rPr>
                <w:rFonts w:ascii="Arial Narrow" w:hAnsi="Arial Narrow"/>
                <w:b/>
                <w:bCs/>
              </w:rPr>
              <w:t>ktorým sa mení a dopĺňa zákon č. 566/2001 Z. z. o cenných papieroch a investičných službách a o zmene a doplnení niektorých zákonov (zákon o cenných papieroch) v znení neskorších predpisov a ktorým sa menia a dopĺňajú niektoré zákony</w:t>
            </w:r>
          </w:p>
          <w:p w:rsidR="008C54C3" w:rsidRPr="00D97C34" w:rsidP="00AB7D27">
            <w:pPr>
              <w:widowControl w:val="0"/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D97C34" w:rsidR="00127033">
              <w:rPr>
                <w:rFonts w:ascii="Arial Narrow" w:hAnsi="Arial Narrow"/>
                <w:b/>
              </w:rPr>
              <w:t>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E030B3">
            <w:pPr>
              <w:pStyle w:val="Heading4"/>
              <w:bidi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E030B3">
              <w:rPr>
                <w:rFonts w:ascii="Arial Narrow" w:hAnsi="Arial Narrow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D97C34" w:rsidP="00217BF4">
            <w:pPr>
              <w:pStyle w:val="Default"/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</w:rPr>
            </w:pPr>
            <w:r w:rsidRPr="00D97C34" w:rsidR="00E054B8">
              <w:rPr>
                <w:rFonts w:ascii="Arial Narrow" w:hAnsi="Arial Narrow" w:cs="Times New Roman"/>
                <w:b/>
                <w:bCs/>
                <w:color w:val="auto"/>
              </w:rPr>
              <w:t xml:space="preserve">SMERNICA EURÓPSKEHO PARLAMENTU A RADY </w:t>
            </w:r>
            <w:r w:rsidRPr="00D97C34" w:rsidR="00E054B8"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  <w:t>2013/36/EÚ</w:t>
            </w:r>
            <w:r w:rsidRPr="00D97C34" w:rsidR="00E054B8">
              <w:rPr>
                <w:rFonts w:ascii="Arial Narrow" w:hAnsi="Arial Narrow" w:cs="Times New Roman"/>
                <w:b/>
                <w:bCs/>
                <w:color w:val="auto"/>
              </w:rPr>
              <w:t xml:space="preserve"> z 26. júna 2013 o prístupe k činnosti úverových inštitúcií a prudenciálnom dohľade nad úverovými inštitúciami a investičnými spoločnosťami, o zmene smernice 2002/87/ES a o zrušení smerníc 2006/48/ES a 2006/49/ES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80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D97C34">
            <w:pPr>
              <w:pStyle w:val="Heading4"/>
              <w:bidi w:val="0"/>
              <w:spacing w:before="120"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97C34" w:rsidR="00DE0F85">
              <w:rPr>
                <w:rFonts w:ascii="Arial Narrow" w:hAnsi="Arial Narrow"/>
                <w:sz w:val="24"/>
                <w:szCs w:val="24"/>
              </w:rPr>
              <w:t>Smernica EÚ</w:t>
            </w:r>
          </w:p>
          <w:p w:rsidR="00EE7DD6" w:rsidRPr="00D97C34" w:rsidP="00AB7D27">
            <w:pPr>
              <w:pStyle w:val="BodyText3"/>
              <w:bidi w:val="0"/>
              <w:spacing w:after="0" w:line="240" w:lineRule="exact"/>
              <w:rPr>
                <w:rFonts w:ascii="Arial Narrow" w:hAnsi="Arial Narrow"/>
              </w:rPr>
            </w:pPr>
            <w:r w:rsidRPr="00D97C34" w:rsidR="00E054B8">
              <w:rPr>
                <w:rFonts w:ascii="Arial Narrow" w:hAnsi="Arial Narrow"/>
                <w:b/>
                <w:bCs/>
              </w:rPr>
              <w:t xml:space="preserve">SMERNICA EURÓPSKEHO PARLAMENTU A RADY </w:t>
            </w:r>
            <w:r w:rsidRPr="00D97C34" w:rsidR="00E054B8">
              <w:rPr>
                <w:rFonts w:ascii="Arial Narrow" w:hAnsi="Arial Narrow"/>
                <w:b/>
                <w:bCs/>
                <w:u w:val="single"/>
              </w:rPr>
              <w:t>2013/36/EÚ</w:t>
            </w:r>
            <w:r w:rsidRPr="00D97C34" w:rsidR="00E054B8">
              <w:rPr>
                <w:rFonts w:ascii="Arial Narrow" w:hAnsi="Arial Narrow"/>
                <w:b/>
                <w:bCs/>
              </w:rPr>
              <w:t xml:space="preserve"> z 26. júna 2013 o prístupe k činnosti úverových inštitúcií a prudenciálnom dohľade nad úverovými inštitúciami a investičnými spoločnosťami, o zmene smernice 2002/87/ES a o zrušení smerníc 2006/48/ES a 2006/49/ES</w:t>
            </w: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D97C34">
            <w:pPr>
              <w:pStyle w:val="Heading4"/>
              <w:bidi w:val="0"/>
              <w:spacing w:before="120"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97C34">
              <w:rPr>
                <w:rFonts w:ascii="Arial Narrow" w:hAnsi="Arial Narrow"/>
                <w:sz w:val="24"/>
                <w:szCs w:val="24"/>
              </w:rPr>
              <w:t>Všeobecne záväzné právne predpisy Slovenskej republiky</w:t>
            </w:r>
          </w:p>
          <w:p w:rsidR="002E1D16" w:rsidRPr="00D860B9" w:rsidP="00D860B9">
            <w:pPr>
              <w:widowControl w:val="0"/>
              <w:bidi w:val="0"/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D97C34" w:rsidR="004577EC">
              <w:rPr>
                <w:rFonts w:ascii="Arial Narrow" w:hAnsi="Arial Narrow"/>
                <w:b/>
              </w:rPr>
              <w:t xml:space="preserve">Návrh zákona, </w:t>
            </w:r>
            <w:r w:rsidRPr="00D97C34" w:rsidR="00D97C34">
              <w:rPr>
                <w:rFonts w:ascii="Arial Narrow" w:hAnsi="Arial Narrow"/>
                <w:b/>
                <w:bCs/>
              </w:rPr>
              <w:t>ktorým sa mení a dopĺňa zákon č. 566/2001 Z. z. o cenných papieroch a investičných službách a o zmene a doplnení niektorých zákonov (zákon o cenných papieroch) v znení neskorších predpisov a ktorým sa menia a dopĺňajú niektoré zákony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030B3">
            <w:pPr>
              <w:pStyle w:val="BodyText2"/>
              <w:bidi w:val="0"/>
              <w:spacing w:after="0" w:line="240" w:lineRule="exact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030B3">
            <w:pPr>
              <w:pStyle w:val="BodyText2"/>
              <w:bidi w:val="0"/>
              <w:spacing w:after="0" w:line="240" w:lineRule="exact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 w:rsidR="005170A9"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030B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Článok</w:t>
            </w:r>
          </w:p>
          <w:p w:rsidR="00A9063F" w:rsidRPr="00E030B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(Č, O,</w:t>
            </w:r>
          </w:p>
          <w:p w:rsidR="00A9063F" w:rsidRPr="00E030B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V, P)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030B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030B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Spôsob transp.</w:t>
            </w:r>
          </w:p>
          <w:p w:rsidR="00A9063F" w:rsidRPr="00E030B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(N, O, D, n.a.)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030B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Číslo</w:t>
            </w:r>
          </w:p>
          <w:p w:rsidR="00A9063F" w:rsidRPr="00E030B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030B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Článok (Č, §, O, V, P)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030B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030B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Zhoda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030B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030B3" w:rsidP="00A47BED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D97C34">
              <w:rPr>
                <w:rFonts w:ascii="Arial Narrow" w:hAnsi="Arial Narrow"/>
                <w:sz w:val="22"/>
                <w:szCs w:val="22"/>
              </w:rPr>
              <w:t>Čl. 29 ods.2</w:t>
            </w:r>
            <w:r w:rsidR="00A47BE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7C34" w:rsidP="00D97C34">
            <w:pPr>
              <w:pStyle w:val="norm"/>
              <w:shd w:val="clear" w:color="auto" w:fill="FFFFFF"/>
              <w:bidi w:val="0"/>
              <w:spacing w:before="120" w:beforeAutospacing="0" w:after="0" w:afterAutospacing="0" w:line="250" w:lineRule="atLeast"/>
              <w:ind w:left="99"/>
              <w:jc w:val="both"/>
              <w:textAlignment w:val="baseline"/>
              <w:rPr>
                <w:rFonts w:ascii="Arial Narrow" w:hAnsi="Arial Narrow" w:cs="Arial Unicode MS"/>
                <w:sz w:val="22"/>
                <w:szCs w:val="22"/>
              </w:rPr>
            </w:pPr>
            <w:r w:rsidRPr="00D97C34">
              <w:rPr>
                <w:rFonts w:ascii="Arial Narrow" w:hAnsi="Arial Narrow" w:cs="Arial Unicode MS"/>
                <w:sz w:val="22"/>
                <w:szCs w:val="22"/>
              </w:rPr>
              <w:t>2.  Príslušné orgány môžu povoliť investičnej spoločnosti, ktorá plní príkazy investorov týkajúce sa finančných nástrojov, držať takéto nástroje na vlastný účet, ak sú splnené tieto podmienky:</w:t>
            </w:r>
          </w:p>
          <w:p w:rsidR="00D97C34" w:rsidRPr="00D97C34" w:rsidP="00D97C34">
            <w:pPr>
              <w:pStyle w:val="norm"/>
              <w:shd w:val="clear" w:color="auto" w:fill="FFFFFF"/>
              <w:bidi w:val="0"/>
              <w:spacing w:before="120" w:beforeAutospacing="0" w:after="0" w:afterAutospacing="0" w:line="250" w:lineRule="atLeast"/>
              <w:ind w:left="99"/>
              <w:jc w:val="both"/>
              <w:textAlignment w:val="baseline"/>
              <w:rPr>
                <w:rFonts w:ascii="Arial Narrow" w:hAnsi="Arial Narrow" w:cs="Arial Unicode MS"/>
                <w:sz w:val="22"/>
                <w:szCs w:val="22"/>
              </w:rPr>
            </w:pPr>
          </w:p>
          <w:p w:rsidR="00D97C34" w:rsidRPr="00D97C34" w:rsidP="00D97C34">
            <w:pPr>
              <w:pStyle w:val="norm"/>
              <w:shd w:val="clear" w:color="auto" w:fill="FFFFFF"/>
              <w:bidi w:val="0"/>
              <w:spacing w:before="0" w:beforeAutospacing="0" w:after="240" w:afterAutospacing="0" w:line="312" w:lineRule="atLeast"/>
              <w:ind w:left="99"/>
              <w:jc w:val="both"/>
              <w:textAlignment w:val="baseline"/>
              <w:rPr>
                <w:rFonts w:ascii="Arial Narrow" w:hAnsi="Arial Narrow" w:cs="Arial Unicode MS"/>
                <w:sz w:val="22"/>
                <w:szCs w:val="22"/>
              </w:rPr>
            </w:pPr>
            <w:r w:rsidRPr="00D97C34">
              <w:rPr>
                <w:rFonts w:ascii="Arial Narrow" w:hAnsi="Arial Narrow" w:cs="Arial Unicode MS"/>
                <w:sz w:val="22"/>
                <w:szCs w:val="22"/>
              </w:rPr>
              <w:t>a)</w:t>
            </w:r>
            <w:r w:rsidRPr="00D97C34">
              <w:rPr>
                <w:rFonts w:ascii="Arial Narrow" w:hAnsi="Arial Narrow" w:cs="Arial Unicode MS"/>
                <w:sz w:val="22"/>
                <w:szCs w:val="22"/>
                <w:bdr w:val="nil"/>
              </w:rPr>
              <w:t> </w:t>
            </w:r>
            <w:r w:rsidRPr="00D97C34">
              <w:rPr>
                <w:rFonts w:ascii="Arial Narrow" w:hAnsi="Arial Narrow" w:cs="Arial Unicode MS"/>
                <w:sz w:val="22"/>
                <w:szCs w:val="22"/>
              </w:rPr>
              <w:t>takéto pozície vzniknú iba ako následok toho, že spoločnosti sa nepodarí presne splniť príkazy investorov;</w:t>
            </w:r>
          </w:p>
          <w:p w:rsidR="00D97C34" w:rsidRPr="00D97C34" w:rsidP="00D97C34">
            <w:pPr>
              <w:pStyle w:val="norm"/>
              <w:shd w:val="clear" w:color="auto" w:fill="FFFFFF"/>
              <w:bidi w:val="0"/>
              <w:spacing w:before="0" w:beforeAutospacing="0" w:after="240" w:afterAutospacing="0" w:line="312" w:lineRule="atLeast"/>
              <w:ind w:left="99"/>
              <w:jc w:val="both"/>
              <w:textAlignment w:val="baseline"/>
              <w:rPr>
                <w:rFonts w:ascii="Arial Narrow" w:hAnsi="Arial Narrow" w:cs="Arial Unicode MS"/>
                <w:sz w:val="22"/>
                <w:szCs w:val="22"/>
              </w:rPr>
            </w:pPr>
            <w:r w:rsidRPr="00D97C34">
              <w:rPr>
                <w:rFonts w:ascii="Arial Narrow" w:hAnsi="Arial Narrow" w:cs="Arial Unicode MS"/>
                <w:sz w:val="22"/>
                <w:szCs w:val="22"/>
              </w:rPr>
              <w:t>b)</w:t>
            </w:r>
            <w:r w:rsidRPr="00D97C34">
              <w:rPr>
                <w:rFonts w:ascii="Arial Narrow" w:hAnsi="Arial Narrow" w:cs="Arial Unicode MS"/>
                <w:sz w:val="22"/>
                <w:szCs w:val="22"/>
                <w:bdr w:val="nil"/>
              </w:rPr>
              <w:t> </w:t>
            </w:r>
            <w:r w:rsidRPr="00D97C34">
              <w:rPr>
                <w:rFonts w:ascii="Arial Narrow" w:hAnsi="Arial Narrow" w:cs="Arial Unicode MS"/>
                <w:sz w:val="22"/>
                <w:szCs w:val="22"/>
              </w:rPr>
              <w:t>celková trhová hodnota všetkých takýchto pozícií podlieha hornej hranici 15 % počiatočného kapitálu spoločnosti;</w:t>
            </w:r>
          </w:p>
          <w:p w:rsidR="00D97C34" w:rsidRPr="00D97C34" w:rsidP="00D97C34">
            <w:pPr>
              <w:pStyle w:val="norm"/>
              <w:shd w:val="clear" w:color="auto" w:fill="FFFFFF"/>
              <w:bidi w:val="0"/>
              <w:spacing w:before="0" w:beforeAutospacing="0" w:after="0" w:afterAutospacing="0" w:line="312" w:lineRule="atLeast"/>
              <w:ind w:left="99"/>
              <w:jc w:val="both"/>
              <w:textAlignment w:val="baseline"/>
              <w:rPr>
                <w:rFonts w:ascii="Arial Narrow" w:hAnsi="Arial Narrow" w:cs="Arial Unicode MS"/>
                <w:sz w:val="22"/>
                <w:szCs w:val="22"/>
              </w:rPr>
            </w:pPr>
            <w:r w:rsidRPr="00D97C34">
              <w:rPr>
                <w:rFonts w:ascii="Arial Narrow" w:hAnsi="Arial Narrow" w:cs="Arial Unicode MS"/>
                <w:sz w:val="22"/>
                <w:szCs w:val="22"/>
              </w:rPr>
              <w:t>c)</w:t>
            </w:r>
            <w:r w:rsidRPr="00D97C34">
              <w:rPr>
                <w:rFonts w:ascii="Arial Narrow" w:hAnsi="Arial Narrow" w:cs="Arial Unicode MS"/>
                <w:sz w:val="22"/>
                <w:szCs w:val="22"/>
                <w:bdr w:val="nil"/>
              </w:rPr>
              <w:t> </w:t>
            </w:r>
            <w:r w:rsidRPr="00D97C34">
              <w:rPr>
                <w:rFonts w:ascii="Arial Narrow" w:hAnsi="Arial Narrow" w:cs="Arial Unicode MS"/>
                <w:sz w:val="22"/>
                <w:szCs w:val="22"/>
              </w:rPr>
              <w:t>spoločnosť spĺňa požiadavky ustanovené v článkoch 92 až 95 a štvrtej časti nariadenia (EÚ) č. 575/2013;</w:t>
            </w:r>
          </w:p>
          <w:p w:rsidR="002E1D16" w:rsidRPr="00D860B9" w:rsidP="00D860B9">
            <w:pPr>
              <w:pStyle w:val="norm"/>
              <w:shd w:val="clear" w:color="auto" w:fill="FFFFFF"/>
              <w:bidi w:val="0"/>
              <w:spacing w:before="0" w:beforeAutospacing="0" w:after="0" w:afterAutospacing="0" w:line="312" w:lineRule="atLeast"/>
              <w:ind w:left="99"/>
              <w:jc w:val="both"/>
              <w:textAlignment w:val="baseline"/>
              <w:rPr>
                <w:rFonts w:ascii="Arial Narrow" w:hAnsi="Arial Narrow" w:cs="Arial Unicode MS"/>
                <w:sz w:val="22"/>
                <w:szCs w:val="22"/>
              </w:rPr>
            </w:pPr>
            <w:r w:rsidRPr="00D97C34" w:rsidR="00D97C34">
              <w:rPr>
                <w:rFonts w:ascii="Arial Narrow" w:hAnsi="Arial Narrow" w:cs="Arial Unicode MS"/>
                <w:sz w:val="22"/>
                <w:szCs w:val="22"/>
              </w:rPr>
              <w:t>d)</w:t>
            </w:r>
            <w:r w:rsidRPr="00D97C34" w:rsidR="00D97C34">
              <w:rPr>
                <w:rFonts w:ascii="Arial Narrow" w:hAnsi="Arial Narrow" w:cs="Arial Unicode MS"/>
                <w:sz w:val="22"/>
                <w:szCs w:val="22"/>
                <w:bdr w:val="nil"/>
              </w:rPr>
              <w:t> </w:t>
            </w:r>
            <w:r w:rsidRPr="00D97C34" w:rsidR="00D97C34">
              <w:rPr>
                <w:rFonts w:ascii="Arial Narrow" w:hAnsi="Arial Narrow" w:cs="Arial Unicode MS"/>
                <w:sz w:val="22"/>
                <w:szCs w:val="22"/>
              </w:rPr>
              <w:t>takéto pozície sú náhodné a dočasné vo svojej podstate a prísne obmedzené na čas potrebný na uskutočnenie príslušnej transakcie.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  <w:p w:rsid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9063F" w:rsidP="00A47BED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030B3" w:rsidRP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97C3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97C34" w:rsidR="00D97C34">
              <w:rPr>
                <w:rFonts w:ascii="Arial Narrow" w:hAnsi="Arial Narrow"/>
                <w:b/>
                <w:sz w:val="22"/>
                <w:szCs w:val="22"/>
              </w:rPr>
              <w:t>Návrh zákona čl.I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0B3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D97C34">
              <w:rPr>
                <w:rFonts w:ascii="Arial Narrow" w:hAnsi="Arial Narrow"/>
                <w:sz w:val="22"/>
                <w:szCs w:val="22"/>
              </w:rPr>
              <w:t xml:space="preserve">§ 54 ods.12 </w:t>
            </w:r>
          </w:p>
          <w:p w:rsidR="00D97C34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2.veta</w:t>
            </w:r>
          </w:p>
          <w:p w:rsidR="00E030B3" w:rsidRPr="00E030B3" w:rsidP="00A47BED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0F89" w:rsidRPr="00A87259" w:rsidP="00910F89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87259">
              <w:rPr>
                <w:rFonts w:ascii="Arial Narrow" w:hAnsi="Arial Narrow"/>
                <w:sz w:val="22"/>
                <w:szCs w:val="22"/>
              </w:rPr>
              <w:t xml:space="preserve">Národná banka Slovenska </w:t>
            </w:r>
            <w:r w:rsidR="00F7330C">
              <w:rPr>
                <w:rFonts w:ascii="Arial Narrow" w:hAnsi="Arial Narrow"/>
                <w:sz w:val="22"/>
                <w:szCs w:val="22"/>
              </w:rPr>
              <w:t xml:space="preserve">môže </w:t>
            </w:r>
            <w:r w:rsidRPr="00A87259">
              <w:rPr>
                <w:rFonts w:ascii="Arial Narrow" w:hAnsi="Arial Narrow"/>
                <w:sz w:val="22"/>
                <w:szCs w:val="22"/>
              </w:rPr>
              <w:t>povol</w:t>
            </w:r>
            <w:r w:rsidR="00F7330C">
              <w:rPr>
                <w:rFonts w:ascii="Arial Narrow" w:hAnsi="Arial Narrow"/>
                <w:sz w:val="22"/>
                <w:szCs w:val="22"/>
              </w:rPr>
              <w:t>iť</w:t>
            </w:r>
            <w:r w:rsidRPr="00A87259">
              <w:rPr>
                <w:rFonts w:ascii="Arial Narrow" w:hAnsi="Arial Narrow"/>
                <w:sz w:val="22"/>
                <w:szCs w:val="22"/>
              </w:rPr>
              <w:t xml:space="preserve"> obchodníkovi s cennými papiermi podľa prvej vety, ktorý vykonáva pokyny klientov týkajúce sa finančných nástrojov, držať takéto nástroje na vlastný účet, len ak sú splnené tieto podmienky:</w:t>
            </w:r>
          </w:p>
          <w:p w:rsidR="00910F89" w:rsidRPr="00C826EB" w:rsidP="00910F89">
            <w:pPr>
              <w:pStyle w:val="CM1"/>
              <w:tabs>
                <w:tab w:val="left" w:pos="550"/>
              </w:tabs>
              <w:bidi w:val="0"/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10F89" w:rsidRPr="00C826EB" w:rsidP="00910F89">
            <w:pPr>
              <w:pStyle w:val="CM4"/>
              <w:bidi w:val="0"/>
              <w:spacing w:before="60" w:after="60" w:line="240" w:lineRule="auto"/>
              <w:ind w:left="99" w:hanging="14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6EB">
              <w:rPr>
                <w:rFonts w:ascii="Arial Narrow" w:hAnsi="Arial Narrow"/>
                <w:color w:val="000000"/>
                <w:sz w:val="22"/>
                <w:szCs w:val="22"/>
              </w:rPr>
              <w:t xml:space="preserve">a) ide o pozície vzniknuté len v dôsledku toho, že obchodníkovi s cennými papiermi sa nepodarilo presne splniť pokyny klientov, </w:t>
            </w:r>
          </w:p>
          <w:p w:rsidR="00910F89" w:rsidRPr="00C826EB" w:rsidP="00910F89">
            <w:pPr>
              <w:pStyle w:val="CM4"/>
              <w:bidi w:val="0"/>
              <w:spacing w:before="60" w:after="60" w:line="240" w:lineRule="auto"/>
              <w:ind w:left="99" w:hanging="14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6EB">
              <w:rPr>
                <w:rFonts w:ascii="Arial Narrow" w:hAnsi="Arial Narrow"/>
                <w:color w:val="000000"/>
                <w:sz w:val="22"/>
                <w:szCs w:val="22"/>
              </w:rPr>
              <w:t xml:space="preserve">b) celková trhová hodnota všetkých takýchto pozícií je najviac 15 % z hodnoty počiatočného kapitálu obchodníka s cennými papiermi, </w:t>
            </w:r>
          </w:p>
          <w:p w:rsidR="00910F89" w:rsidRPr="00C826EB" w:rsidP="00910F89">
            <w:pPr>
              <w:pStyle w:val="CM4"/>
              <w:bidi w:val="0"/>
              <w:spacing w:before="60" w:after="60" w:line="240" w:lineRule="auto"/>
              <w:ind w:left="99" w:hanging="14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6EB">
              <w:rPr>
                <w:rFonts w:ascii="Arial Narrow" w:hAnsi="Arial Narrow"/>
                <w:color w:val="000000"/>
                <w:sz w:val="22"/>
                <w:szCs w:val="22"/>
              </w:rPr>
              <w:t>c) obchodník s cennými papiermi spĺňa požiadavky podľa ustanovení osobitného predpisu,</w:t>
            </w:r>
            <w:r w:rsidRPr="00C826EB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50ab</w:t>
            </w:r>
            <w:r w:rsidRPr="00C826EB">
              <w:rPr>
                <w:rFonts w:ascii="Arial Narrow" w:hAnsi="Arial Narrow"/>
                <w:color w:val="000000"/>
                <w:sz w:val="22"/>
                <w:szCs w:val="22"/>
              </w:rPr>
              <w:t xml:space="preserve">) </w:t>
            </w:r>
          </w:p>
          <w:p w:rsidR="00A9063F" w:rsidRPr="0079701E" w:rsidP="00910F89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C826EB" w:rsidR="00910F89">
              <w:rPr>
                <w:rFonts w:ascii="Arial Narrow" w:hAnsi="Arial Narrow"/>
                <w:color w:val="000000"/>
                <w:sz w:val="22"/>
                <w:szCs w:val="22"/>
              </w:rPr>
              <w:t>d) takéto pozície nie sú otvárané na systematickej a trvalej báze a sú obmedzené len na čas potrebný na uskutočnenie príslušného obchodu.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030B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 w:rsidR="0078287E"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030B3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4A34" w:rsidRPr="00E030B3" w:rsidP="00F84A3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Čl. 108 ods.1 tretí pododsek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4A34" w:rsidRPr="00F84A34" w:rsidP="00F84A34">
            <w:pPr>
              <w:pStyle w:val="CM18"/>
              <w:bidi w:val="0"/>
              <w:spacing w:before="200" w:after="200" w:line="240" w:lineRule="auto"/>
              <w:jc w:val="both"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Unicode MS"/>
                <w:sz w:val="22"/>
                <w:szCs w:val="22"/>
              </w:rPr>
              <w:t>1</w:t>
            </w:r>
            <w:r w:rsidRPr="00D97C34">
              <w:rPr>
                <w:rFonts w:ascii="Arial Narrow" w:hAnsi="Arial Narrow" w:cs="Arial Unicode MS"/>
                <w:sz w:val="22"/>
                <w:szCs w:val="22"/>
              </w:rPr>
              <w:t>.  </w:t>
            </w:r>
            <w:r w:rsidRPr="00F84A34">
              <w:rPr>
                <w:rFonts w:ascii="Arial Narrow" w:hAnsi="Arial Narrow" w:cs="EUAlbertina"/>
                <w:color w:val="000000"/>
                <w:sz w:val="22"/>
                <w:szCs w:val="22"/>
              </w:rPr>
              <w:t>V prípade, že sa príslušné orgány vzdajú uplatňovania požiadaviek na vlastné zdroje na konsolidovanom základe podľa článku 15 nariadenia (EÚ) č. 575/2013, požiadavky článku 73 tejto smernice sa uplatňujú na individuálnom základe.</w:t>
            </w:r>
          </w:p>
          <w:p w:rsidR="00F84A34" w:rsidRPr="00D860B9" w:rsidP="00F84A34">
            <w:pPr>
              <w:pStyle w:val="norm"/>
              <w:shd w:val="clear" w:color="auto" w:fill="FFFFFF"/>
              <w:bidi w:val="0"/>
              <w:spacing w:before="120" w:beforeAutospacing="0" w:after="0" w:afterAutospacing="0" w:line="250" w:lineRule="atLeast"/>
              <w:ind w:left="99"/>
              <w:jc w:val="both"/>
              <w:textAlignment w:val="baseline"/>
              <w:rPr>
                <w:rFonts w:ascii="Arial Narrow" w:hAnsi="Arial Narrow" w:cs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84A34" w:rsidP="007C2CC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  <w:p w:rsidR="00F84A34" w:rsidP="007C2CC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84A34" w:rsidP="00F84A3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84A34" w:rsidP="007C2CC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84A34" w:rsidP="007C2CC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84A34" w:rsidP="00F84A34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F84A34" w:rsidRPr="00E030B3" w:rsidP="007C2CC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4A34" w:rsidRPr="00D97C34" w:rsidP="007C2CC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97C34">
              <w:rPr>
                <w:rFonts w:ascii="Arial Narrow" w:hAnsi="Arial Narrow"/>
                <w:b/>
                <w:sz w:val="22"/>
                <w:szCs w:val="22"/>
              </w:rPr>
              <w:t>Návrh zákona čl.I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4A34" w:rsidP="007C2CCC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§ 74c ods.</w:t>
            </w:r>
            <w:r w:rsidR="000A723F">
              <w:rPr>
                <w:rFonts w:ascii="Arial Narrow" w:hAnsi="Arial Narrow"/>
                <w:sz w:val="22"/>
                <w:szCs w:val="22"/>
              </w:rPr>
              <w:t>6</w:t>
            </w:r>
          </w:p>
          <w:p w:rsidR="00F84A34" w:rsidRPr="00E030B3" w:rsidP="00F84A3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4A34" w:rsidRPr="00F84A34" w:rsidP="00F84A34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84A34">
              <w:rPr>
                <w:rFonts w:ascii="Arial Narrow" w:hAnsi="Arial Narrow"/>
                <w:sz w:val="22"/>
                <w:szCs w:val="22"/>
              </w:rPr>
              <w:t>(5)  Ak Národná banka Slovenska  udelila výnimku na uplatňovania požiadaviek na vlastné zdroje na konsolidovanom základe podľa ustanovenia osobitného predpisu</w:t>
            </w:r>
            <w:r w:rsidRPr="00F84A34">
              <w:rPr>
                <w:rFonts w:ascii="Arial Narrow" w:hAnsi="Arial Narrow"/>
                <w:sz w:val="22"/>
                <w:szCs w:val="22"/>
                <w:vertAlign w:val="superscript"/>
              </w:rPr>
              <w:t>58jca</w:t>
            </w:r>
            <w:r w:rsidRPr="00F84A34">
              <w:rPr>
                <w:rFonts w:ascii="Arial Narrow" w:hAnsi="Arial Narrow"/>
                <w:sz w:val="22"/>
                <w:szCs w:val="22"/>
              </w:rPr>
              <w:t>)  požiadavky podľa odseku 1 sa uplatňujú na individuálnom základe.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4A34" w:rsidRPr="00E030B3" w:rsidP="007C2CC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30B3"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84A34" w:rsidRPr="00E030B3" w:rsidP="007C2CCC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</w:tbl>
    <w:p w:rsidR="008C54C3" w:rsidRPr="00E030B3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Arial Narrow" w:hAnsi="Arial Narrow"/>
          <w:sz w:val="22"/>
          <w:szCs w:val="22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21E3A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A20FE4"/>
    <w:multiLevelType w:val="hybridMultilevel"/>
    <w:tmpl w:val="8F7E36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8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B4E3C4D"/>
    <w:multiLevelType w:val="hybridMultilevel"/>
    <w:tmpl w:val="3222ABB4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7B717E"/>
    <w:multiLevelType w:val="hybridMultilevel"/>
    <w:tmpl w:val="EDEC30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7"/>
  </w:num>
  <w:num w:numId="4">
    <w:abstractNumId w:val="7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"/>
  </w:num>
  <w:num w:numId="15">
    <w:abstractNumId w:val="9"/>
  </w:num>
  <w:num w:numId="16">
    <w:abstractNumId w:val="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31C9"/>
    <w:rsid w:val="00042A94"/>
    <w:rsid w:val="000A26EC"/>
    <w:rsid w:val="000A723F"/>
    <w:rsid w:val="000C2E53"/>
    <w:rsid w:val="00127033"/>
    <w:rsid w:val="00153B33"/>
    <w:rsid w:val="00217BF4"/>
    <w:rsid w:val="00270E65"/>
    <w:rsid w:val="002E1D16"/>
    <w:rsid w:val="003623E1"/>
    <w:rsid w:val="00391DC5"/>
    <w:rsid w:val="003E7B78"/>
    <w:rsid w:val="00412BA2"/>
    <w:rsid w:val="00424270"/>
    <w:rsid w:val="00440A2A"/>
    <w:rsid w:val="004577EC"/>
    <w:rsid w:val="004C1DD3"/>
    <w:rsid w:val="005170A9"/>
    <w:rsid w:val="005947B8"/>
    <w:rsid w:val="005E0477"/>
    <w:rsid w:val="005E147F"/>
    <w:rsid w:val="00621E3A"/>
    <w:rsid w:val="0064397E"/>
    <w:rsid w:val="00656B18"/>
    <w:rsid w:val="00683A6B"/>
    <w:rsid w:val="006E689D"/>
    <w:rsid w:val="0078287E"/>
    <w:rsid w:val="0079701E"/>
    <w:rsid w:val="007B17F5"/>
    <w:rsid w:val="007C2CCC"/>
    <w:rsid w:val="008A0B4B"/>
    <w:rsid w:val="008A5161"/>
    <w:rsid w:val="008C54C3"/>
    <w:rsid w:val="00910F89"/>
    <w:rsid w:val="0091636B"/>
    <w:rsid w:val="009612CE"/>
    <w:rsid w:val="009719C2"/>
    <w:rsid w:val="009826E3"/>
    <w:rsid w:val="009C5E2D"/>
    <w:rsid w:val="009F4B40"/>
    <w:rsid w:val="00A02F9A"/>
    <w:rsid w:val="00A47BED"/>
    <w:rsid w:val="00A87259"/>
    <w:rsid w:val="00A9063F"/>
    <w:rsid w:val="00A91B17"/>
    <w:rsid w:val="00AA55DA"/>
    <w:rsid w:val="00AB7D27"/>
    <w:rsid w:val="00B04E5C"/>
    <w:rsid w:val="00B15ACA"/>
    <w:rsid w:val="00B64B09"/>
    <w:rsid w:val="00C139A5"/>
    <w:rsid w:val="00C1706B"/>
    <w:rsid w:val="00C21CEF"/>
    <w:rsid w:val="00C34EF5"/>
    <w:rsid w:val="00C826EB"/>
    <w:rsid w:val="00CB2E5D"/>
    <w:rsid w:val="00D22A7B"/>
    <w:rsid w:val="00D860B9"/>
    <w:rsid w:val="00D97C34"/>
    <w:rsid w:val="00DA0F6C"/>
    <w:rsid w:val="00DE0F85"/>
    <w:rsid w:val="00E030B3"/>
    <w:rsid w:val="00E054B8"/>
    <w:rsid w:val="00E72436"/>
    <w:rsid w:val="00EE7DD6"/>
    <w:rsid w:val="00F047A8"/>
    <w:rsid w:val="00F4080C"/>
    <w:rsid w:val="00F50EED"/>
    <w:rsid w:val="00F7330C"/>
    <w:rsid w:val="00F735D8"/>
    <w:rsid w:val="00F84A3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uiPriority w:val="99"/>
    <w:rsid w:val="0078287E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E030B3"/>
    <w:pPr>
      <w:autoSpaceDE/>
      <w:autoSpaceDN/>
      <w:ind w:left="720"/>
      <w:contextualSpacing/>
      <w:jc w:val="left"/>
    </w:pPr>
  </w:style>
  <w:style w:type="paragraph" w:customStyle="1" w:styleId="norm">
    <w:name w:val="norm"/>
    <w:basedOn w:val="Normal"/>
    <w:rsid w:val="00D97C34"/>
    <w:pPr>
      <w:autoSpaceDE/>
      <w:autoSpaceDN/>
      <w:spacing w:before="100" w:beforeAutospacing="1" w:after="100" w:afterAutospacing="1"/>
      <w:jc w:val="left"/>
    </w:pPr>
  </w:style>
  <w:style w:type="paragraph" w:styleId="CommentText">
    <w:name w:val="annotation text"/>
    <w:basedOn w:val="Normal"/>
    <w:link w:val="TextkomentraChar"/>
    <w:uiPriority w:val="99"/>
    <w:unhideWhenUsed/>
    <w:rsid w:val="00D97C34"/>
    <w:pPr>
      <w:autoSpaceDE/>
      <w:autoSpaceDN/>
      <w:spacing w:after="16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D97C34"/>
    <w:rPr>
      <w:rFonts w:ascii="Calibri" w:hAnsi="Calibri" w:cs="Times New Roman"/>
      <w:sz w:val="20"/>
      <w:szCs w:val="20"/>
      <w:rtl w:val="0"/>
      <w:cs w:val="0"/>
      <w:lang w:val="x-none" w:eastAsia="en-US"/>
    </w:rPr>
  </w:style>
  <w:style w:type="paragraph" w:customStyle="1" w:styleId="CM18">
    <w:name w:val="CM1+8"/>
    <w:basedOn w:val="Default"/>
    <w:next w:val="Default"/>
    <w:uiPriority w:val="99"/>
    <w:rsid w:val="00F84A34"/>
    <w:pPr>
      <w:jc w:val="left"/>
    </w:pPr>
    <w:rPr>
      <w:rFonts w:cs="Times New Roman"/>
      <w:color w:val="auto"/>
    </w:rPr>
  </w:style>
  <w:style w:type="paragraph" w:customStyle="1" w:styleId="CM38">
    <w:name w:val="CM3+8"/>
    <w:basedOn w:val="Default"/>
    <w:next w:val="Default"/>
    <w:uiPriority w:val="99"/>
    <w:rsid w:val="00F84A34"/>
    <w:pPr>
      <w:jc w:val="lef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487</Words>
  <Characters>2781</Characters>
  <Application>Microsoft Office Word</Application>
  <DocSecurity>0</DocSecurity>
  <Lines>0</Lines>
  <Paragraphs>0</Paragraphs>
  <ScaleCrop>false</ScaleCrop>
  <Company>ÚV SR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Kassovic Jan</cp:lastModifiedBy>
  <cp:revision>2</cp:revision>
  <cp:lastPrinted>2006-12-14T15:09:00Z</cp:lastPrinted>
  <dcterms:created xsi:type="dcterms:W3CDTF">2016-08-11T08:30:00Z</dcterms:created>
  <dcterms:modified xsi:type="dcterms:W3CDTF">2016-08-11T08:30:00Z</dcterms:modified>
</cp:coreProperties>
</file>