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1A23" w:rsidP="003D1A23">
      <w:pPr>
        <w:bidi w:val="0"/>
        <w:jc w:val="center"/>
        <w:rPr>
          <w:rFonts w:ascii="Times New Roman" w:hAnsi="Times New Roman"/>
          <w:b/>
        </w:rPr>
      </w:pPr>
      <w:r>
        <w:rPr>
          <w:rFonts w:ascii="Times New Roman" w:hAnsi="Times New Roman"/>
          <w:b/>
        </w:rPr>
        <w:t>Dôvodová správa</w:t>
      </w:r>
    </w:p>
    <w:p w:rsidR="003D1A23" w:rsidP="003D1A23">
      <w:pPr>
        <w:bidi w:val="0"/>
        <w:outlineLvl w:val="0"/>
        <w:rPr>
          <w:rFonts w:ascii="Times New Roman" w:hAnsi="Times New Roman"/>
          <w:b/>
          <w:bCs/>
          <w:u w:val="single"/>
        </w:rPr>
      </w:pPr>
    </w:p>
    <w:p w:rsidR="000E6521" w:rsidRPr="00AD5C1D" w:rsidP="000E6521">
      <w:pPr>
        <w:pStyle w:val="List2"/>
        <w:bidi w:val="0"/>
        <w:ind w:left="0" w:firstLine="567"/>
        <w:rPr>
          <w:rFonts w:ascii="Times New Roman" w:hAnsi="Times New Roman"/>
          <w:b/>
          <w:bCs/>
          <w:sz w:val="24"/>
          <w:szCs w:val="24"/>
        </w:rPr>
      </w:pPr>
      <w:r w:rsidRPr="00AD5C1D">
        <w:rPr>
          <w:rFonts w:ascii="Times New Roman" w:hAnsi="Times New Roman"/>
          <w:b/>
          <w:bCs/>
          <w:sz w:val="24"/>
          <w:szCs w:val="24"/>
        </w:rPr>
        <w:t>Všeobecná  časť</w:t>
      </w:r>
    </w:p>
    <w:p w:rsidR="000E6521" w:rsidRPr="00AD5C1D" w:rsidP="000E6521">
      <w:pPr>
        <w:pStyle w:val="BodyText"/>
        <w:bidi w:val="0"/>
        <w:jc w:val="both"/>
        <w:rPr>
          <w:rFonts w:ascii="Times New Roman" w:hAnsi="Times New Roman"/>
        </w:rPr>
      </w:pPr>
      <w:r w:rsidRPr="00AD5C1D">
        <w:rPr>
          <w:rFonts w:ascii="Times New Roman" w:hAnsi="Times New Roman"/>
        </w:rPr>
        <w:tab/>
      </w:r>
    </w:p>
    <w:p w:rsidR="000E6521" w:rsidRPr="00AD5C1D" w:rsidP="000E6521">
      <w:pPr>
        <w:pStyle w:val="BodyText"/>
        <w:bidi w:val="0"/>
        <w:ind w:firstLine="567"/>
        <w:jc w:val="both"/>
        <w:rPr>
          <w:rFonts w:ascii="Times New Roman" w:hAnsi="Times New Roman"/>
        </w:rPr>
      </w:pPr>
      <w:r w:rsidRPr="00AD5C1D">
        <w:rPr>
          <w:rFonts w:ascii="Times New Roman" w:hAnsi="Times New Roman"/>
        </w:rPr>
        <w:t xml:space="preserve">    Návrh zákona, ktorým sa mení a dopĺňa zákon č. 566/2001 Z. z. o cenných papieroch a investičných službách a o zmene a doplnení niektorých zákonov (zákon o cenných papieroch) v znení neskorších predpisov vypracovalo Ministerstvo financií Slovenskej republiky v súlade s Plánom legislatívnych úloh vlády Slovenskej republiky na rok 2016.</w:t>
      </w:r>
    </w:p>
    <w:p w:rsidR="000E6521" w:rsidRPr="00AD5C1D" w:rsidP="000E6521">
      <w:pPr>
        <w:pStyle w:val="BodyText"/>
        <w:bidi w:val="0"/>
        <w:ind w:firstLine="567"/>
        <w:jc w:val="both"/>
        <w:rPr>
          <w:rFonts w:ascii="Times New Roman" w:hAnsi="Times New Roman"/>
        </w:rPr>
      </w:pPr>
    </w:p>
    <w:p w:rsidR="000E6521" w:rsidRPr="00AD5C1D" w:rsidP="000E6521">
      <w:pPr>
        <w:pStyle w:val="BodyText"/>
        <w:bidi w:val="0"/>
        <w:ind w:firstLine="567"/>
        <w:jc w:val="both"/>
        <w:rPr>
          <w:rFonts w:ascii="Times New Roman" w:hAnsi="Times New Roman"/>
        </w:rPr>
      </w:pPr>
      <w:r w:rsidRPr="00AD5C1D">
        <w:rPr>
          <w:rFonts w:ascii="Times New Roman" w:hAnsi="Times New Roman"/>
        </w:rPr>
        <w:t xml:space="preserve">    Cieľom navrhovaného zákona je </w:t>
      </w:r>
    </w:p>
    <w:p w:rsidR="000E6521" w:rsidRPr="00AD5C1D" w:rsidP="000E6521">
      <w:pPr>
        <w:pStyle w:val="BodyText"/>
        <w:numPr>
          <w:numId w:val="10"/>
        </w:numPr>
        <w:bidi w:val="0"/>
        <w:ind w:left="709"/>
        <w:jc w:val="both"/>
        <w:rPr>
          <w:rFonts w:ascii="Times New Roman" w:hAnsi="Times New Roman"/>
        </w:rPr>
      </w:pPr>
      <w:r w:rsidRPr="00AD5C1D">
        <w:rPr>
          <w:rFonts w:ascii="Times New Roman" w:hAnsi="Times New Roman"/>
        </w:rPr>
        <w:t xml:space="preserve">vykonať úpravy v národnej úprave centrálnych depozitárov, teda v zákone o cenných papieroch spočívajúce hlavne vo vypustení úpravy duplicitnej s priamo vykonateľným </w:t>
      </w:r>
      <w:r w:rsidRPr="00AD5C1D">
        <w:rPr>
          <w:rFonts w:ascii="Times New Roman" w:hAnsi="Times New Roman"/>
          <w:lang w:eastAsia="en-US"/>
        </w:rPr>
        <w:t xml:space="preserve">Nariadením </w:t>
      </w:r>
      <w:r w:rsidRPr="00AD5C1D">
        <w:rPr>
          <w:rFonts w:ascii="Times New Roman" w:hAnsi="Times New Roman"/>
          <w:bCs/>
          <w:lang w:eastAsia="en-US"/>
        </w:rPr>
        <w:t xml:space="preserve">Európskeho parlamentu a Rady (EÚ) č. </w:t>
      </w:r>
      <w:r w:rsidRPr="00AD5C1D">
        <w:rPr>
          <w:rFonts w:ascii="Times New Roman" w:hAnsi="Times New Roman"/>
          <w:lang w:eastAsia="en-US"/>
        </w:rPr>
        <w:t xml:space="preserve">909/2014 </w:t>
      </w:r>
      <w:r w:rsidRPr="00AD5C1D">
        <w:rPr>
          <w:rFonts w:ascii="Times New Roman" w:hAnsi="Times New Roman"/>
          <w:bCs/>
          <w:lang w:eastAsia="en-US"/>
        </w:rPr>
        <w:t xml:space="preserve">z 23. júla 2014 </w:t>
      </w:r>
      <w:r w:rsidRPr="00AD5C1D">
        <w:rPr>
          <w:rFonts w:ascii="Times New Roman" w:hAnsi="Times New Roman"/>
          <w:lang w:eastAsia="en-US"/>
        </w:rPr>
        <w:t xml:space="preserve"> o zlepšení vyrovnania transakcií s cennými papiermi v Európskej únii, centrálnych depozitároch cenných papierov (ďalej len „nariadenie </w:t>
      </w:r>
      <w:r w:rsidRPr="00AD5C1D">
        <w:rPr>
          <w:rFonts w:ascii="Times New Roman" w:hAnsi="Times New Roman"/>
        </w:rPr>
        <w:t xml:space="preserve">CSD“) a úpravou ďalších dotknutých ustanovení napríklad sankčného režimu, </w:t>
      </w:r>
    </w:p>
    <w:p w:rsidR="000E6521" w:rsidRPr="00AD5C1D" w:rsidP="000E6521">
      <w:pPr>
        <w:pStyle w:val="BodyText"/>
        <w:numPr>
          <w:numId w:val="10"/>
        </w:numPr>
        <w:bidi w:val="0"/>
        <w:ind w:left="709" w:hanging="142"/>
        <w:jc w:val="both"/>
        <w:rPr>
          <w:rFonts w:ascii="Times New Roman" w:hAnsi="Times New Roman"/>
        </w:rPr>
      </w:pPr>
      <w:r w:rsidRPr="00AD5C1D">
        <w:rPr>
          <w:rFonts w:ascii="Times New Roman" w:hAnsi="Times New Roman"/>
        </w:rPr>
        <w:t>implementovať vykonávaciu smernicu Komisie č. 2015/2392 zo 17. decembra 2015 o nariadení Európskeho parlamentu a Rady (EÚ) č. 596/2014, pokiaľ ide o nahlasovanie skutočných alebo možných porušení daného nariadenia príslušným orgánom dohľadu nad finančným trhom,</w:t>
      </w:r>
    </w:p>
    <w:p w:rsidR="000E6521" w:rsidRPr="00AD5C1D" w:rsidP="000E6521">
      <w:pPr>
        <w:pStyle w:val="BodyText"/>
        <w:numPr>
          <w:numId w:val="10"/>
        </w:numPr>
        <w:bidi w:val="0"/>
        <w:ind w:left="709" w:hanging="142"/>
        <w:jc w:val="both"/>
        <w:rPr>
          <w:rFonts w:ascii="Times New Roman" w:hAnsi="Times New Roman"/>
        </w:rPr>
      </w:pPr>
      <w:r w:rsidRPr="00AD5C1D">
        <w:rPr>
          <w:rFonts w:ascii="Times New Roman" w:hAnsi="Times New Roman"/>
        </w:rPr>
        <w:t>riešenie podnetov z aplikačnej praxe, najmä pokiaľ ide o zapojenie centrálnych depozitárov do projektu T2  Securities</w:t>
      </w:r>
      <w:r>
        <w:rPr>
          <w:rFonts w:ascii="Times New Roman" w:hAnsi="Times New Roman"/>
        </w:rPr>
        <w:t xml:space="preserve"> a úpravu hybridných finančných nástrojov</w:t>
      </w:r>
      <w:r w:rsidRPr="00AD5C1D">
        <w:rPr>
          <w:rFonts w:ascii="Times New Roman" w:hAnsi="Times New Roman"/>
        </w:rPr>
        <w:t>.</w:t>
      </w:r>
    </w:p>
    <w:p w:rsidR="000E6521" w:rsidRPr="00AD5C1D" w:rsidP="000E6521">
      <w:pPr>
        <w:pStyle w:val="BodyText"/>
        <w:bidi w:val="0"/>
        <w:ind w:firstLine="567"/>
        <w:jc w:val="both"/>
        <w:rPr>
          <w:rFonts w:ascii="Times New Roman" w:hAnsi="Times New Roman"/>
        </w:rPr>
      </w:pPr>
    </w:p>
    <w:p w:rsidR="000E6521" w:rsidRPr="00AD5C1D" w:rsidP="000E6521">
      <w:pPr>
        <w:pStyle w:val="BodyText"/>
        <w:bidi w:val="0"/>
        <w:ind w:firstLine="567"/>
        <w:jc w:val="both"/>
        <w:rPr>
          <w:rFonts w:ascii="Times New Roman" w:hAnsi="Times New Roman"/>
        </w:rPr>
      </w:pPr>
      <w:r w:rsidRPr="00AD5C1D">
        <w:rPr>
          <w:rFonts w:ascii="Times New Roman" w:hAnsi="Times New Roman"/>
        </w:rPr>
        <w:t xml:space="preserve">    Nariadenie CSD ustanovuje právny režim fungovania centrálnych depozitárov v rámci EU, vrátane režimu udeľovania príslušných povolení, zadefinovania rozsahu poskytovaných služieb, prepojení centrálnych depozitárov rámci EU, pravidiel fungovania systémov vyrovnania s cennými papiermi a režimu dohľadu, vrátane udeľovania sankcií. Keďže podľa doterajšej právnej úpravy bol</w:t>
      </w:r>
      <w:r>
        <w:rPr>
          <w:rFonts w:ascii="Times New Roman" w:hAnsi="Times New Roman"/>
        </w:rPr>
        <w:t>i</w:t>
      </w:r>
      <w:r w:rsidRPr="00AD5C1D">
        <w:rPr>
          <w:rFonts w:ascii="Times New Roman" w:hAnsi="Times New Roman"/>
        </w:rPr>
        <w:t xml:space="preserve"> uvedené aspekty upravené na národnej úrovni, konkrétne v podmienkach SR v zákone o cenných papieroch, je potrebné vykonať príslušné zmeny, teda najmä vypustiť ustanovenia, ktoré by mohli byť v konflikte s ustanoveniami nariadenia CSD, resp. by sťažovali jeho aplikáciu.</w:t>
      </w:r>
    </w:p>
    <w:p w:rsidR="000E6521" w:rsidRPr="00AD5C1D" w:rsidP="000E6521">
      <w:pPr>
        <w:bidi w:val="0"/>
        <w:jc w:val="both"/>
        <w:rPr>
          <w:rFonts w:ascii="Times New Roman" w:hAnsi="Times New Roman"/>
        </w:rPr>
      </w:pPr>
      <w:r w:rsidRPr="00AD5C1D">
        <w:rPr>
          <w:rFonts w:ascii="Times New Roman" w:hAnsi="Times New Roman"/>
        </w:rPr>
        <w:t xml:space="preserve">             </w:t>
      </w:r>
    </w:p>
    <w:p w:rsidR="000E6521" w:rsidRPr="00AD5C1D" w:rsidP="000E6521">
      <w:pPr>
        <w:bidi w:val="0"/>
        <w:ind w:firstLine="708"/>
        <w:jc w:val="both"/>
        <w:rPr>
          <w:rFonts w:ascii="Times New Roman" w:hAnsi="Times New Roman"/>
        </w:rPr>
      </w:pPr>
      <w:r w:rsidRPr="00AD5C1D">
        <w:rPr>
          <w:rFonts w:ascii="Times New Roman" w:hAnsi="Times New Roman"/>
        </w:rPr>
        <w:t>Vykonávacia smernica k nariadeniu Európskeho parlamentu a Rady č. 596/2014 zo 16. apríla 2014 o zneužívaní trhu (nariadenie o zneužívaní trhu) a o zrušení smernice Európskeho parlamentu a Rady 2003/6/ES a smerníc Komisie 2003/124/ES, 2003/125/ES a 2004/72/ES (ďalej len „MAR“) upravuje spôsoby nahlasovania porušenia MAR orgánom dohľadu (tzv. whistleblowing). Po analýze problematiky sa navrhuje komplexné riešenie pre všetky segmenty finančného trhu, na čo je najvhodnejšia úprava v zákone č.747/2004 Z. z. o dohľade nad finančným trhom</w:t>
      </w:r>
      <w:r>
        <w:rPr>
          <w:rFonts w:ascii="Times New Roman" w:hAnsi="Times New Roman"/>
        </w:rPr>
        <w:t xml:space="preserve"> a o zmene a doplnení niektorých zákonov v znení neskorších predpisov</w:t>
      </w:r>
      <w:r w:rsidRPr="00AD5C1D">
        <w:rPr>
          <w:rFonts w:ascii="Times New Roman" w:hAnsi="Times New Roman"/>
        </w:rPr>
        <w:t>. Whistleblowing  je zavedený už vo viacerých sektoroch finančného trhu konkrétne okrem podľa príslušných smerníc a nariadení EU v bankovom sektore, v sektore investičných služieb a kolektívneho investovania (smernice UCITS a CRD IV) a aj keď ku všetkým neboli vydané vykonávacie opatrenia Komisie, navrhujeme zjednotiť režim nahlasovania porušení pre celý finančný trh, nakoľko v prípade rozličného režimu nahlasovania a ochrany nahlasovate</w:t>
      </w:r>
      <w:r>
        <w:rPr>
          <w:rFonts w:ascii="Times New Roman" w:hAnsi="Times New Roman"/>
        </w:rPr>
        <w:t>ľ</w:t>
      </w:r>
      <w:r w:rsidRPr="00AD5C1D">
        <w:rPr>
          <w:rFonts w:ascii="Times New Roman" w:hAnsi="Times New Roman"/>
        </w:rPr>
        <w:t>ov by mohli vznikať otázky ohľadne konzistentnosti legislatívy, resp. postupov Národnej banky Slovenska. Takisto absencia pravidiel v niektorom sektore  by mohla vyvolávať otázky ohľadom rôznej aplikačnej praxe pri výkone dohľadu.   </w:t>
      </w:r>
    </w:p>
    <w:p w:rsidR="000E6521" w:rsidP="000E6521">
      <w:pPr>
        <w:pStyle w:val="BodyText"/>
        <w:bidi w:val="0"/>
        <w:jc w:val="both"/>
        <w:rPr>
          <w:rFonts w:ascii="Times New Roman" w:hAnsi="Times New Roman"/>
        </w:rPr>
      </w:pPr>
    </w:p>
    <w:p w:rsidR="000E6521" w:rsidP="000E6521">
      <w:pPr>
        <w:pStyle w:val="BodyText"/>
        <w:bidi w:val="0"/>
        <w:jc w:val="both"/>
        <w:rPr>
          <w:rFonts w:ascii="Times New Roman" w:hAnsi="Times New Roman"/>
        </w:rPr>
      </w:pPr>
    </w:p>
    <w:p w:rsidR="000E6521" w:rsidRPr="00AD5C1D" w:rsidP="000E6521">
      <w:pPr>
        <w:pStyle w:val="BodyText"/>
        <w:bidi w:val="0"/>
        <w:jc w:val="both"/>
        <w:rPr>
          <w:rFonts w:ascii="Times New Roman" w:hAnsi="Times New Roman"/>
        </w:rPr>
      </w:pPr>
    </w:p>
    <w:p w:rsidR="000E6521" w:rsidRPr="00AD5C1D" w:rsidP="000E6521">
      <w:pPr>
        <w:pStyle w:val="BodyText"/>
        <w:overflowPunct w:val="0"/>
        <w:autoSpaceDE w:val="0"/>
        <w:autoSpaceDN w:val="0"/>
        <w:bidi w:val="0"/>
        <w:adjustRightInd w:val="0"/>
        <w:jc w:val="both"/>
        <w:textAlignment w:val="baseline"/>
        <w:rPr>
          <w:rFonts w:ascii="Times New Roman" w:hAnsi="Times New Roman"/>
        </w:rPr>
      </w:pPr>
      <w:r w:rsidRPr="00AD5C1D">
        <w:rPr>
          <w:rFonts w:ascii="Times New Roman" w:hAnsi="Times New Roman"/>
        </w:rPr>
        <w:t xml:space="preserve">         Podnetom na navrhované zavedenie úpravy hybridných nástrojov vo forme investičných certifikátov v zákone o cenných papieroch je umožniť bankám plniť špecifické požiadavky na ich kapitálovú primeranosť v zmysle pravidiel CRD IV aj flexibilnejší režim vydávania hybridných dlhopisov podľa tuzemského práva, nakoľko súčasná právna úprava dáva len obmedzený priestor na zadefinovanie  práv a povinností medzi emitentom a investormi v zmysle požiadaviek stanovených pravidlami EBA a ECB. Súčasne sa návrhom vytvorí priestor, aby sa banky nemuseli pri vydávaní týchto nástrojov koncentrovať na zahraničné trhy a mohli využiť aj potenciál tuzemského finančného trhu.       </w:t>
      </w:r>
    </w:p>
    <w:p w:rsidR="000E6521" w:rsidRPr="00AD5C1D" w:rsidP="000E6521">
      <w:pPr>
        <w:pStyle w:val="BodyText"/>
        <w:overflowPunct w:val="0"/>
        <w:autoSpaceDE w:val="0"/>
        <w:autoSpaceDN w:val="0"/>
        <w:bidi w:val="0"/>
        <w:adjustRightInd w:val="0"/>
        <w:jc w:val="both"/>
        <w:textAlignment w:val="baseline"/>
        <w:rPr>
          <w:rFonts w:ascii="Times New Roman" w:hAnsi="Times New Roman"/>
        </w:rPr>
      </w:pPr>
    </w:p>
    <w:p w:rsidR="000E6521" w:rsidRPr="00AD5C1D" w:rsidP="000E6521">
      <w:pPr>
        <w:pStyle w:val="BodyText"/>
        <w:overflowPunct w:val="0"/>
        <w:autoSpaceDE w:val="0"/>
        <w:autoSpaceDN w:val="0"/>
        <w:bidi w:val="0"/>
        <w:adjustRightInd w:val="0"/>
        <w:ind w:firstLine="708"/>
        <w:jc w:val="both"/>
        <w:textAlignment w:val="baseline"/>
        <w:rPr>
          <w:rFonts w:ascii="Times New Roman" w:hAnsi="Times New Roman"/>
        </w:rPr>
      </w:pPr>
      <w:r w:rsidRPr="00AD5C1D">
        <w:rPr>
          <w:rFonts w:ascii="Times New Roman" w:hAnsi="Times New Roman"/>
        </w:rPr>
        <w:t>Predkladaný zákon je v súlade s Ústavou Slovenskej republiky, ústavnými zákonmi a nálezmi ústavného súdu, zákonmi Slovenskej republiky, medzinárodnými zmluvami a inými medzinárodnými dokumentmi, ktorými je Slovenská republika viazaná, ako aj s právom Európskej únie vypracovaný formou doložky zlučiteľnosti a tabuľky zhody tohto návrhu zákona s právom Európskej únie.</w:t>
      </w:r>
    </w:p>
    <w:p w:rsidR="000E6521" w:rsidRPr="00AD5C1D" w:rsidP="000E6521">
      <w:pPr>
        <w:pStyle w:val="BodyText"/>
        <w:overflowPunct w:val="0"/>
        <w:autoSpaceDE w:val="0"/>
        <w:autoSpaceDN w:val="0"/>
        <w:bidi w:val="0"/>
        <w:adjustRightInd w:val="0"/>
        <w:jc w:val="both"/>
        <w:textAlignment w:val="baseline"/>
        <w:rPr>
          <w:rFonts w:ascii="Times New Roman" w:hAnsi="Times New Roman"/>
        </w:rPr>
      </w:pPr>
    </w:p>
    <w:p w:rsidR="000E6521" w:rsidRPr="00AD5C1D" w:rsidP="000E6521">
      <w:pPr>
        <w:pStyle w:val="BodyText"/>
        <w:overflowPunct w:val="0"/>
        <w:autoSpaceDE w:val="0"/>
        <w:autoSpaceDN w:val="0"/>
        <w:bidi w:val="0"/>
        <w:adjustRightInd w:val="0"/>
        <w:jc w:val="both"/>
        <w:textAlignment w:val="baseline"/>
        <w:rPr>
          <w:rFonts w:ascii="Times New Roman" w:hAnsi="Times New Roman"/>
        </w:rPr>
      </w:pPr>
      <w:r w:rsidRPr="00AD5C1D">
        <w:rPr>
          <w:rFonts w:ascii="Times New Roman" w:hAnsi="Times New Roman"/>
        </w:rPr>
        <w:t xml:space="preserve">              Prijatie zákona a jeho aplikácia nebude mať vplyvy na rozpočet verejnej správy, vplyvy na podnikateľské prostredie, sociálne vplyvy, vplyvy na životné prostredie a vplyvy na služby verejnej správy pre občana, z toho vplyvy služieb verejnej správy na občana a vplyvy na procesy služieb vo verejnej správe.</w:t>
      </w:r>
      <w:r>
        <w:rPr>
          <w:rFonts w:ascii="Times New Roman" w:hAnsi="Times New Roman"/>
        </w:rPr>
        <w:t xml:space="preserve"> Navrhovaný zákon bude mať pozitívne vplyvy na informatizáciu.</w:t>
      </w:r>
    </w:p>
    <w:p w:rsidR="003D1A23" w:rsidP="003D1A23">
      <w:pPr>
        <w:tabs>
          <w:tab w:val="left" w:pos="720"/>
        </w:tabs>
        <w:bidi w:val="0"/>
        <w:jc w:val="both"/>
        <w:rPr>
          <w:rFonts w:ascii="Times New Roman" w:hAnsi="Times New Roman"/>
        </w:rPr>
      </w:pPr>
      <w:r>
        <w:rPr>
          <w:rFonts w:ascii="Times New Roman" w:hAnsi="Times New Roman"/>
        </w:rPr>
        <w:t xml:space="preserve">            </w:t>
      </w: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3D1A23" w:rsidP="003577B8">
      <w:pPr>
        <w:pStyle w:val="BodyText"/>
        <w:widowControl/>
        <w:bidi w:val="0"/>
        <w:jc w:val="both"/>
        <w:rPr>
          <w:rFonts w:ascii="Times New Roman" w:hAnsi="Times New Roman"/>
          <w:b/>
          <w:bCs/>
        </w:rPr>
      </w:pPr>
    </w:p>
    <w:p w:rsidR="000E6521" w:rsidRPr="00A179AE" w:rsidP="000E6521">
      <w:pPr>
        <w:bidi w:val="0"/>
        <w:jc w:val="center"/>
        <w:rPr>
          <w:rFonts w:ascii="Times New Roman" w:hAnsi="Times New Roman"/>
          <w:b/>
          <w:bCs/>
          <w:sz w:val="28"/>
          <w:szCs w:val="28"/>
        </w:rPr>
      </w:pPr>
      <w:r>
        <w:rPr>
          <w:rFonts w:ascii="Times New Roman" w:hAnsi="Times New Roman"/>
          <w:b/>
          <w:bCs/>
          <w:sz w:val="28"/>
          <w:szCs w:val="28"/>
        </w:rPr>
        <w:t>Doložka vybraných vplyvov</w:t>
      </w:r>
    </w:p>
    <w:p w:rsidR="000E6521" w:rsidRPr="00BF3078" w:rsidP="000E652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A179AE" w:rsidP="000E6521">
            <w:pPr>
              <w:pStyle w:val="ListParagraph"/>
              <w:numPr>
                <w:numId w:val="11"/>
              </w:numPr>
              <w:bidi w:val="0"/>
              <w:spacing w:after="0" w:line="240" w:lineRule="auto"/>
              <w:ind w:left="426"/>
              <w:contextualSpacing/>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A179AE" w:rsidP="00047FA6">
            <w:pPr>
              <w:pStyle w:val="ListParagraph"/>
              <w:bidi w:val="0"/>
              <w:ind w:left="142"/>
              <w:rPr>
                <w:rFonts w:ascii="Times New Roman" w:hAnsi="Times New Roman"/>
                <w:b/>
              </w:rPr>
            </w:pPr>
            <w:r w:rsidRPr="00A179A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 xml:space="preserve">Návrh zákona, ktorým </w:t>
            </w:r>
            <w:r w:rsidRPr="000E6521">
              <w:rPr>
                <w:rFonts w:ascii="Times New Roman" w:hAnsi="Times New Roman"/>
                <w:bCs/>
                <w:sz w:val="22"/>
                <w:szCs w:val="22"/>
                <w:lang w:eastAsia="en-US"/>
              </w:rPr>
              <w:t>sa mení a dopĺňa zákon č. 566/2001 Z. z. o cenných papieroch a investičných službách a o zmene a doplnení niektorých zákonov (zákon o cenných papieroch) v znení neskorších predpisov a ktorým sa menia a dopĺňajú niektoré zákony</w:t>
            </w:r>
          </w:p>
          <w:p w:rsidR="000E6521" w:rsidRPr="00A179AE" w:rsidP="00047FA6">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A179AE" w:rsidP="00047FA6">
            <w:pPr>
              <w:pStyle w:val="ListParagraph"/>
              <w:bidi w:val="0"/>
              <w:ind w:left="142"/>
              <w:rPr>
                <w:rFonts w:ascii="Times New Roman" w:hAnsi="Times New Roman"/>
                <w:b/>
              </w:rPr>
            </w:pPr>
            <w:r w:rsidRPr="00A179A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6521" w:rsidRPr="00E540B9" w:rsidP="00047FA6">
            <w:pPr>
              <w:bidi w:val="0"/>
              <w:rPr>
                <w:rFonts w:ascii="Calibri" w:hAnsi="Calibri"/>
                <w:sz w:val="22"/>
                <w:szCs w:val="22"/>
                <w:lang w:eastAsia="en-US"/>
              </w:rPr>
            </w:pPr>
            <w:r w:rsidRPr="00E540B9">
              <w:rPr>
                <w:rFonts w:ascii="Calibri" w:hAnsi="Calibri"/>
                <w:sz w:val="22"/>
                <w:szCs w:val="22"/>
                <w:lang w:eastAsia="en-US"/>
              </w:rPr>
              <w:t>Ministerstvo financií SR</w:t>
            </w:r>
          </w:p>
          <w:p w:rsidR="000E6521" w:rsidRPr="00A179AE" w:rsidP="00047FA6">
            <w:pPr>
              <w:bidi w:val="0"/>
              <w:rPr>
                <w:rFonts w:ascii="Calibri" w:hAnsi="Calibri"/>
                <w:sz w:val="22"/>
                <w:szCs w:val="22"/>
                <w:lang w:eastAsia="en-US"/>
              </w:rPr>
            </w:pPr>
          </w:p>
          <w:p w:rsidR="000E6521" w:rsidRPr="00A179AE" w:rsidP="00047FA6">
            <w:pPr>
              <w:bidi w:val="0"/>
              <w:rPr>
                <w:rFonts w:ascii="Calibri" w:hAnsi="Calibri"/>
                <w:sz w:val="22"/>
                <w:szCs w:val="22"/>
                <w:lang w:eastAsia="en-US"/>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E6521" w:rsidRPr="00A179AE" w:rsidP="00047FA6">
            <w:pPr>
              <w:pStyle w:val="ListParagraph"/>
              <w:bidi w:val="0"/>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E6521" w:rsidRPr="00A179AE" w:rsidP="00047FA6">
            <w:pPr>
              <w:bidi w:val="0"/>
              <w:jc w:val="center"/>
              <w:rPr>
                <w:rFonts w:ascii="Calibri" w:hAnsi="Calibri"/>
                <w:sz w:val="22"/>
                <w:szCs w:val="22"/>
                <w:lang w:eastAsia="en-US"/>
              </w:rPr>
            </w:pPr>
            <w:r w:rsidRPr="00A179AE">
              <w:rPr>
                <w:rFonts w:ascii="MS Mincho" w:eastAsia="MS Mincho" w:hAnsi="MS Mincho" w:cs="MS Mincho"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E6521" w:rsidRPr="00A179AE" w:rsidP="00047FA6">
            <w:pPr>
              <w:bidi w:val="0"/>
              <w:rPr>
                <w:rFonts w:ascii="Calibri" w:hAnsi="Calibri"/>
                <w:sz w:val="22"/>
                <w:szCs w:val="22"/>
                <w:lang w:eastAsia="en-US"/>
              </w:rPr>
            </w:pPr>
            <w:r w:rsidRPr="00A179AE">
              <w:rPr>
                <w:rFonts w:ascii="Calibri" w:hAnsi="Calibri"/>
                <w:sz w:val="22"/>
                <w:szCs w:val="22"/>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0E6521" w:rsidRPr="00A179AE" w:rsidP="00047FA6">
            <w:pPr>
              <w:bidi w:val="0"/>
              <w:rPr>
                <w:rFonts w:ascii="Calibri" w:hAnsi="Calibri"/>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E6521" w:rsidRPr="00A179AE" w:rsidP="00047FA6">
            <w:pPr>
              <w:bidi w:val="0"/>
              <w:jc w:val="center"/>
              <w:rPr>
                <w:rFonts w:ascii="Calibri" w:hAnsi="Calibri"/>
                <w:sz w:val="22"/>
                <w:szCs w:val="22"/>
                <w:lang w:eastAsia="en-US"/>
              </w:rPr>
            </w:pPr>
            <w:r>
              <w:rPr>
                <w:rFonts w:ascii="MS Gothic" w:eastAsia="MS Gothic" w:hAnsi="MS Gothic"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E6521" w:rsidRPr="00A179AE" w:rsidP="00047FA6">
            <w:pPr>
              <w:bidi w:val="0"/>
              <w:ind w:left="175" w:hanging="175"/>
              <w:rPr>
                <w:rFonts w:ascii="Calibri" w:hAnsi="Calibri"/>
                <w:sz w:val="22"/>
                <w:szCs w:val="22"/>
                <w:lang w:eastAsia="en-US"/>
              </w:rPr>
            </w:pPr>
            <w:r w:rsidRPr="00A179AE">
              <w:rPr>
                <w:rFonts w:ascii="Calibri" w:hAnsi="Calibri"/>
                <w:sz w:val="22"/>
                <w:szCs w:val="22"/>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0E6521" w:rsidRPr="00A179AE" w:rsidP="00047FA6">
            <w:pPr>
              <w:bidi w:val="0"/>
              <w:rPr>
                <w:rFonts w:ascii="Calibri" w:hAnsi="Calibri"/>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0E6521" w:rsidRPr="00A179AE" w:rsidP="00047FA6">
            <w:pPr>
              <w:bidi w:val="0"/>
              <w:jc w:val="center"/>
              <w:rPr>
                <w:rFonts w:ascii="Calibri" w:hAnsi="Calibri"/>
                <w:sz w:val="22"/>
                <w:szCs w:val="22"/>
                <w:lang w:eastAsia="en-US"/>
              </w:rPr>
            </w:pPr>
            <w:r>
              <w:rPr>
                <w:rFonts w:ascii="MS Gothic" w:eastAsia="MS Gothic" w:hAnsi="MS Gothic"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0E6521" w:rsidRPr="00A179AE" w:rsidP="00047FA6">
            <w:pPr>
              <w:bidi w:val="0"/>
              <w:rPr>
                <w:rFonts w:ascii="Calibri" w:hAnsi="Calibri"/>
                <w:sz w:val="22"/>
                <w:szCs w:val="22"/>
                <w:lang w:eastAsia="en-US"/>
              </w:rPr>
            </w:pPr>
            <w:r w:rsidRPr="00A179AE">
              <w:rPr>
                <w:rFonts w:ascii="Calibri" w:hAnsi="Calibri"/>
                <w:sz w:val="22"/>
                <w:szCs w:val="22"/>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0E6521" w:rsidRPr="000E6521" w:rsidP="000E6521">
            <w:pPr>
              <w:bidi w:val="0"/>
              <w:jc w:val="both"/>
              <w:rPr>
                <w:rFonts w:ascii="Times New Roman" w:hAnsi="Times New Roman"/>
                <w:sz w:val="22"/>
                <w:szCs w:val="22"/>
                <w:lang w:eastAsia="en-US"/>
              </w:rPr>
            </w:pPr>
            <w:r w:rsidRPr="000E6521">
              <w:rPr>
                <w:rFonts w:ascii="Times New Roman" w:hAnsi="Times New Roman"/>
                <w:sz w:val="22"/>
                <w:szCs w:val="22"/>
                <w:lang w:eastAsia="en-US"/>
              </w:rPr>
              <w:t>Vykonávacia smernica Komisie č. 2015/2392 zo 17. decembra 2015 o nariadení Európskeho parlamentu a Rady (EÚ) č. 596/2014, pokiaľ ide o nahlasovanie skutočných alebo možných porušení daného nariadenia príslušným orgánom dohľadu nad finančným trhom</w:t>
            </w:r>
          </w:p>
          <w:p w:rsidR="000E6521" w:rsidRPr="00A179AE" w:rsidP="00047FA6">
            <w:pPr>
              <w:bidi w:val="0"/>
              <w:rPr>
                <w:rFonts w:ascii="Calibri" w:hAnsi="Calibri"/>
                <w:sz w:val="22"/>
                <w:szCs w:val="22"/>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0E6521" w:rsidRPr="00A179AE" w:rsidP="00047FA6">
            <w:pPr>
              <w:pStyle w:val="ListParagraph"/>
              <w:bidi w:val="0"/>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0E6521" w:rsidRPr="00E540B9" w:rsidP="00047FA6">
            <w:pPr>
              <w:bidi w:val="0"/>
              <w:rPr>
                <w:rFonts w:ascii="Calibri" w:hAnsi="Calibri"/>
                <w:sz w:val="22"/>
                <w:szCs w:val="22"/>
                <w:lang w:eastAsia="en-US"/>
              </w:rPr>
            </w:pPr>
            <w:r>
              <w:rPr>
                <w:rFonts w:ascii="Calibri" w:hAnsi="Calibri"/>
                <w:sz w:val="22"/>
                <w:szCs w:val="22"/>
                <w:lang w:eastAsia="en-US"/>
              </w:rPr>
              <w:t>1. 6. 2016 – 14. 6.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A179AE" w:rsidP="00047FA6">
            <w:pPr>
              <w:pStyle w:val="ListParagraph"/>
              <w:bidi w:val="0"/>
              <w:ind w:left="142"/>
              <w:rPr>
                <w:rFonts w:ascii="Times New Roman" w:hAnsi="Times New Roman"/>
                <w:b/>
              </w:rPr>
            </w:pPr>
            <w:r w:rsidRPr="00A179AE">
              <w:rPr>
                <w:rFonts w:ascii="Times New Roman" w:hAnsi="Times New Roman"/>
                <w:b/>
              </w:rPr>
              <w:t>Predpokladaný termín predloženia na MPK</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E6521" w:rsidRPr="00E540B9" w:rsidP="00047FA6">
            <w:pPr>
              <w:bidi w:val="0"/>
              <w:rPr>
                <w:rFonts w:ascii="Calibri" w:hAnsi="Calibri"/>
                <w:sz w:val="22"/>
                <w:szCs w:val="22"/>
                <w:lang w:eastAsia="en-US"/>
              </w:rPr>
            </w:pPr>
            <w:r>
              <w:rPr>
                <w:rFonts w:ascii="Calibri" w:hAnsi="Calibri"/>
                <w:sz w:val="22"/>
                <w:szCs w:val="22"/>
                <w:lang w:eastAsia="en-US"/>
              </w:rPr>
              <w:t>15. 6. 2016 – 6. 7. 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A179AE" w:rsidP="00047FA6">
            <w:pPr>
              <w:pStyle w:val="ListParagraph"/>
              <w:bidi w:val="0"/>
              <w:ind w:left="142"/>
              <w:rPr>
                <w:rFonts w:ascii="Times New Roman" w:hAnsi="Times New Roman"/>
                <w:b/>
              </w:rPr>
            </w:pPr>
            <w:r w:rsidRPr="00A179AE">
              <w:rPr>
                <w:rFonts w:ascii="Times New Roman" w:hAnsi="Times New Roman"/>
                <w:b/>
              </w:rPr>
              <w:t>Predpokladaný termín predloženia na Rokovanie vlády SR</w:t>
            </w:r>
            <w:r>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0E6521" w:rsidRPr="00E540B9" w:rsidP="00047FA6">
            <w:pPr>
              <w:bidi w:val="0"/>
              <w:rPr>
                <w:rFonts w:ascii="Calibri" w:hAnsi="Calibri"/>
                <w:sz w:val="22"/>
                <w:szCs w:val="22"/>
                <w:lang w:eastAsia="en-US"/>
              </w:rPr>
            </w:pPr>
            <w:r>
              <w:rPr>
                <w:rFonts w:ascii="Calibri" w:hAnsi="Calibri"/>
                <w:sz w:val="22"/>
                <w:szCs w:val="22"/>
                <w:lang w:eastAsia="en-US"/>
              </w:rPr>
              <w:t>10. 8. 2016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0E6521" w:rsidRPr="00A179AE" w:rsidP="00047FA6">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A179AE" w:rsidP="000E6521">
            <w:pPr>
              <w:pStyle w:val="ListParagraph"/>
              <w:numPr>
                <w:numId w:val="11"/>
              </w:numPr>
              <w:bidi w:val="0"/>
              <w:spacing w:after="0" w:line="240" w:lineRule="auto"/>
              <w:ind w:left="426"/>
              <w:contextualSpacing/>
              <w:rPr>
                <w:rFonts w:ascii="Times New Roman" w:hAnsi="Times New Roman"/>
                <w:b/>
              </w:rPr>
            </w:pPr>
            <w:r w:rsidRPr="00A179AE">
              <w:rPr>
                <w:rFonts w:ascii="Times New Roman" w:hAnsi="Times New Roman"/>
                <w:b/>
              </w:rPr>
              <w:t>Defin</w:t>
            </w:r>
            <w:r>
              <w:rPr>
                <w:rFonts w:ascii="Times New Roman" w:hAnsi="Times New Roman"/>
                <w:b/>
              </w:rPr>
              <w:t>ovanie</w:t>
            </w:r>
            <w:r w:rsidRPr="00A179AE">
              <w:rPr>
                <w:rFonts w:ascii="Times New Roman" w:hAnsi="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6521" w:rsidRPr="000E6521" w:rsidP="00047FA6">
            <w:pPr>
              <w:pStyle w:val="BodyText"/>
              <w:bidi w:val="0"/>
              <w:jc w:val="both"/>
              <w:rPr>
                <w:rFonts w:ascii="Times New Roman" w:hAnsi="Times New Roman"/>
                <w:sz w:val="20"/>
                <w:szCs w:val="20"/>
                <w:lang w:eastAsia="en-US"/>
              </w:rPr>
            </w:pPr>
            <w:r w:rsidRPr="000E6521">
              <w:rPr>
                <w:rFonts w:ascii="Times New Roman" w:hAnsi="Times New Roman"/>
                <w:sz w:val="20"/>
                <w:szCs w:val="20"/>
                <w:lang w:eastAsia="en-US"/>
              </w:rPr>
              <w:t xml:space="preserve">Nariadením </w:t>
            </w:r>
            <w:r w:rsidRPr="000E6521">
              <w:rPr>
                <w:rFonts w:ascii="Times New Roman" w:hAnsi="Times New Roman"/>
                <w:bCs/>
                <w:sz w:val="20"/>
                <w:szCs w:val="20"/>
                <w:lang w:eastAsia="en-US"/>
              </w:rPr>
              <w:t xml:space="preserve">Európskeho parlamentu a Rady (EÚ) č. </w:t>
            </w:r>
            <w:r w:rsidRPr="000E6521">
              <w:rPr>
                <w:rFonts w:ascii="Times New Roman" w:hAnsi="Times New Roman"/>
                <w:sz w:val="20"/>
                <w:szCs w:val="20"/>
                <w:lang w:eastAsia="en-US"/>
              </w:rPr>
              <w:t xml:space="preserve">909/2014 </w:t>
            </w:r>
            <w:r w:rsidRPr="000E6521">
              <w:rPr>
                <w:rFonts w:ascii="Times New Roman" w:hAnsi="Times New Roman"/>
                <w:bCs/>
                <w:sz w:val="20"/>
                <w:szCs w:val="20"/>
                <w:lang w:eastAsia="en-US"/>
              </w:rPr>
              <w:t xml:space="preserve">z 23. júla 2014 </w:t>
            </w:r>
            <w:r w:rsidRPr="000E6521">
              <w:rPr>
                <w:rFonts w:ascii="Times New Roman" w:hAnsi="Times New Roman"/>
                <w:sz w:val="20"/>
                <w:szCs w:val="20"/>
                <w:lang w:eastAsia="en-US"/>
              </w:rPr>
              <w:t xml:space="preserve"> o zlepšení vyrovnania transakcií s cennými papiermi v Európskej únii, centrálnych depozitároch cenných papierov (ďalej len „nariadenie CSD“) a úpravou ďalších dotknutých ustanovení napríklad sankčného režimu, ustanovuje právny režim fungovania centrálnych depozitárov v rámci EU, vrátane režimu udeľovania príslušných povolení, zadefinovania rozsahu poskytovaných služieb, prepojení centrálnych depozitárov rámci EU, pravidiel fingovania systémov vyrovnania s cennými papiermi a režimu dohľadu, vrátane udeľovania sankcií. Keďže podľa doterajšej právnej úpravy bola uvedené aspekty upravené na národnej úrovni, konkrétne v podmienkach SR v zákone o cenných papieroch, je potrebné vykonať príslušné zmeny, teda najmä vypustiť ustanovenia, ktoré by mohli byť v konflikte s ustanoveniami nariadenia CSD, resp. by sťažovali jeho aplikáciu.</w:t>
            </w:r>
          </w:p>
          <w:p w:rsidR="000E6521" w:rsidRPr="000E6521" w:rsidP="00047FA6">
            <w:pPr>
              <w:pStyle w:val="BodyText"/>
              <w:bidi w:val="0"/>
              <w:jc w:val="both"/>
              <w:rPr>
                <w:rFonts w:ascii="Times New Roman" w:hAnsi="Times New Roman"/>
                <w:sz w:val="20"/>
                <w:szCs w:val="20"/>
                <w:lang w:eastAsia="en-US"/>
              </w:rPr>
            </w:pPr>
            <w:r w:rsidRPr="000E6521">
              <w:rPr>
                <w:rFonts w:ascii="Times New Roman" w:hAnsi="Times New Roman"/>
                <w:sz w:val="20"/>
                <w:szCs w:val="20"/>
                <w:lang w:eastAsia="en-US"/>
              </w:rPr>
              <w:t>Vykonávacia smernica k nariadeniu Európskeho parlamentu a Rady č. 596/2014 zo 16. apríla 2014 o zneužívaní trhu (nariadenie o zneužívaní trhu) a o zrušení smernice Európskeho parlamentu a Rady 2003/6/ES a smerníc Komisie 2003/124/ES, 2003/125/ES a 2004/72/ES (ďalej len „MAR“) upravuje spôsoby nahlasovania porušenia MAR orgánom dohľadu (tzv. whistleblowing). Po analýze problematiky sa navrhuje komplexné riešenie pre všetky segmenty finančného trhu, na čo je najvhodnejšia úprava v zákone č.747/2004 Z. z. o dohľade nad finančným trhom.</w:t>
            </w:r>
          </w:p>
          <w:p w:rsidR="000E6521" w:rsidRPr="000E6521" w:rsidP="00047FA6">
            <w:pPr>
              <w:pStyle w:val="BodyText"/>
              <w:bidi w:val="0"/>
              <w:jc w:val="both"/>
              <w:rPr>
                <w:rFonts w:ascii="Times New Roman" w:hAnsi="Times New Roman"/>
                <w:sz w:val="20"/>
                <w:szCs w:val="20"/>
                <w:lang w:eastAsia="en-US"/>
              </w:rPr>
            </w:pPr>
            <w:r w:rsidRPr="000E6521">
              <w:rPr>
                <w:rFonts w:ascii="Times New Roman" w:hAnsi="Times New Roman"/>
                <w:sz w:val="20"/>
                <w:szCs w:val="20"/>
                <w:lang w:eastAsia="en-US"/>
              </w:rPr>
              <w:t>Súčasťou návrhu je zavedenie flexibilnejšieho režimu vydávania hybridných dlhopisov podľa tuzemského práva, nakoľko súčasná právna úprava dáva v tejto veci len obmedzený priestor.</w:t>
            </w:r>
          </w:p>
          <w:p w:rsidR="000E6521" w:rsidRPr="00A179AE" w:rsidP="00047FA6">
            <w:pPr>
              <w:bidi w:val="0"/>
              <w:rPr>
                <w:rFonts w:ascii="Calibri" w:hAnsi="Calibri"/>
                <w:b/>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E6521" w:rsidRPr="00A179AE" w:rsidP="000E6521">
            <w:pPr>
              <w:pStyle w:val="ListParagraph"/>
              <w:numPr>
                <w:numId w:val="11"/>
              </w:numPr>
              <w:bidi w:val="0"/>
              <w:spacing w:after="0" w:line="240" w:lineRule="auto"/>
              <w:ind w:left="426"/>
              <w:contextualSpacing/>
              <w:rPr>
                <w:rFonts w:ascii="Times New Roman" w:hAnsi="Times New Roman"/>
                <w:b/>
              </w:rPr>
            </w:pPr>
            <w:r w:rsidRPr="00A179A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6521" w:rsidRPr="000E6521" w:rsidP="00047FA6">
            <w:pPr>
              <w:pStyle w:val="BodyText"/>
              <w:bidi w:val="0"/>
              <w:jc w:val="both"/>
              <w:rPr>
                <w:rFonts w:ascii="Times New Roman" w:hAnsi="Times New Roman"/>
                <w:sz w:val="20"/>
                <w:szCs w:val="20"/>
                <w:lang w:eastAsia="en-US"/>
              </w:rPr>
            </w:pPr>
            <w:r w:rsidRPr="000E6521">
              <w:rPr>
                <w:rFonts w:ascii="Times New Roman" w:hAnsi="Times New Roman"/>
                <w:sz w:val="20"/>
                <w:szCs w:val="20"/>
                <w:lang w:eastAsia="en-US"/>
              </w:rPr>
              <w:t xml:space="preserve">Cieľom navrhovaného zákona je </w:t>
            </w:r>
          </w:p>
          <w:p w:rsidR="000E6521" w:rsidRPr="000E6521" w:rsidP="000E6521">
            <w:pPr>
              <w:pStyle w:val="BodyText"/>
              <w:numPr>
                <w:numId w:val="10"/>
              </w:numPr>
              <w:bidi w:val="0"/>
              <w:jc w:val="both"/>
              <w:rPr>
                <w:rFonts w:ascii="Times New Roman" w:hAnsi="Times New Roman"/>
                <w:sz w:val="20"/>
                <w:szCs w:val="20"/>
                <w:lang w:eastAsia="en-US"/>
              </w:rPr>
            </w:pPr>
            <w:r w:rsidRPr="000E6521">
              <w:rPr>
                <w:rFonts w:ascii="Times New Roman" w:hAnsi="Times New Roman"/>
                <w:sz w:val="20"/>
                <w:szCs w:val="20"/>
                <w:lang w:eastAsia="en-US"/>
              </w:rPr>
              <w:t xml:space="preserve">vykonať úpravy v národnej úprave centrálnych depozitárov, teda v zákone o cenných papieroch spočívajúce hlavne vo vypustení úpravy duplicitnej s priamo vykonateľným Nariadením </w:t>
            </w:r>
            <w:r w:rsidRPr="000E6521">
              <w:rPr>
                <w:rFonts w:ascii="Times New Roman" w:hAnsi="Times New Roman"/>
                <w:bCs/>
                <w:sz w:val="20"/>
                <w:szCs w:val="20"/>
                <w:lang w:eastAsia="en-US"/>
              </w:rPr>
              <w:t xml:space="preserve">Európskeho parlamentu a Rady (EÚ) č. </w:t>
            </w:r>
            <w:r w:rsidRPr="000E6521">
              <w:rPr>
                <w:rFonts w:ascii="Times New Roman" w:hAnsi="Times New Roman"/>
                <w:sz w:val="20"/>
                <w:szCs w:val="20"/>
                <w:lang w:eastAsia="en-US"/>
              </w:rPr>
              <w:t xml:space="preserve">909/2014 </w:t>
            </w:r>
            <w:r w:rsidRPr="000E6521">
              <w:rPr>
                <w:rFonts w:ascii="Times New Roman" w:hAnsi="Times New Roman"/>
                <w:bCs/>
                <w:sz w:val="20"/>
                <w:szCs w:val="20"/>
                <w:lang w:eastAsia="en-US"/>
              </w:rPr>
              <w:t xml:space="preserve">z 23. júla 2014 </w:t>
            </w:r>
            <w:r w:rsidRPr="000E6521">
              <w:rPr>
                <w:rFonts w:ascii="Times New Roman" w:hAnsi="Times New Roman"/>
                <w:sz w:val="20"/>
                <w:szCs w:val="20"/>
                <w:lang w:eastAsia="en-US"/>
              </w:rPr>
              <w:t xml:space="preserve"> o zlepšení vyrovnania transakcií s cennými papiermi v Európskej únii, centrálnych depozitároch cenných papierov (ďalej len „nariadenie CSD“ a úpravou ďalších dotknutých ustanovení napríklad sankčného režimu, </w:t>
            </w:r>
          </w:p>
          <w:p w:rsidR="000E6521" w:rsidRPr="000E6521" w:rsidP="000E6521">
            <w:pPr>
              <w:pStyle w:val="BodyText"/>
              <w:numPr>
                <w:numId w:val="10"/>
              </w:numPr>
              <w:bidi w:val="0"/>
              <w:jc w:val="both"/>
              <w:rPr>
                <w:rFonts w:ascii="Times New Roman" w:hAnsi="Times New Roman"/>
                <w:sz w:val="20"/>
                <w:szCs w:val="20"/>
                <w:lang w:eastAsia="en-US"/>
              </w:rPr>
            </w:pPr>
            <w:r w:rsidRPr="000E6521">
              <w:rPr>
                <w:rFonts w:ascii="Times New Roman" w:hAnsi="Times New Roman"/>
                <w:sz w:val="20"/>
                <w:szCs w:val="20"/>
                <w:lang w:eastAsia="en-US"/>
              </w:rPr>
              <w:t>implementovať vykonávaciu smernicu Komisie č. 2015/2392 zo 17. decembra 2015 o nariadení Európskeho parlamentu a Rady (EÚ) č. 596/2014, pokiaľ ide o nahlasovanie skutočných alebo možných porušení daného nariadenia príslušným orgánom dohľadu nad finančným trhom,</w:t>
            </w:r>
          </w:p>
          <w:p w:rsidR="000E6521" w:rsidRPr="00CB54DB" w:rsidP="000E6521">
            <w:pPr>
              <w:pStyle w:val="BodyText"/>
              <w:numPr>
                <w:numId w:val="10"/>
              </w:numPr>
              <w:bidi w:val="0"/>
              <w:jc w:val="both"/>
              <w:rPr>
                <w:rFonts w:ascii="Calibri" w:hAnsi="Calibri"/>
                <w:sz w:val="20"/>
                <w:szCs w:val="20"/>
                <w:lang w:eastAsia="en-US"/>
              </w:rPr>
            </w:pPr>
            <w:r w:rsidRPr="000E6521">
              <w:rPr>
                <w:rFonts w:ascii="Times New Roman" w:hAnsi="Times New Roman"/>
                <w:sz w:val="20"/>
                <w:szCs w:val="20"/>
                <w:lang w:eastAsia="en-US"/>
              </w:rPr>
              <w:t>riešenie podnetov z aplikačnej praxe, najmä pokiaľ ide o zapojenie centrálnych depozitárov do projektu T2  Securities a úpravu hybridných finančných nástrojov.</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E6521" w:rsidRPr="00A179AE" w:rsidP="000E6521">
            <w:pPr>
              <w:pStyle w:val="ListParagraph"/>
              <w:numPr>
                <w:numId w:val="11"/>
              </w:numPr>
              <w:bidi w:val="0"/>
              <w:spacing w:after="0" w:line="240" w:lineRule="auto"/>
              <w:ind w:left="426"/>
              <w:contextualSpacing/>
              <w:rPr>
                <w:rFonts w:ascii="Times New Roman" w:hAnsi="Times New Roman"/>
                <w:b/>
              </w:rPr>
            </w:pPr>
            <w:r w:rsidRPr="00A179A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Tuzemské a zahraničné centrálne depozitáre cenných papierov, obchodníci s cennými papiermi a zahraniční obchodníci s cennými papiermi, banky, zahraničné banky a pobočky zahraničných bánk.</w:t>
            </w:r>
          </w:p>
          <w:p w:rsidR="000E6521" w:rsidRPr="000E6521" w:rsidP="00047FA6">
            <w:pPr>
              <w:bidi w:val="0"/>
              <w:rPr>
                <w:rFonts w:ascii="Times New Roman" w:hAnsi="Times New Roman"/>
                <w: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Alternatívne riešenia neboli zvažované.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0E6521" w:rsidRPr="000E6521" w:rsidP="00047FA6">
            <w:pPr>
              <w:bidi w:val="0"/>
              <w:rPr>
                <w:rFonts w:ascii="Times New Roman" w:hAnsi="Times New Roman"/>
                <w:i/>
                <w:sz w:val="22"/>
                <w:szCs w:val="22"/>
                <w:lang w:eastAsia="en-US"/>
              </w:rPr>
            </w:pPr>
            <w:r w:rsidRPr="000E6521">
              <w:rPr>
                <w:rFonts w:ascii="Times New Roman" w:hAnsi="Times New Roman"/>
                <w:i/>
                <w:sz w:val="22"/>
                <w:szCs w:val="22"/>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0E6521" w:rsidRPr="000E6521" w:rsidP="00047FA6">
            <w:pPr>
              <w:bidi w:val="0"/>
              <w:jc w:val="center"/>
              <w:rPr>
                <w:rFonts w:ascii="Times New Roman" w:hAnsi="Times New Roman"/>
                <w:sz w:val="22"/>
                <w:szCs w:val="22"/>
                <w:lang w:eastAsia="en-US"/>
              </w:rPr>
            </w:pPr>
            <w:r w:rsidRPr="000E6521">
              <w:rPr>
                <w:rFonts w:ascii="Segoe UI Symbol" w:eastAsia="MS Gothic" w:hAnsi="Segoe UI Symbol" w:cs="Segoe UI Symbol" w:hint="default"/>
                <w:sz w:val="22"/>
                <w:szCs w:val="22"/>
                <w:lang w:eastAsia="en-US"/>
              </w:rPr>
              <w:t>☐</w:t>
            </w:r>
            <w:r w:rsidRPr="000E6521">
              <w:rPr>
                <w:rFonts w:ascii="Times New Roman" w:hAnsi="Times New Roman"/>
                <w:sz w:val="22"/>
                <w:szCs w:val="22"/>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0E6521" w:rsidRPr="000E6521" w:rsidP="00047FA6">
            <w:pPr>
              <w:bidi w:val="0"/>
              <w:jc w:val="center"/>
              <w:rPr>
                <w:rFonts w:ascii="Times New Roman" w:hAnsi="Times New Roman"/>
                <w:sz w:val="22"/>
                <w:szCs w:val="22"/>
                <w:lang w:eastAsia="en-US"/>
              </w:rPr>
            </w:pPr>
            <w:r w:rsidRPr="000E6521">
              <w:rPr>
                <w:rFonts w:ascii="Segoe UI Symbol" w:eastAsia="MS Gothic" w:hAnsi="Segoe UI Symbol" w:cs="Segoe UI Symbol" w:hint="default"/>
                <w:sz w:val="22"/>
                <w:szCs w:val="22"/>
                <w:lang w:eastAsia="en-US"/>
              </w:rPr>
              <w:t>☒</w:t>
            </w:r>
            <w:r w:rsidRPr="000E6521">
              <w:rPr>
                <w:rFonts w:ascii="Times New Roman" w:hAnsi="Times New Roman"/>
                <w:sz w:val="22"/>
                <w:szCs w:val="22"/>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0E6521" w:rsidRPr="000E6521" w:rsidP="00047FA6">
            <w:pPr>
              <w:bidi w:val="0"/>
              <w:rPr>
                <w:rFonts w:ascii="Times New Roman" w:hAnsi="Times New Roman"/>
                <w:i/>
                <w:sz w:val="22"/>
                <w:szCs w:val="22"/>
                <w:lang w:eastAsia="en-US"/>
              </w:rPr>
            </w:pPr>
            <w:r w:rsidRPr="000E6521">
              <w:rPr>
                <w:rFonts w:ascii="Times New Roman" w:hAnsi="Times New Roman"/>
                <w:i/>
                <w:sz w:val="22"/>
                <w:szCs w:val="22"/>
                <w:lang w:eastAsia="en-US"/>
              </w:rPr>
              <w:t>Ak áno, uveďte ktoré oblasti budú nimi upravené, resp. ktorých vykonávacích predpisov sa zmena dotkne:</w:t>
            </w:r>
          </w:p>
          <w:p w:rsidR="000E6521" w:rsidRPr="000E6521" w:rsidP="00047FA6">
            <w:pPr>
              <w:bidi w:val="0"/>
              <w:rPr>
                <w:rFonts w:ascii="Times New Roman" w:hAnsi="Times New Roman"/>
                <w:sz w:val="22"/>
                <w:szCs w:val="22"/>
                <w:lang w:eastAsia="en-US"/>
              </w:rPr>
            </w:pPr>
          </w:p>
        </w:tc>
      </w:tr>
      <w:tr>
        <w:tblPrEx>
          <w:tblW w:w="9180" w:type="dxa"/>
          <w:tblLayout w:type="fixed"/>
          <w:tblLook w:val="04A0"/>
        </w:tblPrEx>
        <w:trPr>
          <w:trHeight w:val="291"/>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Áno.</w:t>
            </w:r>
          </w:p>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Napríklad článok 4 vykonávacej smernice Komisie č. 2015/2392 zo 17. decembra 2015 o nariadení Európskeho parlamentu a Rady (EÚ) č. 596/2014, pokiaľ ide o nahlasovanie skutočných alebo možných porušení daného nariadenia príslušným orgánom dohľadu nad finančným trhom udáva požiadavku na ďalšie zverejňovanie údajov (Národná banka Slovenska).</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0E6521" w:rsidRPr="000E6521" w:rsidP="00047FA6">
            <w:pPr>
              <w:bidi w:val="0"/>
              <w:jc w:val="center"/>
              <w:rPr>
                <w:rFonts w:ascii="Times New Roman" w:hAnsi="Times New Roman"/>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6521" w:rsidRPr="000E6521" w:rsidP="00047FA6">
            <w:pPr>
              <w:bidi w:val="0"/>
              <w:rPr>
                <w:rFonts w:ascii="Times New Roman" w:hAnsi="Times New Roman"/>
                <w:i/>
                <w:sz w:val="22"/>
                <w:szCs w:val="22"/>
                <w:lang w:eastAsia="en-US"/>
              </w:rPr>
            </w:pPr>
            <w:r w:rsidRPr="000E6521">
              <w:rPr>
                <w:rFonts w:ascii="Times New Roman" w:hAnsi="Times New Roman"/>
                <w:i/>
                <w:sz w:val="22"/>
                <w:szCs w:val="22"/>
                <w:lang w:eastAsia="en-US"/>
              </w:rPr>
              <w:t>Uveďte termín, kedy by malo dôjsť k preskúmaniu účinnosti a účelnosti navrhovaného predpisu.</w:t>
            </w:r>
          </w:p>
          <w:p w:rsidR="000E6521" w:rsidRPr="000E6521" w:rsidP="00047FA6">
            <w:pPr>
              <w:bidi w:val="0"/>
              <w:rPr>
                <w:rFonts w:ascii="Times New Roman" w:hAnsi="Times New Roman"/>
                <w:i/>
                <w:sz w:val="22"/>
                <w:szCs w:val="22"/>
                <w:lang w:eastAsia="en-US"/>
              </w:rPr>
            </w:pPr>
            <w:r w:rsidRPr="000E6521">
              <w:rPr>
                <w:rFonts w:ascii="Times New Roman" w:hAnsi="Times New Roman"/>
                <w:i/>
                <w:sz w:val="22"/>
                <w:szCs w:val="22"/>
                <w:lang w:eastAsia="en-US"/>
              </w:rPr>
              <w:t>Uveďte kritériá, na základe ktorých bude preskúmanie vykonané.</w:t>
            </w:r>
          </w:p>
          <w:p w:rsidR="000E6521" w:rsidRPr="000E6521" w:rsidP="00047FA6">
            <w:pPr>
              <w:bidi w:val="0"/>
              <w:rPr>
                <w:rFonts w:ascii="Times New Roman" w:hAnsi="Times New Roman"/>
                <w:i/>
                <w:sz w:val="22"/>
                <w:szCs w:val="22"/>
                <w:lang w:eastAsia="en-US"/>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0E6521" w:rsidRPr="000E6521" w:rsidP="00047FA6">
            <w:pPr>
              <w:bidi w:val="0"/>
              <w:ind w:left="142" w:hanging="142"/>
              <w:rPr>
                <w:rFonts w:ascii="Times New Roman" w:hAnsi="Times New Roman"/>
                <w:sz w:val="22"/>
                <w:szCs w:val="22"/>
                <w:lang w:eastAsia="en-US"/>
              </w:rPr>
            </w:pPr>
          </w:p>
          <w:p w:rsidR="000E6521" w:rsidRPr="000E6521" w:rsidP="00047FA6">
            <w:pPr>
              <w:bidi w:val="0"/>
              <w:ind w:left="142" w:hanging="142"/>
              <w:rPr>
                <w:rFonts w:ascii="Times New Roman" w:hAnsi="Times New Roman"/>
                <w:sz w:val="22"/>
                <w:szCs w:val="22"/>
                <w:lang w:eastAsia="en-US"/>
              </w:rPr>
            </w:pPr>
          </w:p>
          <w:p w:rsidR="000E6521" w:rsidRPr="000E6521" w:rsidP="00047FA6">
            <w:pPr>
              <w:bidi w:val="0"/>
              <w:ind w:left="142" w:hanging="142"/>
              <w:rPr>
                <w:rFonts w:ascii="Times New Roman" w:hAnsi="Times New Roman"/>
                <w:sz w:val="22"/>
                <w:szCs w:val="22"/>
                <w:lang w:eastAsia="en-US"/>
              </w:rPr>
            </w:pPr>
            <w:r w:rsidRPr="000E6521">
              <w:rPr>
                <w:rFonts w:ascii="Times New Roman" w:hAnsi="Times New Roman"/>
                <w:sz w:val="22"/>
                <w:szCs w:val="22"/>
                <w:lang w:eastAsia="en-US"/>
              </w:rPr>
              <w:t xml:space="preserve">* vyplniť iba v prípade, ak materiál nie je zahrnutý do Plánu práce vlády Slovenskej republiky alebo Plánu        legislatívnych úloh vlády Slovenskej republiky. </w:t>
            </w:r>
          </w:p>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0E6521" w:rsidRPr="000E6521" w:rsidP="00047FA6">
            <w:pPr>
              <w:bidi w:val="0"/>
              <w:rPr>
                <w:rFonts w:ascii="Times New Roman" w:hAnsi="Times New Roman"/>
                <w:b/>
                <w:sz w:val="22"/>
                <w:szCs w:val="22"/>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Gothic"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6521" w:rsidRPr="000E6521" w:rsidP="00047FA6">
            <w:pPr>
              <w:bidi w:val="0"/>
              <w:ind w:left="-107" w:right="-108"/>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6521" w:rsidRPr="000E6521" w:rsidP="00047FA6">
            <w:pPr>
              <w:bidi w:val="0"/>
              <w:ind w:left="34"/>
              <w:rPr>
                <w:rFonts w:ascii="Times New Roman" w:hAnsi="Times New Roman"/>
                <w:b/>
                <w:sz w:val="22"/>
                <w:szCs w:val="22"/>
                <w:lang w:eastAsia="en-US"/>
              </w:rPr>
            </w:pPr>
            <w:r w:rsidRPr="000E6521">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E6521" w:rsidRPr="000E6521" w:rsidP="00047FA6">
            <w:pPr>
              <w:bidi w:val="0"/>
              <w:jc w:val="center"/>
              <w:rPr>
                <w:rFonts w:ascii="Times New Roman" w:hAnsi="Times New Roman"/>
                <w:sz w:val="22"/>
                <w:szCs w:val="22"/>
                <w:lang w:eastAsia="en-US"/>
              </w:rPr>
            </w:pPr>
            <w:r w:rsidRPr="000E6521">
              <w:rPr>
                <w:rFonts w:ascii="Segoe UI Symbol" w:eastAsia="MS Mincho" w:hAnsi="Segoe UI Symbol" w:cs="Segoe UI Symbol" w:hint="default"/>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Áno</w:t>
            </w:r>
          </w:p>
        </w:tc>
        <w:tc>
          <w:tcPr>
            <w:tcW w:w="569" w:type="dxa"/>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sz w:val="22"/>
                <w:szCs w:val="22"/>
                <w:lang w:eastAsia="en-US"/>
              </w:rPr>
            </w:pPr>
            <w:r w:rsidRPr="000E6521">
              <w:rPr>
                <w:rFonts w:ascii="Segoe UI Symbol" w:eastAsia="MS Mincho" w:hAnsi="Segoe UI Symbol" w:cs="Segoe UI Symbol" w:hint="default"/>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0E6521" w:rsidRPr="000E6521" w:rsidP="00047FA6">
            <w:pPr>
              <w:bidi w:val="0"/>
              <w:ind w:left="-107" w:right="-108"/>
              <w:jc w:val="center"/>
              <w:rPr>
                <w:rFonts w:ascii="Times New Roman" w:hAnsi="Times New Roman"/>
                <w:sz w:val="22"/>
                <w:szCs w:val="22"/>
                <w:lang w:eastAsia="en-US"/>
              </w:rPr>
            </w:pPr>
            <w:r w:rsidRPr="000E6521">
              <w:rPr>
                <w:rFonts w:ascii="Segoe UI Symbol" w:eastAsia="MS Mincho"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6521" w:rsidRPr="000E6521" w:rsidP="00047FA6">
            <w:pPr>
              <w:bidi w:val="0"/>
              <w:ind w:left="34"/>
              <w:rPr>
                <w:rFonts w:ascii="Times New Roman" w:hAnsi="Times New Roman"/>
                <w:sz w:val="22"/>
                <w:szCs w:val="22"/>
                <w:lang w:eastAsia="en-US"/>
              </w:rPr>
            </w:pPr>
            <w:r w:rsidRPr="000E6521">
              <w:rPr>
                <w:rFonts w:ascii="Times New Roman" w:hAnsi="Times New Roman"/>
                <w:sz w:val="22"/>
                <w:szCs w:val="22"/>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6521" w:rsidRPr="000E6521" w:rsidP="00047FA6">
            <w:pPr>
              <w:bidi w:val="0"/>
              <w:ind w:right="-108"/>
              <w:rPr>
                <w:rFonts w:ascii="Times New Roman" w:hAnsi="Times New Roman"/>
                <w:b/>
                <w:sz w:val="22"/>
                <w:szCs w:val="22"/>
                <w:lang w:eastAsia="en-US"/>
              </w:rPr>
            </w:pPr>
            <w:r w:rsidRPr="000E6521">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Gothic"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6521" w:rsidRPr="000E6521" w:rsidP="00047FA6">
            <w:pPr>
              <w:bidi w:val="0"/>
              <w:ind w:left="54"/>
              <w:rPr>
                <w:rFonts w:ascii="Times New Roman" w:hAnsi="Times New Roman"/>
                <w:b/>
                <w:sz w:val="22"/>
                <w:szCs w:val="22"/>
                <w:lang w:eastAsia="en-US"/>
              </w:rPr>
            </w:pPr>
            <w:r w:rsidRPr="000E6521">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0E6521" w:rsidRPr="000E6521" w:rsidP="00047FA6">
            <w:pPr>
              <w:bidi w:val="0"/>
              <w:jc w:val="center"/>
              <w:rPr>
                <w:rFonts w:ascii="Times New Roman" w:hAnsi="Times New Roman"/>
                <w:sz w:val="22"/>
                <w:szCs w:val="22"/>
                <w:lang w:eastAsia="en-US"/>
              </w:rPr>
            </w:pPr>
            <w:r w:rsidRPr="000E6521">
              <w:rPr>
                <w:rFonts w:ascii="Segoe UI Symbol" w:eastAsia="MS Mincho" w:hAnsi="Segoe UI Symbol" w:cs="Segoe UI Symbol" w:hint="default"/>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6521" w:rsidRPr="000E6521" w:rsidP="00047FA6">
            <w:pPr>
              <w:bidi w:val="0"/>
              <w:ind w:right="-108"/>
              <w:rPr>
                <w:rFonts w:ascii="Times New Roman" w:hAnsi="Times New Roman"/>
                <w:sz w:val="22"/>
                <w:szCs w:val="22"/>
                <w:lang w:eastAsia="en-US"/>
              </w:rPr>
            </w:pPr>
            <w:r w:rsidRPr="000E6521">
              <w:rPr>
                <w:rFonts w:ascii="Times New Roman" w:hAnsi="Times New Roman"/>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sz w:val="22"/>
                <w:szCs w:val="22"/>
                <w:lang w:eastAsia="en-US"/>
              </w:rPr>
            </w:pPr>
            <w:r w:rsidRPr="000E6521">
              <w:rPr>
                <w:rFonts w:ascii="Segoe UI Symbol" w:eastAsia="MS Mincho" w:hAnsi="Segoe UI Symbol" w:cs="Segoe UI Symbol" w:hint="default"/>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sz w:val="22"/>
                <w:szCs w:val="22"/>
                <w:lang w:eastAsia="en-US"/>
              </w:rPr>
            </w:pPr>
            <w:r w:rsidRPr="000E6521">
              <w:rPr>
                <w:rFonts w:ascii="Segoe UI Symbol" w:eastAsia="MS Mincho" w:hAnsi="Segoe UI Symbol" w:cs="Segoe UI Symbol" w:hint="default"/>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6521" w:rsidRPr="000E6521" w:rsidP="00047FA6">
            <w:pPr>
              <w:bidi w:val="0"/>
              <w:ind w:left="54"/>
              <w:rPr>
                <w:rFonts w:ascii="Times New Roman" w:hAnsi="Times New Roman"/>
                <w:sz w:val="22"/>
                <w:szCs w:val="22"/>
                <w:lang w:eastAsia="en-US"/>
              </w:rPr>
            </w:pPr>
            <w:r w:rsidRPr="000E6521">
              <w:rPr>
                <w:rFonts w:ascii="Times New Roman" w:hAnsi="Times New Roman"/>
                <w:sz w:val="22"/>
                <w:szCs w:val="22"/>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6521" w:rsidRPr="000E6521" w:rsidP="00047FA6">
            <w:pPr>
              <w:bidi w:val="0"/>
              <w:ind w:right="-108"/>
              <w:rPr>
                <w:rFonts w:ascii="Times New Roman" w:hAnsi="Times New Roman"/>
                <w:b/>
                <w:sz w:val="22"/>
                <w:szCs w:val="22"/>
                <w:lang w:eastAsia="en-US"/>
              </w:rPr>
            </w:pPr>
            <w:r w:rsidRPr="000E6521">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Gothic"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6521" w:rsidRPr="000E6521" w:rsidP="00047FA6">
            <w:pPr>
              <w:bidi w:val="0"/>
              <w:ind w:left="54"/>
              <w:rPr>
                <w:rFonts w:ascii="Times New Roman" w:hAnsi="Times New Roman"/>
                <w:b/>
                <w:sz w:val="22"/>
                <w:szCs w:val="22"/>
                <w:lang w:eastAsia="en-US"/>
              </w:rPr>
            </w:pPr>
            <w:r w:rsidRPr="000E6521">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6521" w:rsidRPr="000E6521" w:rsidP="00047FA6">
            <w:pPr>
              <w:bidi w:val="0"/>
              <w:ind w:right="-108"/>
              <w:rPr>
                <w:rFonts w:ascii="Times New Roman" w:hAnsi="Times New Roman"/>
                <w:b/>
                <w:sz w:val="22"/>
                <w:szCs w:val="22"/>
                <w:lang w:eastAsia="en-US"/>
              </w:rPr>
            </w:pPr>
            <w:r w:rsidRPr="000E6521">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Gothic"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6521" w:rsidRPr="000E6521" w:rsidP="00047FA6">
            <w:pPr>
              <w:bidi w:val="0"/>
              <w:ind w:left="54"/>
              <w:rPr>
                <w:rFonts w:ascii="Times New Roman" w:hAnsi="Times New Roman"/>
                <w:b/>
                <w:sz w:val="22"/>
                <w:szCs w:val="22"/>
                <w:lang w:eastAsia="en-US"/>
              </w:rPr>
            </w:pPr>
            <w:r w:rsidRPr="000E6521">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Gothic" w:hAnsi="Segoe UI Symbol" w:cs="Segoe UI Symbol" w:hint="default"/>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0E6521" w:rsidRPr="000E6521" w:rsidP="00047FA6">
            <w:pPr>
              <w:bidi w:val="0"/>
              <w:ind w:right="-108"/>
              <w:rPr>
                <w:rFonts w:ascii="Times New Roman" w:hAnsi="Times New Roman"/>
                <w:b/>
                <w:sz w:val="22"/>
                <w:szCs w:val="22"/>
                <w:lang w:eastAsia="en-US"/>
              </w:rPr>
            </w:pPr>
            <w:r w:rsidRPr="000E6521">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Gothic" w:hAnsi="Segoe UI Symbol" w:cs="Segoe UI Symbol" w:hint="default"/>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0E6521" w:rsidRPr="000E6521" w:rsidP="00047FA6">
            <w:pPr>
              <w:bidi w:val="0"/>
              <w:rPr>
                <w:rFonts w:ascii="Times New Roman" w:hAnsi="Times New Roman"/>
                <w:b/>
                <w:sz w:val="22"/>
                <w:szCs w:val="22"/>
                <w:lang w:eastAsia="en-US"/>
              </w:rPr>
            </w:pPr>
            <w:r w:rsidRPr="000E6521">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0E6521" w:rsidRPr="000E6521" w:rsidP="00047FA6">
            <w:pPr>
              <w:bidi w:val="0"/>
              <w:jc w:val="center"/>
              <w:rPr>
                <w:rFonts w:ascii="Times New Roman" w:hAnsi="Times New Roman"/>
                <w:b/>
                <w:sz w:val="22"/>
                <w:szCs w:val="22"/>
                <w:lang w:eastAsia="en-US"/>
              </w:rPr>
            </w:pPr>
            <w:r w:rsidRPr="000E6521">
              <w:rPr>
                <w:rFonts w:ascii="Segoe UI Symbol" w:eastAsia="MS Mincho" w:hAnsi="Segoe UI Symbol" w:cs="Segoe UI Symbol" w:hint="default"/>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0E6521" w:rsidRPr="000E6521" w:rsidP="00047FA6">
            <w:pPr>
              <w:bidi w:val="0"/>
              <w:ind w:left="54"/>
              <w:rPr>
                <w:rFonts w:ascii="Times New Roman" w:hAnsi="Times New Roman"/>
                <w:b/>
                <w:sz w:val="22"/>
                <w:szCs w:val="22"/>
                <w:lang w:eastAsia="en-US"/>
              </w:rPr>
            </w:pPr>
            <w:r w:rsidRPr="000E6521">
              <w:rPr>
                <w:rFonts w:ascii="Times New Roman" w:hAnsi="Times New Roman"/>
                <w:b/>
                <w:sz w:val="22"/>
                <w:szCs w:val="22"/>
                <w:lang w:eastAsia="en-US"/>
              </w:rPr>
              <w:t>Negatívne</w:t>
            </w:r>
          </w:p>
        </w:tc>
      </w:tr>
    </w:tbl>
    <w:p w:rsidR="000E6521" w:rsidRPr="000E6521" w:rsidP="000E6521">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0E6521" w:rsidRPr="000E6521" w:rsidP="00047FA6">
            <w:pPr>
              <w:bidi w:val="0"/>
              <w:spacing w:after="0" w:line="240" w:lineRule="auto"/>
              <w:rPr>
                <w:rFonts w:ascii="Times New Roman" w:hAnsi="Times New Roman"/>
                <w:b/>
              </w:rPr>
            </w:pPr>
            <w:r w:rsidRPr="000E6521">
              <w:rPr>
                <w:rFonts w:ascii="Times New Roman" w:hAnsi="Times New Roman"/>
                <w:b/>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0E6521" w:rsidRPr="000E6521" w:rsidP="00047FA6">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0E6521" w:rsidRPr="000E6521" w:rsidP="00047FA6">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0E6521" w:rsidRPr="000E6521" w:rsidP="00047FA6">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0E6521" w:rsidRPr="000E6521" w:rsidP="00047FA6">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0E6521" w:rsidRPr="000E6521" w:rsidP="00047FA6">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0E6521" w:rsidRPr="000E6521" w:rsidP="00047FA6">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0E6521" w:rsidRPr="000E6521" w:rsidP="00047FA6">
            <w:pPr>
              <w:bidi w:val="0"/>
              <w:spacing w:after="0" w:line="240" w:lineRule="auto"/>
              <w:ind w:left="196" w:hanging="196"/>
              <w:rPr>
                <w:rFonts w:ascii="Times New Roman" w:hAnsi="Times New Roman"/>
                <w:b/>
                <w:lang w:eastAsia="en-US"/>
              </w:rPr>
            </w:pPr>
            <w:r w:rsidRPr="000E6521">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0E6521" w:rsidRPr="000E6521" w:rsidP="00047FA6">
            <w:pPr>
              <w:bidi w:val="0"/>
              <w:spacing w:after="0" w:line="240" w:lineRule="auto"/>
              <w:jc w:val="center"/>
              <w:rPr>
                <w:rFonts w:ascii="Times New Roman" w:hAnsi="Times New Roman"/>
                <w:b/>
              </w:rPr>
            </w:pPr>
            <w:r w:rsidRPr="000E6521">
              <w:rPr>
                <w:rFonts w:ascii="Segoe UI Symbol" w:eastAsia="MS Gothic" w:hAnsi="Segoe UI Symbol" w:cs="Segoe UI Symbol" w:hint="default"/>
                <w:b/>
              </w:rPr>
              <w:t>☐</w:t>
            </w:r>
          </w:p>
        </w:tc>
        <w:tc>
          <w:tcPr>
            <w:tcW w:w="1281" w:type="dxa"/>
            <w:tcBorders>
              <w:top w:val="nil"/>
              <w:left w:val="nil"/>
              <w:bottom w:val="nil"/>
              <w:right w:val="nil"/>
            </w:tcBorders>
            <w:textDirection w:val="lrTb"/>
            <w:vAlign w:val="top"/>
          </w:tcPr>
          <w:p w:rsidR="000E6521" w:rsidRPr="000E6521" w:rsidP="00047FA6">
            <w:pPr>
              <w:bidi w:val="0"/>
              <w:spacing w:after="0" w:line="240" w:lineRule="auto"/>
              <w:ind w:right="-108"/>
              <w:rPr>
                <w:rFonts w:ascii="Times New Roman" w:hAnsi="Times New Roman"/>
                <w:b/>
              </w:rPr>
            </w:pPr>
            <w:r w:rsidRPr="000E6521">
              <w:rPr>
                <w:rFonts w:ascii="Times New Roman" w:hAnsi="Times New Roman"/>
                <w:b/>
              </w:rPr>
              <w:t>Pozitívne</w:t>
            </w:r>
          </w:p>
        </w:tc>
        <w:tc>
          <w:tcPr>
            <w:tcW w:w="569" w:type="dxa"/>
            <w:tcBorders>
              <w:top w:val="nil"/>
              <w:left w:val="nil"/>
              <w:bottom w:val="nil"/>
              <w:right w:val="nil"/>
            </w:tcBorders>
            <w:textDirection w:val="lrTb"/>
            <w:vAlign w:val="top"/>
          </w:tcPr>
          <w:p w:rsidR="000E6521" w:rsidRPr="000E6521" w:rsidP="00047FA6">
            <w:pPr>
              <w:bidi w:val="0"/>
              <w:spacing w:after="0" w:line="240" w:lineRule="auto"/>
              <w:jc w:val="center"/>
              <w:rPr>
                <w:rFonts w:ascii="Times New Roman" w:hAnsi="Times New Roman"/>
                <w:b/>
              </w:rPr>
            </w:pPr>
            <w:r w:rsidRPr="000E6521">
              <w:rPr>
                <w:rFonts w:ascii="Segoe UI Symbol" w:eastAsia="MS Gothic" w:hAnsi="Segoe UI Symbol" w:cs="Segoe UI Symbol" w:hint="default"/>
                <w:b/>
              </w:rPr>
              <w:t>☒</w:t>
            </w:r>
          </w:p>
        </w:tc>
        <w:tc>
          <w:tcPr>
            <w:tcW w:w="1133" w:type="dxa"/>
            <w:tcBorders>
              <w:top w:val="nil"/>
              <w:left w:val="nil"/>
              <w:bottom w:val="nil"/>
              <w:right w:val="nil"/>
            </w:tcBorders>
            <w:textDirection w:val="lrTb"/>
            <w:vAlign w:val="top"/>
          </w:tcPr>
          <w:p w:rsidR="000E6521" w:rsidRPr="000E6521" w:rsidP="00047FA6">
            <w:pPr>
              <w:bidi w:val="0"/>
              <w:spacing w:after="0" w:line="240" w:lineRule="auto"/>
              <w:rPr>
                <w:rFonts w:ascii="Times New Roman" w:hAnsi="Times New Roman"/>
                <w:b/>
              </w:rPr>
            </w:pPr>
            <w:r w:rsidRPr="000E6521">
              <w:rPr>
                <w:rFonts w:ascii="Times New Roman" w:hAnsi="Times New Roman"/>
                <w:b/>
              </w:rPr>
              <w:t>Žiadne</w:t>
            </w:r>
          </w:p>
        </w:tc>
        <w:tc>
          <w:tcPr>
            <w:tcW w:w="547" w:type="dxa"/>
            <w:tcBorders>
              <w:top w:val="nil"/>
              <w:left w:val="nil"/>
              <w:bottom w:val="nil"/>
              <w:right w:val="nil"/>
            </w:tcBorders>
            <w:textDirection w:val="lrTb"/>
            <w:vAlign w:val="top"/>
          </w:tcPr>
          <w:p w:rsidR="000E6521" w:rsidRPr="000E6521" w:rsidP="00047FA6">
            <w:pPr>
              <w:bidi w:val="0"/>
              <w:spacing w:after="0" w:line="240" w:lineRule="auto"/>
              <w:jc w:val="center"/>
              <w:rPr>
                <w:rFonts w:ascii="Times New Roman" w:hAnsi="Times New Roman"/>
                <w:b/>
              </w:rPr>
            </w:pPr>
            <w:r w:rsidRPr="000E6521">
              <w:rPr>
                <w:rFonts w:ascii="Segoe UI Symbol" w:eastAsia="MS Mincho" w:hAnsi="Segoe UI Symbol" w:cs="Segoe UI Symbol" w:hint="default"/>
                <w:b/>
              </w:rPr>
              <w:t>☐</w:t>
            </w:r>
          </w:p>
        </w:tc>
        <w:tc>
          <w:tcPr>
            <w:tcW w:w="1297" w:type="dxa"/>
            <w:tcBorders>
              <w:top w:val="nil"/>
              <w:left w:val="nil"/>
              <w:bottom w:val="nil"/>
              <w:right w:val="single" w:sz="4" w:space="0" w:color="auto"/>
            </w:tcBorders>
            <w:textDirection w:val="lrTb"/>
            <w:vAlign w:val="top"/>
          </w:tcPr>
          <w:p w:rsidR="000E6521" w:rsidRPr="000E6521" w:rsidP="00047FA6">
            <w:pPr>
              <w:bidi w:val="0"/>
              <w:spacing w:after="0" w:line="240" w:lineRule="auto"/>
              <w:ind w:left="54"/>
              <w:rPr>
                <w:rFonts w:ascii="Times New Roman" w:hAnsi="Times New Roman"/>
                <w:b/>
              </w:rPr>
            </w:pPr>
            <w:r w:rsidRPr="000E6521">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0E6521" w:rsidRPr="000E6521" w:rsidP="00047FA6">
            <w:pPr>
              <w:bidi w:val="0"/>
              <w:spacing w:after="0" w:line="240" w:lineRule="auto"/>
              <w:ind w:left="168" w:hanging="168"/>
              <w:rPr>
                <w:rFonts w:ascii="Times New Roman" w:hAnsi="Times New Roman"/>
                <w:b/>
                <w:lang w:eastAsia="en-US"/>
              </w:rPr>
            </w:pPr>
            <w:r w:rsidRPr="000E6521">
              <w:rPr>
                <w:rFonts w:ascii="Times New Roman" w:hAnsi="Times New Roman"/>
                <w:b/>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0E6521" w:rsidRPr="000E6521" w:rsidP="00047FA6">
            <w:pPr>
              <w:bidi w:val="0"/>
              <w:spacing w:after="0" w:line="240" w:lineRule="auto"/>
              <w:jc w:val="center"/>
              <w:rPr>
                <w:rFonts w:ascii="Times New Roman" w:hAnsi="Times New Roman"/>
                <w:b/>
              </w:rPr>
            </w:pPr>
            <w:r w:rsidRPr="000E6521">
              <w:rPr>
                <w:rFonts w:ascii="Segoe UI Symbol" w:eastAsia="MS Mincho" w:hAnsi="Segoe UI Symbol" w:cs="Segoe UI Symbol" w:hint="default"/>
                <w:b/>
              </w:rPr>
              <w:t>☐</w:t>
            </w:r>
          </w:p>
        </w:tc>
        <w:tc>
          <w:tcPr>
            <w:tcW w:w="1281" w:type="dxa"/>
            <w:tcBorders>
              <w:top w:val="nil"/>
              <w:left w:val="nil"/>
              <w:bottom w:val="single" w:sz="4" w:space="0" w:color="auto"/>
              <w:right w:val="nil"/>
            </w:tcBorders>
            <w:textDirection w:val="lrTb"/>
            <w:vAlign w:val="top"/>
          </w:tcPr>
          <w:p w:rsidR="000E6521" w:rsidRPr="000E6521" w:rsidP="00047FA6">
            <w:pPr>
              <w:bidi w:val="0"/>
              <w:spacing w:after="0" w:line="240" w:lineRule="auto"/>
              <w:ind w:right="-108"/>
              <w:rPr>
                <w:rFonts w:ascii="Times New Roman" w:hAnsi="Times New Roman"/>
                <w:b/>
              </w:rPr>
            </w:pPr>
            <w:r w:rsidRPr="000E6521">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0E6521" w:rsidRPr="000E6521" w:rsidP="00047FA6">
            <w:pPr>
              <w:bidi w:val="0"/>
              <w:spacing w:after="0" w:line="240" w:lineRule="auto"/>
              <w:jc w:val="center"/>
              <w:rPr>
                <w:rFonts w:ascii="Times New Roman" w:hAnsi="Times New Roman"/>
                <w:b/>
              </w:rPr>
            </w:pPr>
            <w:r w:rsidRPr="000E6521">
              <w:rPr>
                <w:rFonts w:ascii="Segoe UI Symbol" w:eastAsia="MS Gothic" w:hAnsi="Segoe UI Symbol" w:cs="Segoe UI Symbol" w:hint="default"/>
                <w:b/>
              </w:rPr>
              <w:t>☒</w:t>
            </w:r>
          </w:p>
        </w:tc>
        <w:tc>
          <w:tcPr>
            <w:tcW w:w="1133" w:type="dxa"/>
            <w:tcBorders>
              <w:top w:val="nil"/>
              <w:left w:val="nil"/>
              <w:bottom w:val="single" w:sz="4" w:space="0" w:color="auto"/>
              <w:right w:val="nil"/>
            </w:tcBorders>
            <w:textDirection w:val="lrTb"/>
            <w:vAlign w:val="top"/>
          </w:tcPr>
          <w:p w:rsidR="000E6521" w:rsidRPr="000E6521" w:rsidP="00047FA6">
            <w:pPr>
              <w:bidi w:val="0"/>
              <w:spacing w:after="0" w:line="240" w:lineRule="auto"/>
              <w:rPr>
                <w:rFonts w:ascii="Times New Roman" w:hAnsi="Times New Roman"/>
                <w:b/>
              </w:rPr>
            </w:pPr>
            <w:r w:rsidRPr="000E6521">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0E6521" w:rsidRPr="000E6521" w:rsidP="00047FA6">
            <w:pPr>
              <w:bidi w:val="0"/>
              <w:spacing w:after="0" w:line="240" w:lineRule="auto"/>
              <w:jc w:val="center"/>
              <w:rPr>
                <w:rFonts w:ascii="Times New Roman" w:hAnsi="Times New Roman"/>
                <w:b/>
              </w:rPr>
            </w:pPr>
            <w:r w:rsidRPr="000E6521">
              <w:rPr>
                <w:rFonts w:ascii="Segoe UI Symbol" w:eastAsia="MS Mincho" w:hAnsi="Segoe UI Symbol" w:cs="Segoe UI Symbol" w:hint="default"/>
                <w:b/>
              </w:rPr>
              <w:t>☐</w:t>
            </w:r>
          </w:p>
        </w:tc>
        <w:tc>
          <w:tcPr>
            <w:tcW w:w="1297" w:type="dxa"/>
            <w:tcBorders>
              <w:top w:val="nil"/>
              <w:left w:val="nil"/>
              <w:bottom w:val="single" w:sz="4" w:space="0" w:color="auto"/>
              <w:right w:val="single" w:sz="4" w:space="0" w:color="auto"/>
            </w:tcBorders>
            <w:textDirection w:val="lrTb"/>
            <w:vAlign w:val="top"/>
          </w:tcPr>
          <w:p w:rsidR="000E6521" w:rsidRPr="000E6521" w:rsidP="00047FA6">
            <w:pPr>
              <w:bidi w:val="0"/>
              <w:spacing w:after="0" w:line="240" w:lineRule="auto"/>
              <w:ind w:left="54"/>
              <w:rPr>
                <w:rFonts w:ascii="Times New Roman" w:hAnsi="Times New Roman"/>
                <w:b/>
              </w:rPr>
            </w:pPr>
            <w:r w:rsidRPr="000E6521">
              <w:rPr>
                <w:rFonts w:ascii="Times New Roman" w:hAnsi="Times New Roman"/>
                <w:b/>
              </w:rPr>
              <w:t>Negatívne</w:t>
            </w:r>
          </w:p>
        </w:tc>
      </w:tr>
    </w:tbl>
    <w:p w:rsidR="000E6521" w:rsidRPr="000E6521" w:rsidP="000E652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K predbežnej informácii k predmetnému návrhu zákona boli vznesené tri vyjadrenia. Vyjadrenia Verejnosti a Klubu 500 boli predkladateľom nezohľadnené nakoľko by nebolo možné dosiahnuť cieľ sledovaný navrhovanou právnou úpravou a vyjadrenie SBA (Slovenská banková asociácia) bolo zohľadnené.</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6521" w:rsidRPr="000E6521" w:rsidP="00047FA6">
            <w:pPr>
              <w:bidi w:val="0"/>
              <w:rPr>
                <w:rStyle w:val="Hyperlink"/>
                <w:rFonts w:ascii="Times New Roman" w:hAnsi="Times New Roman"/>
                <w:sz w:val="22"/>
                <w:szCs w:val="22"/>
                <w:lang w:eastAsia="en-US"/>
              </w:rPr>
            </w:pPr>
            <w:r w:rsidRPr="000E6521">
              <w:rPr>
                <w:rFonts w:ascii="Times New Roman" w:hAnsi="Times New Roman"/>
                <w:sz w:val="22"/>
                <w:szCs w:val="22"/>
                <w:lang w:eastAsia="en-US"/>
              </w:rPr>
              <w:t xml:space="preserve">Mgr. Ján Foltán, </w:t>
            </w:r>
            <w:hyperlink r:id="rId5" w:history="1">
              <w:r w:rsidRPr="000E6521">
                <w:rPr>
                  <w:rStyle w:val="Hyperlink"/>
                  <w:rFonts w:ascii="Times New Roman" w:hAnsi="Times New Roman"/>
                  <w:sz w:val="22"/>
                  <w:szCs w:val="22"/>
                  <w:lang w:eastAsia="en-US"/>
                </w:rPr>
                <w:t>jan.foltan@mfsr.sk</w:t>
              </w:r>
            </w:hyperlink>
          </w:p>
          <w:p w:rsidR="000E6521" w:rsidRPr="000E6521" w:rsidP="00047FA6">
            <w:pPr>
              <w:bidi w:val="0"/>
              <w:rPr>
                <w:rStyle w:val="Hyperlink"/>
                <w:rFonts w:ascii="Times New Roman" w:hAnsi="Times New Roman"/>
                <w:sz w:val="22"/>
                <w:szCs w:val="22"/>
                <w:lang w:eastAsia="en-US"/>
              </w:rPr>
            </w:pPr>
          </w:p>
          <w:p w:rsidR="000E6521" w:rsidRPr="000E6521" w:rsidP="00047FA6">
            <w:pPr>
              <w:bidi w:val="0"/>
              <w:rPr>
                <w:rStyle w:val="Hyperlink"/>
                <w:rFonts w:ascii="Times New Roman" w:hAnsi="Times New Roman"/>
                <w:sz w:val="22"/>
                <w:szCs w:val="22"/>
                <w:lang w:eastAsia="en-US"/>
              </w:rPr>
            </w:pPr>
          </w:p>
          <w:p w:rsidR="000E6521" w:rsidRPr="000E6521" w:rsidP="00047FA6">
            <w:pPr>
              <w:bidi w:val="0"/>
              <w:rPr>
                <w:rFonts w:ascii="Times New Roman" w:hAnsi="Times New Roman"/>
                <w:i/>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V spolupráci so Sekciou informatizácie spoločnosti Ministerstva financií Slovenskej republiky</w:t>
            </w:r>
          </w:p>
          <w:p w:rsidR="000E6521" w:rsidRPr="000E6521" w:rsidP="00047FA6">
            <w:pPr>
              <w:bidi w:val="0"/>
              <w:rPr>
                <w:rFonts w:ascii="Times New Roman" w:hAnsi="Times New Roman"/>
                <w:sz w:val="22"/>
                <w:szCs w:val="22"/>
                <w:lang w:eastAsia="en-US"/>
              </w:rPr>
            </w:pPr>
          </w:p>
          <w:p w:rsidR="000E6521" w:rsidRPr="000E6521" w:rsidP="00047FA6">
            <w:pPr>
              <w:bidi w:val="0"/>
              <w:rPr>
                <w:rFonts w:ascii="Times New Roman" w:hAnsi="Times New Roman"/>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0E6521" w:rsidRPr="000E6521" w:rsidP="000E6521">
            <w:pPr>
              <w:pStyle w:val="ListParagraph"/>
              <w:numPr>
                <w:numId w:val="11"/>
              </w:numPr>
              <w:bidi w:val="0"/>
              <w:spacing w:after="0" w:line="240" w:lineRule="auto"/>
              <w:ind w:left="426"/>
              <w:contextualSpacing/>
              <w:rPr>
                <w:rFonts w:ascii="Times New Roman" w:hAnsi="Times New Roman" w:cs="Times New Roman"/>
                <w:b/>
              </w:rPr>
            </w:pPr>
            <w:r w:rsidRPr="000E6521">
              <w:rPr>
                <w:rFonts w:ascii="Times New Roman" w:hAnsi="Times New Roman" w:cs="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0E6521" w:rsidRPr="000E6521" w:rsidP="00047FA6">
            <w:pPr>
              <w:bidi w:val="0"/>
              <w:rPr>
                <w:rFonts w:ascii="Times New Roman" w:hAnsi="Times New Roman"/>
                <w:sz w:val="22"/>
                <w:szCs w:val="22"/>
                <w:lang w:eastAsia="en-US"/>
              </w:rPr>
            </w:pPr>
            <w:r w:rsidRPr="000E6521">
              <w:rPr>
                <w:rFonts w:ascii="Times New Roman" w:hAnsi="Times New Roman"/>
                <w:sz w:val="22"/>
                <w:szCs w:val="22"/>
                <w:lang w:eastAsia="en-US"/>
              </w:rPr>
              <w:t>Stála pracovná komisia na posudzovanie vybraných vplyvov vyjadruje súhlasné stanovisko s materiálom predloženým na predbežné pripomienkové konanie.</w:t>
            </w:r>
          </w:p>
          <w:p w:rsidR="000E6521" w:rsidRPr="000E6521" w:rsidP="00047FA6">
            <w:pPr>
              <w:bidi w:val="0"/>
              <w:rPr>
                <w:rFonts w:ascii="Times New Roman" w:hAnsi="Times New Roman"/>
                <w:b/>
                <w:sz w:val="22"/>
                <w:szCs w:val="22"/>
                <w:lang w:eastAsia="en-US"/>
              </w:rPr>
            </w:pPr>
          </w:p>
          <w:p w:rsidR="000E6521" w:rsidRPr="000E6521" w:rsidP="00047FA6">
            <w:pPr>
              <w:bidi w:val="0"/>
              <w:rPr>
                <w:rFonts w:ascii="Times New Roman" w:hAnsi="Times New Roman"/>
                <w:b/>
                <w:sz w:val="22"/>
                <w:szCs w:val="22"/>
                <w:lang w:eastAsia="en-US"/>
              </w:rPr>
            </w:pPr>
          </w:p>
          <w:p w:rsidR="000E6521" w:rsidRPr="000E6521" w:rsidP="00047FA6">
            <w:pPr>
              <w:bidi w:val="0"/>
              <w:rPr>
                <w:rFonts w:ascii="Times New Roman" w:hAnsi="Times New Roman"/>
                <w:b/>
                <w:sz w:val="22"/>
                <w:szCs w:val="22"/>
                <w:lang w:eastAsia="en-US"/>
              </w:rPr>
            </w:pPr>
          </w:p>
          <w:p w:rsidR="000E6521" w:rsidRPr="000E6521" w:rsidP="00047FA6">
            <w:pPr>
              <w:bidi w:val="0"/>
              <w:rPr>
                <w:rFonts w:ascii="Times New Roman" w:hAnsi="Times New Roman"/>
                <w:b/>
                <w:sz w:val="22"/>
                <w:szCs w:val="22"/>
                <w:lang w:eastAsia="en-US"/>
              </w:rPr>
            </w:pPr>
          </w:p>
        </w:tc>
      </w:tr>
    </w:tbl>
    <w:p w:rsidR="000E6521" w:rsidP="000E6521">
      <w:pPr>
        <w:bidi w:val="0"/>
        <w:rPr>
          <w:rFonts w:ascii="Times New Roman" w:hAnsi="Times New Roman"/>
          <w:b/>
        </w:rPr>
      </w:pPr>
    </w:p>
    <w:p w:rsidR="000E6521" w:rsidP="000E6521">
      <w:pPr>
        <w:bidi w:val="0"/>
        <w:rPr>
          <w:rFonts w:ascii="Times New Roman" w:hAnsi="Times New Roman"/>
          <w:b/>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p w:rsidR="000E6521" w:rsidP="000E6521">
      <w:pPr>
        <w:bidi w:val="0"/>
        <w:rPr>
          <w:rFonts w:ascii="Times New Roman" w:hAnsi="Times New Roman"/>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6521" w:rsidRPr="005C4B9C" w:rsidP="00047FA6">
            <w:pPr>
              <w:bidi w:val="0"/>
              <w:spacing w:after="0" w:line="240" w:lineRule="auto"/>
              <w:jc w:val="center"/>
              <w:rPr>
                <w:rFonts w:ascii="Times New Roman" w:hAnsi="Times New Roman"/>
                <w:b/>
                <w:bCs/>
                <w:sz w:val="28"/>
                <w:szCs w:val="28"/>
              </w:rPr>
            </w:pPr>
            <w:r w:rsidRPr="005C4B9C">
              <w:rPr>
                <w:rFonts w:ascii="Times New Roman" w:hAnsi="Times New Roman"/>
                <w:b/>
                <w:bCs/>
                <w:sz w:val="28"/>
                <w:szCs w:val="28"/>
              </w:rPr>
              <w:t>Analýza vplyvov na informatizáciu spoločnosti</w:t>
            </w:r>
          </w:p>
          <w:p w:rsidR="000E6521" w:rsidRPr="005C4B9C" w:rsidP="00047FA6">
            <w:pPr>
              <w:bidi w:val="0"/>
              <w:spacing w:after="0" w:line="240" w:lineRule="auto"/>
              <w:jc w:val="center"/>
              <w:rPr>
                <w:rFonts w:ascii="Times New Roman" w:hAnsi="Times New Roman"/>
                <w:b/>
                <w:i/>
                <w:iCs/>
                <w:sz w:val="2"/>
                <w:szCs w:val="22"/>
              </w:rPr>
            </w:pPr>
            <w:r w:rsidRPr="005C4B9C">
              <w:rPr>
                <w:rFonts w:ascii="Times New Roman" w:hAnsi="Times New Roman"/>
                <w:b/>
              </w:rPr>
              <w:t>Budovanie základných pilierov informatizácie</w:t>
            </w:r>
          </w:p>
        </w:tc>
      </w:tr>
      <w:tr>
        <w:tblPrEx>
          <w:tblW w:w="9371" w:type="dxa"/>
          <w:tblInd w:w="55"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szCs w:val="22"/>
              </w:rPr>
            </w:pPr>
            <w:r w:rsidRPr="005C4B9C">
              <w:rPr>
                <w:rFonts w:ascii="Times New Roman" w:hAnsi="Times New Roman"/>
                <w:b/>
                <w:szCs w:val="22"/>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szCs w:val="22"/>
              </w:rPr>
            </w:pPr>
            <w:r w:rsidRPr="005C4B9C">
              <w:rPr>
                <w:rFonts w:ascii="Times New Roman" w:hAnsi="Times New Roman"/>
                <w:b/>
                <w:szCs w:val="22"/>
              </w:rPr>
              <w:t>A – nová služba</w:t>
            </w:r>
          </w:p>
          <w:p w:rsidR="000E6521" w:rsidRPr="005C4B9C" w:rsidP="00047FA6">
            <w:pPr>
              <w:bidi w:val="0"/>
              <w:spacing w:after="0" w:line="240" w:lineRule="auto"/>
              <w:jc w:val="center"/>
              <w:rPr>
                <w:rFonts w:ascii="Times New Roman" w:hAnsi="Times New Roman"/>
                <w:i/>
                <w:iCs/>
                <w:szCs w:val="22"/>
              </w:rPr>
            </w:pPr>
            <w:r w:rsidRPr="005C4B9C">
              <w:rPr>
                <w:rFonts w:ascii="Times New Roman" w:hAnsi="Times New Roman"/>
                <w:b/>
                <w:szCs w:val="22"/>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i/>
                <w:iCs/>
                <w:szCs w:val="22"/>
              </w:rPr>
            </w:pPr>
          </w:p>
          <w:p w:rsidR="000E6521" w:rsidRPr="005C4B9C" w:rsidP="00047FA6">
            <w:pPr>
              <w:bidi w:val="0"/>
              <w:spacing w:after="200" w:line="240" w:lineRule="auto"/>
              <w:jc w:val="center"/>
              <w:rPr>
                <w:rFonts w:ascii="Times New Roman" w:hAnsi="Times New Roman"/>
                <w:szCs w:val="22"/>
              </w:rPr>
            </w:pPr>
            <w:r w:rsidRPr="005C4B9C">
              <w:rPr>
                <w:rFonts w:ascii="Times New Roman" w:hAnsi="Times New Roman"/>
                <w:b/>
                <w:szCs w:val="22"/>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szCs w:val="22"/>
              </w:rPr>
            </w:pPr>
          </w:p>
          <w:p w:rsidR="000E6521" w:rsidRPr="005C4B9C" w:rsidP="00047FA6">
            <w:pPr>
              <w:bidi w:val="0"/>
              <w:spacing w:after="0" w:line="240" w:lineRule="auto"/>
              <w:jc w:val="center"/>
              <w:rPr>
                <w:rFonts w:ascii="Times New Roman" w:hAnsi="Times New Roman"/>
                <w:i/>
                <w:iCs/>
                <w:szCs w:val="22"/>
              </w:rPr>
            </w:pPr>
            <w:r w:rsidRPr="005C4B9C">
              <w:rPr>
                <w:rFonts w:ascii="Times New Roman" w:hAnsi="Times New Roman"/>
                <w:b/>
                <w:szCs w:val="22"/>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szCs w:val="22"/>
              </w:rPr>
            </w:pPr>
            <w:r>
              <w:rPr>
                <w:rFonts w:ascii="Times New Roman" w:hAnsi="Times New Roman"/>
                <w:b/>
                <w:szCs w:val="22"/>
              </w:rPr>
              <w:t>Úroveň elektroni</w:t>
            </w:r>
            <w:r w:rsidRPr="005C4B9C">
              <w:rPr>
                <w:rFonts w:ascii="Times New Roman" w:hAnsi="Times New Roman"/>
                <w:b/>
                <w:szCs w:val="22"/>
              </w:rPr>
              <w:t>zácie služby</w:t>
            </w:r>
          </w:p>
          <w:p w:rsidR="000E6521" w:rsidRPr="005C4B9C" w:rsidP="00047FA6">
            <w:pPr>
              <w:bidi w:val="0"/>
              <w:spacing w:after="0" w:line="240" w:lineRule="auto"/>
              <w:jc w:val="center"/>
              <w:rPr>
                <w:rFonts w:ascii="Times New Roman" w:hAnsi="Times New Roman"/>
                <w:i/>
                <w:iCs/>
                <w:szCs w:val="22"/>
              </w:rPr>
            </w:pPr>
            <w:r w:rsidRPr="005C4B9C">
              <w:rPr>
                <w:rFonts w:ascii="Times New Roman" w:hAnsi="Times New Roman"/>
                <w:b/>
                <w:szCs w:val="22"/>
              </w:rPr>
              <w:t>(0 až 5)</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jc w:val="both"/>
              <w:rPr>
                <w:rFonts w:ascii="Times New Roman" w:hAnsi="Times New Roman"/>
                <w:szCs w:val="22"/>
              </w:rPr>
            </w:pPr>
            <w:r w:rsidRPr="005C4B9C">
              <w:rPr>
                <w:rFonts w:ascii="Times New Roman" w:hAnsi="Times New Roman"/>
                <w:b/>
                <w:szCs w:val="22"/>
              </w:rPr>
              <w:t>6.1.</w:t>
            </w:r>
            <w:r w:rsidRPr="005C4B9C">
              <w:rPr>
                <w:rFonts w:ascii="Times New Roman" w:hAnsi="Times New Roman"/>
                <w:szCs w:val="22"/>
              </w:rPr>
              <w:t xml:space="preserve"> Predpokladá predložený návrh zmenu existujúcich elektronických služieb verejnej správy alebo vytvorenie nových služieb?</w:t>
            </w:r>
          </w:p>
          <w:p w:rsidR="000E6521" w:rsidRPr="005C4B9C" w:rsidP="00047FA6">
            <w:pPr>
              <w:bidi w:val="0"/>
              <w:spacing w:after="0" w:line="20" w:lineRule="atLeast"/>
              <w:jc w:val="both"/>
              <w:rPr>
                <w:rFonts w:ascii="Times New Roman" w:hAnsi="Times New Roman"/>
                <w:b/>
                <w:sz w:val="22"/>
                <w:szCs w:val="22"/>
              </w:rPr>
            </w:pPr>
            <w:r w:rsidRPr="005C4B9C">
              <w:rPr>
                <w:rFonts w:ascii="Times New Roman" w:hAnsi="Times New Roman"/>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rFonts w:ascii="Times New Roman" w:hAnsi="Times New Roman"/>
                <w:szCs w:val="22"/>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E6521" w:rsidP="00047FA6">
            <w:pPr>
              <w:bidi w:val="0"/>
              <w:spacing w:after="0" w:line="240" w:lineRule="auto"/>
              <w:jc w:val="center"/>
              <w:rPr>
                <w:rFonts w:ascii="Times New Roman" w:hAnsi="Times New Roman"/>
                <w:b/>
                <w:sz w:val="22"/>
                <w:szCs w:val="22"/>
              </w:rPr>
            </w:pPr>
          </w:p>
          <w:p w:rsidR="000E6521" w:rsidRPr="00034C35" w:rsidP="00047FA6">
            <w:pPr>
              <w:bidi w:val="0"/>
              <w:spacing w:after="0" w:line="240" w:lineRule="auto"/>
              <w:jc w:val="center"/>
              <w:rPr>
                <w:rFonts w:ascii="Times New Roman" w:hAnsi="Times New Roman"/>
                <w:sz w:val="22"/>
                <w:szCs w:val="22"/>
              </w:rPr>
            </w:pPr>
            <w:r w:rsidRPr="00034C35">
              <w:rPr>
                <w:rFonts w:ascii="Times New Roman" w:hAnsi="Times New Roman"/>
                <w:sz w:val="22"/>
                <w:szCs w:val="22"/>
              </w:rPr>
              <w:t>A</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jc w:val="center"/>
              <w:rPr>
                <w:rFonts w:ascii="Times New Roman" w:hAnsi="Times New Roman"/>
                <w:b/>
                <w:sz w:val="22"/>
                <w:szCs w:val="22"/>
              </w:rPr>
            </w:pP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jc w:val="both"/>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rPr>
                <w:rFonts w:ascii="Times New Roman" w:hAnsi="Times New Roman"/>
                <w:b/>
                <w:i/>
                <w:sz w:val="22"/>
                <w:szCs w:val="22"/>
              </w:rPr>
            </w:pPr>
          </w:p>
          <w:p w:rsidR="000E6521" w:rsidRPr="00034C35" w:rsidP="00047FA6">
            <w:pPr>
              <w:bidi w:val="0"/>
              <w:spacing w:after="0" w:line="240" w:lineRule="auto"/>
              <w:jc w:val="center"/>
              <w:rPr>
                <w:rFonts w:ascii="Times New Roman" w:hAnsi="Times New Roman"/>
                <w:sz w:val="22"/>
                <w:szCs w:val="22"/>
              </w:rPr>
            </w:pPr>
            <w:r w:rsidRPr="00034C35">
              <w:rPr>
                <w:rFonts w:ascii="Times New Roman" w:hAnsi="Times New Roman"/>
                <w:sz w:val="22"/>
                <w:szCs w:val="22"/>
              </w:rPr>
              <w:t>1</w:t>
            </w:r>
          </w:p>
          <w:p w:rsidR="000E6521" w:rsidRPr="005C4B9C" w:rsidP="00047FA6">
            <w:pPr>
              <w:bidi w:val="0"/>
              <w:spacing w:after="0" w:line="240" w:lineRule="auto"/>
              <w:jc w:val="center"/>
              <w:rPr>
                <w:rFonts w:ascii="Times New Roman" w:hAnsi="Times New Roman"/>
                <w:b/>
                <w:sz w:val="22"/>
                <w:szCs w:val="22"/>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szCs w:val="22"/>
              </w:rPr>
            </w:pPr>
            <w:r w:rsidRPr="005C4B9C">
              <w:rPr>
                <w:rFonts w:ascii="Times New Roman" w:hAnsi="Times New Roman"/>
                <w:b/>
                <w:szCs w:val="22"/>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szCs w:val="22"/>
              </w:rPr>
            </w:pPr>
            <w:r w:rsidRPr="005C4B9C">
              <w:rPr>
                <w:rFonts w:ascii="Times New Roman" w:hAnsi="Times New Roman"/>
                <w:b/>
                <w:szCs w:val="22"/>
              </w:rPr>
              <w:t>A – nový systém</w:t>
            </w:r>
          </w:p>
          <w:p w:rsidR="000E6521" w:rsidRPr="005C4B9C" w:rsidP="00047FA6">
            <w:pPr>
              <w:bidi w:val="0"/>
              <w:spacing w:after="0" w:line="240" w:lineRule="auto"/>
              <w:jc w:val="center"/>
              <w:rPr>
                <w:rFonts w:ascii="Times New Roman" w:hAnsi="Times New Roman"/>
                <w:b/>
                <w:szCs w:val="22"/>
              </w:rPr>
            </w:pPr>
            <w:r w:rsidRPr="005C4B9C">
              <w:rPr>
                <w:rFonts w:ascii="Times New Roman" w:hAnsi="Times New Roman"/>
                <w:b/>
                <w:szCs w:val="22"/>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szCs w:val="22"/>
              </w:rPr>
            </w:pPr>
            <w:r w:rsidRPr="005C4B9C">
              <w:rPr>
                <w:rFonts w:ascii="Times New Roman" w:hAnsi="Times New Roman"/>
                <w:b/>
                <w:szCs w:val="22"/>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E6521" w:rsidRPr="005C4B9C" w:rsidP="00047FA6">
            <w:pPr>
              <w:bidi w:val="0"/>
              <w:spacing w:after="0" w:line="240" w:lineRule="auto"/>
              <w:jc w:val="center"/>
              <w:rPr>
                <w:rFonts w:ascii="Times New Roman" w:hAnsi="Times New Roman"/>
                <w:b/>
              </w:rPr>
            </w:pPr>
            <w:r w:rsidRPr="005C4B9C">
              <w:rPr>
                <w:rFonts w:ascii="Times New Roman" w:hAnsi="Times New Roman"/>
                <w:b/>
                <w:szCs w:val="22"/>
              </w:rPr>
              <w:t>Názov systému</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jc w:val="both"/>
              <w:rPr>
                <w:rFonts w:ascii="Times New Roman" w:hAnsi="Times New Roman"/>
              </w:rPr>
            </w:pPr>
            <w:r w:rsidRPr="005C4B9C">
              <w:rPr>
                <w:rFonts w:ascii="Times New Roman" w:hAnsi="Times New Roman"/>
                <w:b/>
              </w:rPr>
              <w:t>6.2.</w:t>
            </w:r>
            <w:r w:rsidRPr="005C4B9C">
              <w:rPr>
                <w:rFonts w:ascii="Times New Roman" w:hAnsi="Times New Roman"/>
              </w:rPr>
              <w:t xml:space="preserve"> Predpokladá predložený návrh zmenu existujúceho alebo vytvorenie nového informačného systému verejnej správy?</w:t>
            </w:r>
          </w:p>
          <w:p w:rsidR="000E6521" w:rsidRPr="005C4B9C" w:rsidP="00047FA6">
            <w:pPr>
              <w:bidi w:val="0"/>
              <w:spacing w:after="0" w:line="20" w:lineRule="atLeast"/>
              <w:jc w:val="both"/>
              <w:rPr>
                <w:rFonts w:ascii="Times New Roman" w:hAnsi="Times New Roman"/>
              </w:rPr>
            </w:pPr>
            <w:r w:rsidRPr="005C4B9C">
              <w:rPr>
                <w:rFonts w:ascii="Times New Roman" w:hAnsi="Times New Roman"/>
                <w:i/>
                <w:iCs/>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rPr>
                <w:rFonts w:ascii="Times New Roman" w:hAnsi="Times New Roman"/>
                <w:i/>
                <w:iCs/>
              </w:rPr>
            </w:pP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rPr>
                <w:rFonts w:ascii="Times New Roman" w:hAnsi="Times New Roman"/>
                <w:i/>
                <w:iCs/>
              </w:rPr>
            </w:pP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rPr>
                <w:rFonts w:ascii="Times New Roman" w:hAnsi="Times New Roman"/>
                <w:i/>
                <w:iCs/>
              </w:rPr>
            </w:pP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6521" w:rsidRPr="005C4B9C" w:rsidP="00047FA6">
            <w:pPr>
              <w:bidi w:val="0"/>
              <w:spacing w:after="0" w:line="20" w:lineRule="atLeast"/>
              <w:ind w:hanging="55"/>
              <w:jc w:val="center"/>
              <w:rPr>
                <w:rFonts w:ascii="Times New Roman" w:hAnsi="Times New Roman"/>
                <w:b/>
                <w:szCs w:val="22"/>
              </w:rPr>
            </w:pPr>
            <w:r w:rsidRPr="005C4B9C">
              <w:rPr>
                <w:rFonts w:ascii="Times New Roman" w:hAnsi="Times New Roman"/>
                <w:b/>
                <w:szCs w:val="22"/>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6521" w:rsidRPr="005C4B9C" w:rsidP="00047FA6">
            <w:pPr>
              <w:bidi w:val="0"/>
              <w:spacing w:after="0" w:line="240" w:lineRule="auto"/>
              <w:jc w:val="center"/>
              <w:rPr>
                <w:rFonts w:ascii="Times New Roman" w:hAnsi="Times New Roman"/>
                <w:b/>
                <w:i/>
                <w:iCs/>
                <w:szCs w:val="22"/>
              </w:rPr>
            </w:pPr>
            <w:r w:rsidRPr="005C4B9C">
              <w:rPr>
                <w:rFonts w:ascii="Times New Roman" w:hAnsi="Times New Roman"/>
                <w:b/>
                <w:szCs w:val="22"/>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6521" w:rsidRPr="005C4B9C" w:rsidP="00047FA6">
            <w:pPr>
              <w:bidi w:val="0"/>
              <w:spacing w:after="0" w:line="240" w:lineRule="auto"/>
              <w:jc w:val="center"/>
              <w:rPr>
                <w:rFonts w:ascii="Times New Roman" w:hAnsi="Times New Roman"/>
                <w:b/>
                <w:i/>
                <w:iCs/>
                <w:szCs w:val="22"/>
              </w:rPr>
            </w:pPr>
            <w:r w:rsidRPr="005C4B9C">
              <w:rPr>
                <w:rFonts w:ascii="Times New Roman" w:hAnsi="Times New Roman"/>
                <w:b/>
                <w:szCs w:val="22"/>
              </w:rPr>
              <w:t>Nadrezortná úroveň</w:t>
            </w:r>
          </w:p>
          <w:p w:rsidR="000E6521" w:rsidRPr="005C4B9C" w:rsidP="00047FA6">
            <w:pPr>
              <w:bidi w:val="0"/>
              <w:spacing w:after="0" w:line="240" w:lineRule="auto"/>
              <w:jc w:val="center"/>
              <w:rPr>
                <w:rFonts w:ascii="Times New Roman" w:hAnsi="Times New Roman"/>
                <w:b/>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E6521" w:rsidRPr="005C4B9C" w:rsidP="00047FA6">
            <w:pPr>
              <w:bidi w:val="0"/>
              <w:spacing w:after="0" w:line="240" w:lineRule="auto"/>
              <w:rPr>
                <w:rFonts w:ascii="Times New Roman" w:hAnsi="Times New Roman"/>
                <w:b/>
                <w:szCs w:val="22"/>
              </w:rPr>
            </w:pPr>
            <w:r w:rsidRPr="005C4B9C">
              <w:rPr>
                <w:rFonts w:ascii="Times New Roman" w:hAnsi="Times New Roman"/>
                <w:b/>
                <w:szCs w:val="22"/>
              </w:rPr>
              <w:t>A - z prostriedkov EÚ   B - z ďalších zdrojov financovania</w:t>
            </w:r>
          </w:p>
        </w:tc>
      </w:tr>
      <w:tr>
        <w:tblPrEx>
          <w:tblW w:w="9371" w:type="dxa"/>
          <w:tblInd w:w="55"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jc w:val="both"/>
              <w:rPr>
                <w:rFonts w:ascii="Times New Roman" w:hAnsi="Times New Roman"/>
                <w:szCs w:val="22"/>
              </w:rPr>
            </w:pPr>
            <w:r w:rsidRPr="005C4B9C">
              <w:rPr>
                <w:rFonts w:ascii="Times New Roman" w:hAnsi="Times New Roman"/>
                <w:b/>
                <w:szCs w:val="22"/>
              </w:rPr>
              <w:t>6.3.</w:t>
            </w:r>
            <w:r w:rsidRPr="005C4B9C">
              <w:rPr>
                <w:rFonts w:ascii="Times New Roman" w:hAnsi="Times New Roman"/>
                <w:szCs w:val="22"/>
              </w:rPr>
              <w:t xml:space="preserve"> Vyžaduje si proces informatizácie  finančné investície?</w:t>
            </w:r>
          </w:p>
          <w:p w:rsidR="000E6521" w:rsidRPr="005C4B9C" w:rsidP="00047FA6">
            <w:pPr>
              <w:bidi w:val="0"/>
              <w:spacing w:after="0" w:line="20" w:lineRule="atLeast"/>
              <w:jc w:val="both"/>
              <w:rPr>
                <w:rFonts w:ascii="Times New Roman" w:hAnsi="Times New Roman"/>
              </w:rPr>
            </w:pPr>
            <w:r w:rsidRPr="005C4B9C">
              <w:rPr>
                <w:rFonts w:ascii="Times New Roman" w:hAnsi="Times New Roman"/>
                <w:i/>
                <w:iCs/>
                <w:szCs w:val="22"/>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rPr>
                <w:rFonts w:ascii="Times New Roman" w:hAnsi="Times New Roman"/>
                <w:i/>
                <w:iCs/>
              </w:rPr>
            </w:pP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rPr>
                <w:rFonts w:ascii="Times New Roman" w:hAnsi="Times New Roman"/>
                <w:i/>
                <w:iCs/>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top"/>
          </w:tcPr>
          <w:p w:rsidR="000E6521" w:rsidRPr="005C4B9C" w:rsidP="00047FA6">
            <w:pPr>
              <w:bidi w:val="0"/>
              <w:spacing w:after="0" w:line="240" w:lineRule="auto"/>
              <w:rPr>
                <w:rFonts w:ascii="Times New Roman" w:hAnsi="Times New Roman"/>
                <w:i/>
                <w:iCs/>
              </w:rPr>
            </w:pPr>
          </w:p>
        </w:tc>
      </w:tr>
    </w:tbl>
    <w:p w:rsidR="000E6521" w:rsidRPr="005C4B9C" w:rsidP="000E6521">
      <w:pPr>
        <w:bidi w:val="0"/>
        <w:rPr>
          <w:rFonts w:ascii="Times New Roman" w:hAnsi="Times New Roman"/>
          <w:b/>
          <w:bCs/>
        </w:rPr>
      </w:pPr>
    </w:p>
    <w:p w:rsidR="000E6521" w:rsidRPr="005C4B9C" w:rsidP="000E6521">
      <w:pPr>
        <w:bidi w:val="0"/>
        <w:rPr>
          <w:rFonts w:ascii="Times New Roman" w:hAnsi="Times New Roman"/>
          <w:b/>
          <w:bCs/>
        </w:rPr>
      </w:pPr>
    </w:p>
    <w:p w:rsidR="000E6521" w:rsidRPr="005C4B9C" w:rsidP="000E6521">
      <w:pPr>
        <w:autoSpaceDE w:val="0"/>
        <w:autoSpaceDN w:val="0"/>
        <w:bidi w:val="0"/>
        <w:adjustRightInd w:val="0"/>
        <w:jc w:val="center"/>
        <w:rPr>
          <w:rFonts w:ascii="Times New Roman" w:hAnsi="Times New Roman"/>
          <w:b/>
          <w:bCs/>
          <w:color w:val="000000"/>
          <w:sz w:val="28"/>
          <w:szCs w:val="28"/>
          <w:lang w:eastAsia="en-US"/>
        </w:rPr>
      </w:pPr>
    </w:p>
    <w:p w:rsidR="000E6521" w:rsidP="000E6521">
      <w:pPr>
        <w:bidi w:val="0"/>
        <w:rPr>
          <w:rFonts w:ascii="Times New Roman" w:hAnsi="Times New Roman"/>
        </w:rPr>
      </w:pPr>
    </w:p>
    <w:p w:rsidR="000E6521" w:rsidP="000E6521">
      <w:pPr>
        <w:bidi w:val="0"/>
        <w:rPr>
          <w:rFonts w:ascii="Times New Roman" w:hAnsi="Times New Roman"/>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E6521" w:rsidRPr="00A53F4C" w:rsidP="000E6521">
      <w:pPr>
        <w:bidi w:val="0"/>
        <w:jc w:val="center"/>
        <w:rPr>
          <w:rFonts w:ascii="Times New Roman" w:hAnsi="Times New Roman"/>
          <w:b/>
          <w:bCs/>
        </w:rPr>
      </w:pPr>
      <w:r w:rsidRPr="00A53F4C">
        <w:rPr>
          <w:rFonts w:ascii="Times New Roman" w:hAnsi="Times New Roman"/>
          <w:b/>
          <w:bCs/>
        </w:rPr>
        <w:t>DOLOŽKA ZLUČITEĽNOSTI</w:t>
      </w:r>
    </w:p>
    <w:p w:rsidR="000E6521" w:rsidRPr="00A53F4C" w:rsidP="000E6521">
      <w:pPr>
        <w:pBdr>
          <w:bottom w:val="single" w:sz="6" w:space="1" w:color="auto"/>
        </w:pBdr>
        <w:bidi w:val="0"/>
        <w:jc w:val="center"/>
        <w:rPr>
          <w:rFonts w:ascii="Times New Roman" w:hAnsi="Times New Roman"/>
          <w:b/>
          <w:bCs/>
        </w:rPr>
      </w:pPr>
      <w:r w:rsidRPr="00A53F4C">
        <w:rPr>
          <w:rFonts w:ascii="Times New Roman" w:hAnsi="Times New Roman"/>
          <w:b/>
          <w:bCs/>
        </w:rPr>
        <w:t xml:space="preserve">návrhu zákona, </w:t>
      </w:r>
      <w:r w:rsidRPr="00A53F4C">
        <w:rPr>
          <w:rFonts w:ascii="Times New Roman" w:hAnsi="Times New Roman"/>
          <w:b/>
        </w:rPr>
        <w:t>ktorým sa mení a dopĺňa zákon č. 566/2001 Z. z.</w:t>
      </w:r>
      <w:r w:rsidRPr="00A53F4C">
        <w:rPr>
          <w:rStyle w:val="PlaceholderText"/>
          <w:b/>
          <w:color w:val="000000"/>
        </w:rPr>
        <w:t xml:space="preserve"> o cenných papieroch a investičných službách a o zmene a doplnení niektorých zákonov (zákon o cenných papieroch) v znení neskorších predpisov a ktorým sa menia a dopĺňajú niektoré zákony </w:t>
      </w:r>
      <w:r w:rsidRPr="00A53F4C">
        <w:rPr>
          <w:rFonts w:ascii="Times New Roman" w:hAnsi="Times New Roman"/>
          <w:b/>
          <w:bCs/>
        </w:rPr>
        <w:t>s právom Európskej únie</w:t>
      </w:r>
    </w:p>
    <w:p w:rsidR="000E6521" w:rsidRPr="00A53F4C" w:rsidP="000E6521">
      <w:pPr>
        <w:bidi w:val="0"/>
        <w:rPr>
          <w:rFonts w:ascii="Times New Roman" w:hAnsi="Times New Roman"/>
          <w:b/>
          <w:bCs/>
        </w:rPr>
      </w:pPr>
    </w:p>
    <w:p w:rsidR="008143FB" w:rsidRPr="00A53F4C" w:rsidP="008143FB">
      <w:pPr>
        <w:numPr>
          <w:numId w:val="4"/>
        </w:numPr>
        <w:bidi w:val="0"/>
        <w:spacing w:after="120"/>
        <w:jc w:val="both"/>
        <w:rPr>
          <w:rFonts w:ascii="Times New Roman" w:hAnsi="Times New Roman"/>
        </w:rPr>
      </w:pPr>
      <w:r w:rsidRPr="00A53F4C">
        <w:rPr>
          <w:rFonts w:ascii="Times New Roman" w:hAnsi="Times New Roman"/>
          <w:b/>
          <w:bCs/>
        </w:rPr>
        <w:t>Predkladateľ návrhu zákona:</w:t>
      </w:r>
    </w:p>
    <w:p w:rsidR="008143FB" w:rsidRPr="00A53F4C" w:rsidP="008143FB">
      <w:pPr>
        <w:bidi w:val="0"/>
        <w:ind w:firstLine="425"/>
        <w:jc w:val="both"/>
        <w:rPr>
          <w:rFonts w:ascii="Times New Roman" w:hAnsi="Times New Roman"/>
        </w:rPr>
      </w:pPr>
      <w:r>
        <w:rPr>
          <w:rFonts w:ascii="Times New Roman" w:hAnsi="Times New Roman"/>
        </w:rPr>
        <w:t>Vláda Slovenskej republiky</w:t>
      </w:r>
      <w:r w:rsidRPr="00A53F4C">
        <w:rPr>
          <w:rFonts w:ascii="Times New Roman" w:hAnsi="Times New Roman"/>
        </w:rPr>
        <w:t xml:space="preserve">. </w:t>
      </w:r>
    </w:p>
    <w:p w:rsidR="008143FB" w:rsidRPr="00A53F4C" w:rsidP="008143FB">
      <w:pPr>
        <w:bidi w:val="0"/>
        <w:jc w:val="both"/>
        <w:rPr>
          <w:rFonts w:ascii="Times New Roman" w:hAnsi="Times New Roman"/>
          <w:b/>
          <w:bCs/>
        </w:rPr>
      </w:pPr>
    </w:p>
    <w:p w:rsidR="008143FB" w:rsidRPr="00A53F4C" w:rsidP="008143FB">
      <w:pPr>
        <w:numPr>
          <w:numId w:val="4"/>
        </w:numPr>
        <w:bidi w:val="0"/>
        <w:spacing w:after="120"/>
        <w:jc w:val="both"/>
        <w:rPr>
          <w:rFonts w:ascii="Times New Roman" w:hAnsi="Times New Roman"/>
          <w:b/>
          <w:bCs/>
        </w:rPr>
      </w:pPr>
      <w:r w:rsidRPr="00A53F4C">
        <w:rPr>
          <w:rFonts w:ascii="Times New Roman" w:hAnsi="Times New Roman"/>
          <w:b/>
          <w:bCs/>
        </w:rPr>
        <w:t>Názov návrhu zákona:</w:t>
      </w:r>
    </w:p>
    <w:p w:rsidR="008143FB" w:rsidRPr="00A53F4C" w:rsidP="008143FB">
      <w:pPr>
        <w:bidi w:val="0"/>
        <w:ind w:left="425"/>
        <w:jc w:val="both"/>
        <w:rPr>
          <w:rFonts w:ascii="Times New Roman" w:hAnsi="Times New Roman"/>
          <w:bCs/>
        </w:rPr>
      </w:pPr>
      <w:r w:rsidRPr="00A53F4C">
        <w:rPr>
          <w:rFonts w:ascii="Times New Roman" w:hAnsi="Times New Roman"/>
        </w:rPr>
        <w:t xml:space="preserve">Návrh zákona, ktorým sa mení a dopĺňa zákon č. 566/2001 Z. z. </w:t>
      </w:r>
      <w:r w:rsidRPr="00A53F4C">
        <w:rPr>
          <w:rStyle w:val="PlaceholderText"/>
          <w:color w:val="000000"/>
        </w:rPr>
        <w:t>o cenných papieroch a investičných službách a o zmene a doplnení niektorých zákonov (zákon o cenných papieroch) v znení neskorších predpisov a</w:t>
      </w:r>
      <w:r w:rsidRPr="00A53F4C">
        <w:rPr>
          <w:rStyle w:val="PlaceholderText"/>
          <w:b/>
          <w:color w:val="000000"/>
        </w:rPr>
        <w:t> </w:t>
      </w:r>
      <w:r w:rsidRPr="00A53F4C">
        <w:rPr>
          <w:rStyle w:val="PlaceholderText"/>
          <w:color w:val="000000"/>
        </w:rPr>
        <w:t>ktorým sa menia a dopĺňajú niektoré zákony</w:t>
      </w:r>
      <w:r w:rsidRPr="00A53F4C">
        <w:rPr>
          <w:rFonts w:ascii="Times New Roman" w:hAnsi="Times New Roman"/>
        </w:rPr>
        <w:t>.</w:t>
      </w:r>
    </w:p>
    <w:p w:rsidR="008143FB" w:rsidRPr="00A53F4C" w:rsidP="008143FB">
      <w:pPr>
        <w:bidi w:val="0"/>
        <w:jc w:val="both"/>
        <w:rPr>
          <w:rFonts w:ascii="Times New Roman" w:hAnsi="Times New Roman"/>
          <w:b/>
          <w:bCs/>
        </w:rPr>
      </w:pPr>
    </w:p>
    <w:p w:rsidR="008143FB" w:rsidRPr="00A53F4C" w:rsidP="008143FB">
      <w:pPr>
        <w:numPr>
          <w:numId w:val="4"/>
        </w:numPr>
        <w:bidi w:val="0"/>
        <w:spacing w:after="120"/>
        <w:jc w:val="both"/>
        <w:rPr>
          <w:rFonts w:ascii="Times New Roman" w:hAnsi="Times New Roman"/>
          <w:b/>
          <w:bCs/>
        </w:rPr>
      </w:pPr>
      <w:r w:rsidRPr="00A53F4C">
        <w:rPr>
          <w:rFonts w:ascii="Times New Roman" w:hAnsi="Times New Roman"/>
          <w:b/>
          <w:bCs/>
        </w:rPr>
        <w:t xml:space="preserve">Problematika návrhu zákona: </w:t>
      </w:r>
    </w:p>
    <w:p w:rsidR="008143FB" w:rsidRPr="00A53F4C" w:rsidP="008143FB">
      <w:pPr>
        <w:pStyle w:val="BodyText"/>
        <w:widowControl/>
        <w:numPr>
          <w:ilvl w:val="1"/>
          <w:numId w:val="4"/>
        </w:numPr>
        <w:bidi w:val="0"/>
        <w:spacing w:after="120"/>
        <w:rPr>
          <w:rFonts w:ascii="Times New Roman" w:hAnsi="Times New Roman"/>
        </w:rPr>
      </w:pPr>
      <w:r w:rsidRPr="00A53F4C">
        <w:rPr>
          <w:rFonts w:ascii="Times New Roman" w:hAnsi="Times New Roman"/>
        </w:rPr>
        <w:t>je upravená v práve Európskej únie:</w:t>
      </w:r>
    </w:p>
    <w:p w:rsidR="008143FB" w:rsidRPr="00A53F4C" w:rsidP="008143FB">
      <w:pPr>
        <w:pStyle w:val="BodyText"/>
        <w:bidi w:val="0"/>
        <w:ind w:left="896" w:hanging="357"/>
        <w:rPr>
          <w:rFonts w:ascii="Times New Roman" w:hAnsi="Times New Roman"/>
          <w:b/>
          <w:bCs/>
          <w:iCs/>
        </w:rPr>
      </w:pPr>
      <w:r w:rsidRPr="00A53F4C">
        <w:rPr>
          <w:rFonts w:ascii="Times New Roman" w:hAnsi="Times New Roman"/>
          <w:b/>
          <w:bCs/>
          <w:iCs/>
        </w:rPr>
        <w:t>Primárne právo:</w:t>
      </w:r>
    </w:p>
    <w:p w:rsidR="008143FB" w:rsidRPr="00A53F4C" w:rsidP="008143FB">
      <w:pPr>
        <w:pStyle w:val="BodyText"/>
        <w:widowControl/>
        <w:numPr>
          <w:numId w:val="6"/>
        </w:numPr>
        <w:tabs>
          <w:tab w:val="clear" w:pos="900"/>
          <w:tab w:val="num" w:pos="993"/>
        </w:tabs>
        <w:bidi w:val="0"/>
        <w:spacing w:after="120"/>
        <w:ind w:left="964" w:hanging="454"/>
        <w:rPr>
          <w:rFonts w:ascii="Times New Roman" w:hAnsi="Times New Roman"/>
        </w:rPr>
      </w:pPr>
      <w:r w:rsidRPr="00A53F4C">
        <w:rPr>
          <w:rFonts w:ascii="Times New Roman" w:hAnsi="Times New Roman"/>
        </w:rPr>
        <w:t xml:space="preserve">čl. 54, 56 až 66 Zmluvy o fungovaní Európskej únie, </w:t>
      </w:r>
    </w:p>
    <w:p w:rsidR="008143FB" w:rsidRPr="00A53F4C" w:rsidP="008143FB">
      <w:pPr>
        <w:pStyle w:val="BodyText"/>
        <w:widowControl/>
        <w:numPr>
          <w:numId w:val="6"/>
        </w:numPr>
        <w:tabs>
          <w:tab w:val="clear" w:pos="900"/>
          <w:tab w:val="num" w:pos="993"/>
        </w:tabs>
        <w:bidi w:val="0"/>
        <w:spacing w:after="120"/>
        <w:ind w:left="964" w:hanging="454"/>
        <w:rPr>
          <w:rFonts w:ascii="Times New Roman" w:hAnsi="Times New Roman"/>
        </w:rPr>
      </w:pPr>
      <w:r w:rsidRPr="00A53F4C">
        <w:rPr>
          <w:rFonts w:ascii="Times New Roman" w:hAnsi="Times New Roman"/>
        </w:rPr>
        <w:t>Protokol č. 4 o Štatúte Európskeho systému centrálnych bánk a Európskej centrálnej banky.</w:t>
      </w:r>
    </w:p>
    <w:p w:rsidR="008143FB" w:rsidRPr="00A53F4C" w:rsidP="008143FB">
      <w:pPr>
        <w:pStyle w:val="BodyTextIndent"/>
        <w:bidi w:val="0"/>
        <w:spacing w:after="120"/>
        <w:ind w:left="567" w:hanging="28"/>
        <w:rPr>
          <w:rFonts w:ascii="Times New Roman" w:hAnsi="Times New Roman"/>
        </w:rPr>
      </w:pPr>
      <w:r w:rsidRPr="00A53F4C">
        <w:rPr>
          <w:rFonts w:ascii="Times New Roman" w:hAnsi="Times New Roman"/>
          <w:b/>
          <w:bCs/>
          <w:iCs/>
        </w:rPr>
        <w:t>Sekundárne právo</w:t>
      </w:r>
      <w:r w:rsidRPr="00A53F4C">
        <w:rPr>
          <w:rFonts w:ascii="Times New Roman" w:hAnsi="Times New Roman"/>
          <w:b/>
          <w:bCs/>
          <w:i/>
          <w:iCs/>
        </w:rPr>
        <w:t xml:space="preserve"> </w:t>
      </w:r>
      <w:r w:rsidRPr="00A53F4C">
        <w:rPr>
          <w:rFonts w:ascii="Times New Roman" w:hAnsi="Times New Roman"/>
        </w:rPr>
        <w:t>(prijaté po nadobudnutí platnosti Lisabonskej zmluvy, ktorou sa mení a dopĺňa Zmluva o Európskej únii a Zmluva o založení Európskeho spoločenstva - po 30. novembri 2009):</w:t>
      </w:r>
    </w:p>
    <w:p w:rsidR="008143FB" w:rsidRPr="00FC0B2A" w:rsidP="008143FB">
      <w:pPr>
        <w:numPr>
          <w:numId w:val="14"/>
        </w:numPr>
        <w:autoSpaceDE w:val="0"/>
        <w:autoSpaceDN w:val="0"/>
        <w:bidi w:val="0"/>
        <w:adjustRightInd w:val="0"/>
        <w:spacing w:before="120" w:after="120"/>
        <w:ind w:left="851" w:hanging="284"/>
        <w:jc w:val="both"/>
        <w:rPr>
          <w:rFonts w:ascii="Times New Roman" w:hAnsi="Times New Roman"/>
          <w:bCs/>
          <w:iCs/>
          <w:u w:val="single"/>
        </w:rPr>
      </w:pPr>
      <w:r w:rsidRPr="00A53F4C">
        <w:rPr>
          <w:rFonts w:ascii="Times New Roman" w:hAnsi="Times New Roman"/>
          <w:bCs/>
          <w:iCs/>
        </w:rPr>
        <w:t xml:space="preserve"> </w:t>
      </w:r>
      <w:r w:rsidRPr="00FC0B2A">
        <w:rPr>
          <w:rFonts w:ascii="Times New Roman" w:hAnsi="Times New Roman"/>
          <w:bCs/>
          <w:iCs/>
          <w:u w:val="single"/>
        </w:rPr>
        <w:t>legislatívne akty:</w:t>
      </w:r>
    </w:p>
    <w:p w:rsidR="008143FB" w:rsidRPr="00FC0B2A" w:rsidP="008143FB">
      <w:pPr>
        <w:pStyle w:val="ListParagraph"/>
        <w:numPr>
          <w:numId w:val="13"/>
        </w:numPr>
        <w:bidi w:val="0"/>
        <w:spacing w:before="120" w:after="120" w:line="240" w:lineRule="auto"/>
        <w:ind w:left="935" w:hanging="425"/>
        <w:jc w:val="both"/>
        <w:rPr>
          <w:rFonts w:ascii="Times New Roman" w:hAnsi="Times New Roman" w:cs="Times New Roman"/>
          <w:sz w:val="24"/>
          <w:szCs w:val="24"/>
        </w:rPr>
      </w:pPr>
      <w:r w:rsidRPr="00FC0B2A">
        <w:rPr>
          <w:rFonts w:ascii="Times New Roman" w:hAnsi="Times New Roman" w:cs="Times New Roman"/>
          <w:bCs/>
          <w:sz w:val="24"/>
          <w:szCs w:val="24"/>
        </w:rPr>
        <w:t xml:space="preserve">     </w:t>
      </w:r>
      <w:r w:rsidRPr="00FC0B2A">
        <w:rPr>
          <w:rFonts w:ascii="Times New Roman" w:hAnsi="Times New Roman" w:cs="Times New Roman"/>
          <w:sz w:val="24"/>
          <w:szCs w:val="24"/>
        </w:rPr>
        <w:t xml:space="preserve">smernica Európskeho parlamentu a Rady </w:t>
      </w:r>
      <w:r w:rsidRPr="00FC0B2A">
        <w:rPr>
          <w:rFonts w:ascii="Times New Roman" w:hAnsi="Times New Roman" w:cs="Times New Roman"/>
          <w:sz w:val="24"/>
          <w:szCs w:val="24"/>
          <w:u w:val="single"/>
        </w:rPr>
        <w:t>2013/36/EÚ</w:t>
      </w:r>
      <w:r w:rsidRPr="00FC0B2A">
        <w:rPr>
          <w:rFonts w:ascii="Times New Roman" w:hAnsi="Times New Roman" w:cs="Times New Roman"/>
          <w:sz w:val="24"/>
          <w:szCs w:val="24"/>
        </w:rPr>
        <w:t xml:space="preserve"> z 26. júna 2013 o prístupe k činnosti úverových inštitúcií a prudenciálnom dohľade nad úverovými inštitúciami a investičnými spoločnosťami, o zmene smernice 2002/87/ES a o zrušení smerníc 2006/48/ES a 2006/49/ES (</w:t>
      </w:r>
      <w:r w:rsidRPr="00FC0B2A">
        <w:rPr>
          <w:rFonts w:ascii="Times New Roman" w:hAnsi="Times New Roman" w:cs="Times New Roman"/>
          <w:iCs/>
          <w:sz w:val="24"/>
          <w:szCs w:val="24"/>
        </w:rPr>
        <w:t>Ú. v. EÚ L 176, 27.6.2013) v platnom znení,</w:t>
      </w:r>
    </w:p>
    <w:p w:rsidR="008143FB" w:rsidRPr="00FC0B2A" w:rsidP="008143FB">
      <w:pPr>
        <w:pStyle w:val="ListParagraph"/>
        <w:numPr>
          <w:numId w:val="13"/>
        </w:numPr>
        <w:bidi w:val="0"/>
        <w:spacing w:before="120" w:after="120" w:line="240" w:lineRule="auto"/>
        <w:ind w:left="935" w:hanging="425"/>
        <w:jc w:val="both"/>
        <w:rPr>
          <w:rFonts w:ascii="Times New Roman" w:hAnsi="Times New Roman" w:cs="Times New Roman"/>
          <w:sz w:val="24"/>
          <w:szCs w:val="24"/>
        </w:rPr>
      </w:pPr>
      <w:r w:rsidRPr="00FC0B2A">
        <w:rPr>
          <w:rFonts w:ascii="Times New Roman" w:hAnsi="Times New Roman" w:cs="Times New Roman"/>
          <w:sz w:val="24"/>
          <w:szCs w:val="24"/>
        </w:rPr>
        <w:t xml:space="preserve">     </w:t>
      </w:r>
      <w:r w:rsidRPr="00FC0B2A">
        <w:rPr>
          <w:rFonts w:ascii="Times New Roman" w:hAnsi="Times New Roman" w:cs="Times New Roman"/>
          <w:bCs/>
          <w:iCs/>
          <w:sz w:val="24"/>
          <w:szCs w:val="24"/>
        </w:rPr>
        <w:t>nariadenie Európskeho parlamentu a Rady (EÚ) č. </w:t>
      </w:r>
      <w:r w:rsidRPr="00FC0B2A">
        <w:rPr>
          <w:rFonts w:ascii="Times New Roman" w:hAnsi="Times New Roman" w:cs="Times New Roman"/>
          <w:bCs/>
          <w:iCs/>
          <w:sz w:val="24"/>
          <w:szCs w:val="24"/>
          <w:u w:val="single"/>
        </w:rPr>
        <w:t>909/2014</w:t>
      </w:r>
      <w:r w:rsidRPr="00FC0B2A">
        <w:rPr>
          <w:rFonts w:ascii="Times New Roman" w:hAnsi="Times New Roman" w:cs="Times New Roman"/>
          <w:bCs/>
          <w:iCs/>
          <w:sz w:val="24"/>
          <w:szCs w:val="24"/>
        </w:rPr>
        <w:t xml:space="preserve"> z  23. júla 2014 o zlepšení vyrovnania transakcií s cennými papiermi v Európskej únii, centrálnych depozitároch cenných papierov a o zmene smerníc 98/26/ES a 2014/65/EÚ a nariadenia (EÚ) č. 236/2012 (Ú. v. EÚ L 257, 28.08.2014), </w:t>
      </w:r>
    </w:p>
    <w:p w:rsidR="008143FB" w:rsidRPr="00FC0B2A" w:rsidP="008143FB">
      <w:pPr>
        <w:pStyle w:val="ListParagraph"/>
        <w:numPr>
          <w:numId w:val="13"/>
        </w:numPr>
        <w:tabs>
          <w:tab w:val="left" w:pos="964"/>
        </w:tabs>
        <w:autoSpaceDE w:val="0"/>
        <w:autoSpaceDN w:val="0"/>
        <w:bidi w:val="0"/>
        <w:spacing w:before="120" w:after="120" w:line="240" w:lineRule="auto"/>
        <w:ind w:left="935" w:hanging="425"/>
        <w:jc w:val="both"/>
        <w:rPr>
          <w:rFonts w:ascii="Times New Roman" w:hAnsi="Times New Roman" w:cs="Times New Roman"/>
          <w:iCs/>
          <w:sz w:val="24"/>
          <w:szCs w:val="24"/>
        </w:rPr>
      </w:pPr>
      <w:r w:rsidRPr="00FC0B2A">
        <w:rPr>
          <w:rFonts w:ascii="Times New Roman" w:hAnsi="Times New Roman" w:cs="Times New Roman"/>
          <w:bCs/>
          <w:sz w:val="24"/>
          <w:szCs w:val="24"/>
        </w:rPr>
        <w:t>nariadenie Európskeho parlamentu a Rady (EÚ) č. </w:t>
      </w:r>
      <w:r w:rsidRPr="00FC0B2A">
        <w:rPr>
          <w:rFonts w:ascii="Times New Roman" w:hAnsi="Times New Roman" w:cs="Times New Roman"/>
          <w:bCs/>
          <w:sz w:val="24"/>
          <w:szCs w:val="24"/>
          <w:u w:val="single"/>
        </w:rPr>
        <w:t>596/2014</w:t>
      </w:r>
      <w:r w:rsidRPr="00FC0B2A">
        <w:rPr>
          <w:rFonts w:ascii="Times New Roman" w:hAnsi="Times New Roman" w:cs="Times New Roman"/>
          <w:bCs/>
          <w:sz w:val="24"/>
          <w:szCs w:val="24"/>
        </w:rPr>
        <w:t xml:space="preserve"> zo 16. apríla 2014 o zneužívaní trhu (nariadenie o zneužívaní trhu) a o zrušení smernice Európskeho parlamentu a Rady 2003/6/ES a smerníc Komisie 2003/124/ES, 2003/125/ES a 2004/72/ES (</w:t>
      </w:r>
      <w:r w:rsidRPr="00FC0B2A">
        <w:rPr>
          <w:rFonts w:ascii="Times New Roman" w:hAnsi="Times New Roman" w:cs="Times New Roman"/>
          <w:bCs/>
          <w:iCs/>
          <w:sz w:val="24"/>
          <w:szCs w:val="24"/>
        </w:rPr>
        <w:t>Ú. v. EÚ L 173, 12.06.2014),</w:t>
      </w:r>
    </w:p>
    <w:p w:rsidR="008143FB" w:rsidRPr="00FC0B2A" w:rsidP="008143FB">
      <w:pPr>
        <w:pStyle w:val="ListParagraph"/>
        <w:numPr>
          <w:numId w:val="13"/>
        </w:numPr>
        <w:tabs>
          <w:tab w:val="left" w:pos="964"/>
          <w:tab w:val="left" w:pos="993"/>
        </w:tabs>
        <w:bidi w:val="0"/>
        <w:spacing w:before="120" w:after="120" w:line="240" w:lineRule="auto"/>
        <w:ind w:left="935" w:hanging="425"/>
        <w:jc w:val="both"/>
        <w:rPr>
          <w:rFonts w:ascii="Times New Roman" w:hAnsi="Times New Roman" w:cs="Times New Roman"/>
          <w:sz w:val="24"/>
          <w:szCs w:val="24"/>
        </w:rPr>
      </w:pPr>
      <w:r w:rsidRPr="00FC0B2A">
        <w:rPr>
          <w:rFonts w:ascii="Times New Roman" w:hAnsi="Times New Roman" w:cs="Times New Roman"/>
          <w:sz w:val="24"/>
          <w:szCs w:val="24"/>
        </w:rPr>
        <w:t xml:space="preserve">nariadenie Európskeho parlamentu a Rady (EÚ) č. </w:t>
      </w:r>
      <w:r w:rsidRPr="00FC0B2A">
        <w:rPr>
          <w:rFonts w:ascii="Times New Roman" w:hAnsi="Times New Roman" w:cs="Times New Roman"/>
          <w:sz w:val="24"/>
          <w:szCs w:val="24"/>
          <w:u w:val="single"/>
        </w:rPr>
        <w:t>575/2013</w:t>
      </w:r>
      <w:r w:rsidRPr="00FC0B2A">
        <w:rPr>
          <w:rFonts w:ascii="Times New Roman" w:hAnsi="Times New Roman" w:cs="Times New Roman"/>
          <w:sz w:val="24"/>
          <w:szCs w:val="24"/>
        </w:rPr>
        <w:t xml:space="preserve"> z 26. júna 2013 o prudenciálnych požiadavkách na úverové inštitúcie a investičné spoločnosti a o zmene nariadenia (EÚ) č. 648/2012 (</w:t>
      </w:r>
      <w:r w:rsidRPr="00FC0B2A">
        <w:rPr>
          <w:rFonts w:ascii="Times New Roman" w:hAnsi="Times New Roman" w:cs="Times New Roman"/>
          <w:iCs/>
          <w:sz w:val="24"/>
          <w:szCs w:val="24"/>
        </w:rPr>
        <w:t>Ú. v. EÚ L 176, 27.6.2013) v platnom znení.</w:t>
      </w:r>
    </w:p>
    <w:p w:rsidR="008143FB" w:rsidRPr="00FC0B2A" w:rsidP="008143FB">
      <w:pPr>
        <w:numPr>
          <w:numId w:val="14"/>
        </w:numPr>
        <w:autoSpaceDE w:val="0"/>
        <w:autoSpaceDN w:val="0"/>
        <w:bidi w:val="0"/>
        <w:adjustRightInd w:val="0"/>
        <w:spacing w:before="120" w:after="120"/>
        <w:ind w:left="851" w:hanging="284"/>
        <w:jc w:val="both"/>
        <w:rPr>
          <w:rFonts w:ascii="Times New Roman" w:hAnsi="Times New Roman"/>
          <w:bCs/>
          <w:iCs/>
          <w:u w:val="single"/>
        </w:rPr>
      </w:pPr>
      <w:r w:rsidRPr="00FC0B2A">
        <w:rPr>
          <w:rFonts w:ascii="Times New Roman" w:hAnsi="Times New Roman"/>
          <w:bCs/>
          <w:iCs/>
        </w:rPr>
        <w:t xml:space="preserve"> </w:t>
      </w:r>
      <w:r w:rsidRPr="00FC0B2A">
        <w:rPr>
          <w:rFonts w:ascii="Times New Roman" w:hAnsi="Times New Roman"/>
          <w:bCs/>
          <w:iCs/>
          <w:u w:val="single"/>
        </w:rPr>
        <w:t>nelegislatívne akty:</w:t>
      </w:r>
    </w:p>
    <w:p w:rsidR="008143FB" w:rsidRPr="00FC0B2A" w:rsidP="008143FB">
      <w:pPr>
        <w:numPr>
          <w:numId w:val="13"/>
        </w:numPr>
        <w:autoSpaceDE w:val="0"/>
        <w:autoSpaceDN w:val="0"/>
        <w:bidi w:val="0"/>
        <w:spacing w:after="120"/>
        <w:ind w:left="935" w:hanging="425"/>
        <w:jc w:val="both"/>
        <w:rPr>
          <w:rFonts w:ascii="Times New Roman" w:hAnsi="Times New Roman"/>
          <w:iCs/>
        </w:rPr>
      </w:pPr>
      <w:r w:rsidRPr="00FC0B2A">
        <w:rPr>
          <w:rFonts w:ascii="Times New Roman" w:hAnsi="Times New Roman"/>
          <w:bCs/>
          <w:iCs/>
        </w:rPr>
        <w:t xml:space="preserve">    </w:t>
      </w:r>
      <w:r w:rsidRPr="00FC0B2A">
        <w:rPr>
          <w:rFonts w:ascii="Times New Roman" w:hAnsi="Times New Roman"/>
          <w:bCs/>
        </w:rPr>
        <w:t xml:space="preserve">vykonávacia smernica Komisie (EÚ) </w:t>
      </w:r>
      <w:r w:rsidRPr="00FC0B2A">
        <w:rPr>
          <w:rFonts w:ascii="Times New Roman" w:hAnsi="Times New Roman"/>
          <w:bCs/>
          <w:u w:val="single"/>
        </w:rPr>
        <w:t>2015/2392</w:t>
      </w:r>
      <w:r w:rsidRPr="00FC0B2A">
        <w:rPr>
          <w:rFonts w:ascii="Times New Roman" w:hAnsi="Times New Roman"/>
          <w:bCs/>
        </w:rPr>
        <w:t xml:space="preserve"> zo 17. decembra 2015 o nariadení Európskeho parlamentu a Rady (EÚ) č. 596/2014, pokiaľ ide o nahlasovanie skutočných alebo možných porušení daného nariadenia príslušným orgánom (</w:t>
      </w:r>
      <w:r w:rsidRPr="00FC0B2A">
        <w:rPr>
          <w:rFonts w:ascii="Times New Roman" w:hAnsi="Times New Roman"/>
          <w:iCs/>
        </w:rPr>
        <w:t>Ú. v. EÚ L 332, 18.12.2015),</w:t>
      </w:r>
    </w:p>
    <w:p w:rsidR="008143FB" w:rsidRPr="00FC0B2A" w:rsidP="008143FB">
      <w:pPr>
        <w:numPr>
          <w:numId w:val="13"/>
        </w:numPr>
        <w:autoSpaceDE w:val="0"/>
        <w:autoSpaceDN w:val="0"/>
        <w:bidi w:val="0"/>
        <w:spacing w:after="240"/>
        <w:ind w:left="935" w:hanging="425"/>
        <w:jc w:val="both"/>
        <w:rPr>
          <w:rFonts w:ascii="Times New Roman" w:hAnsi="Times New Roman"/>
          <w:iCs/>
        </w:rPr>
      </w:pPr>
      <w:r w:rsidRPr="00FC0B2A">
        <w:rPr>
          <w:rFonts w:ascii="Times New Roman" w:hAnsi="Times New Roman"/>
          <w:bCs/>
          <w:iCs/>
        </w:rPr>
        <w:t xml:space="preserve">    </w:t>
      </w:r>
      <w:r w:rsidRPr="00FC0B2A">
        <w:rPr>
          <w:rFonts w:ascii="Times New Roman" w:hAnsi="Times New Roman"/>
          <w:bCs/>
          <w:bdr w:val="nil"/>
          <w:shd w:val="clear" w:color="auto" w:fill="FFFFFF"/>
        </w:rPr>
        <w:t>delegované nariadenie Komisie (EÚ) č. </w:t>
      </w:r>
      <w:r w:rsidRPr="00FC0B2A">
        <w:rPr>
          <w:rFonts w:ascii="Times New Roman" w:hAnsi="Times New Roman"/>
          <w:bCs/>
          <w:u w:val="single"/>
          <w:bdr w:val="nil"/>
          <w:shd w:val="clear" w:color="auto" w:fill="FFFFFF"/>
        </w:rPr>
        <w:t>241/2014</w:t>
      </w:r>
      <w:r w:rsidRPr="00FC0B2A">
        <w:rPr>
          <w:rFonts w:ascii="Times New Roman" w:hAnsi="Times New Roman"/>
          <w:bCs/>
          <w:bdr w:val="nil"/>
          <w:shd w:val="clear" w:color="auto" w:fill="FFFFFF"/>
        </w:rPr>
        <w:t xml:space="preserve"> zo 7. januára 2014, ktorým sa dopĺňa nariadenie Európskeho parlamentu a Rady (EÚ) č. 575/2013, pokiaľ ide o regulačné technické predpisy týkajúce sa požiadaviek na vlastné zdroje inštitúcií (</w:t>
      </w:r>
      <w:r w:rsidRPr="00FC0B2A">
        <w:rPr>
          <w:rFonts w:ascii="Times New Roman" w:hAnsi="Times New Roman"/>
          <w:iCs/>
        </w:rPr>
        <w:t>Ú. v. EÚ L 74, 14.3.2014) v platnom znení.</w:t>
      </w:r>
    </w:p>
    <w:p w:rsidR="008143FB" w:rsidRPr="00FC0B2A" w:rsidP="008143FB">
      <w:pPr>
        <w:autoSpaceDE w:val="0"/>
        <w:autoSpaceDN w:val="0"/>
        <w:bidi w:val="0"/>
        <w:spacing w:after="240"/>
        <w:ind w:left="510"/>
        <w:jc w:val="both"/>
        <w:rPr>
          <w:rFonts w:ascii="Times New Roman" w:hAnsi="Times New Roman"/>
          <w:iCs/>
        </w:rPr>
      </w:pPr>
      <w:r w:rsidRPr="00FC0B2A">
        <w:rPr>
          <w:rFonts w:ascii="Times New Roman" w:hAnsi="Times New Roman"/>
          <w:iCs/>
        </w:rPr>
        <w:t>Nie je upravená v sekundárnom práve (prijatom pred nadobudnutím platnosti Lisabonskej zmluvy, ktorou sa mení a dopĺňa Zmluva o Európskej únii a Zmluva o založení Európskeho spoločenstva - do 30. novembra 2009).</w:t>
      </w:r>
    </w:p>
    <w:p w:rsidR="008143FB" w:rsidRPr="00FC0B2A" w:rsidP="008143FB">
      <w:pPr>
        <w:numPr>
          <w:ilvl w:val="1"/>
          <w:numId w:val="4"/>
        </w:numPr>
        <w:bidi w:val="0"/>
        <w:spacing w:after="120"/>
        <w:rPr>
          <w:rFonts w:ascii="Times New Roman" w:hAnsi="Times New Roman"/>
          <w:lang w:eastAsia="cs-CZ"/>
        </w:rPr>
      </w:pPr>
      <w:r w:rsidRPr="00FC0B2A">
        <w:rPr>
          <w:rFonts w:ascii="Times New Roman" w:hAnsi="Times New Roman"/>
          <w:lang w:eastAsia="cs-CZ"/>
        </w:rPr>
        <w:t>nie je obsiahnutá v judikatúre Súdneho dvora Európskej únie.</w:t>
      </w:r>
    </w:p>
    <w:p w:rsidR="008143FB" w:rsidRPr="00A53F4C" w:rsidP="008143FB">
      <w:pPr>
        <w:numPr>
          <w:numId w:val="4"/>
        </w:numPr>
        <w:bidi w:val="0"/>
        <w:spacing w:after="120"/>
        <w:jc w:val="both"/>
        <w:rPr>
          <w:rFonts w:ascii="Times New Roman" w:hAnsi="Times New Roman"/>
          <w:b/>
          <w:bCs/>
        </w:rPr>
      </w:pPr>
      <w:r w:rsidRPr="00A53F4C">
        <w:rPr>
          <w:rFonts w:ascii="Times New Roman" w:hAnsi="Times New Roman"/>
          <w:b/>
          <w:bCs/>
        </w:rPr>
        <w:t>Záväzky Slovenskej republiky vo vzťahu k Európskej únii:</w:t>
      </w:r>
    </w:p>
    <w:p w:rsidR="008143FB" w:rsidRPr="00A53F4C" w:rsidP="008143FB">
      <w:pPr>
        <w:numPr>
          <w:numId w:val="12"/>
        </w:numPr>
        <w:tabs>
          <w:tab w:val="left" w:pos="425"/>
          <w:tab w:val="clear" w:pos="720"/>
        </w:tabs>
        <w:bidi w:val="0"/>
        <w:spacing w:after="120"/>
        <w:ind w:left="425" w:hanging="425"/>
        <w:jc w:val="both"/>
        <w:rPr>
          <w:rFonts w:ascii="Times New Roman" w:hAnsi="Times New Roman"/>
          <w:lang w:eastAsia="cs-CZ"/>
        </w:rPr>
      </w:pPr>
      <w:r w:rsidRPr="00A53F4C">
        <w:rPr>
          <w:rFonts w:ascii="Times New Roman" w:hAnsi="Times New Roman"/>
        </w:rPr>
        <w:t xml:space="preserve">Lehota na </w:t>
      </w:r>
      <w:r w:rsidRPr="00A53F4C">
        <w:rPr>
          <w:rFonts w:ascii="Times New Roman" w:hAnsi="Times New Roman"/>
          <w:lang w:eastAsia="cs-CZ"/>
        </w:rPr>
        <w:t xml:space="preserve">prebratie </w:t>
      </w:r>
      <w:r w:rsidRPr="00A53F4C">
        <w:rPr>
          <w:rFonts w:ascii="Times New Roman" w:hAnsi="Times New Roman"/>
        </w:rPr>
        <w:t xml:space="preserve">smernice (EÚ) 2015/2392 bola určená do 3.7. 2016. </w:t>
      </w:r>
    </w:p>
    <w:p w:rsidR="008143FB" w:rsidRPr="00A53F4C" w:rsidP="008143FB">
      <w:pPr>
        <w:numPr>
          <w:numId w:val="12"/>
        </w:numPr>
        <w:tabs>
          <w:tab w:val="left" w:pos="425"/>
          <w:tab w:val="clear" w:pos="720"/>
        </w:tabs>
        <w:bidi w:val="0"/>
        <w:spacing w:after="120"/>
        <w:ind w:left="425" w:hanging="425"/>
        <w:jc w:val="both"/>
        <w:rPr>
          <w:rFonts w:ascii="Times New Roman" w:hAnsi="Times New Roman"/>
          <w:lang w:eastAsia="cs-CZ"/>
        </w:rPr>
      </w:pPr>
      <w:r w:rsidRPr="00A53F4C">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(EÚ) 2015/2392, bola stanovená do 3.7. 2016.</w:t>
      </w:r>
    </w:p>
    <w:p w:rsidR="008143FB" w:rsidRPr="00A53F4C" w:rsidP="008143FB">
      <w:pPr>
        <w:numPr>
          <w:numId w:val="12"/>
        </w:numPr>
        <w:tabs>
          <w:tab w:val="left" w:pos="425"/>
          <w:tab w:val="clear" w:pos="720"/>
        </w:tabs>
        <w:bidi w:val="0"/>
        <w:spacing w:after="120"/>
        <w:ind w:left="425" w:hanging="425"/>
        <w:jc w:val="both"/>
        <w:rPr>
          <w:rFonts w:ascii="Times New Roman" w:hAnsi="Times New Roman"/>
          <w:lang w:eastAsia="cs-CZ"/>
        </w:rPr>
      </w:pPr>
      <w:r w:rsidRPr="00A53F4C">
        <w:rPr>
          <w:rFonts w:ascii="Times New Roman" w:hAnsi="Times New Roman"/>
          <w:lang w:eastAsia="cs-CZ"/>
        </w:rPr>
        <w:t>Proti SR bolo začaté konanie č. 2014/0215 o porušení Zmluvy o fungovaní Európskej únie podľa čl. 258 až 260.</w:t>
      </w:r>
    </w:p>
    <w:p w:rsidR="008143FB" w:rsidRPr="00A53F4C" w:rsidP="008143FB">
      <w:pPr>
        <w:numPr>
          <w:numId w:val="12"/>
        </w:numPr>
        <w:tabs>
          <w:tab w:val="num" w:pos="426"/>
          <w:tab w:val="clear" w:pos="720"/>
        </w:tabs>
        <w:bidi w:val="0"/>
        <w:spacing w:after="240"/>
        <w:ind w:left="426" w:hanging="426"/>
        <w:jc w:val="both"/>
        <w:rPr>
          <w:rFonts w:ascii="Times New Roman" w:hAnsi="Times New Roman"/>
          <w:lang w:eastAsia="cs-CZ"/>
        </w:rPr>
      </w:pPr>
      <w:r w:rsidRPr="00A53F4C">
        <w:rPr>
          <w:rFonts w:ascii="Times New Roman" w:hAnsi="Times New Roman"/>
          <w:lang w:eastAsia="cs-CZ"/>
        </w:rPr>
        <w:t xml:space="preserve">Smernica </w:t>
      </w:r>
      <w:r w:rsidRPr="00A53F4C">
        <w:rPr>
          <w:rFonts w:ascii="Times New Roman" w:hAnsi="Times New Roman"/>
        </w:rPr>
        <w:t xml:space="preserve">(EÚ) </w:t>
      </w:r>
      <w:r w:rsidRPr="00A53F4C">
        <w:rPr>
          <w:rFonts w:ascii="Times New Roman" w:hAnsi="Times New Roman"/>
          <w:lang w:eastAsia="cs-CZ"/>
        </w:rPr>
        <w:t>2015/2392 bola prebratá do zákona č. 747/2004 Z.z. o dohľade nad finančným trhom a o zmene niektorých zákonov v znení neskorších predpisov.</w:t>
      </w:r>
    </w:p>
    <w:p w:rsidR="008143FB" w:rsidRPr="00A53F4C" w:rsidP="008143FB">
      <w:pPr>
        <w:numPr>
          <w:numId w:val="4"/>
        </w:numPr>
        <w:bidi w:val="0"/>
        <w:spacing w:after="120"/>
        <w:jc w:val="both"/>
        <w:rPr>
          <w:rFonts w:ascii="Times New Roman" w:hAnsi="Times New Roman"/>
          <w:b/>
          <w:bCs/>
        </w:rPr>
      </w:pPr>
      <w:r w:rsidRPr="00A53F4C">
        <w:rPr>
          <w:rFonts w:ascii="Times New Roman" w:hAnsi="Times New Roman"/>
          <w:b/>
          <w:bCs/>
        </w:rPr>
        <w:t>Stupeň zlučiteľnosti návrhu zákona s právom Európskej únie:</w:t>
      </w:r>
    </w:p>
    <w:p w:rsidR="008143FB" w:rsidRPr="00A53F4C" w:rsidP="008143FB">
      <w:pPr>
        <w:bidi w:val="0"/>
        <w:spacing w:after="120"/>
        <w:ind w:left="425" w:hanging="425"/>
        <w:jc w:val="both"/>
        <w:rPr>
          <w:rFonts w:ascii="Times New Roman" w:hAnsi="Times New Roman"/>
        </w:rPr>
      </w:pPr>
      <w:r w:rsidRPr="00A53F4C">
        <w:rPr>
          <w:rFonts w:ascii="Times New Roman" w:hAnsi="Times New Roman"/>
        </w:rPr>
        <w:tab/>
        <w:t>Úplný.</w:t>
      </w:r>
    </w:p>
    <w:p w:rsidR="008143FB" w:rsidRPr="00A53F4C" w:rsidP="008143FB">
      <w:pPr>
        <w:numPr>
          <w:numId w:val="4"/>
        </w:numPr>
        <w:bidi w:val="0"/>
        <w:spacing w:after="120"/>
        <w:jc w:val="both"/>
        <w:rPr>
          <w:rFonts w:ascii="Times New Roman" w:hAnsi="Times New Roman"/>
          <w:b/>
          <w:bCs/>
        </w:rPr>
      </w:pPr>
      <w:r w:rsidRPr="00A53F4C">
        <w:rPr>
          <w:rFonts w:ascii="Times New Roman" w:hAnsi="Times New Roman"/>
          <w:b/>
          <w:bCs/>
        </w:rPr>
        <w:t xml:space="preserve">Gestor a spolupracujúce rezorty: </w:t>
      </w:r>
    </w:p>
    <w:p w:rsidR="008143FB" w:rsidRPr="00A53F4C" w:rsidP="008143FB">
      <w:pPr>
        <w:bidi w:val="0"/>
        <w:spacing w:after="120"/>
        <w:ind w:left="360"/>
        <w:jc w:val="both"/>
        <w:rPr>
          <w:rFonts w:ascii="Times New Roman" w:hAnsi="Times New Roman"/>
        </w:rPr>
      </w:pPr>
      <w:r w:rsidRPr="00A53F4C">
        <w:rPr>
          <w:rFonts w:ascii="Times New Roman" w:hAnsi="Times New Roman"/>
        </w:rPr>
        <w:t xml:space="preserve"> Ministerstvo financií Slovenskej republiky, Národná banka Slovenska.</w:t>
      </w: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E6521" w:rsidP="003577B8">
      <w:pPr>
        <w:pStyle w:val="BodyText"/>
        <w:widowControl/>
        <w:bidi w:val="0"/>
        <w:jc w:val="both"/>
        <w:rPr>
          <w:rFonts w:ascii="Times New Roman" w:hAnsi="Times New Roman"/>
          <w:b/>
          <w:bCs/>
        </w:rPr>
      </w:pPr>
    </w:p>
    <w:p w:rsidR="00022A55" w:rsidP="003577B8">
      <w:pPr>
        <w:pStyle w:val="BodyText"/>
        <w:widowControl/>
        <w:bidi w:val="0"/>
        <w:jc w:val="both"/>
        <w:rPr>
          <w:rFonts w:ascii="Times New Roman" w:hAnsi="Times New Roman"/>
          <w:b/>
          <w:bCs/>
        </w:rPr>
      </w:pPr>
    </w:p>
    <w:p w:rsidR="000E6521" w:rsidRPr="00AD5C1D" w:rsidP="000E6521">
      <w:pPr>
        <w:pStyle w:val="BodyText"/>
        <w:widowControl/>
        <w:bidi w:val="0"/>
        <w:jc w:val="both"/>
        <w:rPr>
          <w:rFonts w:ascii="Times New Roman" w:hAnsi="Times New Roman"/>
          <w:b/>
          <w:bCs/>
          <w:u w:val="single"/>
        </w:rPr>
      </w:pPr>
      <w:r w:rsidRPr="00AD5C1D">
        <w:rPr>
          <w:rFonts w:ascii="Times New Roman" w:hAnsi="Times New Roman"/>
          <w:b/>
          <w:bCs/>
        </w:rPr>
        <w:t>Osobitná časť</w:t>
      </w:r>
      <w:r w:rsidRPr="00AD5C1D">
        <w:rPr>
          <w:rFonts w:ascii="Times New Roman" w:hAnsi="Times New Roman"/>
          <w:b/>
          <w:bCs/>
          <w:u w:val="single"/>
        </w:rPr>
        <w:t xml:space="preserve"> </w:t>
      </w:r>
    </w:p>
    <w:p w:rsidR="000E6521" w:rsidRPr="00AD5C1D" w:rsidP="000E6521">
      <w:pPr>
        <w:pStyle w:val="BodyText"/>
        <w:widowControl/>
        <w:bidi w:val="0"/>
        <w:rPr>
          <w:rFonts w:ascii="Times New Roman" w:hAnsi="Times New Roman"/>
          <w:b/>
          <w:bCs/>
        </w:rPr>
      </w:pPr>
    </w:p>
    <w:p w:rsidR="000E6521" w:rsidRPr="00AD5C1D" w:rsidP="000E6521">
      <w:pPr>
        <w:pStyle w:val="BodyText"/>
        <w:widowControl/>
        <w:bidi w:val="0"/>
        <w:rPr>
          <w:rFonts w:ascii="Times New Roman" w:hAnsi="Times New Roman"/>
          <w:b/>
          <w:bCs/>
        </w:rPr>
      </w:pPr>
      <w:r w:rsidRPr="00AD5C1D">
        <w:rPr>
          <w:rFonts w:ascii="Times New Roman" w:hAnsi="Times New Roman"/>
          <w:b/>
          <w:bCs/>
        </w:rPr>
        <w:t>K Čl. I</w:t>
      </w:r>
    </w:p>
    <w:p w:rsidR="000E6521" w:rsidRPr="00AD5C1D" w:rsidP="000E6521">
      <w:pPr>
        <w:pStyle w:val="BodyText"/>
        <w:widowControl/>
        <w:bidi w:val="0"/>
        <w:rPr>
          <w:rFonts w:ascii="Times New Roman" w:hAnsi="Times New Roman"/>
          <w:b/>
          <w:bCs/>
        </w:rPr>
      </w:pPr>
    </w:p>
    <w:p w:rsidR="000E6521" w:rsidRPr="00AD5C1D" w:rsidP="000E6521">
      <w:pPr>
        <w:pStyle w:val="BodyText"/>
        <w:widowControl/>
        <w:bidi w:val="0"/>
        <w:rPr>
          <w:rFonts w:ascii="Times New Roman" w:hAnsi="Times New Roman"/>
          <w:b/>
          <w:bCs/>
        </w:rPr>
      </w:pPr>
      <w:r w:rsidRPr="00AD5C1D">
        <w:rPr>
          <w:rFonts w:ascii="Times New Roman" w:hAnsi="Times New Roman"/>
          <w:b/>
          <w:bCs/>
        </w:rPr>
        <w:t>K bodom 1 a 2</w:t>
      </w:r>
    </w:p>
    <w:p w:rsidR="000E6521" w:rsidRPr="00AD5C1D" w:rsidP="000E6521">
      <w:pPr>
        <w:bidi w:val="0"/>
        <w:jc w:val="both"/>
        <w:rPr>
          <w:rFonts w:ascii="Times New Roman" w:hAnsi="Times New Roman"/>
        </w:rPr>
      </w:pPr>
      <w:r w:rsidRPr="00AD5C1D">
        <w:rPr>
          <w:rFonts w:ascii="Times New Roman" w:hAnsi="Times New Roman"/>
        </w:rPr>
        <w:t xml:space="preserve">Úpravy súvisiace zo zavedením úpravy tzv. hybridných nástrojov vo forme investičných certifikátov.  </w:t>
      </w:r>
    </w:p>
    <w:p w:rsidR="000E6521" w:rsidRPr="00AD5C1D" w:rsidP="000E6521">
      <w:pPr>
        <w:bidi w:val="0"/>
        <w:jc w:val="both"/>
        <w:rPr>
          <w:rFonts w:ascii="Times New Roman" w:hAnsi="Times New Roman"/>
        </w:rPr>
      </w:pPr>
      <w:r w:rsidRPr="00AD5C1D">
        <w:rPr>
          <w:rFonts w:ascii="Times New Roman" w:hAnsi="Times New Roman"/>
        </w:rPr>
        <w:t>Článok 52 Nariadenia Európskeho parlamentu a Rady č. 575/2013 z 26. júna 2013 o prudenciálnych požiadavkách na úverové inštitúcie a investičné spoločnosti a o zmene nariadenia (EÚ) č. 648/2012 ustanovuje pre účely splnenia kapitálových požiadaviek možnosť vydávať nástroje dodatočného kapitálu 1 (AT1 nástroje), ktoré musia spĺňať špecifické podmienky za účelom uznania týchto nástrojov ako súčasť dodatočného kapitálu 1.</w:t>
      </w:r>
    </w:p>
    <w:p w:rsidR="000E6521" w:rsidRPr="00AD5C1D" w:rsidP="000E6521">
      <w:pPr>
        <w:bidi w:val="0"/>
        <w:jc w:val="both"/>
        <w:rPr>
          <w:rFonts w:ascii="Times New Roman" w:hAnsi="Times New Roman"/>
        </w:rPr>
      </w:pPr>
      <w:r w:rsidRPr="00AD5C1D">
        <w:rPr>
          <w:rFonts w:ascii="Times New Roman" w:hAnsi="Times New Roman"/>
        </w:rPr>
        <w:t xml:space="preserve">Uvedené nariadenie definične presahuje rámec právnej úpravy ustanovenej zákonom o cenných papieroch a investičných službách pri špecifických parametroch jednotlivých emisií nástrojov dodatočného kapitálu 1. Predkladaným návrhom sa upravuje zákon o cenných papieroch a investičných službách tak, aby bolo možné vydávať nástroje dodatočného kapitálu 1  v súlade s domácou právnou úpravou investičných certifikátov.       </w:t>
      </w:r>
    </w:p>
    <w:p w:rsidR="000E6521" w:rsidRPr="00AD5C1D" w:rsidP="000E6521">
      <w:pPr>
        <w:bidi w:val="0"/>
        <w:jc w:val="both"/>
        <w:rPr>
          <w:rFonts w:ascii="Times New Roman" w:hAnsi="Times New Roman"/>
        </w:rPr>
      </w:pPr>
    </w:p>
    <w:p w:rsidR="000E6521" w:rsidRPr="00AD5C1D" w:rsidP="000E6521">
      <w:pPr>
        <w:bidi w:val="0"/>
        <w:jc w:val="both"/>
        <w:rPr>
          <w:rFonts w:ascii="Times New Roman" w:hAnsi="Times New Roman"/>
          <w:b/>
        </w:rPr>
      </w:pPr>
      <w:r w:rsidRPr="00AD5C1D">
        <w:rPr>
          <w:rFonts w:ascii="Times New Roman" w:hAnsi="Times New Roman"/>
          <w:b/>
        </w:rPr>
        <w:t>K bodom 3 až 5</w:t>
      </w:r>
    </w:p>
    <w:p w:rsidR="000E6521" w:rsidRPr="00AD5C1D" w:rsidP="000E6521">
      <w:pPr>
        <w:bidi w:val="0"/>
        <w:jc w:val="both"/>
        <w:rPr>
          <w:rFonts w:ascii="Times New Roman" w:hAnsi="Times New Roman"/>
          <w:bCs/>
        </w:rPr>
      </w:pPr>
      <w:r w:rsidRPr="00AD5C1D">
        <w:rPr>
          <w:rFonts w:ascii="Times New Roman" w:hAnsi="Times New Roman"/>
          <w:bCs/>
        </w:rPr>
        <w:t>Nariadenie č.</w:t>
      </w:r>
      <w:r>
        <w:rPr>
          <w:rFonts w:ascii="Times New Roman" w:hAnsi="Times New Roman"/>
          <w:bCs/>
        </w:rPr>
        <w:t xml:space="preserve"> </w:t>
      </w:r>
      <w:r w:rsidRPr="00AD5C1D">
        <w:rPr>
          <w:rFonts w:ascii="Times New Roman" w:hAnsi="Times New Roman"/>
          <w:bCs/>
        </w:rPr>
        <w:t xml:space="preserve">909/2014 z 23.júla 2014 o zlepšení vyrovnania transakcií s cennými papiermi v Európskej únií, o centrálnych depozitároch cenných papieroch a o zmene smerníc 98/26/ES a 2014/65/EU a nariadenia (EU) č. 236/2012 (ďalej len „nariadenie CSD“) v čl. 23 až 25 ustanovuje právo zahraničných centrálnych depozitárov so sídlom v EU a centrálnych depozitárov z tretích krajín uznaných </w:t>
      </w:r>
      <w:r w:rsidRPr="00AD5C1D">
        <w:rPr>
          <w:rFonts w:ascii="Times New Roman" w:hAnsi="Times New Roman"/>
        </w:rPr>
        <w:t>Európskym orgánom pre cenné papiere a trhy (ďalej len „</w:t>
      </w:r>
      <w:r w:rsidRPr="00AD5C1D">
        <w:rPr>
          <w:rFonts w:ascii="Times New Roman" w:hAnsi="Times New Roman"/>
          <w:bCs/>
        </w:rPr>
        <w:t>ESMA“)</w:t>
      </w:r>
      <w:r>
        <w:rPr>
          <w:rFonts w:ascii="Times New Roman" w:hAnsi="Times New Roman"/>
          <w:bCs/>
        </w:rPr>
        <w:t>, aby</w:t>
      </w:r>
      <w:r w:rsidRPr="00AD5C1D">
        <w:rPr>
          <w:rFonts w:ascii="Times New Roman" w:hAnsi="Times New Roman"/>
          <w:bCs/>
        </w:rPr>
        <w:t xml:space="preserve"> mohli poskytovať služby spojené s evidenciou cenných papierov v celej EÚ na základe slobodného práva poskytovať služby. </w:t>
      </w:r>
      <w:r>
        <w:rPr>
          <w:rFonts w:ascii="Times New Roman" w:hAnsi="Times New Roman"/>
          <w:bCs/>
        </w:rPr>
        <w:t>Z uvedeného dôvodu</w:t>
      </w:r>
      <w:r w:rsidRPr="00AD5C1D">
        <w:rPr>
          <w:rFonts w:ascii="Times New Roman" w:hAnsi="Times New Roman"/>
          <w:bCs/>
        </w:rPr>
        <w:t xml:space="preserve"> je potrebné odstrániť obmedzenia, na základe ktorých mohol viesť zákonnú evidenciu zaknihovaných cenných papierov len tuzemský centrálny depozitár.       </w:t>
      </w:r>
    </w:p>
    <w:p w:rsidR="000E6521" w:rsidRPr="00AD5C1D" w:rsidP="000E6521">
      <w:pPr>
        <w:bidi w:val="0"/>
        <w:jc w:val="both"/>
        <w:rPr>
          <w:rFonts w:ascii="Times New Roman" w:hAnsi="Times New Roman"/>
          <w:bCs/>
        </w:rPr>
      </w:pPr>
    </w:p>
    <w:p w:rsidR="000E6521" w:rsidRPr="00AD5C1D" w:rsidP="000E6521">
      <w:pPr>
        <w:bidi w:val="0"/>
        <w:jc w:val="both"/>
        <w:rPr>
          <w:rFonts w:ascii="Times New Roman" w:hAnsi="Times New Roman"/>
          <w:b/>
        </w:rPr>
      </w:pPr>
      <w:r w:rsidRPr="00AD5C1D">
        <w:rPr>
          <w:rFonts w:ascii="Times New Roman" w:hAnsi="Times New Roman"/>
          <w:b/>
        </w:rPr>
        <w:t>K bodu 6</w:t>
      </w:r>
    </w:p>
    <w:p w:rsidR="000E6521" w:rsidRPr="00AD5C1D" w:rsidP="000E6521">
      <w:pPr>
        <w:bidi w:val="0"/>
        <w:jc w:val="both"/>
        <w:rPr>
          <w:rFonts w:ascii="Times New Roman" w:hAnsi="Times New Roman"/>
        </w:rPr>
      </w:pPr>
      <w:r w:rsidRPr="00AD5C1D">
        <w:rPr>
          <w:rFonts w:ascii="Times New Roman" w:hAnsi="Times New Roman"/>
        </w:rPr>
        <w:t>Postupy v súvislosti s kódmi ISIN sa riadia medzinárodnými normami ISO a je možné ich ponechať v kompetencii národnej číslovacej agentúry, čím sa tiež odstráni nutnosť zmeny legislatívy v prípade zmien medzinárodných štandardov alebo v súvislosti s prechodom na platformu T2S.</w:t>
      </w:r>
    </w:p>
    <w:p w:rsidR="000E6521" w:rsidRPr="00AD5C1D" w:rsidP="000E6521">
      <w:pPr>
        <w:bidi w:val="0"/>
        <w:jc w:val="both"/>
        <w:rPr>
          <w:rFonts w:ascii="Times New Roman" w:hAnsi="Times New Roman"/>
        </w:rPr>
      </w:pPr>
    </w:p>
    <w:p w:rsidR="000E6521" w:rsidRPr="00AD5C1D" w:rsidP="000E6521">
      <w:pPr>
        <w:bidi w:val="0"/>
        <w:jc w:val="both"/>
        <w:rPr>
          <w:rFonts w:ascii="Times New Roman" w:hAnsi="Times New Roman"/>
          <w:b/>
        </w:rPr>
      </w:pPr>
      <w:r w:rsidRPr="00AD5C1D">
        <w:rPr>
          <w:rFonts w:ascii="Times New Roman" w:hAnsi="Times New Roman"/>
          <w:b/>
        </w:rPr>
        <w:t>K bod</w:t>
      </w:r>
      <w:r>
        <w:rPr>
          <w:rFonts w:ascii="Times New Roman" w:hAnsi="Times New Roman"/>
          <w:b/>
        </w:rPr>
        <w:t>om</w:t>
      </w:r>
      <w:r w:rsidRPr="00AD5C1D">
        <w:rPr>
          <w:rFonts w:ascii="Times New Roman" w:hAnsi="Times New Roman"/>
          <w:b/>
        </w:rPr>
        <w:t xml:space="preserve"> 7</w:t>
      </w:r>
      <w:r>
        <w:rPr>
          <w:rFonts w:ascii="Times New Roman" w:hAnsi="Times New Roman"/>
          <w:b/>
        </w:rPr>
        <w:t xml:space="preserve"> a 8</w:t>
      </w:r>
    </w:p>
    <w:p w:rsidR="000E6521" w:rsidRPr="00AD5C1D" w:rsidP="000E6521">
      <w:pPr>
        <w:bidi w:val="0"/>
        <w:jc w:val="both"/>
        <w:rPr>
          <w:rFonts w:ascii="Times New Roman" w:hAnsi="Times New Roman"/>
        </w:rPr>
      </w:pPr>
      <w:r w:rsidRPr="00AD5C1D">
        <w:rPr>
          <w:rFonts w:ascii="Times New Roman" w:hAnsi="Times New Roman"/>
        </w:rPr>
        <w:t>Legislatívno- technická úprava na základe podnetov z aplikačnej praxe.</w:t>
      </w:r>
    </w:p>
    <w:p w:rsidR="000E6521" w:rsidRPr="00AD5C1D" w:rsidP="000E6521">
      <w:pPr>
        <w:bidi w:val="0"/>
        <w:jc w:val="both"/>
        <w:rPr>
          <w:rFonts w:ascii="Times New Roman" w:hAnsi="Times New Roman"/>
        </w:rPr>
      </w:pPr>
    </w:p>
    <w:p w:rsidR="000E6521" w:rsidRPr="00AD5C1D" w:rsidP="000E6521">
      <w:pPr>
        <w:bidi w:val="0"/>
        <w:jc w:val="both"/>
        <w:rPr>
          <w:rFonts w:ascii="Times New Roman" w:hAnsi="Times New Roman"/>
          <w:b/>
        </w:rPr>
      </w:pPr>
      <w:r w:rsidRPr="00AD5C1D">
        <w:rPr>
          <w:rFonts w:ascii="Times New Roman" w:hAnsi="Times New Roman"/>
          <w:b/>
        </w:rPr>
        <w:t>K bod</w:t>
      </w:r>
      <w:r>
        <w:rPr>
          <w:rFonts w:ascii="Times New Roman" w:hAnsi="Times New Roman"/>
          <w:b/>
        </w:rPr>
        <w:t>om</w:t>
      </w:r>
      <w:r w:rsidRPr="00AD5C1D">
        <w:rPr>
          <w:rFonts w:ascii="Times New Roman" w:hAnsi="Times New Roman"/>
          <w:b/>
        </w:rPr>
        <w:t xml:space="preserve"> </w:t>
      </w:r>
      <w:r>
        <w:rPr>
          <w:rFonts w:ascii="Times New Roman" w:hAnsi="Times New Roman"/>
          <w:b/>
        </w:rPr>
        <w:t>9, 17 a 18</w:t>
      </w:r>
    </w:p>
    <w:p w:rsidR="000E6521" w:rsidP="000E6521">
      <w:pPr>
        <w:bidi w:val="0"/>
        <w:jc w:val="both"/>
        <w:rPr>
          <w:rFonts w:ascii="Times New Roman" w:hAnsi="Times New Roman"/>
        </w:rPr>
      </w:pPr>
      <w:r w:rsidRPr="00AD5C1D">
        <w:rPr>
          <w:rFonts w:ascii="Times New Roman" w:hAnsi="Times New Roman"/>
        </w:rPr>
        <w:t xml:space="preserve">Legislatívno-technická úprava v súvislosti </w:t>
      </w:r>
      <w:r>
        <w:rPr>
          <w:rFonts w:ascii="Times New Roman" w:hAnsi="Times New Roman"/>
        </w:rPr>
        <w:t>s</w:t>
      </w:r>
      <w:r w:rsidRPr="00AD5C1D">
        <w:rPr>
          <w:rFonts w:ascii="Times New Roman" w:hAnsi="Times New Roman"/>
        </w:rPr>
        <w:t>o zosúladením s nariadením CSD.</w:t>
      </w:r>
    </w:p>
    <w:p w:rsidR="000E6521" w:rsidP="000E6521">
      <w:pPr>
        <w:bidi w:val="0"/>
        <w:jc w:val="both"/>
        <w:rPr>
          <w:rFonts w:ascii="Times New Roman" w:hAnsi="Times New Roman"/>
        </w:rPr>
      </w:pPr>
    </w:p>
    <w:p w:rsidR="000E6521" w:rsidRPr="004109A1" w:rsidP="000E6521">
      <w:pPr>
        <w:bidi w:val="0"/>
        <w:jc w:val="both"/>
        <w:rPr>
          <w:rFonts w:ascii="Times New Roman" w:hAnsi="Times New Roman"/>
          <w:b/>
          <w:color w:val="FF0000"/>
        </w:rPr>
      </w:pPr>
      <w:r w:rsidRPr="004D52D4">
        <w:rPr>
          <w:rFonts w:ascii="Times New Roman" w:hAnsi="Times New Roman"/>
          <w:b/>
        </w:rPr>
        <w:t>K bodom</w:t>
      </w:r>
      <w:r w:rsidRPr="004109A1">
        <w:rPr>
          <w:rFonts w:ascii="Times New Roman" w:hAnsi="Times New Roman"/>
          <w:b/>
          <w:color w:val="FF0000"/>
        </w:rPr>
        <w:t xml:space="preserve"> </w:t>
      </w:r>
      <w:r w:rsidRPr="004D52D4">
        <w:rPr>
          <w:rFonts w:ascii="Times New Roman" w:hAnsi="Times New Roman"/>
          <w:b/>
        </w:rPr>
        <w:t xml:space="preserve">10,11, </w:t>
      </w:r>
      <w:r>
        <w:rPr>
          <w:rFonts w:ascii="Times New Roman" w:hAnsi="Times New Roman"/>
          <w:b/>
        </w:rPr>
        <w:t>49</w:t>
      </w:r>
      <w:r w:rsidRPr="004D52D4">
        <w:rPr>
          <w:rFonts w:ascii="Times New Roman" w:hAnsi="Times New Roman"/>
          <w:b/>
        </w:rPr>
        <w:t>,</w:t>
      </w:r>
      <w:r w:rsidRPr="004109A1">
        <w:rPr>
          <w:rFonts w:ascii="Times New Roman" w:hAnsi="Times New Roman"/>
          <w:b/>
          <w:color w:val="FF0000"/>
        </w:rPr>
        <w:t xml:space="preserve"> </w:t>
      </w:r>
      <w:r w:rsidRPr="007461E7">
        <w:rPr>
          <w:rFonts w:ascii="Times New Roman" w:hAnsi="Times New Roman"/>
          <w:b/>
        </w:rPr>
        <w:t>5</w:t>
      </w:r>
      <w:r>
        <w:rPr>
          <w:rFonts w:ascii="Times New Roman" w:hAnsi="Times New Roman"/>
          <w:b/>
        </w:rPr>
        <w:t>7</w:t>
      </w:r>
      <w:r w:rsidRPr="007461E7">
        <w:rPr>
          <w:rFonts w:ascii="Times New Roman" w:hAnsi="Times New Roman"/>
          <w:b/>
        </w:rPr>
        <w:t>,</w:t>
      </w:r>
      <w:r>
        <w:rPr>
          <w:rFonts w:ascii="Times New Roman" w:hAnsi="Times New Roman"/>
          <w:b/>
          <w:color w:val="FF0000"/>
        </w:rPr>
        <w:t xml:space="preserve"> </w:t>
      </w:r>
      <w:r w:rsidRPr="00E361F8">
        <w:rPr>
          <w:rFonts w:ascii="Times New Roman" w:hAnsi="Times New Roman"/>
          <w:b/>
        </w:rPr>
        <w:t>70</w:t>
      </w:r>
      <w:r w:rsidR="008143FB">
        <w:rPr>
          <w:rFonts w:ascii="Times New Roman" w:hAnsi="Times New Roman"/>
          <w:b/>
        </w:rPr>
        <w:t xml:space="preserve"> až</w:t>
      </w:r>
      <w:r w:rsidRPr="004109A1">
        <w:rPr>
          <w:rFonts w:ascii="Times New Roman" w:hAnsi="Times New Roman"/>
          <w:b/>
          <w:color w:val="FF0000"/>
        </w:rPr>
        <w:t xml:space="preserve"> </w:t>
      </w:r>
      <w:r w:rsidRPr="00E361F8">
        <w:rPr>
          <w:rFonts w:ascii="Times New Roman" w:hAnsi="Times New Roman"/>
          <w:b/>
        </w:rPr>
        <w:t>73</w:t>
      </w:r>
      <w:r w:rsidRPr="004109A1">
        <w:rPr>
          <w:rFonts w:ascii="Times New Roman" w:hAnsi="Times New Roman"/>
          <w:b/>
          <w:color w:val="FF0000"/>
        </w:rPr>
        <w:t xml:space="preserve"> </w:t>
      </w:r>
    </w:p>
    <w:p w:rsidR="000E6521" w:rsidP="000E6521">
      <w:pPr>
        <w:bidi w:val="0"/>
        <w:jc w:val="both"/>
        <w:rPr>
          <w:rFonts w:ascii="Times New Roman" w:hAnsi="Times New Roman"/>
        </w:rPr>
      </w:pPr>
      <w:r>
        <w:rPr>
          <w:rFonts w:ascii="Times New Roman" w:hAnsi="Times New Roman"/>
        </w:rPr>
        <w:t>Ide o súlad v</w:t>
      </w:r>
      <w:r w:rsidRPr="0073315A">
        <w:rPr>
          <w:rFonts w:ascii="Times New Roman" w:hAnsi="Times New Roman"/>
        </w:rPr>
        <w:t xml:space="preserve"> rámci prípravy projektu T2S </w:t>
      </w:r>
      <w:r>
        <w:rPr>
          <w:rFonts w:ascii="Times New Roman" w:hAnsi="Times New Roman"/>
        </w:rPr>
        <w:t xml:space="preserve">s </w:t>
      </w:r>
      <w:r w:rsidRPr="0073315A">
        <w:rPr>
          <w:rFonts w:ascii="Times New Roman" w:hAnsi="Times New Roman"/>
        </w:rPr>
        <w:t>Európsk</w:t>
      </w:r>
      <w:r>
        <w:rPr>
          <w:rFonts w:ascii="Times New Roman" w:hAnsi="Times New Roman"/>
        </w:rPr>
        <w:t>ou centrálnou</w:t>
      </w:r>
      <w:r w:rsidRPr="0073315A">
        <w:rPr>
          <w:rFonts w:ascii="Times New Roman" w:hAnsi="Times New Roman"/>
        </w:rPr>
        <w:t xml:space="preserve"> bank</w:t>
      </w:r>
      <w:r>
        <w:rPr>
          <w:rFonts w:ascii="Times New Roman" w:hAnsi="Times New Roman"/>
        </w:rPr>
        <w:t>ou.</w:t>
      </w:r>
      <w:r w:rsidRPr="0073315A">
        <w:rPr>
          <w:rFonts w:ascii="Times New Roman" w:hAnsi="Times New Roman"/>
        </w:rPr>
        <w:t xml:space="preserve"> </w:t>
      </w:r>
    </w:p>
    <w:p w:rsidR="000E6521" w:rsidP="000E6521">
      <w:pPr>
        <w:bidi w:val="0"/>
        <w:jc w:val="both"/>
        <w:rPr>
          <w:rFonts w:ascii="Times New Roman" w:hAnsi="Times New Roman"/>
        </w:rPr>
      </w:pPr>
    </w:p>
    <w:p w:rsidR="000E6521" w:rsidRPr="00B873D1" w:rsidP="000E6521">
      <w:pPr>
        <w:bidi w:val="0"/>
        <w:jc w:val="both"/>
        <w:rPr>
          <w:rFonts w:ascii="Times New Roman" w:hAnsi="Times New Roman"/>
          <w:b/>
        </w:rPr>
      </w:pPr>
      <w:r w:rsidRPr="00B873D1">
        <w:rPr>
          <w:rFonts w:ascii="Times New Roman" w:hAnsi="Times New Roman"/>
          <w:b/>
        </w:rPr>
        <w:t>K bodu 12</w:t>
      </w:r>
    </w:p>
    <w:p w:rsidR="000E6521" w:rsidRPr="00B873D1" w:rsidP="000E6521">
      <w:pPr>
        <w:bidi w:val="0"/>
        <w:jc w:val="both"/>
        <w:rPr>
          <w:rFonts w:ascii="Times New Roman" w:hAnsi="Times New Roman"/>
        </w:rPr>
      </w:pPr>
      <w:r w:rsidRPr="00B873D1">
        <w:rPr>
          <w:rFonts w:ascii="Times New Roman" w:hAnsi="Times New Roman"/>
        </w:rPr>
        <w:t xml:space="preserve">Zosúladenie s požiadavkami vykonávacích predpisov k Nariadeniu CSD, podľa ktorého ak proces odsúhlasovania odhalí nenáležitú tvorbu alebo výmaz cenných papier a centrálny depozitár nevyrieši tento problém do konca nasledujúceho pracovného dňa, centrálny depozitár musí pozastaviť emisiu cenných papierov na zúčtovanie do doby, kým nedôjde k náprave. </w:t>
      </w:r>
    </w:p>
    <w:p w:rsidR="000E6521" w:rsidP="000E6521">
      <w:pPr>
        <w:bidi w:val="0"/>
        <w:jc w:val="both"/>
        <w:rPr>
          <w:rFonts w:ascii="Times New Roman" w:hAnsi="Times New Roman"/>
        </w:rPr>
      </w:pPr>
    </w:p>
    <w:p w:rsidR="000E6521" w:rsidRPr="00B74780" w:rsidP="000E6521">
      <w:pPr>
        <w:bidi w:val="0"/>
        <w:jc w:val="both"/>
        <w:rPr>
          <w:rFonts w:ascii="Times New Roman" w:hAnsi="Times New Roman"/>
          <w:b/>
        </w:rPr>
      </w:pPr>
      <w:r w:rsidRPr="00B74780">
        <w:rPr>
          <w:rFonts w:ascii="Times New Roman" w:hAnsi="Times New Roman"/>
          <w:b/>
        </w:rPr>
        <w:t>K bodu 1</w:t>
      </w:r>
      <w:r>
        <w:rPr>
          <w:rFonts w:ascii="Times New Roman" w:hAnsi="Times New Roman"/>
          <w:b/>
        </w:rPr>
        <w:t>3</w:t>
      </w:r>
    </w:p>
    <w:p w:rsidR="000E6521" w:rsidRPr="00B74780" w:rsidP="000E6521">
      <w:pPr>
        <w:bidi w:val="0"/>
        <w:jc w:val="both"/>
        <w:rPr>
          <w:rFonts w:ascii="Times New Roman" w:hAnsi="Times New Roman"/>
        </w:rPr>
      </w:pPr>
      <w:r w:rsidRPr="00B74780">
        <w:rPr>
          <w:rFonts w:ascii="Times New Roman" w:hAnsi="Times New Roman"/>
        </w:rPr>
        <w:t>Úprava inštitútu pozastavenia práva nakladať so zaknihovaným cenným papierom (ďalej len „PPN“)</w:t>
      </w:r>
      <w:r>
        <w:rPr>
          <w:rFonts w:ascii="Times New Roman" w:hAnsi="Times New Roman"/>
        </w:rPr>
        <w:t>. V</w:t>
      </w:r>
      <w:r w:rsidRPr="00B74780">
        <w:rPr>
          <w:rFonts w:ascii="Times New Roman" w:hAnsi="Times New Roman"/>
        </w:rPr>
        <w:t xml:space="preserve">o vymedzených prípadoch sa navrhuje </w:t>
      </w:r>
      <w:r>
        <w:rPr>
          <w:rFonts w:ascii="Times New Roman" w:hAnsi="Times New Roman"/>
        </w:rPr>
        <w:t>a</w:t>
      </w:r>
      <w:r w:rsidRPr="00B74780">
        <w:rPr>
          <w:rFonts w:ascii="Times New Roman" w:hAnsi="Times New Roman"/>
        </w:rPr>
        <w:t>by bol tento inštitút prijateľnejší a vhodnejší pre niektoré subjekty – oprávnené osoby (majiteľov cenných papierov exekútorov, súdy a pod.) Rovnako by sa odstráni</w:t>
      </w:r>
      <w:r>
        <w:rPr>
          <w:rFonts w:ascii="Times New Roman" w:hAnsi="Times New Roman"/>
        </w:rPr>
        <w:t>li</w:t>
      </w:r>
      <w:r w:rsidRPr="00B74780">
        <w:rPr>
          <w:rFonts w:ascii="Times New Roman" w:hAnsi="Times New Roman"/>
        </w:rPr>
        <w:t xml:space="preserve"> niektoré aplikačné problémy na strane centrálneho depozitára. Účelu inštitútu PPN v určitých prípadoch vyhovuje pozastavenie nakladania so všetkými cennými papiermi nachádzajúcimi sa na účte, čím sa zníži často náročná administratíva so zisťovaním a identifikovaním údajov o cenných papieroch na strane osôb podávajúcich príkaz na PPN.</w:t>
      </w:r>
    </w:p>
    <w:p w:rsidR="000E6521" w:rsidP="000E6521">
      <w:pPr>
        <w:bidi w:val="0"/>
        <w:jc w:val="both"/>
        <w:rPr>
          <w:rFonts w:ascii="Times New Roman" w:hAnsi="Times New Roman"/>
        </w:rPr>
      </w:pPr>
    </w:p>
    <w:p w:rsidR="000E6521" w:rsidRPr="00B74780" w:rsidP="000E6521">
      <w:pPr>
        <w:bidi w:val="0"/>
        <w:jc w:val="both"/>
        <w:rPr>
          <w:rFonts w:ascii="Times New Roman" w:hAnsi="Times New Roman"/>
          <w:b/>
        </w:rPr>
      </w:pPr>
      <w:r w:rsidRPr="00B74780">
        <w:rPr>
          <w:rFonts w:ascii="Times New Roman" w:hAnsi="Times New Roman"/>
          <w:b/>
        </w:rPr>
        <w:t>K bodu 1</w:t>
      </w:r>
      <w:r>
        <w:rPr>
          <w:rFonts w:ascii="Times New Roman" w:hAnsi="Times New Roman"/>
          <w:b/>
        </w:rPr>
        <w:t>4</w:t>
      </w:r>
    </w:p>
    <w:p w:rsidR="000E6521" w:rsidP="000E6521">
      <w:pPr>
        <w:bidi w:val="0"/>
        <w:jc w:val="both"/>
        <w:rPr>
          <w:rFonts w:ascii="Times New Roman" w:hAnsi="Times New Roman"/>
        </w:rPr>
      </w:pPr>
      <w:r w:rsidRPr="00B74780">
        <w:rPr>
          <w:rFonts w:ascii="Times New Roman" w:hAnsi="Times New Roman"/>
        </w:rPr>
        <w:t>Pre prípad registrácie PPN na celú emisiu v evidencii jedného centrálneho depozitára, ktorá sa zobrazí vyznačením PPN na osobitný držiteľský účet v druhom centrálnom depozitári, je nevyhnutné vyznačenie PPN aj na účtoch vedených v</w:t>
      </w:r>
      <w:r>
        <w:rPr>
          <w:rFonts w:ascii="Times New Roman" w:hAnsi="Times New Roman"/>
        </w:rPr>
        <w:t xml:space="preserve">  druhom centrálnom depozitári.</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15</w:t>
      </w:r>
    </w:p>
    <w:p w:rsidR="000E6521" w:rsidP="000E6521">
      <w:pPr>
        <w:bidi w:val="0"/>
        <w:jc w:val="both"/>
        <w:rPr>
          <w:rFonts w:ascii="Times New Roman" w:hAnsi="Times New Roman"/>
        </w:rPr>
      </w:pPr>
      <w:r>
        <w:rPr>
          <w:rFonts w:ascii="Times New Roman" w:hAnsi="Times New Roman"/>
        </w:rPr>
        <w:t xml:space="preserve">Ide o doplnenie, ktoré </w:t>
      </w:r>
      <w:r w:rsidRPr="00232B05">
        <w:rPr>
          <w:rFonts w:ascii="Times New Roman" w:hAnsi="Times New Roman"/>
        </w:rPr>
        <w:t>je nevyhnutné na to, aby pozastavenia výkonu práva majiteľa nakladať so zaknihovaným cenným papierom nebolo možné eliminovať či obchádzať ani uzatvorením zmluvy o založení tohto cenného papiera a taktiež ani uzatvorením zmluvy o zabezpečovacom prevode tohto cenného papiera, pričom okrem iného by to nebolo kompatibilné ani s pravidlami Eurosystému pre zábezpeky, ktoré sa musia uplatňovať aj na zaknihované cenné v prípade ich využívania na zábezpeky poskytované na zabezpečovanie obchodov s Národnou bankou Slovenska ako súčasťou Eurosystému.</w:t>
      </w:r>
    </w:p>
    <w:p w:rsidR="000E6521" w:rsidRPr="00232B05" w:rsidP="000E6521">
      <w:pPr>
        <w:bidi w:val="0"/>
        <w:jc w:val="both"/>
        <w:rPr>
          <w:rFonts w:ascii="Times New Roman" w:hAnsi="Times New Roman"/>
        </w:rPr>
      </w:pPr>
    </w:p>
    <w:p w:rsidR="000E6521" w:rsidP="000E6521">
      <w:pPr>
        <w:bidi w:val="0"/>
        <w:jc w:val="both"/>
        <w:rPr>
          <w:rFonts w:ascii="Times New Roman" w:hAnsi="Times New Roman"/>
          <w:b/>
        </w:rPr>
      </w:pPr>
      <w:r w:rsidRPr="00B873D1">
        <w:rPr>
          <w:rFonts w:ascii="Times New Roman" w:hAnsi="Times New Roman"/>
          <w:b/>
        </w:rPr>
        <w:t>K bod</w:t>
      </w:r>
      <w:r>
        <w:rPr>
          <w:rFonts w:ascii="Times New Roman" w:hAnsi="Times New Roman"/>
          <w:b/>
        </w:rPr>
        <w:t>om</w:t>
      </w:r>
      <w:r w:rsidRPr="00B873D1">
        <w:rPr>
          <w:rFonts w:ascii="Times New Roman" w:hAnsi="Times New Roman"/>
          <w:b/>
        </w:rPr>
        <w:t xml:space="preserve"> 16</w:t>
      </w:r>
      <w:r>
        <w:rPr>
          <w:rFonts w:ascii="Times New Roman" w:hAnsi="Times New Roman"/>
          <w:b/>
        </w:rPr>
        <w:t>, 24, 55, 76</w:t>
      </w:r>
    </w:p>
    <w:p w:rsidR="000E6521" w:rsidP="000E6521">
      <w:pPr>
        <w:bidi w:val="0"/>
        <w:jc w:val="both"/>
        <w:rPr>
          <w:rFonts w:ascii="Times New Roman" w:hAnsi="Times New Roman"/>
        </w:rPr>
      </w:pPr>
      <w:r w:rsidRPr="00B873D1">
        <w:rPr>
          <w:rFonts w:ascii="Times New Roman" w:hAnsi="Times New Roman"/>
        </w:rPr>
        <w:t>Legislatívno- technická úprava</w:t>
      </w:r>
      <w:r>
        <w:rPr>
          <w:rFonts w:ascii="Times New Roman" w:hAnsi="Times New Roman"/>
        </w:rPr>
        <w:t xml:space="preserve"> v súvislosti s úpravou § 99.</w:t>
      </w:r>
    </w:p>
    <w:p w:rsidR="000E6521" w:rsidRPr="00AD5C1D" w:rsidP="000E6521">
      <w:pPr>
        <w:bidi w:val="0"/>
        <w:jc w:val="both"/>
        <w:rPr>
          <w:rFonts w:ascii="Times New Roman" w:hAnsi="Times New Roman"/>
          <w:b/>
        </w:rPr>
      </w:pPr>
    </w:p>
    <w:p w:rsidR="000E6521" w:rsidRPr="00AD5C1D" w:rsidP="000E6521">
      <w:pPr>
        <w:bidi w:val="0"/>
        <w:jc w:val="both"/>
        <w:rPr>
          <w:rFonts w:ascii="Times New Roman" w:hAnsi="Times New Roman"/>
          <w:b/>
        </w:rPr>
      </w:pPr>
      <w:r w:rsidRPr="00AD5C1D">
        <w:rPr>
          <w:rFonts w:ascii="Times New Roman" w:hAnsi="Times New Roman"/>
          <w:b/>
        </w:rPr>
        <w:t>K bodom 1</w:t>
      </w:r>
      <w:r>
        <w:rPr>
          <w:rFonts w:ascii="Times New Roman" w:hAnsi="Times New Roman"/>
          <w:b/>
        </w:rPr>
        <w:t>9</w:t>
      </w:r>
      <w:r w:rsidRPr="00AD5C1D">
        <w:rPr>
          <w:rFonts w:ascii="Times New Roman" w:hAnsi="Times New Roman"/>
          <w:b/>
        </w:rPr>
        <w:t xml:space="preserve"> a </w:t>
      </w:r>
      <w:r>
        <w:rPr>
          <w:rFonts w:ascii="Times New Roman" w:hAnsi="Times New Roman"/>
          <w:b/>
        </w:rPr>
        <w:t>20</w:t>
      </w:r>
    </w:p>
    <w:p w:rsidR="000E6521" w:rsidP="000E6521">
      <w:pPr>
        <w:bidi w:val="0"/>
        <w:jc w:val="both"/>
        <w:rPr>
          <w:rFonts w:ascii="Times New Roman" w:hAnsi="Times New Roman"/>
        </w:rPr>
      </w:pPr>
      <w:r w:rsidRPr="00AD5C1D">
        <w:rPr>
          <w:rFonts w:ascii="Times New Roman" w:hAnsi="Times New Roman"/>
        </w:rPr>
        <w:t>Keďže inštitút imobilizácie cenných papierov súčasnej podobe nevyhovuje požiadavkám CSD je potrebné upraviť jeho podmienky vo vzťahu k cenným papierom obchodovaným na organizovaných trhových platformách. Súčasne sa umožňuje, aby v prípade obchodovaných emisií mal emitent v súlade s nariadením CSD možnosť zvoliť si inštitúciu, ktorá poskytuje tieto služby v SR alebo v zahraničí v súlade s nariadením CSD.</w:t>
      </w:r>
    </w:p>
    <w:p w:rsidR="000E6521" w:rsidP="000E6521">
      <w:pPr>
        <w:bidi w:val="0"/>
        <w:jc w:val="both"/>
        <w:rPr>
          <w:rFonts w:ascii="Times New Roman" w:hAnsi="Times New Roman"/>
          <w:b/>
        </w:rPr>
      </w:pPr>
    </w:p>
    <w:p w:rsidR="000E6521" w:rsidP="000E6521">
      <w:pPr>
        <w:bidi w:val="0"/>
        <w:jc w:val="both"/>
        <w:rPr>
          <w:rFonts w:ascii="Times New Roman" w:hAnsi="Times New Roman"/>
          <w:b/>
        </w:rPr>
      </w:pPr>
      <w:r>
        <w:rPr>
          <w:rFonts w:ascii="Times New Roman" w:hAnsi="Times New Roman"/>
          <w:b/>
        </w:rPr>
        <w:t>K bodom 21 a 22</w:t>
      </w:r>
    </w:p>
    <w:p w:rsidR="000E6521" w:rsidRPr="00232B05" w:rsidP="000E6521">
      <w:pPr>
        <w:bidi w:val="0"/>
        <w:jc w:val="both"/>
        <w:rPr>
          <w:rFonts w:ascii="Times New Roman" w:hAnsi="Times New Roman"/>
        </w:rPr>
      </w:pPr>
      <w:r>
        <w:rPr>
          <w:rFonts w:ascii="Times New Roman" w:hAnsi="Times New Roman"/>
        </w:rPr>
        <w:t>Ide o odstránenie nesúladu v registri emitenta a registri záložných práv pokiaľ ide o identifikáciu emitenta cenných papierov. Pričom údaje na príslušný výpis je možné v časti identifikácie emitenta získavať práve z registra emitenta</w:t>
      </w:r>
    </w:p>
    <w:p w:rsidR="000E6521" w:rsidRPr="00AD5C1D" w:rsidP="000E6521">
      <w:pPr>
        <w:bidi w:val="0"/>
        <w:jc w:val="both"/>
        <w:rPr>
          <w:rFonts w:ascii="Times New Roman" w:hAnsi="Times New Roman"/>
          <w:b/>
        </w:rPr>
      </w:pPr>
    </w:p>
    <w:p w:rsidR="000E6521" w:rsidRPr="00AD5C1D" w:rsidP="000E6521">
      <w:pPr>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23</w:t>
      </w:r>
    </w:p>
    <w:p w:rsidR="000E6521" w:rsidP="000E6521">
      <w:pPr>
        <w:bidi w:val="0"/>
        <w:jc w:val="both"/>
        <w:rPr>
          <w:rFonts w:ascii="Times New Roman" w:hAnsi="Times New Roman"/>
        </w:rPr>
      </w:pPr>
      <w:r w:rsidRPr="00AD5C1D">
        <w:rPr>
          <w:rFonts w:ascii="Times New Roman" w:hAnsi="Times New Roman"/>
        </w:rPr>
        <w:t>Ide o upresnenie pravidiel pre výpočet minimálnej požiadavky na kapitál obchodníka s cennými papiermi v zmysle  čl. 29 ods. 2 smernice CRD IV.</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bodom 25 až 27</w:t>
      </w:r>
    </w:p>
    <w:p w:rsidR="000E6521" w:rsidP="000E6521">
      <w:pPr>
        <w:bidi w:val="0"/>
        <w:jc w:val="both"/>
        <w:rPr>
          <w:rFonts w:ascii="Times New Roman" w:hAnsi="Times New Roman"/>
        </w:rPr>
      </w:pPr>
      <w:r>
        <w:rPr>
          <w:rFonts w:ascii="Times New Roman" w:hAnsi="Times New Roman"/>
        </w:rPr>
        <w:t>Ide o zosúladenie s </w:t>
      </w:r>
      <w:r w:rsidRPr="00704D56">
        <w:rPr>
          <w:rFonts w:ascii="Times New Roman" w:hAnsi="Times New Roman"/>
        </w:rPr>
        <w:t>čl. 2 bod 19 nariadenia CSD</w:t>
      </w:r>
      <w:r>
        <w:rPr>
          <w:rFonts w:ascii="Times New Roman" w:hAnsi="Times New Roman"/>
        </w:rPr>
        <w:t>.</w:t>
      </w:r>
    </w:p>
    <w:p w:rsidR="000E6521" w:rsidRPr="0061075F" w:rsidP="000E6521">
      <w:pPr>
        <w:bidi w:val="0"/>
        <w:jc w:val="both"/>
        <w:rPr>
          <w:rFonts w:ascii="Times New Roman" w:hAnsi="Times New Roman"/>
          <w:b/>
        </w:rPr>
      </w:pPr>
    </w:p>
    <w:p w:rsidR="000E6521" w:rsidP="000E6521">
      <w:pPr>
        <w:bidi w:val="0"/>
        <w:jc w:val="both"/>
        <w:rPr>
          <w:rFonts w:ascii="Times New Roman" w:hAnsi="Times New Roman"/>
        </w:rPr>
      </w:pPr>
    </w:p>
    <w:p w:rsidR="000E6521" w:rsidP="000E6521">
      <w:pPr>
        <w:bidi w:val="0"/>
        <w:jc w:val="both"/>
        <w:rPr>
          <w:rFonts w:ascii="Times New Roman" w:hAnsi="Times New Roman"/>
        </w:rPr>
      </w:pPr>
    </w:p>
    <w:p w:rsidR="000E6521" w:rsidRPr="00AD5C1D" w:rsidP="000E6521">
      <w:pPr>
        <w:bidi w:val="0"/>
        <w:jc w:val="both"/>
        <w:rPr>
          <w:rFonts w:ascii="Times New Roman" w:hAnsi="Times New Roman"/>
        </w:rPr>
      </w:pPr>
    </w:p>
    <w:p w:rsidR="000E6521" w:rsidRPr="00AD5C1D" w:rsidP="000E6521">
      <w:pPr>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28</w:t>
      </w:r>
    </w:p>
    <w:p w:rsidR="000E6521" w:rsidRPr="00AD5C1D" w:rsidP="000E6521">
      <w:pPr>
        <w:bidi w:val="0"/>
        <w:jc w:val="both"/>
        <w:rPr>
          <w:rFonts w:ascii="Times New Roman" w:hAnsi="Times New Roman"/>
        </w:rPr>
      </w:pPr>
      <w:r w:rsidRPr="00AD5C1D">
        <w:rPr>
          <w:rFonts w:ascii="Times New Roman" w:hAnsi="Times New Roman"/>
        </w:rPr>
        <w:t>Ide o transpozíciu čl. 108 ods. 1 tretí pododsek smernice 2013/36/EÚ.</w:t>
      </w:r>
    </w:p>
    <w:p w:rsidR="000E6521" w:rsidRPr="00AD5C1D" w:rsidP="000E6521">
      <w:pPr>
        <w:bidi w:val="0"/>
        <w:jc w:val="both"/>
        <w:rPr>
          <w:rFonts w:ascii="Times New Roman" w:hAnsi="Times New Roman"/>
        </w:rPr>
      </w:pPr>
    </w:p>
    <w:p w:rsidR="000E6521" w:rsidRPr="00AD5C1D" w:rsidP="000E6521">
      <w:pPr>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29</w:t>
      </w:r>
    </w:p>
    <w:p w:rsidR="000E6521" w:rsidRPr="00AD5C1D" w:rsidP="000E6521">
      <w:pPr>
        <w:bidi w:val="0"/>
        <w:jc w:val="both"/>
        <w:rPr>
          <w:rFonts w:ascii="Times New Roman" w:hAnsi="Times New Roman"/>
        </w:rPr>
      </w:pPr>
      <w:r w:rsidRPr="00AD5C1D">
        <w:rPr>
          <w:rFonts w:ascii="Times New Roman" w:hAnsi="Times New Roman"/>
        </w:rPr>
        <w:t>Aktualizácia súm vstupných príspevkov obchodníkov s cennými papiermi do G</w:t>
      </w:r>
      <w:r>
        <w:rPr>
          <w:rFonts w:ascii="Times New Roman" w:hAnsi="Times New Roman"/>
        </w:rPr>
        <w:t>arančného fondu investícií (ďalej len „GFI“)</w:t>
      </w:r>
      <w:r w:rsidRPr="00AD5C1D">
        <w:rPr>
          <w:rFonts w:ascii="Times New Roman" w:hAnsi="Times New Roman"/>
        </w:rPr>
        <w:t>. Navrhuje sa zaokrúhlenie uvedených súm v záujme prehľadnosti pre potenciálnych žiadateľov o povolenie na poskytovanie investičných služieb. Súčasne sa navrhuje ich zníženie približne o 10 % ako opatrenie na zníženie nákladov pre vstup nových subjektov na kapitálový trh. Vzhľadom na nízky počet ude</w:t>
      </w:r>
      <w:r>
        <w:rPr>
          <w:rFonts w:ascii="Times New Roman" w:hAnsi="Times New Roman"/>
        </w:rPr>
        <w:t>ľovaných</w:t>
      </w:r>
      <w:r w:rsidRPr="00AD5C1D">
        <w:rPr>
          <w:rFonts w:ascii="Times New Roman" w:hAnsi="Times New Roman"/>
        </w:rPr>
        <w:t xml:space="preserve"> povolení </w:t>
      </w:r>
      <w:r>
        <w:rPr>
          <w:rFonts w:ascii="Times New Roman" w:hAnsi="Times New Roman"/>
        </w:rPr>
        <w:t xml:space="preserve">v sektore investičných služieb </w:t>
      </w:r>
      <w:r w:rsidRPr="00AD5C1D">
        <w:rPr>
          <w:rFonts w:ascii="Times New Roman" w:hAnsi="Times New Roman"/>
        </w:rPr>
        <w:t>sa predpokladá minimálny dosah na príjmy GFI.</w:t>
      </w:r>
      <w:r>
        <w:rPr>
          <w:rFonts w:ascii="Times New Roman" w:hAnsi="Times New Roman"/>
        </w:rPr>
        <w:t xml:space="preserve"> Uvedené je v súlade s cieľmi koncepcie rozvoja kapitálového trhu dosiahnuť zníženie nákladovosti obchodovania a poplatkovej záťaže subjektov kapitálového trhu.</w:t>
      </w:r>
    </w:p>
    <w:p w:rsidR="000E6521" w:rsidRPr="00AD5C1D" w:rsidP="000E6521">
      <w:pPr>
        <w:bidi w:val="0"/>
        <w:jc w:val="both"/>
        <w:rPr>
          <w:rFonts w:ascii="Times New Roman" w:hAnsi="Times New Roman"/>
          <w:b/>
        </w:rPr>
      </w:pPr>
    </w:p>
    <w:p w:rsidR="000E6521" w:rsidRPr="00AD5C1D" w:rsidP="000E6521">
      <w:pPr>
        <w:bidi w:val="0"/>
        <w:jc w:val="both"/>
        <w:rPr>
          <w:rFonts w:ascii="Times New Roman" w:hAnsi="Times New Roman"/>
          <w:b/>
        </w:rPr>
      </w:pPr>
      <w:r w:rsidRPr="00AD5C1D">
        <w:rPr>
          <w:rFonts w:ascii="Times New Roman" w:hAnsi="Times New Roman"/>
          <w:b/>
        </w:rPr>
        <w:t xml:space="preserve">K bodom </w:t>
      </w:r>
      <w:r>
        <w:rPr>
          <w:rFonts w:ascii="Times New Roman" w:hAnsi="Times New Roman"/>
          <w:b/>
        </w:rPr>
        <w:t>30</w:t>
      </w:r>
      <w:r w:rsidRPr="00AD5C1D">
        <w:rPr>
          <w:rFonts w:ascii="Times New Roman" w:hAnsi="Times New Roman"/>
          <w:b/>
        </w:rPr>
        <w:t xml:space="preserve"> a </w:t>
      </w:r>
      <w:r>
        <w:rPr>
          <w:rFonts w:ascii="Times New Roman" w:hAnsi="Times New Roman"/>
          <w:b/>
        </w:rPr>
        <w:t>31</w:t>
      </w:r>
      <w:r w:rsidRPr="00AD5C1D">
        <w:rPr>
          <w:rFonts w:ascii="Times New Roman" w:hAnsi="Times New Roman"/>
          <w:b/>
        </w:rPr>
        <w:t xml:space="preserve"> </w:t>
      </w:r>
    </w:p>
    <w:p w:rsidR="000E6521" w:rsidP="000E6521">
      <w:pPr>
        <w:bidi w:val="0"/>
        <w:jc w:val="both"/>
        <w:rPr>
          <w:rFonts w:ascii="Times New Roman" w:hAnsi="Times New Roman"/>
        </w:rPr>
      </w:pPr>
      <w:r w:rsidRPr="00AD5C1D">
        <w:rPr>
          <w:rFonts w:ascii="Times New Roman" w:hAnsi="Times New Roman"/>
        </w:rPr>
        <w:t>Upresnenie výpočtu minimálnych súm ročných príspevkov obchodníkov s cennými papiermi do GFI na základe podnetov z aplikačnej praxe.</w:t>
      </w:r>
    </w:p>
    <w:p w:rsidR="000E6521" w:rsidP="000E6521">
      <w:pPr>
        <w:bidi w:val="0"/>
        <w:jc w:val="both"/>
        <w:rPr>
          <w:rFonts w:ascii="Times New Roman" w:hAnsi="Times New Roman"/>
        </w:rPr>
      </w:pPr>
    </w:p>
    <w:p w:rsidR="000E6521" w:rsidRPr="00294D29" w:rsidP="000E6521">
      <w:pPr>
        <w:bidi w:val="0"/>
        <w:jc w:val="both"/>
        <w:rPr>
          <w:rFonts w:ascii="Times New Roman" w:hAnsi="Times New Roman"/>
          <w:b/>
        </w:rPr>
      </w:pPr>
      <w:r w:rsidRPr="00294D29">
        <w:rPr>
          <w:rFonts w:ascii="Times New Roman" w:hAnsi="Times New Roman"/>
          <w:b/>
        </w:rPr>
        <w:t xml:space="preserve">K bodom </w:t>
      </w:r>
      <w:r>
        <w:rPr>
          <w:rFonts w:ascii="Times New Roman" w:hAnsi="Times New Roman"/>
          <w:b/>
        </w:rPr>
        <w:t>32, 34 až 41, 43 až 46 a 58</w:t>
      </w:r>
    </w:p>
    <w:p w:rsidR="000E6521" w:rsidRPr="00294D29" w:rsidP="000E6521">
      <w:pPr>
        <w:bidi w:val="0"/>
        <w:jc w:val="both"/>
        <w:rPr>
          <w:rFonts w:ascii="Times New Roman" w:hAnsi="Times New Roman"/>
        </w:rPr>
      </w:pPr>
      <w:r w:rsidRPr="00294D29">
        <w:rPr>
          <w:rFonts w:ascii="Times New Roman" w:hAnsi="Times New Roman"/>
        </w:rPr>
        <w:t>Navrhujú sa zmeny v právnej úprave činnosti centrálneho depozitára, t.j. v šiestej časti zákona o cenných papieroch, v §</w:t>
      </w:r>
      <w:r>
        <w:rPr>
          <w:rFonts w:ascii="Times New Roman" w:hAnsi="Times New Roman"/>
        </w:rPr>
        <w:t>§</w:t>
      </w:r>
      <w:r w:rsidRPr="00294D29">
        <w:rPr>
          <w:rFonts w:ascii="Times New Roman" w:hAnsi="Times New Roman"/>
        </w:rPr>
        <w:t xml:space="preserve"> 99 až 111 v nadväznosti na nariadenie CSD. </w:t>
      </w:r>
    </w:p>
    <w:p w:rsidR="000E6521" w:rsidRPr="00294D29" w:rsidP="000E6521">
      <w:pPr>
        <w:bidi w:val="0"/>
        <w:jc w:val="both"/>
        <w:rPr>
          <w:rFonts w:ascii="Times New Roman" w:hAnsi="Times New Roman"/>
        </w:rPr>
      </w:pPr>
      <w:r w:rsidRPr="00294D29">
        <w:rPr>
          <w:rFonts w:ascii="Times New Roman" w:hAnsi="Times New Roman"/>
        </w:rPr>
        <w:t xml:space="preserve">V § 99 ide najmä o vymedzenie rozsahu činnosti centrálneho depozitára, kde je rozsah jeho činností zadefinovaný ako poskytovanie hlavných služieb (kombinácia povinného systému vyrovnania obchodov a aspoň jednej ďalšej hlavnej činnosti). Okrem hlavných činností je centrálny depozitár oprávnený poskytovať aj vedľajšie činnosti a na základe osobitného povolenia aj vedľajšie služby bankového typu uvedené v prílohe nariadenia. </w:t>
      </w:r>
    </w:p>
    <w:p w:rsidR="000E6521" w:rsidRPr="00294D29" w:rsidP="000E6521">
      <w:pPr>
        <w:bidi w:val="0"/>
        <w:jc w:val="both"/>
        <w:rPr>
          <w:rFonts w:ascii="Times New Roman" w:hAnsi="Times New Roman"/>
        </w:rPr>
      </w:pPr>
      <w:r w:rsidRPr="00294D29">
        <w:rPr>
          <w:rFonts w:ascii="Times New Roman" w:hAnsi="Times New Roman"/>
        </w:rPr>
        <w:t>Podmienky na činnosť centrálneho depozitára a postup udeľovania povolenia na činnosť centrálneho depozitára sa po nadobudnutí účinnosti nariadenia CSD bude riadiť týmto nariadením  a vykonávacími predpismi Komisie. Preto je potrebné vypustiť ustanovenia o udeľovaní povolenia na vznik centrálneho depozitára podľa § 100 a predchádzajúcich súhlasov N</w:t>
      </w:r>
      <w:r>
        <w:rPr>
          <w:rFonts w:ascii="Times New Roman" w:hAnsi="Times New Roman"/>
        </w:rPr>
        <w:t>árodnej banky Slovenska (ďalej len „NBS“)</w:t>
      </w:r>
      <w:r w:rsidRPr="00294D29">
        <w:rPr>
          <w:rFonts w:ascii="Times New Roman" w:hAnsi="Times New Roman"/>
        </w:rPr>
        <w:t xml:space="preserve"> na niektoré úkony podľa § 102. </w:t>
      </w:r>
    </w:p>
    <w:p w:rsidR="000E6521" w:rsidRPr="00294D29" w:rsidP="000E6521">
      <w:pPr>
        <w:bidi w:val="0"/>
        <w:jc w:val="both"/>
        <w:rPr>
          <w:rFonts w:ascii="Times New Roman" w:hAnsi="Times New Roman"/>
        </w:rPr>
      </w:pPr>
      <w:r w:rsidRPr="00294D29">
        <w:rPr>
          <w:rFonts w:ascii="Times New Roman" w:hAnsi="Times New Roman"/>
        </w:rPr>
        <w:t>Zmeny je potrebné vykonať aj v úprave prevádzkového poriadku podľa § 103, kde dochádza najmä k zmene režimu jeho schvaľovania a upúšťa sa od zákonom stanoveného taxatívneho určenia jeho povinných náležitostí.</w:t>
      </w:r>
    </w:p>
    <w:p w:rsidR="000E6521" w:rsidRPr="00294D29" w:rsidP="000E6521">
      <w:pPr>
        <w:bidi w:val="0"/>
        <w:jc w:val="both"/>
        <w:rPr>
          <w:rFonts w:ascii="Times New Roman" w:hAnsi="Times New Roman"/>
        </w:rPr>
      </w:pPr>
    </w:p>
    <w:p w:rsidR="000E6521" w:rsidRPr="00294D29" w:rsidP="000E6521">
      <w:pPr>
        <w:bidi w:val="0"/>
        <w:jc w:val="both"/>
        <w:rPr>
          <w:rFonts w:ascii="Times New Roman" w:hAnsi="Times New Roman"/>
        </w:rPr>
      </w:pPr>
      <w:r w:rsidRPr="00294D29">
        <w:rPr>
          <w:rFonts w:ascii="Times New Roman" w:hAnsi="Times New Roman"/>
        </w:rPr>
        <w:t>Keďže CSD stotožňuje koncept členského princípu centrálneho depozitára s účasťou v systéme vyrovnania obchodov s cennými papiermi, je potrebné vykonať zodpovedajúce zmeny aj v úprave člena centrálneho depozitára v § 104 a súčasne sa navrhuje v § 99 ods. 13 precíznejšie vymedzenie účastníkov systému vyrovnania. Z legislatívno- technických dôvodov sa navrhuje ponechať pojem člen centrálneho depozitára, pričom sa z dôvodu zachovania terminologickej konzistentnosti s nariadením CSD navrhuje upresniť</w:t>
      </w:r>
      <w:r>
        <w:rPr>
          <w:rFonts w:ascii="Times New Roman" w:hAnsi="Times New Roman"/>
        </w:rPr>
        <w:t>,</w:t>
      </w:r>
      <w:r w:rsidRPr="00294D29">
        <w:rPr>
          <w:rFonts w:ascii="Times New Roman" w:hAnsi="Times New Roman"/>
        </w:rPr>
        <w:t xml:space="preserve"> že v podmienkach SR sa členom centrálneho depozitára rozumie účastník ním prevádzkovaného  systému vyrovnania.   </w:t>
      </w:r>
    </w:p>
    <w:p w:rsidR="000E6521" w:rsidP="000E6521">
      <w:pPr>
        <w:bidi w:val="0"/>
        <w:jc w:val="both"/>
        <w:rPr>
          <w:rFonts w:ascii="Times New Roman" w:hAnsi="Times New Roman"/>
        </w:rPr>
      </w:pPr>
      <w:r w:rsidRPr="00294D29">
        <w:rPr>
          <w:rFonts w:ascii="Times New Roman" w:hAnsi="Times New Roman"/>
        </w:rPr>
        <w:t>Pokiaľ ide o samotný spôsob vedeni</w:t>
      </w:r>
      <w:r>
        <w:rPr>
          <w:rFonts w:ascii="Times New Roman" w:hAnsi="Times New Roman"/>
        </w:rPr>
        <w:t>a</w:t>
      </w:r>
      <w:r w:rsidRPr="00294D29">
        <w:rPr>
          <w:rFonts w:ascii="Times New Roman" w:hAnsi="Times New Roman"/>
        </w:rPr>
        <w:t xml:space="preserve"> evidencie a typy účtov, uvedené záležitosti sú mimo rámca CSD a naďalej zostáva v platnosti národná úprava, v prípade SR účty majiteľov, klientske účty členov a držiteľské účty podľa § 105 až 106.    </w:t>
      </w:r>
    </w:p>
    <w:p w:rsidR="000E6521" w:rsidP="000E6521">
      <w:pPr>
        <w:bidi w:val="0"/>
        <w:jc w:val="both"/>
        <w:rPr>
          <w:rFonts w:ascii="Times New Roman" w:hAnsi="Times New Roman"/>
        </w:rPr>
      </w:pPr>
    </w:p>
    <w:p w:rsidR="000E6521" w:rsidP="000E6521">
      <w:pPr>
        <w:bidi w:val="0"/>
        <w:jc w:val="both"/>
        <w:rPr>
          <w:rFonts w:ascii="Times New Roman" w:hAnsi="Times New Roman"/>
        </w:rPr>
      </w:pPr>
    </w:p>
    <w:p w:rsidR="000E6521" w:rsidP="000E6521">
      <w:pPr>
        <w:bidi w:val="0"/>
        <w:jc w:val="both"/>
        <w:rPr>
          <w:rFonts w:ascii="Times New Roman" w:hAnsi="Times New Roman"/>
        </w:rPr>
      </w:pPr>
    </w:p>
    <w:p w:rsidR="000E6521" w:rsidP="000E6521">
      <w:pPr>
        <w:bidi w:val="0"/>
        <w:jc w:val="both"/>
        <w:rPr>
          <w:rFonts w:ascii="Times New Roman" w:hAnsi="Times New Roman"/>
        </w:rPr>
      </w:pP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33</w:t>
      </w:r>
    </w:p>
    <w:p w:rsidR="000E6521" w:rsidP="000E6521">
      <w:pPr>
        <w:bidi w:val="0"/>
        <w:jc w:val="both"/>
        <w:rPr>
          <w:rFonts w:ascii="Times New Roman" w:hAnsi="Times New Roman"/>
        </w:rPr>
      </w:pPr>
      <w:r w:rsidRPr="004109A1">
        <w:rPr>
          <w:rFonts w:ascii="Times New Roman" w:hAnsi="Times New Roman"/>
        </w:rPr>
        <w:t xml:space="preserve">Vzhľadom na skutočnosť, že účelom nezaradených účtov ja zavedenie úplného členského princípu, a teda aj skutočnosť, že zápisy na tieto účty budú vykonávať členovia, </w:t>
      </w:r>
      <w:r>
        <w:rPr>
          <w:rFonts w:ascii="Times New Roman" w:hAnsi="Times New Roman"/>
        </w:rPr>
        <w:t xml:space="preserve">upravuje sa </w:t>
      </w:r>
      <w:r w:rsidRPr="004109A1">
        <w:rPr>
          <w:rFonts w:ascii="Times New Roman" w:hAnsi="Times New Roman"/>
        </w:rPr>
        <w:t xml:space="preserve">zodpovednosť členov pri vykonávaní zápisov na účty. </w:t>
      </w:r>
    </w:p>
    <w:p w:rsidR="000E6521" w:rsidP="000E6521">
      <w:pPr>
        <w:bidi w:val="0"/>
        <w:jc w:val="both"/>
        <w:rPr>
          <w:rFonts w:ascii="Times New Roman" w:hAnsi="Times New Roman"/>
          <w:b/>
        </w:rPr>
      </w:pPr>
    </w:p>
    <w:p w:rsidR="000E6521" w:rsidP="000E6521">
      <w:pPr>
        <w:bidi w:val="0"/>
        <w:jc w:val="both"/>
        <w:rPr>
          <w:rFonts w:ascii="Times New Roman" w:hAnsi="Times New Roman"/>
          <w:b/>
        </w:rPr>
      </w:pPr>
      <w:r>
        <w:rPr>
          <w:rFonts w:ascii="Times New Roman" w:hAnsi="Times New Roman"/>
          <w:b/>
        </w:rPr>
        <w:t>K bodu 42</w:t>
      </w:r>
    </w:p>
    <w:p w:rsidR="000E6521" w:rsidRPr="00945546" w:rsidP="000E6521">
      <w:pPr>
        <w:bidi w:val="0"/>
        <w:jc w:val="both"/>
        <w:rPr>
          <w:rFonts w:ascii="Times New Roman" w:hAnsi="Times New Roman"/>
        </w:rPr>
      </w:pPr>
      <w:r>
        <w:rPr>
          <w:rFonts w:ascii="Times New Roman" w:hAnsi="Times New Roman"/>
        </w:rPr>
        <w:t xml:space="preserve">Ide o rozšírenie okruhu osôb </w:t>
      </w:r>
      <w:r w:rsidRPr="00945546">
        <w:rPr>
          <w:rFonts w:ascii="Times New Roman" w:hAnsi="Times New Roman"/>
        </w:rPr>
        <w:t xml:space="preserve">pre ktoré </w:t>
      </w:r>
      <w:r>
        <w:rPr>
          <w:rFonts w:ascii="Times New Roman" w:hAnsi="Times New Roman"/>
        </w:rPr>
        <w:t>je prevádzkový poriadok záväzný.</w:t>
      </w:r>
      <w:r w:rsidRPr="00945546">
        <w:rPr>
          <w:rFonts w:ascii="Times New Roman" w:hAnsi="Times New Roman"/>
        </w:rPr>
        <w:t xml:space="preserve"> </w:t>
      </w:r>
    </w:p>
    <w:p w:rsidR="000E6521" w:rsidP="000E6521">
      <w:pPr>
        <w:bidi w:val="0"/>
        <w:jc w:val="both"/>
        <w:rPr>
          <w:rFonts w:ascii="Times New Roman" w:hAnsi="Times New Roman"/>
        </w:rPr>
      </w:pPr>
    </w:p>
    <w:p w:rsidR="000E6521" w:rsidRPr="000143C4" w:rsidP="000E6521">
      <w:pPr>
        <w:bidi w:val="0"/>
        <w:jc w:val="both"/>
        <w:rPr>
          <w:rFonts w:ascii="Times New Roman" w:hAnsi="Times New Roman"/>
          <w:b/>
        </w:rPr>
      </w:pPr>
      <w:r w:rsidRPr="000143C4">
        <w:rPr>
          <w:rFonts w:ascii="Times New Roman" w:hAnsi="Times New Roman"/>
          <w:b/>
        </w:rPr>
        <w:t>K</w:t>
      </w:r>
      <w:r>
        <w:rPr>
          <w:rFonts w:ascii="Times New Roman" w:hAnsi="Times New Roman"/>
          <w:b/>
        </w:rPr>
        <w:t> </w:t>
      </w:r>
      <w:r w:rsidRPr="000143C4">
        <w:rPr>
          <w:rFonts w:ascii="Times New Roman" w:hAnsi="Times New Roman"/>
          <w:b/>
        </w:rPr>
        <w:t>bod</w:t>
      </w:r>
      <w:r w:rsidR="008143FB">
        <w:rPr>
          <w:rFonts w:ascii="Times New Roman" w:hAnsi="Times New Roman"/>
          <w:b/>
        </w:rPr>
        <w:t>u</w:t>
      </w:r>
      <w:r>
        <w:rPr>
          <w:rFonts w:ascii="Times New Roman" w:hAnsi="Times New Roman"/>
          <w:b/>
        </w:rPr>
        <w:t xml:space="preserve"> 47</w:t>
      </w:r>
    </w:p>
    <w:p w:rsidR="000E6521" w:rsidRPr="000143C4" w:rsidP="000E6521">
      <w:pPr>
        <w:bidi w:val="0"/>
        <w:jc w:val="both"/>
        <w:rPr>
          <w:rFonts w:ascii="Times New Roman" w:hAnsi="Times New Roman"/>
        </w:rPr>
      </w:pPr>
      <w:r w:rsidRPr="000143C4">
        <w:rPr>
          <w:rFonts w:ascii="Times New Roman" w:hAnsi="Times New Roman"/>
        </w:rPr>
        <w:t>V zmysle uvedeného ustanovenia sa za nezaradené účty nepovažujú</w:t>
      </w:r>
      <w:r>
        <w:rPr>
          <w:rFonts w:ascii="Times New Roman" w:hAnsi="Times New Roman"/>
        </w:rPr>
        <w:t xml:space="preserve"> účty zriadené pre centrálny depozitár cenných papierov (ďalej len „CDCP“)</w:t>
      </w:r>
      <w:r w:rsidRPr="000143C4">
        <w:rPr>
          <w:rFonts w:ascii="Times New Roman" w:hAnsi="Times New Roman"/>
        </w:rPr>
        <w:t xml:space="preserve"> a štátne orgány. Považujeme za potrebné medzi takéto účty začleniť aj účty členov. Vychádzame najmä z osobitného postavenia členov v rámci CDCP, koncepcie súčasného stavu evidencie CDCP a realizácie úpravy nezaradených účtov v zmysle ZOCP. </w:t>
      </w:r>
    </w:p>
    <w:p w:rsidR="000E6521" w:rsidRPr="000143C4" w:rsidP="000E6521">
      <w:pPr>
        <w:bidi w:val="0"/>
        <w:jc w:val="both"/>
        <w:rPr>
          <w:rFonts w:ascii="Times New Roman" w:hAnsi="Times New Roman"/>
        </w:rPr>
      </w:pPr>
      <w:r w:rsidRPr="000143C4">
        <w:rPr>
          <w:rFonts w:ascii="Times New Roman" w:hAnsi="Times New Roman"/>
        </w:rPr>
        <w:t>V súvislosti so zavedením členského prístupu je členom umožnený prístup na účty vedené v CDCP. Vykonávanie zápisov na tieto účty prostredníctvom členo</w:t>
      </w:r>
      <w:r>
        <w:rPr>
          <w:rFonts w:ascii="Times New Roman" w:hAnsi="Times New Roman"/>
        </w:rPr>
        <w:t>v</w:t>
      </w:r>
      <w:r w:rsidRPr="000143C4">
        <w:rPr>
          <w:rFonts w:ascii="Times New Roman" w:hAnsi="Times New Roman"/>
        </w:rPr>
        <w:t xml:space="preserve"> predpokladá aj úprava nezaradených účtov. CDCP bude vzhľadom na početnosť nezaradených účtov sprístupňovať tieto účty na základe rámcovej zmluvy. Plánovaná úprava systému v súvislosti s nezaradenými účtami predpokladá zadefinovanie a vyčlenenie účtov (účty, ktoré nie sú nezaradené), ktoré budú mať osobitnú ochranu, a teda ku ktorým nebudú mať bez osobitného sprístupnenia prístup účastníci spôsobom ako v prípade nezaradených účtov.  </w:t>
      </w:r>
    </w:p>
    <w:p w:rsidR="000E6521" w:rsidRPr="000143C4" w:rsidP="000E6521">
      <w:pPr>
        <w:bidi w:val="0"/>
        <w:jc w:val="both"/>
        <w:rPr>
          <w:rFonts w:ascii="Times New Roman" w:hAnsi="Times New Roman"/>
        </w:rPr>
      </w:pPr>
      <w:r w:rsidRPr="000143C4">
        <w:rPr>
          <w:rFonts w:ascii="Times New Roman" w:hAnsi="Times New Roman"/>
        </w:rPr>
        <w:t>V zmysle zákona člen nemôže viesť pre seba účet majiteľa, a teda si musí zriadiť v prípade záujmu účet v CDCP alebo u iného člena. Navyše v zmysle predchádzajúcej úpravy účinnej do 30.9.2015 CDCP povinne zriaďoval účet majiteľa členom, a teda títo majú aj v súčasnosti vedené účty v CDCP.</w:t>
      </w:r>
    </w:p>
    <w:p w:rsidR="000E6521" w:rsidP="000E6521">
      <w:pPr>
        <w:bidi w:val="0"/>
        <w:jc w:val="both"/>
        <w:rPr>
          <w:rFonts w:ascii="Times New Roman" w:hAnsi="Times New Roman"/>
        </w:rPr>
      </w:pPr>
      <w:r w:rsidRPr="000143C4">
        <w:rPr>
          <w:rFonts w:ascii="Times New Roman" w:hAnsi="Times New Roman"/>
        </w:rPr>
        <w:t xml:space="preserve">Osobitná ochrana je daná osobitnými metódami kontrol prístupu v informačnom systéme a spôsobom zriadenia týchto účtov. </w:t>
      </w:r>
      <w:r w:rsidRPr="00546157">
        <w:rPr>
          <w:rFonts w:ascii="Times New Roman" w:hAnsi="Times New Roman"/>
        </w:rPr>
        <w:t xml:space="preserve">Súčasné zabezpečenie účtov sa premietne aj pri migrácii CDCP do T2S. Prípadné zmeny by v tomto prípade boli značne problematické z pohľadu migrácie účtov a migrácie súvisiacej histórie údajov do T2S, ako aj pri nastavení kontrol prístupu k účtom. </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48</w:t>
      </w:r>
    </w:p>
    <w:p w:rsidR="000E6521" w:rsidRPr="004D52D4" w:rsidP="000E6521">
      <w:pPr>
        <w:bidi w:val="0"/>
        <w:jc w:val="both"/>
        <w:rPr>
          <w:rFonts w:ascii="Times New Roman" w:hAnsi="Times New Roman"/>
        </w:rPr>
      </w:pPr>
      <w:r>
        <w:rPr>
          <w:rFonts w:ascii="Times New Roman" w:hAnsi="Times New Roman"/>
        </w:rPr>
        <w:t>Pôvodný</w:t>
      </w:r>
      <w:r w:rsidRPr="004D52D4">
        <w:rPr>
          <w:rFonts w:ascii="Times New Roman" w:hAnsi="Times New Roman"/>
        </w:rPr>
        <w:t xml:space="preserve"> údaj predstavuje nadbytočnú informáciu nepoužiteľnú na žiadne právne úkony, či daňové alebo účtovné účely.</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sidRPr="000143C4">
        <w:rPr>
          <w:rFonts w:ascii="Times New Roman" w:hAnsi="Times New Roman"/>
          <w:b/>
        </w:rPr>
        <w:t>K</w:t>
      </w:r>
      <w:r>
        <w:rPr>
          <w:rFonts w:ascii="Times New Roman" w:hAnsi="Times New Roman"/>
          <w:b/>
        </w:rPr>
        <w:t> </w:t>
      </w:r>
      <w:r w:rsidRPr="000143C4">
        <w:rPr>
          <w:rFonts w:ascii="Times New Roman" w:hAnsi="Times New Roman"/>
          <w:b/>
        </w:rPr>
        <w:t>bod</w:t>
      </w:r>
      <w:r>
        <w:rPr>
          <w:rFonts w:ascii="Times New Roman" w:hAnsi="Times New Roman"/>
          <w:b/>
        </w:rPr>
        <w:t>u 50</w:t>
      </w:r>
    </w:p>
    <w:p w:rsidR="000E6521" w:rsidRPr="000143C4" w:rsidP="000E6521">
      <w:pPr>
        <w:bidi w:val="0"/>
        <w:jc w:val="both"/>
        <w:rPr>
          <w:rFonts w:ascii="Times New Roman" w:hAnsi="Times New Roman"/>
        </w:rPr>
      </w:pPr>
      <w:r w:rsidRPr="000143C4">
        <w:rPr>
          <w:rFonts w:ascii="Times New Roman" w:hAnsi="Times New Roman"/>
        </w:rPr>
        <w:t xml:space="preserve">V súčasnosti centrálny depozitár </w:t>
      </w:r>
      <w:r>
        <w:rPr>
          <w:rFonts w:ascii="Times New Roman" w:hAnsi="Times New Roman"/>
        </w:rPr>
        <w:t xml:space="preserve">cenných papierov (CDCP) </w:t>
      </w:r>
      <w:r w:rsidRPr="000143C4">
        <w:rPr>
          <w:rFonts w:ascii="Times New Roman" w:hAnsi="Times New Roman"/>
        </w:rPr>
        <w:t xml:space="preserve">môže zriadiť držiteľský účet len pre centrálneho depozitára </w:t>
      </w:r>
      <w:r>
        <w:rPr>
          <w:rFonts w:ascii="Times New Roman" w:hAnsi="Times New Roman"/>
        </w:rPr>
        <w:t xml:space="preserve">cenných papierov </w:t>
      </w:r>
      <w:r w:rsidRPr="000143C4">
        <w:rPr>
          <w:rFonts w:ascii="Times New Roman" w:hAnsi="Times New Roman"/>
        </w:rPr>
        <w:t>alebo zahraničnú právnickú osobu s obdobným predmetom činnosti, ďalej obchodníka s cennými papiermi alebo banku s oprávnením na výkon vedľajšej služby držiteľská správa a zahraničného obchodníka s cennými papiermi alebo zahraničnú banku s oprávnením na výkon obdobnej vedľajšej služby ako držiteľská správa.</w:t>
      </w:r>
    </w:p>
    <w:p w:rsidR="000E6521" w:rsidP="000E6521">
      <w:pPr>
        <w:bidi w:val="0"/>
        <w:jc w:val="both"/>
        <w:rPr>
          <w:rFonts w:ascii="Times New Roman" w:hAnsi="Times New Roman"/>
        </w:rPr>
      </w:pPr>
      <w:r>
        <w:rPr>
          <w:rFonts w:ascii="Times New Roman" w:hAnsi="Times New Roman"/>
        </w:rPr>
        <w:t>NBS</w:t>
      </w:r>
      <w:r w:rsidRPr="000143C4">
        <w:rPr>
          <w:rFonts w:ascii="Times New Roman" w:hAnsi="Times New Roman"/>
        </w:rPr>
        <w:t xml:space="preserve"> je aj v súčasnosti členom CDCP a naďalej bude účastníkom. Oproti ostatným účastníkom NBS nevyužíva držiteľský účet na účel držiteľskej správy, ale na osobitný  účel v súvislosti so zábezpekou pre menovo-politické operácie (napr. zabezpečovací prevod s právnym dôvodom kolaterál alebo formou registrácie záložného práva - kolaterál v prospech NBS). Je nevyhnutné, aby NBS na plnenie svojich činností mala zriadený držiteľský účet, pričom úprava činností, ktoré NBS vykonáva má osobitú úpravu odlišnú od úpravy obchodníkov a bánk, alebo iných subjektov, ktoré poskytujú služby držiteľskej správy. Máme za to, že je vhodné upraviť výslovné začlenenie NBS medzi subjekty, ktorým centrálny depozitár zriaďuje držiteľský účet  bez ďalšej podmienky na oprávnenie na výkon držiteľskej správy (obdobne ako v prípade zriadenia držiteľského účtu pre centrálneho depozitára).</w:t>
      </w:r>
    </w:p>
    <w:p w:rsidR="000E6521" w:rsidP="000E6521">
      <w:pPr>
        <w:bidi w:val="0"/>
        <w:jc w:val="both"/>
        <w:rPr>
          <w:rFonts w:ascii="Times New Roman" w:hAnsi="Times New Roman"/>
        </w:rPr>
      </w:pPr>
    </w:p>
    <w:p w:rsidR="000E6521" w:rsidRPr="00074805" w:rsidP="000E6521">
      <w:pPr>
        <w:bidi w:val="0"/>
        <w:jc w:val="both"/>
        <w:rPr>
          <w:rFonts w:ascii="Times New Roman" w:hAnsi="Times New Roman"/>
          <w:b/>
        </w:rPr>
      </w:pPr>
      <w:r w:rsidRPr="00074805">
        <w:rPr>
          <w:rFonts w:ascii="Times New Roman" w:hAnsi="Times New Roman"/>
          <w:b/>
        </w:rPr>
        <w:t xml:space="preserve">K bodu </w:t>
      </w:r>
      <w:r>
        <w:rPr>
          <w:rFonts w:ascii="Times New Roman" w:hAnsi="Times New Roman"/>
          <w:b/>
        </w:rPr>
        <w:t>51</w:t>
      </w:r>
    </w:p>
    <w:p w:rsidR="000E6521" w:rsidRPr="00074805" w:rsidP="000E6521">
      <w:pPr>
        <w:bidi w:val="0"/>
        <w:jc w:val="both"/>
        <w:rPr>
          <w:rFonts w:ascii="Times New Roman" w:hAnsi="Times New Roman"/>
        </w:rPr>
      </w:pPr>
      <w:r w:rsidRPr="00074805">
        <w:rPr>
          <w:rFonts w:ascii="Times New Roman" w:hAnsi="Times New Roman"/>
        </w:rPr>
        <w:t>V súčasnosti sú zahraničné cenné papiere evidované na klientskych účtoch a účtoch majiteľov vedených v CDCP. Evidencia zahraničných cenných papierov na držiteľských účtoch je problematická z hľadiska prístupu k údajom o konečných majiteľoch. Niektoré právne poriadky (konkrétne aj česká právna úprava) vyžadujú identifikáciu konečných majiteľov a poskytovanie informácií od účastníkov centrálneho depozitára napr. pre plnenie úloh štátnych orgánov, súdov a pod. (v tomto prípade od CDCP), a teda CDCP by v takomto prípade nebol schopný splniť si svoje povinnosti.</w:t>
      </w:r>
    </w:p>
    <w:p w:rsidR="000E6521" w:rsidP="000E6521">
      <w:pPr>
        <w:bidi w:val="0"/>
        <w:jc w:val="both"/>
        <w:rPr>
          <w:rFonts w:ascii="Times New Roman" w:hAnsi="Times New Roman"/>
        </w:rPr>
      </w:pPr>
      <w:r w:rsidRPr="00074805">
        <w:rPr>
          <w:rFonts w:ascii="Times New Roman" w:hAnsi="Times New Roman"/>
        </w:rPr>
        <w:t>Zavedením povinností účastníkov v zmysle navrhovaného, by sa zabezpečila schopnosť centrálneho depozitára získať údaje o majiteľoch cenných papierov na účely plnenia informačných povinností CDCP vo vzťahu k zahraničnej úprave. V danom prípade by sa odstránila aj prekážka, ktorá je dôvodom, že CDCP neeviduje zahraničné cenné papiere na držiteľských účtoch.</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52</w:t>
      </w:r>
    </w:p>
    <w:p w:rsidR="000E6521" w:rsidRPr="004D52D4" w:rsidP="000E6521">
      <w:pPr>
        <w:bidi w:val="0"/>
        <w:jc w:val="both"/>
        <w:rPr>
          <w:rFonts w:ascii="Times New Roman" w:hAnsi="Times New Roman"/>
        </w:rPr>
      </w:pPr>
      <w:r w:rsidRPr="004D52D4">
        <w:rPr>
          <w:rFonts w:ascii="Times New Roman" w:hAnsi="Times New Roman"/>
        </w:rPr>
        <w:t xml:space="preserve">Súčasná právna úprava nezohľadňuje existenciu dvoch slovenských centrálnych depozitárov. V prípade vedenia cenného papiera na účte centrálneho depozitára, ktorý bol vydaný iným centrálnym depozitárom, je potrebné pred pripísaním cenného papiera na účet prijať tento cenný papiere do evidencie (tzv. „osobitnej evidencie“, ktorá nie je zhodná z registrom emitenta). </w:t>
      </w:r>
    </w:p>
    <w:p w:rsidR="000E6521" w:rsidP="000E6521">
      <w:pPr>
        <w:bidi w:val="0"/>
        <w:jc w:val="both"/>
        <w:rPr>
          <w:rFonts w:ascii="Times New Roman" w:hAnsi="Times New Roman"/>
          <w:b/>
        </w:rPr>
      </w:pPr>
    </w:p>
    <w:p w:rsidR="000E6521" w:rsidP="000E6521">
      <w:pPr>
        <w:bidi w:val="0"/>
        <w:jc w:val="both"/>
        <w:rPr>
          <w:rFonts w:ascii="Times New Roman" w:hAnsi="Times New Roman"/>
          <w:b/>
        </w:rPr>
      </w:pPr>
      <w:r>
        <w:rPr>
          <w:rFonts w:ascii="Times New Roman" w:hAnsi="Times New Roman"/>
          <w:b/>
        </w:rPr>
        <w:t>K bodom 53, 54, 56 a 60</w:t>
      </w:r>
    </w:p>
    <w:p w:rsidR="000E6521" w:rsidRPr="007461E7" w:rsidP="000E6521">
      <w:pPr>
        <w:bidi w:val="0"/>
        <w:jc w:val="both"/>
        <w:rPr>
          <w:rFonts w:ascii="Times New Roman" w:hAnsi="Times New Roman"/>
        </w:rPr>
      </w:pPr>
      <w:r>
        <w:rPr>
          <w:rFonts w:ascii="Times New Roman" w:hAnsi="Times New Roman"/>
        </w:rPr>
        <w:t>Ide o zosúladenie s príslušnými ustanoveniami Obchodného zákonníka týkajúcich sa vedenia zoznamu akcionárov.</w:t>
      </w:r>
    </w:p>
    <w:p w:rsidR="000E6521" w:rsidP="000E6521">
      <w:pPr>
        <w:bidi w:val="0"/>
        <w:jc w:val="both"/>
        <w:rPr>
          <w:rFonts w:ascii="Times New Roman" w:hAnsi="Times New Roman"/>
          <w:b/>
        </w:rPr>
      </w:pPr>
    </w:p>
    <w:p w:rsidR="000E6521" w:rsidRPr="00AD5C1D" w:rsidP="000E6521">
      <w:pPr>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59</w:t>
      </w:r>
    </w:p>
    <w:p w:rsidR="000E6521" w:rsidP="000E6521">
      <w:pPr>
        <w:bidi w:val="0"/>
        <w:jc w:val="both"/>
        <w:rPr>
          <w:rFonts w:ascii="Times New Roman" w:hAnsi="Times New Roman"/>
        </w:rPr>
      </w:pPr>
      <w:r w:rsidRPr="00AD5C1D">
        <w:rPr>
          <w:rFonts w:ascii="Times New Roman" w:hAnsi="Times New Roman"/>
        </w:rPr>
        <w:t>Spôsob uverejňovania príslušných údajov pre verejnosť o cenných papieroch prijatých na trh burzy (vydanie, zmena, zrušenie cenného papiera prijatého na trh burzy a pozastavenie práva nakladať s emisiou prijatou a kótovaný trh burzy) je súčasnosti už prekonaný. Zverejňovanie na webovom sídle centrálneho depozitára znamená pre verejnosť rýchlejšie a flexibilnejšie získavanie príslušných informácii.</w:t>
      </w:r>
    </w:p>
    <w:p w:rsidR="000E6521" w:rsidP="000E6521">
      <w:pPr>
        <w:bidi w:val="0"/>
        <w:jc w:val="both"/>
        <w:rPr>
          <w:rFonts w:ascii="Times New Roman" w:hAnsi="Times New Roman"/>
        </w:rPr>
      </w:pPr>
    </w:p>
    <w:p w:rsidR="000E6521" w:rsidRPr="00E361F8" w:rsidP="000E6521">
      <w:pPr>
        <w:bidi w:val="0"/>
        <w:jc w:val="both"/>
        <w:rPr>
          <w:rFonts w:ascii="Times New Roman" w:hAnsi="Times New Roman"/>
          <w:b/>
        </w:rPr>
      </w:pPr>
      <w:r w:rsidRPr="00E361F8">
        <w:rPr>
          <w:rFonts w:ascii="Times New Roman" w:hAnsi="Times New Roman"/>
          <w:b/>
        </w:rPr>
        <w:t xml:space="preserve">K bodu </w:t>
      </w:r>
      <w:r>
        <w:rPr>
          <w:rFonts w:ascii="Times New Roman" w:hAnsi="Times New Roman"/>
          <w:b/>
        </w:rPr>
        <w:t>61</w:t>
      </w:r>
    </w:p>
    <w:p w:rsidR="000E6521" w:rsidRPr="00E361F8" w:rsidP="000E6521">
      <w:pPr>
        <w:bidi w:val="0"/>
        <w:jc w:val="both"/>
        <w:rPr>
          <w:rFonts w:ascii="Times New Roman" w:hAnsi="Times New Roman"/>
        </w:rPr>
      </w:pPr>
      <w:r w:rsidRPr="00E361F8">
        <w:rPr>
          <w:rFonts w:ascii="Times New Roman" w:hAnsi="Times New Roman"/>
        </w:rPr>
        <w:t>Rozšírenie výnimky z porušenie mlčanlivosti v súvislosti s poskytovaním informácií o ďalší oprávnený subjekt, ktorým je Vojenské spravodajstvo, na účely plnenia úloh ustanovených v § 2 zákona č. 198/1994 Z. z. o Vojenskom spravodajstve ako aj na účely zákona č. 215/2004 Z. z. o ochrane utajovaných skutočností pri vykonávaní bezpečnostných previerok.</w:t>
      </w:r>
    </w:p>
    <w:p w:rsidR="000E6521" w:rsidRPr="00AD5C1D" w:rsidP="000E6521">
      <w:pPr>
        <w:bidi w:val="0"/>
        <w:jc w:val="both"/>
        <w:rPr>
          <w:rFonts w:ascii="Times New Roman" w:hAnsi="Times New Roman"/>
          <w:b/>
        </w:rPr>
      </w:pPr>
    </w:p>
    <w:p w:rsidR="000E6521" w:rsidRPr="00AD5C1D" w:rsidP="000E6521">
      <w:pPr>
        <w:bidi w:val="0"/>
        <w:jc w:val="both"/>
        <w:rPr>
          <w:rFonts w:ascii="Times New Roman" w:hAnsi="Times New Roman"/>
          <w:b/>
        </w:rPr>
      </w:pPr>
      <w:r w:rsidRPr="00AD5C1D">
        <w:rPr>
          <w:rFonts w:ascii="Times New Roman" w:hAnsi="Times New Roman"/>
          <w:b/>
        </w:rPr>
        <w:t xml:space="preserve">K bodom </w:t>
      </w:r>
      <w:r>
        <w:rPr>
          <w:rFonts w:ascii="Times New Roman" w:hAnsi="Times New Roman"/>
          <w:b/>
        </w:rPr>
        <w:t>62 až 69</w:t>
      </w:r>
    </w:p>
    <w:p w:rsidR="000E6521" w:rsidP="000E6521">
      <w:pPr>
        <w:bidi w:val="0"/>
        <w:jc w:val="both"/>
        <w:rPr>
          <w:rFonts w:ascii="Times New Roman" w:hAnsi="Times New Roman"/>
        </w:rPr>
      </w:pPr>
      <w:r w:rsidRPr="00AD5C1D">
        <w:rPr>
          <w:rFonts w:ascii="Times New Roman" w:hAnsi="Times New Roman"/>
        </w:rPr>
        <w:t>V nadväznosti na nariadenie CSD je potrebné upraviť aj režim ude</w:t>
      </w:r>
      <w:r>
        <w:rPr>
          <w:rFonts w:ascii="Times New Roman" w:hAnsi="Times New Roman"/>
        </w:rPr>
        <w:t xml:space="preserve">ľovania a zverejňovania sankcií </w:t>
      </w:r>
      <w:r w:rsidRPr="00AD5C1D">
        <w:rPr>
          <w:rFonts w:ascii="Times New Roman" w:hAnsi="Times New Roman"/>
        </w:rPr>
        <w:t xml:space="preserve">a s tým súvisiace  legislatívno- technické úpravy.  </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74</w:t>
      </w:r>
    </w:p>
    <w:p w:rsidR="000E6521" w:rsidP="000E6521">
      <w:pPr>
        <w:bidi w:val="0"/>
        <w:jc w:val="both"/>
        <w:rPr>
          <w:rFonts w:ascii="Times New Roman" w:hAnsi="Times New Roman"/>
          <w:b/>
        </w:rPr>
      </w:pPr>
      <w:r>
        <w:rPr>
          <w:rFonts w:ascii="Times New Roman" w:hAnsi="Times New Roman"/>
        </w:rPr>
        <w:t>Ide o zosúladenie s v</w:t>
      </w:r>
      <w:r w:rsidRPr="00AD5C1D">
        <w:rPr>
          <w:rFonts w:ascii="Times New Roman" w:hAnsi="Times New Roman"/>
        </w:rPr>
        <w:t>ykonávac</w:t>
      </w:r>
      <w:r>
        <w:rPr>
          <w:rFonts w:ascii="Times New Roman" w:hAnsi="Times New Roman"/>
        </w:rPr>
        <w:t>ou</w:t>
      </w:r>
      <w:r w:rsidRPr="00AD5C1D">
        <w:rPr>
          <w:rFonts w:ascii="Times New Roman" w:hAnsi="Times New Roman"/>
        </w:rPr>
        <w:t xml:space="preserve"> smernic</w:t>
      </w:r>
      <w:r>
        <w:rPr>
          <w:rFonts w:ascii="Times New Roman" w:hAnsi="Times New Roman"/>
        </w:rPr>
        <w:t xml:space="preserve">ou </w:t>
      </w:r>
      <w:r w:rsidRPr="00AD5C1D">
        <w:rPr>
          <w:rFonts w:ascii="Times New Roman" w:hAnsi="Times New Roman"/>
        </w:rPr>
        <w:t>MAR upravuj</w:t>
      </w:r>
      <w:r>
        <w:rPr>
          <w:rFonts w:ascii="Times New Roman" w:hAnsi="Times New Roman"/>
        </w:rPr>
        <w:t>úcou</w:t>
      </w:r>
      <w:r w:rsidRPr="00AD5C1D">
        <w:rPr>
          <w:rFonts w:ascii="Times New Roman" w:hAnsi="Times New Roman"/>
        </w:rPr>
        <w:t xml:space="preserve"> spôsoby nahlasovania porušenia MAR orgánom dohľadu (tzv. whistleblowing).</w:t>
      </w:r>
    </w:p>
    <w:p w:rsidR="000E6521" w:rsidRPr="008C7718" w:rsidP="000E6521">
      <w:pPr>
        <w:bidi w:val="0"/>
        <w:jc w:val="both"/>
        <w:rPr>
          <w:rFonts w:ascii="Times New Roman" w:hAnsi="Times New Roman"/>
        </w:rPr>
      </w:pPr>
    </w:p>
    <w:p w:rsidR="000E6521" w:rsidP="000E6521">
      <w:pPr>
        <w:bidi w:val="0"/>
        <w:jc w:val="both"/>
        <w:rPr>
          <w:rFonts w:ascii="Times New Roman" w:hAnsi="Times New Roman"/>
        </w:rPr>
      </w:pPr>
    </w:p>
    <w:p w:rsidR="000E6521" w:rsidRPr="00372460" w:rsidP="000E6521">
      <w:pPr>
        <w:bidi w:val="0"/>
        <w:jc w:val="both"/>
        <w:rPr>
          <w:rFonts w:ascii="Times New Roman" w:hAnsi="Times New Roman"/>
          <w:b/>
        </w:rPr>
      </w:pPr>
      <w:r w:rsidRPr="00372460">
        <w:rPr>
          <w:rFonts w:ascii="Times New Roman" w:hAnsi="Times New Roman"/>
          <w:b/>
        </w:rPr>
        <w:t>K bodu 75</w:t>
      </w:r>
    </w:p>
    <w:p w:rsidR="000E6521" w:rsidRPr="00372460" w:rsidP="000E6521">
      <w:pPr>
        <w:bidi w:val="0"/>
        <w:jc w:val="both"/>
        <w:rPr>
          <w:rFonts w:ascii="Times New Roman" w:hAnsi="Times New Roman"/>
        </w:rPr>
      </w:pPr>
      <w:r w:rsidRPr="00372460">
        <w:rPr>
          <w:rFonts w:ascii="Times New Roman" w:hAnsi="Times New Roman"/>
        </w:rPr>
        <w:t>Legislatívno-technická úprava v nadväznosti na bod 37 návrhu.</w:t>
      </w:r>
    </w:p>
    <w:p w:rsidR="000E6521" w:rsidRPr="00546157" w:rsidP="000E6521">
      <w:pPr>
        <w:bidi w:val="0"/>
        <w:jc w:val="both"/>
        <w:rPr>
          <w:rFonts w:ascii="Times New Roman" w:hAnsi="Times New Roman"/>
          <w:b/>
        </w:rPr>
      </w:pPr>
    </w:p>
    <w:p w:rsidR="000E6521" w:rsidRPr="00546157" w:rsidP="000E6521">
      <w:pPr>
        <w:bidi w:val="0"/>
        <w:jc w:val="both"/>
        <w:rPr>
          <w:rFonts w:ascii="Times New Roman" w:hAnsi="Times New Roman"/>
          <w:b/>
        </w:rPr>
      </w:pPr>
      <w:r w:rsidRPr="00546157">
        <w:rPr>
          <w:rFonts w:ascii="Times New Roman" w:hAnsi="Times New Roman"/>
          <w:b/>
        </w:rPr>
        <w:t xml:space="preserve">K bodu </w:t>
      </w:r>
      <w:r>
        <w:rPr>
          <w:rFonts w:ascii="Times New Roman" w:hAnsi="Times New Roman"/>
          <w:b/>
        </w:rPr>
        <w:t>77</w:t>
      </w:r>
    </w:p>
    <w:p w:rsidR="000E6521" w:rsidP="000E6521">
      <w:pPr>
        <w:bidi w:val="0"/>
        <w:jc w:val="both"/>
        <w:rPr>
          <w:rFonts w:ascii="Times New Roman" w:hAnsi="Times New Roman"/>
        </w:rPr>
      </w:pPr>
      <w:r w:rsidRPr="00546157">
        <w:rPr>
          <w:rFonts w:ascii="Times New Roman" w:hAnsi="Times New Roman"/>
        </w:rPr>
        <w:t xml:space="preserve">Vzhľadom na skutočnosť, že účelom nezaradených účtov ja zavedenie úplného členského princípu, a teda aj skutočnosť, že zápisy na tieto účty budú vykonávať  členovia, </w:t>
      </w:r>
      <w:r>
        <w:rPr>
          <w:rFonts w:ascii="Times New Roman" w:hAnsi="Times New Roman"/>
        </w:rPr>
        <w:t>je potrebné</w:t>
      </w:r>
      <w:r w:rsidRPr="00546157">
        <w:rPr>
          <w:rFonts w:ascii="Times New Roman" w:hAnsi="Times New Roman"/>
        </w:rPr>
        <w:t xml:space="preserve"> upraviť zodpovednosť členov pri vykonávaní zápisov na účty. V danom prípade je CDCP zákonom zbavený vykonávaním zápisov na účtoch, avšak naďalej budú účty vedené v evidencii CDCP a za správnosť vedenia evidencie vo všeobecnosti zodpovedá CDCP. </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78</w:t>
      </w:r>
    </w:p>
    <w:p w:rsidR="000E6521" w:rsidRPr="00372460" w:rsidP="000E6521">
      <w:pPr>
        <w:bidi w:val="0"/>
        <w:jc w:val="both"/>
        <w:rPr>
          <w:rFonts w:ascii="Times New Roman" w:hAnsi="Times New Roman"/>
        </w:rPr>
      </w:pPr>
      <w:r w:rsidRPr="00372460">
        <w:rPr>
          <w:rFonts w:ascii="Times New Roman" w:hAnsi="Times New Roman"/>
        </w:rPr>
        <w:t>Ide o previazanie s navrhovanými ustanoveniami v § 99.</w:t>
      </w:r>
    </w:p>
    <w:p w:rsidR="000E6521" w:rsidRPr="00AD5C1D" w:rsidP="000E6521">
      <w:pPr>
        <w:bidi w:val="0"/>
        <w:jc w:val="both"/>
        <w:rPr>
          <w:rFonts w:ascii="Times New Roman" w:hAnsi="Times New Roman"/>
        </w:rPr>
      </w:pPr>
    </w:p>
    <w:p w:rsidR="000E6521" w:rsidRPr="00AD5C1D" w:rsidP="000E6521">
      <w:pPr>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79</w:t>
      </w:r>
    </w:p>
    <w:p w:rsidR="000E6521" w:rsidP="000E6521">
      <w:pPr>
        <w:bidi w:val="0"/>
        <w:jc w:val="both"/>
        <w:rPr>
          <w:rFonts w:ascii="Times New Roman" w:hAnsi="Times New Roman"/>
        </w:rPr>
      </w:pPr>
      <w:r w:rsidRPr="00AD5C1D">
        <w:rPr>
          <w:rFonts w:ascii="Times New Roman" w:hAnsi="Times New Roman"/>
        </w:rPr>
        <w:t>V nadväznosti na vypustenie splnomocňovacích ustanovení v § 100 a 102 je potrebné zrušiť aj vykonávacie predpisy vydané na ich základe.</w:t>
      </w:r>
    </w:p>
    <w:p w:rsidR="000E6521" w:rsidP="000E6521">
      <w:pPr>
        <w:bidi w:val="0"/>
        <w:jc w:val="both"/>
        <w:rPr>
          <w:rFonts w:ascii="Times New Roman" w:hAnsi="Times New Roman"/>
        </w:rPr>
      </w:pPr>
    </w:p>
    <w:p w:rsidR="000E6521" w:rsidP="000E6521">
      <w:pPr>
        <w:pStyle w:val="BodyText"/>
        <w:widowControl/>
        <w:bidi w:val="0"/>
        <w:jc w:val="both"/>
        <w:rPr>
          <w:rFonts w:ascii="Times New Roman" w:hAnsi="Times New Roman"/>
          <w:b/>
        </w:rPr>
      </w:pPr>
      <w:r w:rsidRPr="00AD5C1D">
        <w:rPr>
          <w:rFonts w:ascii="Times New Roman" w:hAnsi="Times New Roman"/>
          <w:b/>
        </w:rPr>
        <w:t>K Čl. II</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bodom 1 a 2</w:t>
      </w:r>
    </w:p>
    <w:p w:rsidR="000E6521" w:rsidP="000E6521">
      <w:pPr>
        <w:bidi w:val="0"/>
        <w:jc w:val="both"/>
        <w:rPr>
          <w:rFonts w:ascii="Times New Roman" w:hAnsi="Times New Roman"/>
        </w:rPr>
      </w:pPr>
      <w:r>
        <w:rPr>
          <w:rFonts w:ascii="Times New Roman" w:hAnsi="Times New Roman"/>
        </w:rPr>
        <w:t>Ide o súlad v</w:t>
      </w:r>
      <w:r w:rsidRPr="0073315A">
        <w:rPr>
          <w:rFonts w:ascii="Times New Roman" w:hAnsi="Times New Roman"/>
        </w:rPr>
        <w:t xml:space="preserve"> rámci prípravy projektu T2S </w:t>
      </w:r>
      <w:r>
        <w:rPr>
          <w:rFonts w:ascii="Times New Roman" w:hAnsi="Times New Roman"/>
        </w:rPr>
        <w:t xml:space="preserve">s </w:t>
      </w:r>
      <w:r w:rsidRPr="0073315A">
        <w:rPr>
          <w:rFonts w:ascii="Times New Roman" w:hAnsi="Times New Roman"/>
        </w:rPr>
        <w:t>Európsk</w:t>
      </w:r>
      <w:r>
        <w:rPr>
          <w:rFonts w:ascii="Times New Roman" w:hAnsi="Times New Roman"/>
        </w:rPr>
        <w:t>ou centrálnou</w:t>
      </w:r>
      <w:r w:rsidRPr="0073315A">
        <w:rPr>
          <w:rFonts w:ascii="Times New Roman" w:hAnsi="Times New Roman"/>
        </w:rPr>
        <w:t xml:space="preserve"> bank</w:t>
      </w:r>
      <w:r>
        <w:rPr>
          <w:rFonts w:ascii="Times New Roman" w:hAnsi="Times New Roman"/>
        </w:rPr>
        <w:t>ou.</w:t>
      </w:r>
      <w:r w:rsidRPr="0073315A">
        <w:rPr>
          <w:rFonts w:ascii="Times New Roman" w:hAnsi="Times New Roman"/>
        </w:rPr>
        <w:t xml:space="preserve"> </w:t>
      </w:r>
    </w:p>
    <w:p w:rsidR="000E6521" w:rsidP="000E6521">
      <w:pPr>
        <w:pStyle w:val="BodyText"/>
        <w:widowControl/>
        <w:bidi w:val="0"/>
        <w:jc w:val="both"/>
        <w:rPr>
          <w:rFonts w:ascii="Times New Roman" w:hAnsi="Times New Roman"/>
        </w:rPr>
      </w:pPr>
    </w:p>
    <w:p w:rsidR="000E6521" w:rsidP="000E6521">
      <w:pPr>
        <w:pStyle w:val="BodyText"/>
        <w:widowControl/>
        <w:bidi w:val="0"/>
        <w:jc w:val="both"/>
        <w:rPr>
          <w:rFonts w:ascii="Times New Roman" w:hAnsi="Times New Roman"/>
          <w:b/>
        </w:rPr>
      </w:pPr>
      <w:r w:rsidRPr="001A7B66">
        <w:rPr>
          <w:rFonts w:ascii="Times New Roman" w:hAnsi="Times New Roman"/>
          <w:b/>
        </w:rPr>
        <w:t>K Čl. III</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bodu 1</w:t>
      </w:r>
    </w:p>
    <w:p w:rsidR="000E6521" w:rsidP="000E6521">
      <w:pPr>
        <w:pStyle w:val="BodyText"/>
        <w:widowControl/>
        <w:bidi w:val="0"/>
        <w:jc w:val="both"/>
        <w:rPr>
          <w:rFonts w:ascii="Times New Roman" w:hAnsi="Times New Roman"/>
        </w:rPr>
      </w:pPr>
      <w:r w:rsidRPr="003456C1">
        <w:rPr>
          <w:rFonts w:ascii="Times New Roman" w:hAnsi="Times New Roman"/>
        </w:rPr>
        <w:t xml:space="preserve">Navrhnuté upresnenie reflektuje na skutočnosť, že štvrtá časť </w:t>
      </w:r>
      <w:r>
        <w:rPr>
          <w:rFonts w:ascii="Times New Roman" w:hAnsi="Times New Roman"/>
        </w:rPr>
        <w:t xml:space="preserve">zákona </w:t>
      </w:r>
      <w:r w:rsidRPr="003456C1">
        <w:rPr>
          <w:rFonts w:ascii="Times New Roman" w:hAnsi="Times New Roman"/>
        </w:rPr>
        <w:t>o</w:t>
      </w:r>
      <w:r>
        <w:rPr>
          <w:rFonts w:ascii="Times New Roman" w:hAnsi="Times New Roman"/>
        </w:rPr>
        <w:t> burze cenných papierov</w:t>
      </w:r>
      <w:r w:rsidRPr="003456C1">
        <w:rPr>
          <w:rFonts w:ascii="Times New Roman" w:hAnsi="Times New Roman"/>
        </w:rPr>
        <w:t xml:space="preserve"> pojednáva o podmienkach prijatia cenných papierov na trhy burzy a stanovuje podmienky, ktoré musí emisia ako aj emitent spĺňať pri prijatí cenných papierov ako aj počas celej doby, po ktorú sú cenné papiere emitenta na trhu prijaté</w:t>
      </w:r>
      <w:r>
        <w:rPr>
          <w:rFonts w:ascii="Times New Roman" w:hAnsi="Times New Roman"/>
        </w:rPr>
        <w:t>.</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bodu 2</w:t>
      </w:r>
    </w:p>
    <w:p w:rsidR="000E6521" w:rsidP="000E6521">
      <w:pPr>
        <w:pStyle w:val="BodyText"/>
        <w:widowControl/>
        <w:bidi w:val="0"/>
        <w:jc w:val="both"/>
        <w:rPr>
          <w:rFonts w:ascii="Times New Roman" w:hAnsi="Times New Roman"/>
        </w:rPr>
      </w:pPr>
      <w:r>
        <w:rPr>
          <w:rFonts w:ascii="Times New Roman" w:hAnsi="Times New Roman"/>
        </w:rPr>
        <w:t>Vzhľadom na</w:t>
      </w:r>
      <w:r w:rsidRPr="003456C1">
        <w:rPr>
          <w:rFonts w:ascii="Times New Roman" w:hAnsi="Times New Roman"/>
        </w:rPr>
        <w:t xml:space="preserve"> odsek 5 </w:t>
      </w:r>
      <w:r>
        <w:rPr>
          <w:rFonts w:ascii="Times New Roman" w:hAnsi="Times New Roman"/>
        </w:rPr>
        <w:t>zákona o burze cenných papierov ide o nadbytočnú právnu úpravu.</w:t>
      </w:r>
      <w:r w:rsidRPr="003456C1">
        <w:rPr>
          <w:rFonts w:ascii="Times New Roman" w:hAnsi="Times New Roman"/>
        </w:rPr>
        <w:t xml:space="preserve"> </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bodu 3</w:t>
      </w:r>
    </w:p>
    <w:p w:rsidR="000E6521" w:rsidRPr="003456C1" w:rsidP="000E6521">
      <w:pPr>
        <w:pStyle w:val="BodyText"/>
        <w:widowControl/>
        <w:bidi w:val="0"/>
        <w:jc w:val="both"/>
        <w:rPr>
          <w:rFonts w:ascii="Times New Roman" w:hAnsi="Times New Roman"/>
        </w:rPr>
      </w:pPr>
      <w:r>
        <w:rPr>
          <w:rFonts w:ascii="Times New Roman" w:hAnsi="Times New Roman"/>
        </w:rPr>
        <w:t xml:space="preserve">Ide o </w:t>
      </w:r>
      <w:r w:rsidRPr="003456C1">
        <w:rPr>
          <w:rFonts w:ascii="Times New Roman" w:hAnsi="Times New Roman"/>
        </w:rPr>
        <w:t xml:space="preserve">možnosť udeliť výnimku z podmienky podľa § 30 ods. 1 písm. c) </w:t>
      </w:r>
      <w:r>
        <w:rPr>
          <w:rFonts w:ascii="Times New Roman" w:hAnsi="Times New Roman"/>
        </w:rPr>
        <w:t>zákona o burze cenných papierov, aby to</w:t>
      </w:r>
      <w:r w:rsidRPr="003456C1">
        <w:rPr>
          <w:rFonts w:ascii="Times New Roman" w:hAnsi="Times New Roman"/>
        </w:rPr>
        <w:t xml:space="preserve"> bolo možné už v prípade, ak je splnená len jedna z podmienok podľa písm. a) alebo b).</w:t>
      </w:r>
    </w:p>
    <w:p w:rsidR="000E6521" w:rsidRPr="003456C1" w:rsidP="000E6521">
      <w:pPr>
        <w:pStyle w:val="BodyText"/>
        <w:widowControl/>
        <w:bidi w:val="0"/>
        <w:jc w:val="both"/>
        <w:rPr>
          <w:rFonts w:ascii="Times New Roman" w:hAnsi="Times New Roman"/>
        </w:rPr>
      </w:pPr>
    </w:p>
    <w:p w:rsidR="000E6521" w:rsidP="000E6521">
      <w:pPr>
        <w:pStyle w:val="BodyText"/>
        <w:widowControl/>
        <w:bidi w:val="0"/>
        <w:jc w:val="both"/>
        <w:rPr>
          <w:rFonts w:ascii="Times New Roman" w:hAnsi="Times New Roman"/>
          <w:b/>
        </w:rPr>
      </w:pPr>
      <w:r>
        <w:rPr>
          <w:rFonts w:ascii="Times New Roman" w:hAnsi="Times New Roman"/>
          <w:b/>
        </w:rPr>
        <w:t>K bodom 4 a 5</w:t>
      </w:r>
    </w:p>
    <w:p w:rsidR="000E6521" w:rsidRPr="00F63C8C" w:rsidP="000E6521">
      <w:pPr>
        <w:pStyle w:val="BodyText"/>
        <w:widowControl/>
        <w:bidi w:val="0"/>
        <w:jc w:val="both"/>
        <w:rPr>
          <w:rFonts w:ascii="Times New Roman" w:hAnsi="Times New Roman"/>
        </w:rPr>
      </w:pPr>
      <w:r>
        <w:rPr>
          <w:rFonts w:ascii="Times New Roman" w:hAnsi="Times New Roman"/>
        </w:rPr>
        <w:t>Legislatívno-technická úprava.</w:t>
      </w:r>
    </w:p>
    <w:p w:rsidR="000E6521" w:rsidP="000E6521">
      <w:pPr>
        <w:pStyle w:val="BodyText"/>
        <w:widowControl/>
        <w:bidi w:val="0"/>
        <w:jc w:val="both"/>
        <w:rPr>
          <w:rFonts w:ascii="Times New Roman" w:hAnsi="Times New Roman"/>
          <w:b/>
        </w:rPr>
      </w:pPr>
    </w:p>
    <w:p w:rsidR="000E6521" w:rsidRPr="001A7B66" w:rsidP="000E6521">
      <w:pPr>
        <w:pStyle w:val="BodyText"/>
        <w:widowControl/>
        <w:bidi w:val="0"/>
        <w:jc w:val="both"/>
        <w:rPr>
          <w:rFonts w:ascii="Times New Roman" w:hAnsi="Times New Roman"/>
          <w:b/>
        </w:rPr>
      </w:pPr>
      <w:r w:rsidRPr="001A7B66">
        <w:rPr>
          <w:rFonts w:ascii="Times New Roman" w:hAnsi="Times New Roman"/>
          <w:b/>
        </w:rPr>
        <w:t xml:space="preserve">K bodom </w:t>
      </w:r>
      <w:r>
        <w:rPr>
          <w:rFonts w:ascii="Times New Roman" w:hAnsi="Times New Roman"/>
          <w:b/>
        </w:rPr>
        <w:t>6</w:t>
      </w:r>
      <w:r w:rsidRPr="001A7B66">
        <w:rPr>
          <w:rFonts w:ascii="Times New Roman" w:hAnsi="Times New Roman"/>
          <w:b/>
        </w:rPr>
        <w:t xml:space="preserve"> a </w:t>
      </w:r>
      <w:r>
        <w:rPr>
          <w:rFonts w:ascii="Times New Roman" w:hAnsi="Times New Roman"/>
          <w:b/>
        </w:rPr>
        <w:t>7</w:t>
      </w:r>
    </w:p>
    <w:p w:rsidR="000E6521" w:rsidP="000E6521">
      <w:pPr>
        <w:bidi w:val="0"/>
        <w:jc w:val="both"/>
        <w:rPr>
          <w:rFonts w:ascii="Times New Roman" w:hAnsi="Times New Roman"/>
        </w:rPr>
      </w:pPr>
      <w:r>
        <w:rPr>
          <w:rFonts w:ascii="Times New Roman" w:hAnsi="Times New Roman"/>
        </w:rPr>
        <w:t>Ide o súlad v</w:t>
      </w:r>
      <w:r w:rsidRPr="0073315A">
        <w:rPr>
          <w:rFonts w:ascii="Times New Roman" w:hAnsi="Times New Roman"/>
        </w:rPr>
        <w:t xml:space="preserve"> rámci prípravy projektu T2S </w:t>
      </w:r>
      <w:r>
        <w:rPr>
          <w:rFonts w:ascii="Times New Roman" w:hAnsi="Times New Roman"/>
        </w:rPr>
        <w:t xml:space="preserve">s </w:t>
      </w:r>
      <w:r w:rsidRPr="0073315A">
        <w:rPr>
          <w:rFonts w:ascii="Times New Roman" w:hAnsi="Times New Roman"/>
        </w:rPr>
        <w:t>Európsk</w:t>
      </w:r>
      <w:r>
        <w:rPr>
          <w:rFonts w:ascii="Times New Roman" w:hAnsi="Times New Roman"/>
        </w:rPr>
        <w:t>ou centrálnou</w:t>
      </w:r>
      <w:r w:rsidRPr="0073315A">
        <w:rPr>
          <w:rFonts w:ascii="Times New Roman" w:hAnsi="Times New Roman"/>
        </w:rPr>
        <w:t xml:space="preserve"> bank</w:t>
      </w:r>
      <w:r>
        <w:rPr>
          <w:rFonts w:ascii="Times New Roman" w:hAnsi="Times New Roman"/>
        </w:rPr>
        <w:t>ou.</w:t>
      </w:r>
      <w:r w:rsidRPr="0073315A">
        <w:rPr>
          <w:rFonts w:ascii="Times New Roman" w:hAnsi="Times New Roman"/>
        </w:rPr>
        <w:t xml:space="preserve"> </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8</w:t>
      </w:r>
    </w:p>
    <w:p w:rsidR="000E6521" w:rsidRPr="00F63C8C" w:rsidP="000E6521">
      <w:pPr>
        <w:bidi w:val="0"/>
        <w:jc w:val="both"/>
        <w:rPr>
          <w:rFonts w:ascii="Times New Roman" w:hAnsi="Times New Roman"/>
        </w:rPr>
      </w:pPr>
      <w:r w:rsidRPr="00F63C8C">
        <w:rPr>
          <w:rFonts w:ascii="Times New Roman" w:hAnsi="Times New Roman"/>
        </w:rPr>
        <w:t xml:space="preserve">V záujme zvýšenia právnej istoty </w:t>
      </w:r>
      <w:r>
        <w:rPr>
          <w:rFonts w:ascii="Times New Roman" w:hAnsi="Times New Roman"/>
        </w:rPr>
        <w:t xml:space="preserve">sa dopĺňa </w:t>
      </w:r>
      <w:r w:rsidRPr="00F63C8C">
        <w:rPr>
          <w:rFonts w:ascii="Times New Roman" w:hAnsi="Times New Roman"/>
        </w:rPr>
        <w:t xml:space="preserve">nové ustanovenie, ktorým sa </w:t>
      </w:r>
      <w:r>
        <w:rPr>
          <w:rFonts w:ascii="Times New Roman" w:hAnsi="Times New Roman"/>
        </w:rPr>
        <w:t>spresňuje</w:t>
      </w:r>
      <w:r w:rsidRPr="00F63C8C">
        <w:rPr>
          <w:rFonts w:ascii="Times New Roman" w:hAnsi="Times New Roman"/>
        </w:rPr>
        <w:t xml:space="preserve"> postup </w:t>
      </w:r>
      <w:r>
        <w:rPr>
          <w:rFonts w:ascii="Times New Roman" w:hAnsi="Times New Roman"/>
        </w:rPr>
        <w:t>Burzy cenných papierov v Bratislave, a.s.</w:t>
      </w:r>
      <w:r w:rsidRPr="00F63C8C">
        <w:rPr>
          <w:rFonts w:ascii="Times New Roman" w:hAnsi="Times New Roman"/>
        </w:rPr>
        <w:t xml:space="preserve"> pri rozhodovaní o skutočnostiach podľa </w:t>
      </w:r>
      <w:r>
        <w:rPr>
          <w:rFonts w:ascii="Times New Roman" w:hAnsi="Times New Roman"/>
        </w:rPr>
        <w:t>zákona o burze cenných papierov</w:t>
      </w:r>
      <w:r w:rsidRPr="00F63C8C">
        <w:rPr>
          <w:rFonts w:ascii="Times New Roman" w:hAnsi="Times New Roman"/>
        </w:rPr>
        <w:t xml:space="preserve">, ktoré nie sú výslovne uvedené v § 65 </w:t>
      </w:r>
      <w:r>
        <w:rPr>
          <w:rFonts w:ascii="Times New Roman" w:hAnsi="Times New Roman"/>
        </w:rPr>
        <w:t>uvedeného zákona</w:t>
      </w:r>
      <w:r w:rsidRPr="00F63C8C">
        <w:rPr>
          <w:rFonts w:ascii="Times New Roman" w:hAnsi="Times New Roman"/>
        </w:rPr>
        <w:t xml:space="preserve">. </w:t>
      </w:r>
      <w:r>
        <w:rPr>
          <w:rFonts w:ascii="Times New Roman" w:hAnsi="Times New Roman"/>
        </w:rPr>
        <w:t xml:space="preserve">Uvedený zákon v </w:t>
      </w:r>
      <w:r w:rsidRPr="00F63C8C">
        <w:rPr>
          <w:rFonts w:ascii="Times New Roman" w:hAnsi="Times New Roman"/>
        </w:rPr>
        <w:t>súčasnosti presne definuje len postup burzy</w:t>
      </w:r>
      <w:r>
        <w:rPr>
          <w:rFonts w:ascii="Times New Roman" w:hAnsi="Times New Roman"/>
        </w:rPr>
        <w:t xml:space="preserve"> cenných papierov</w:t>
      </w:r>
      <w:r w:rsidRPr="00F63C8C">
        <w:rPr>
          <w:rFonts w:ascii="Times New Roman" w:hAnsi="Times New Roman"/>
        </w:rPr>
        <w:t xml:space="preserve"> pri rozhodovaní o prijatie cenných papierov na trh kótovaných cenných papierov, o pozastavení, resp. vylúčení cenného papiera z trhu kótovaných cenných papierov a o zrušení burzového obchodu, na ktoré sa primerane vzťahujú ustanovenia zákona č. 747/2004 Z.z.</w:t>
      </w:r>
      <w:r>
        <w:rPr>
          <w:rFonts w:ascii="Times New Roman" w:hAnsi="Times New Roman"/>
        </w:rPr>
        <w:t xml:space="preserve"> o dohľade nad finančným trhom.</w:t>
      </w:r>
      <w:r w:rsidRPr="00F63C8C">
        <w:rPr>
          <w:rFonts w:ascii="Times New Roman" w:hAnsi="Times New Roman"/>
        </w:rPr>
        <w:t xml:space="preserve"> Ostatné konania burzy </w:t>
      </w:r>
      <w:r>
        <w:rPr>
          <w:rFonts w:ascii="Times New Roman" w:hAnsi="Times New Roman"/>
        </w:rPr>
        <w:t xml:space="preserve">cenných papierov </w:t>
      </w:r>
      <w:r w:rsidRPr="00F63C8C">
        <w:rPr>
          <w:rFonts w:ascii="Times New Roman" w:hAnsi="Times New Roman"/>
        </w:rPr>
        <w:t xml:space="preserve">(napr. prijatie cenných papierov na regulovaný voľný trh, pozastavenie obchodovania, resp. vylúčenie cenného papiera z regulovaného voľného trhu, rozhodovanie o prijatí člena burzy, zrušení členstva na burze, sankčné konania pre neplnenie povinností atď.) nie sú explicitne v zákone o burze </w:t>
      </w:r>
      <w:r>
        <w:rPr>
          <w:rFonts w:ascii="Times New Roman" w:hAnsi="Times New Roman"/>
        </w:rPr>
        <w:t xml:space="preserve">cenných papierov </w:t>
      </w:r>
      <w:r w:rsidRPr="00F63C8C">
        <w:rPr>
          <w:rFonts w:ascii="Times New Roman" w:hAnsi="Times New Roman"/>
        </w:rPr>
        <w:t xml:space="preserve">upravené, čo v praxi spôsobuje, že účastníci týchto konaní sa domáhajú vydania rozhodnutia v súlade so správnym poriadkom, príp. preskúmania rozhodnutia burzy </w:t>
      </w:r>
      <w:r>
        <w:rPr>
          <w:rFonts w:ascii="Times New Roman" w:hAnsi="Times New Roman"/>
        </w:rPr>
        <w:t xml:space="preserve">cenných papierov </w:t>
      </w:r>
      <w:r w:rsidRPr="00F63C8C">
        <w:rPr>
          <w:rFonts w:ascii="Times New Roman" w:hAnsi="Times New Roman"/>
        </w:rPr>
        <w:t xml:space="preserve">ako keby sa jednalo o rozhodnutie vydané v správnom konaní orgánom verejnej správy. Burza </w:t>
      </w:r>
      <w:r>
        <w:rPr>
          <w:rFonts w:ascii="Times New Roman" w:hAnsi="Times New Roman"/>
        </w:rPr>
        <w:t xml:space="preserve">cenných papierov </w:t>
      </w:r>
      <w:r w:rsidRPr="00F63C8C">
        <w:rPr>
          <w:rFonts w:ascii="Times New Roman" w:hAnsi="Times New Roman"/>
        </w:rPr>
        <w:t>ako súkromná akciová spoločnosť však nie je orgánom verejnej správy ani jej nie je zákonom o</w:t>
      </w:r>
      <w:r>
        <w:rPr>
          <w:rFonts w:ascii="Times New Roman" w:hAnsi="Times New Roman"/>
        </w:rPr>
        <w:t> </w:t>
      </w:r>
      <w:r w:rsidRPr="00F63C8C">
        <w:rPr>
          <w:rFonts w:ascii="Times New Roman" w:hAnsi="Times New Roman"/>
        </w:rPr>
        <w:t>burze</w:t>
      </w:r>
      <w:r>
        <w:rPr>
          <w:rFonts w:ascii="Times New Roman" w:hAnsi="Times New Roman"/>
        </w:rPr>
        <w:t xml:space="preserve"> cenných papierov</w:t>
      </w:r>
      <w:r w:rsidRPr="00F63C8C">
        <w:rPr>
          <w:rFonts w:ascii="Times New Roman" w:hAnsi="Times New Roman"/>
        </w:rPr>
        <w:t>, príp. inými právnymi predpismi zverené rozhodovanie o právach a povinnostiach fyzických alebo právnických osôb v oblasti verejnej správy, a preto nie je povinná postupovať v konaniach postupom upravených správnym poriadkom.</w:t>
      </w:r>
    </w:p>
    <w:p w:rsidR="000E6521" w:rsidP="000E6521">
      <w:pPr>
        <w:pStyle w:val="BodyText"/>
        <w:widowControl/>
        <w:bidi w:val="0"/>
        <w:jc w:val="both"/>
        <w:rPr>
          <w:rFonts w:ascii="Times New Roman" w:hAnsi="Times New Roman"/>
        </w:rPr>
      </w:pPr>
    </w:p>
    <w:p w:rsidR="000E6521" w:rsidRPr="001A7B66" w:rsidP="000E6521">
      <w:pPr>
        <w:pStyle w:val="BodyText"/>
        <w:widowControl/>
        <w:bidi w:val="0"/>
        <w:jc w:val="both"/>
        <w:rPr>
          <w:rFonts w:ascii="Times New Roman" w:hAnsi="Times New Roman"/>
          <w:b/>
        </w:rPr>
      </w:pPr>
      <w:r w:rsidRPr="001A7B66">
        <w:rPr>
          <w:rFonts w:ascii="Times New Roman" w:hAnsi="Times New Roman"/>
          <w:b/>
        </w:rPr>
        <w:t>K Čl. IV</w:t>
      </w:r>
    </w:p>
    <w:p w:rsidR="000E6521" w:rsidRPr="001A7B66" w:rsidP="000E6521">
      <w:pPr>
        <w:pStyle w:val="BodyText"/>
        <w:widowControl/>
        <w:bidi w:val="0"/>
        <w:jc w:val="both"/>
        <w:rPr>
          <w:rFonts w:ascii="Times New Roman" w:hAnsi="Times New Roman"/>
          <w:b/>
        </w:rPr>
      </w:pPr>
    </w:p>
    <w:p w:rsidR="000E6521" w:rsidRPr="001A7B66" w:rsidP="000E6521">
      <w:pPr>
        <w:pStyle w:val="BodyText"/>
        <w:widowControl/>
        <w:bidi w:val="0"/>
        <w:jc w:val="both"/>
        <w:rPr>
          <w:rFonts w:ascii="Times New Roman" w:hAnsi="Times New Roman"/>
          <w:b/>
        </w:rPr>
      </w:pPr>
      <w:r w:rsidRPr="001A7B66">
        <w:rPr>
          <w:rFonts w:ascii="Times New Roman" w:hAnsi="Times New Roman"/>
          <w:b/>
        </w:rPr>
        <w:t>K bodom 1 a 2</w:t>
      </w:r>
    </w:p>
    <w:p w:rsidR="000E6521" w:rsidP="000E6521">
      <w:pPr>
        <w:bidi w:val="0"/>
        <w:jc w:val="both"/>
        <w:rPr>
          <w:rFonts w:ascii="Times New Roman" w:hAnsi="Times New Roman"/>
        </w:rPr>
      </w:pPr>
      <w:r>
        <w:rPr>
          <w:rFonts w:ascii="Times New Roman" w:hAnsi="Times New Roman"/>
        </w:rPr>
        <w:t>Ide o súlad v</w:t>
      </w:r>
      <w:r w:rsidRPr="0073315A">
        <w:rPr>
          <w:rFonts w:ascii="Times New Roman" w:hAnsi="Times New Roman"/>
        </w:rPr>
        <w:t xml:space="preserve"> rámci prípravy projektu T2S </w:t>
      </w:r>
      <w:r>
        <w:rPr>
          <w:rFonts w:ascii="Times New Roman" w:hAnsi="Times New Roman"/>
        </w:rPr>
        <w:t xml:space="preserve">s </w:t>
      </w:r>
      <w:r w:rsidRPr="0073315A">
        <w:rPr>
          <w:rFonts w:ascii="Times New Roman" w:hAnsi="Times New Roman"/>
        </w:rPr>
        <w:t>Európsk</w:t>
      </w:r>
      <w:r>
        <w:rPr>
          <w:rFonts w:ascii="Times New Roman" w:hAnsi="Times New Roman"/>
        </w:rPr>
        <w:t>ou centrálnou</w:t>
      </w:r>
      <w:r w:rsidRPr="0073315A">
        <w:rPr>
          <w:rFonts w:ascii="Times New Roman" w:hAnsi="Times New Roman"/>
        </w:rPr>
        <w:t xml:space="preserve"> bank</w:t>
      </w:r>
      <w:r>
        <w:rPr>
          <w:rFonts w:ascii="Times New Roman" w:hAnsi="Times New Roman"/>
        </w:rPr>
        <w:t>ou.</w:t>
      </w:r>
      <w:r w:rsidRPr="0073315A">
        <w:rPr>
          <w:rFonts w:ascii="Times New Roman" w:hAnsi="Times New Roman"/>
        </w:rPr>
        <w:t xml:space="preserve"> </w:t>
      </w:r>
    </w:p>
    <w:p w:rsidR="000E6521" w:rsidP="000E6521">
      <w:pPr>
        <w:bidi w:val="0"/>
        <w:jc w:val="both"/>
        <w:rPr>
          <w:rFonts w:ascii="Times New Roman" w:hAnsi="Times New Roman"/>
        </w:rPr>
      </w:pPr>
    </w:p>
    <w:p w:rsidR="000E6521" w:rsidRPr="00F63C8C" w:rsidP="000E6521">
      <w:pPr>
        <w:bidi w:val="0"/>
        <w:jc w:val="both"/>
        <w:rPr>
          <w:rFonts w:ascii="Times New Roman" w:hAnsi="Times New Roman"/>
          <w:b/>
        </w:rPr>
      </w:pPr>
      <w:r w:rsidRPr="00F63C8C">
        <w:rPr>
          <w:rFonts w:ascii="Times New Roman" w:hAnsi="Times New Roman"/>
          <w:b/>
        </w:rPr>
        <w:t>K bodom 3 a 4</w:t>
      </w:r>
    </w:p>
    <w:p w:rsidR="000E6521" w:rsidRPr="00F63C8C" w:rsidP="000E6521">
      <w:pPr>
        <w:bidi w:val="0"/>
        <w:jc w:val="both"/>
        <w:rPr>
          <w:rFonts w:ascii="Times New Roman" w:hAnsi="Times New Roman"/>
        </w:rPr>
      </w:pPr>
      <w:r w:rsidRPr="00F63C8C">
        <w:rPr>
          <w:rFonts w:ascii="Times New Roman" w:hAnsi="Times New Roman"/>
        </w:rPr>
        <w:t>Legislatívno-technická úprava v nadväznosti na bod 1 návrhu tohto článku.</w:t>
      </w:r>
    </w:p>
    <w:p w:rsidR="000E6521" w:rsidRPr="001A7B66" w:rsidP="000E6521">
      <w:pPr>
        <w:pStyle w:val="BodyText"/>
        <w:widowControl/>
        <w:bidi w:val="0"/>
        <w:jc w:val="both"/>
        <w:rPr>
          <w:rFonts w:ascii="Times New Roman" w:hAnsi="Times New Roman"/>
        </w:rPr>
      </w:pPr>
    </w:p>
    <w:p w:rsidR="000E6521" w:rsidP="000E6521">
      <w:pPr>
        <w:pStyle w:val="BodyText"/>
        <w:widowControl/>
        <w:bidi w:val="0"/>
        <w:jc w:val="both"/>
        <w:rPr>
          <w:rFonts w:ascii="Times New Roman" w:hAnsi="Times New Roman"/>
          <w:b/>
        </w:rPr>
      </w:pPr>
      <w:r>
        <w:rPr>
          <w:rFonts w:ascii="Times New Roman" w:hAnsi="Times New Roman"/>
          <w:b/>
        </w:rPr>
        <w:t>K Čl. V</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bodom 1 a 2</w:t>
      </w:r>
    </w:p>
    <w:p w:rsidR="000E6521" w:rsidP="000E6521">
      <w:pPr>
        <w:bidi w:val="0"/>
        <w:jc w:val="both"/>
        <w:rPr>
          <w:rFonts w:ascii="Times New Roman" w:hAnsi="Times New Roman"/>
        </w:rPr>
      </w:pPr>
      <w:r>
        <w:rPr>
          <w:rFonts w:ascii="Times New Roman" w:hAnsi="Times New Roman"/>
        </w:rPr>
        <w:t>Ide o súlad v</w:t>
      </w:r>
      <w:r w:rsidRPr="0073315A">
        <w:rPr>
          <w:rFonts w:ascii="Times New Roman" w:hAnsi="Times New Roman"/>
        </w:rPr>
        <w:t xml:space="preserve"> rámci prípravy projektu T2S </w:t>
      </w:r>
      <w:r>
        <w:rPr>
          <w:rFonts w:ascii="Times New Roman" w:hAnsi="Times New Roman"/>
        </w:rPr>
        <w:t xml:space="preserve">s </w:t>
      </w:r>
      <w:r w:rsidRPr="0073315A">
        <w:rPr>
          <w:rFonts w:ascii="Times New Roman" w:hAnsi="Times New Roman"/>
        </w:rPr>
        <w:t>Európsk</w:t>
      </w:r>
      <w:r>
        <w:rPr>
          <w:rFonts w:ascii="Times New Roman" w:hAnsi="Times New Roman"/>
        </w:rPr>
        <w:t>ou centrálnou</w:t>
      </w:r>
      <w:r w:rsidRPr="0073315A">
        <w:rPr>
          <w:rFonts w:ascii="Times New Roman" w:hAnsi="Times New Roman"/>
        </w:rPr>
        <w:t xml:space="preserve"> bank</w:t>
      </w:r>
      <w:r>
        <w:rPr>
          <w:rFonts w:ascii="Times New Roman" w:hAnsi="Times New Roman"/>
        </w:rPr>
        <w:t>ou.</w:t>
      </w:r>
      <w:r w:rsidRPr="0073315A">
        <w:rPr>
          <w:rFonts w:ascii="Times New Roman" w:hAnsi="Times New Roman"/>
        </w:rPr>
        <w:t xml:space="preserve"> </w:t>
      </w:r>
    </w:p>
    <w:p w:rsidR="000E6521" w:rsidP="000E6521">
      <w:pPr>
        <w:bidi w:val="0"/>
        <w:jc w:val="both"/>
        <w:rPr>
          <w:rFonts w:ascii="Times New Roman" w:hAnsi="Times New Roman"/>
        </w:rPr>
      </w:pPr>
    </w:p>
    <w:p w:rsidR="000E6521" w:rsidRPr="00F63C8C" w:rsidP="000E6521">
      <w:pPr>
        <w:bidi w:val="0"/>
        <w:jc w:val="both"/>
        <w:rPr>
          <w:rFonts w:ascii="Times New Roman" w:hAnsi="Times New Roman"/>
          <w:b/>
        </w:rPr>
      </w:pPr>
      <w:r w:rsidRPr="00F63C8C">
        <w:rPr>
          <w:rFonts w:ascii="Times New Roman" w:hAnsi="Times New Roman"/>
          <w:b/>
        </w:rPr>
        <w:t>K bodom 3 a 4</w:t>
      </w:r>
    </w:p>
    <w:p w:rsidR="000E6521" w:rsidRPr="00F63C8C" w:rsidP="000E6521">
      <w:pPr>
        <w:bidi w:val="0"/>
        <w:jc w:val="both"/>
        <w:rPr>
          <w:rFonts w:ascii="Times New Roman" w:hAnsi="Times New Roman"/>
        </w:rPr>
      </w:pPr>
      <w:r w:rsidRPr="00F63C8C">
        <w:rPr>
          <w:rFonts w:ascii="Times New Roman" w:hAnsi="Times New Roman"/>
        </w:rPr>
        <w:t>Legislatívno-technická úprava v nadväznosti na bod 1 návrhu tohto článku.</w:t>
      </w:r>
    </w:p>
    <w:p w:rsidR="000E6521" w:rsidP="000E6521">
      <w:pPr>
        <w:bidi w:val="0"/>
        <w:jc w:val="both"/>
        <w:rPr>
          <w:rFonts w:ascii="Times New Roman" w:hAnsi="Times New Roman"/>
          <w:b/>
        </w:rPr>
      </w:pPr>
    </w:p>
    <w:p w:rsidR="000E6521" w:rsidRPr="001A7B66" w:rsidP="000E6521">
      <w:pPr>
        <w:pStyle w:val="BodyText"/>
        <w:widowControl/>
        <w:bidi w:val="0"/>
        <w:jc w:val="both"/>
        <w:rPr>
          <w:rFonts w:ascii="Times New Roman" w:hAnsi="Times New Roman"/>
          <w:b/>
        </w:rPr>
      </w:pPr>
      <w:r w:rsidRPr="001A7B66">
        <w:rPr>
          <w:rFonts w:ascii="Times New Roman" w:hAnsi="Times New Roman"/>
          <w:b/>
        </w:rPr>
        <w:t>K Čl. VI</w:t>
      </w:r>
    </w:p>
    <w:p w:rsidR="000E6521" w:rsidRPr="001A7B66" w:rsidP="000E6521">
      <w:pPr>
        <w:pStyle w:val="BodyText"/>
        <w:widowControl/>
        <w:bidi w:val="0"/>
        <w:jc w:val="both"/>
        <w:rPr>
          <w:rFonts w:ascii="Times New Roman" w:hAnsi="Times New Roman"/>
        </w:rPr>
      </w:pPr>
    </w:p>
    <w:p w:rsidR="000E6521" w:rsidP="000E6521">
      <w:pPr>
        <w:pStyle w:val="BodyText"/>
        <w:widowControl/>
        <w:bidi w:val="0"/>
        <w:jc w:val="both"/>
        <w:rPr>
          <w:rFonts w:ascii="Times New Roman" w:hAnsi="Times New Roman"/>
          <w:b/>
        </w:rPr>
      </w:pPr>
      <w:r>
        <w:rPr>
          <w:rFonts w:ascii="Times New Roman" w:hAnsi="Times New Roman"/>
          <w:b/>
        </w:rPr>
        <w:t>K bodom 1, 2 a 4</w:t>
      </w:r>
    </w:p>
    <w:p w:rsidR="000E6521" w:rsidRPr="00F63C8C" w:rsidP="000E6521">
      <w:pPr>
        <w:pStyle w:val="BodyText"/>
        <w:widowControl/>
        <w:bidi w:val="0"/>
        <w:jc w:val="both"/>
        <w:rPr>
          <w:rFonts w:ascii="Times New Roman" w:hAnsi="Times New Roman"/>
        </w:rPr>
      </w:pPr>
      <w:r>
        <w:rPr>
          <w:rFonts w:ascii="Times New Roman" w:hAnsi="Times New Roman"/>
        </w:rPr>
        <w:t>Legislatívno-technická úprava.</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bodu 3</w:t>
      </w:r>
    </w:p>
    <w:p w:rsidR="000E6521" w:rsidRPr="003F5839" w:rsidP="000E6521">
      <w:pPr>
        <w:pStyle w:val="BodyText"/>
        <w:widowControl/>
        <w:bidi w:val="0"/>
        <w:jc w:val="both"/>
        <w:rPr>
          <w:rFonts w:ascii="Times New Roman" w:hAnsi="Times New Roman"/>
        </w:rPr>
      </w:pPr>
      <w:r w:rsidRPr="003F5839">
        <w:rPr>
          <w:rFonts w:ascii="Times New Roman" w:hAnsi="Times New Roman"/>
        </w:rPr>
        <w:t>Sektorová legislatíva stanovuje osobitnú právnu úpravu týkajúcu sa začatia konania o pozastavenie výkonu práv. Toto konanie sa začína, ak Národná banka Slovenska na výpise písomne označí osobu, u ktorej novo zistil dôvod na pozastavenie</w:t>
      </w:r>
      <w:r>
        <w:rPr>
          <w:rFonts w:ascii="Times New Roman" w:hAnsi="Times New Roman"/>
        </w:rPr>
        <w:t xml:space="preserve"> výkonu práv.</w:t>
      </w:r>
    </w:p>
    <w:p w:rsidR="000E6521" w:rsidP="000E6521">
      <w:pPr>
        <w:pStyle w:val="BodyText"/>
        <w:widowControl/>
        <w:bidi w:val="0"/>
        <w:jc w:val="both"/>
        <w:rPr>
          <w:rFonts w:ascii="Times New Roman" w:hAnsi="Times New Roman"/>
          <w:b/>
        </w:rPr>
      </w:pPr>
    </w:p>
    <w:p w:rsidR="000E6521" w:rsidRPr="00AD5C1D" w:rsidP="000E6521">
      <w:pPr>
        <w:pStyle w:val="BodyText"/>
        <w:widowControl/>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5</w:t>
      </w:r>
    </w:p>
    <w:p w:rsidR="000E6521" w:rsidRPr="00AD5C1D" w:rsidP="000E6521">
      <w:pPr>
        <w:pStyle w:val="BodyText"/>
        <w:widowControl/>
        <w:bidi w:val="0"/>
        <w:jc w:val="both"/>
        <w:rPr>
          <w:rFonts w:ascii="Times New Roman" w:hAnsi="Times New Roman"/>
        </w:rPr>
      </w:pPr>
      <w:r w:rsidRPr="00AD5C1D">
        <w:rPr>
          <w:rFonts w:ascii="Times New Roman" w:hAnsi="Times New Roman"/>
        </w:rPr>
        <w:t>V súlade s čl. 4 smernice EK č. 2015/2392 zo 17. decembra 2015 o nariadení Európskeho parlamentu a Rady (EÚ) č. 596/2014, pokiaľ ide o nahlasovanie skutočných alebo možných porušení daného nariadenia príslušným orgánom</w:t>
      </w:r>
      <w:r>
        <w:rPr>
          <w:rFonts w:ascii="Times New Roman" w:hAnsi="Times New Roman"/>
        </w:rPr>
        <w:t xml:space="preserve"> </w:t>
      </w:r>
      <w:r w:rsidRPr="00AD5C1D">
        <w:rPr>
          <w:rFonts w:ascii="Times New Roman" w:hAnsi="Times New Roman"/>
        </w:rPr>
        <w:t xml:space="preserve">(ďalej len „vykonávacia smernica MAR“)  sa ustanovuje povinnosť NBS zverejniť na svojom webovom sídle informácie o prijímaní správ o porušeniach, vrátane postupov akými sa správy majú NBS podávať. </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p>
    <w:p w:rsidR="00E24A8A" w:rsidRPr="00AD5C1D" w:rsidP="000E6521">
      <w:pPr>
        <w:pStyle w:val="BodyText"/>
        <w:widowControl/>
        <w:bidi w:val="0"/>
        <w:jc w:val="both"/>
        <w:rPr>
          <w:rFonts w:ascii="Times New Roman" w:hAnsi="Times New Roman"/>
          <w:b/>
        </w:rPr>
      </w:pPr>
    </w:p>
    <w:p w:rsidR="000E6521" w:rsidRPr="00AD5C1D" w:rsidP="000E6521">
      <w:pPr>
        <w:pStyle w:val="BodyText"/>
        <w:widowControl/>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6</w:t>
      </w:r>
    </w:p>
    <w:p w:rsidR="000E6521" w:rsidRPr="00AD5C1D" w:rsidP="000E6521">
      <w:pPr>
        <w:pStyle w:val="BodyText"/>
        <w:widowControl/>
        <w:bidi w:val="0"/>
        <w:jc w:val="both"/>
        <w:rPr>
          <w:rFonts w:ascii="Times New Roman" w:hAnsi="Times New Roman"/>
          <w:u w:val="single"/>
        </w:rPr>
      </w:pPr>
      <w:r w:rsidRPr="00AD5C1D">
        <w:rPr>
          <w:rFonts w:ascii="Times New Roman" w:hAnsi="Times New Roman"/>
          <w:u w:val="single"/>
        </w:rPr>
        <w:t>K § 38a</w:t>
      </w:r>
    </w:p>
    <w:p w:rsidR="000E6521" w:rsidRPr="00AD5C1D" w:rsidP="000E6521">
      <w:pPr>
        <w:pStyle w:val="BodyText"/>
        <w:widowControl/>
        <w:bidi w:val="0"/>
        <w:jc w:val="both"/>
        <w:rPr>
          <w:rFonts w:ascii="Times New Roman" w:hAnsi="Times New Roman"/>
        </w:rPr>
      </w:pPr>
      <w:r w:rsidRPr="00AD5C1D">
        <w:rPr>
          <w:rFonts w:ascii="Times New Roman" w:hAnsi="Times New Roman"/>
        </w:rPr>
        <w:t>V odseku 1 sa v súlade s čl. 5 vykonávacej smernice MAR stanovujú postupy akým nahlasujúce osoby podávajú NBS správy o porušeniach, vrátane spôsobu akým NBS môže vyžadovať doplňujúce informácie a režim spätnej väzby</w:t>
      </w:r>
      <w:r>
        <w:rPr>
          <w:rFonts w:ascii="Times New Roman" w:hAnsi="Times New Roman"/>
        </w:rPr>
        <w:t xml:space="preserve"> </w:t>
      </w:r>
      <w:r w:rsidRPr="00AD5C1D">
        <w:rPr>
          <w:rFonts w:ascii="Times New Roman" w:hAnsi="Times New Roman"/>
        </w:rPr>
        <w:t xml:space="preserve">o výsledku k akému viedlo nahlásenie porušenia.  </w:t>
      </w:r>
    </w:p>
    <w:p w:rsidR="000E6521" w:rsidRPr="00AD5C1D" w:rsidP="000E6521">
      <w:pPr>
        <w:pStyle w:val="BodyText"/>
        <w:widowControl/>
        <w:bidi w:val="0"/>
        <w:jc w:val="both"/>
        <w:rPr>
          <w:rFonts w:ascii="Times New Roman" w:hAnsi="Times New Roman"/>
        </w:rPr>
      </w:pPr>
      <w:r w:rsidRPr="00AD5C1D">
        <w:rPr>
          <w:rFonts w:ascii="Times New Roman" w:hAnsi="Times New Roman"/>
        </w:rPr>
        <w:t xml:space="preserve">V odsekoch 2 a 3 sa v súlade s čl. 5 vykonávacej smernice MAR stanovuje povinnosť personálneho zabezpečenia na spracovanie správ o porušeniach, vrátane odbornej prípravy špecializovaných zamestnancov a náplne ich práce.   </w:t>
      </w:r>
    </w:p>
    <w:p w:rsidR="000E6521" w:rsidRPr="00AD5C1D" w:rsidP="000E6521">
      <w:pPr>
        <w:pStyle w:val="BodyText"/>
        <w:widowControl/>
        <w:bidi w:val="0"/>
        <w:jc w:val="both"/>
        <w:rPr>
          <w:rFonts w:ascii="Times New Roman" w:hAnsi="Times New Roman"/>
        </w:rPr>
      </w:pPr>
      <w:r w:rsidRPr="00AD5C1D">
        <w:rPr>
          <w:rFonts w:ascii="Times New Roman" w:hAnsi="Times New Roman"/>
        </w:rPr>
        <w:t>Vzhľadom na skutočnosť, že návrh sa vzťahuje na všetky sektory finančného trhu, pojem nahlasujúcej osoby, nahlásenej osoby a správ</w:t>
      </w:r>
      <w:r>
        <w:rPr>
          <w:rFonts w:ascii="Times New Roman" w:hAnsi="Times New Roman"/>
        </w:rPr>
        <w:t>y</w:t>
      </w:r>
      <w:r w:rsidRPr="00AD5C1D">
        <w:rPr>
          <w:rFonts w:ascii="Times New Roman" w:hAnsi="Times New Roman"/>
        </w:rPr>
        <w:t xml:space="preserve"> o porušen</w:t>
      </w:r>
      <w:r>
        <w:rPr>
          <w:rFonts w:ascii="Times New Roman" w:hAnsi="Times New Roman"/>
        </w:rPr>
        <w:t>iach</w:t>
      </w:r>
      <w:r w:rsidRPr="00AD5C1D">
        <w:rPr>
          <w:rFonts w:ascii="Times New Roman" w:hAnsi="Times New Roman"/>
        </w:rPr>
        <w:t xml:space="preserve"> je definovaný širšie ako vo vykonávacej smernici MAR, avšak zodpovedá úprave tak v nariadení MAR a aj v ostatných sektorových smerniciach a nariadeniach, teda v smernici UCITS V, CRD IV, MiFID II a CSDR. </w:t>
      </w:r>
    </w:p>
    <w:p w:rsidR="000E6521" w:rsidRPr="00AD5C1D" w:rsidP="000E6521">
      <w:pPr>
        <w:pStyle w:val="BodyText"/>
        <w:widowControl/>
        <w:bidi w:val="0"/>
        <w:jc w:val="both"/>
        <w:rPr>
          <w:rFonts w:ascii="Times New Roman" w:hAnsi="Times New Roman"/>
          <w:b/>
          <w:u w:val="single"/>
        </w:rPr>
      </w:pPr>
    </w:p>
    <w:p w:rsidR="000E6521" w:rsidRPr="00AD5C1D" w:rsidP="000E6521">
      <w:pPr>
        <w:pStyle w:val="BodyText"/>
        <w:widowControl/>
        <w:bidi w:val="0"/>
        <w:jc w:val="both"/>
        <w:rPr>
          <w:rFonts w:ascii="Times New Roman" w:hAnsi="Times New Roman"/>
          <w:u w:val="single"/>
        </w:rPr>
      </w:pPr>
      <w:r w:rsidRPr="00AD5C1D">
        <w:rPr>
          <w:rFonts w:ascii="Times New Roman" w:hAnsi="Times New Roman"/>
          <w:u w:val="single"/>
        </w:rPr>
        <w:t>K § 38b</w:t>
      </w:r>
    </w:p>
    <w:p w:rsidR="000E6521" w:rsidRPr="00AD5C1D" w:rsidP="000E6521">
      <w:pPr>
        <w:pStyle w:val="BodyText"/>
        <w:widowControl/>
        <w:bidi w:val="0"/>
        <w:jc w:val="both"/>
        <w:rPr>
          <w:rFonts w:ascii="Times New Roman" w:hAnsi="Times New Roman"/>
        </w:rPr>
      </w:pPr>
      <w:r w:rsidRPr="00AD5C1D">
        <w:rPr>
          <w:rFonts w:ascii="Times New Roman" w:hAnsi="Times New Roman"/>
        </w:rPr>
        <w:t xml:space="preserve">V súlade s čl. 6 vykonávacej smernice MAR sa určujú komunikačné kanály, ktoré môžu byť vyhradené </w:t>
      </w:r>
      <w:r>
        <w:rPr>
          <w:rFonts w:ascii="Times New Roman" w:hAnsi="Times New Roman"/>
        </w:rPr>
        <w:t>na nahlasovanie správ o porušeniach</w:t>
      </w:r>
      <w:r w:rsidRPr="00AD5C1D">
        <w:rPr>
          <w:rFonts w:ascii="Times New Roman" w:hAnsi="Times New Roman"/>
        </w:rPr>
        <w:t xml:space="preserve">, pričom musia umožniť nahlásenie písomnou alebo </w:t>
      </w:r>
      <w:r>
        <w:rPr>
          <w:rFonts w:ascii="Times New Roman" w:hAnsi="Times New Roman"/>
        </w:rPr>
        <w:t xml:space="preserve">ústnou </w:t>
      </w:r>
      <w:r w:rsidRPr="00AD5C1D">
        <w:rPr>
          <w:rFonts w:ascii="Times New Roman" w:hAnsi="Times New Roman"/>
        </w:rPr>
        <w:t>formo</w:t>
      </w:r>
      <w:r>
        <w:rPr>
          <w:rFonts w:ascii="Times New Roman" w:hAnsi="Times New Roman"/>
        </w:rPr>
        <w:t xml:space="preserve">u, prípadne osobným stretnutím </w:t>
      </w:r>
      <w:r w:rsidRPr="00AD5C1D">
        <w:rPr>
          <w:rFonts w:ascii="Times New Roman" w:hAnsi="Times New Roman"/>
        </w:rPr>
        <w:t>so špecializovaným pracovníkom NBS určeným podľa § 38a.</w:t>
      </w:r>
    </w:p>
    <w:p w:rsidR="000E6521" w:rsidRPr="00AD5C1D" w:rsidP="000E6521">
      <w:pPr>
        <w:pStyle w:val="BodyText"/>
        <w:widowControl/>
        <w:bidi w:val="0"/>
        <w:jc w:val="both"/>
        <w:rPr>
          <w:rFonts w:ascii="Times New Roman" w:hAnsi="Times New Roman"/>
        </w:rPr>
      </w:pPr>
    </w:p>
    <w:p w:rsidR="000E6521" w:rsidRPr="00AD5C1D" w:rsidP="000E6521">
      <w:pPr>
        <w:pStyle w:val="BodyText"/>
        <w:widowControl/>
        <w:bidi w:val="0"/>
        <w:jc w:val="both"/>
        <w:rPr>
          <w:rFonts w:ascii="Times New Roman" w:hAnsi="Times New Roman"/>
          <w:u w:val="single"/>
        </w:rPr>
      </w:pPr>
      <w:r w:rsidRPr="00AD5C1D">
        <w:rPr>
          <w:rFonts w:ascii="Times New Roman" w:hAnsi="Times New Roman"/>
          <w:u w:val="single"/>
        </w:rPr>
        <w:t>K § 38c</w:t>
      </w:r>
    </w:p>
    <w:p w:rsidR="000E6521" w:rsidRPr="00AD5C1D" w:rsidP="000E6521">
      <w:pPr>
        <w:pStyle w:val="BodyText"/>
        <w:widowControl/>
        <w:bidi w:val="0"/>
        <w:jc w:val="both"/>
        <w:rPr>
          <w:rFonts w:ascii="Times New Roman" w:hAnsi="Times New Roman"/>
        </w:rPr>
      </w:pPr>
      <w:r w:rsidRPr="00AD5C1D">
        <w:rPr>
          <w:rFonts w:ascii="Times New Roman" w:hAnsi="Times New Roman"/>
        </w:rPr>
        <w:t>Ustanovujú sa postupy pre uchovávanie záznamov o prijatých správach o porušen</w:t>
      </w:r>
      <w:r>
        <w:rPr>
          <w:rFonts w:ascii="Times New Roman" w:hAnsi="Times New Roman"/>
        </w:rPr>
        <w:t>iach</w:t>
      </w:r>
      <w:r w:rsidRPr="00AD5C1D">
        <w:rPr>
          <w:rFonts w:ascii="Times New Roman" w:hAnsi="Times New Roman"/>
        </w:rPr>
        <w:t xml:space="preserve">  súlade s čl. 7 vykonávacej smernice MAR, vrátane postupov ak bola správa nahlásená telefonicky alebo  na osobnom stretnutí.</w:t>
      </w:r>
    </w:p>
    <w:p w:rsidR="000E6521" w:rsidRPr="00AD5C1D" w:rsidP="000E6521">
      <w:pPr>
        <w:pStyle w:val="BodyText"/>
        <w:widowControl/>
        <w:bidi w:val="0"/>
        <w:jc w:val="both"/>
        <w:rPr>
          <w:rFonts w:ascii="Times New Roman" w:hAnsi="Times New Roman"/>
        </w:rPr>
      </w:pPr>
      <w:r w:rsidRPr="00AD5C1D">
        <w:rPr>
          <w:rFonts w:ascii="Times New Roman" w:hAnsi="Times New Roman"/>
        </w:rPr>
        <w:t>V záujme zabezpečenia dôvernosti poskytnutých informácií nahlasujúcou osobou, NBS v súlade s čl. 10 vykonávacej smernice MAR musí zabezpečiť, aby pri prenose údajov  o správach o porušen</w:t>
      </w:r>
      <w:r>
        <w:rPr>
          <w:rFonts w:ascii="Times New Roman" w:hAnsi="Times New Roman"/>
        </w:rPr>
        <w:t>aich</w:t>
      </w:r>
      <w:r w:rsidRPr="00AD5C1D">
        <w:rPr>
          <w:rFonts w:ascii="Times New Roman" w:hAnsi="Times New Roman"/>
        </w:rPr>
        <w:t xml:space="preserve"> nebolo možné identifikovať totožnosť nahlasujúcej osoby.</w:t>
      </w:r>
    </w:p>
    <w:p w:rsidR="000E6521" w:rsidRPr="00AD5C1D" w:rsidP="000E6521">
      <w:pPr>
        <w:pStyle w:val="BodyText"/>
        <w:widowControl/>
        <w:bidi w:val="0"/>
        <w:jc w:val="both"/>
        <w:rPr>
          <w:rFonts w:ascii="Times New Roman" w:hAnsi="Times New Roman"/>
          <w:b/>
        </w:rPr>
      </w:pPr>
    </w:p>
    <w:p w:rsidR="000E6521" w:rsidRPr="00AD5C1D" w:rsidP="000E6521">
      <w:pPr>
        <w:pStyle w:val="BodyText"/>
        <w:bidi w:val="0"/>
        <w:jc w:val="both"/>
        <w:rPr>
          <w:rFonts w:ascii="Times New Roman" w:hAnsi="Times New Roman"/>
          <w:u w:val="single"/>
        </w:rPr>
      </w:pPr>
      <w:r w:rsidRPr="00AD5C1D">
        <w:rPr>
          <w:rFonts w:ascii="Times New Roman" w:hAnsi="Times New Roman"/>
          <w:u w:val="single"/>
        </w:rPr>
        <w:t>K § 38d</w:t>
      </w:r>
    </w:p>
    <w:p w:rsidR="000E6521" w:rsidRPr="00AD5C1D" w:rsidP="000E6521">
      <w:pPr>
        <w:pStyle w:val="BodyText"/>
        <w:bidi w:val="0"/>
        <w:jc w:val="both"/>
        <w:rPr>
          <w:rFonts w:ascii="Times New Roman" w:hAnsi="Times New Roman"/>
        </w:rPr>
      </w:pPr>
      <w:r w:rsidRPr="00AD5C1D">
        <w:rPr>
          <w:rFonts w:ascii="Times New Roman" w:hAnsi="Times New Roman"/>
        </w:rPr>
        <w:t xml:space="preserve">V súlade s čl. 8 vykonávacej smernice MAR sa upravuje ochrana nahlasujúcich osôb pred postihmi zo strany nahlásenej osoby, najmä v prípadoch, ak nahlasujúca osoba je v zamestnaneckom pomere u nahlásenej osoby. Takisto čl. 8 vyžaduje, aby NBS spolupracovala s orgánom zodpovedným za ochranu zamestnancov, teda v podmienkach SR s inšpektorátom práce. </w:t>
      </w:r>
    </w:p>
    <w:p w:rsidR="000E6521" w:rsidRPr="00AD5C1D" w:rsidP="000E6521">
      <w:pPr>
        <w:pStyle w:val="BodyText"/>
        <w:bidi w:val="0"/>
        <w:jc w:val="both"/>
        <w:rPr>
          <w:rFonts w:ascii="Times New Roman" w:hAnsi="Times New Roman"/>
        </w:rPr>
      </w:pPr>
    </w:p>
    <w:p w:rsidR="000E6521" w:rsidRPr="00AD5C1D" w:rsidP="000E6521">
      <w:pPr>
        <w:pStyle w:val="BodyText"/>
        <w:bidi w:val="0"/>
        <w:jc w:val="both"/>
        <w:rPr>
          <w:rFonts w:ascii="Times New Roman" w:hAnsi="Times New Roman"/>
          <w:u w:val="single"/>
        </w:rPr>
      </w:pPr>
      <w:r w:rsidRPr="00AD5C1D">
        <w:rPr>
          <w:rFonts w:ascii="Times New Roman" w:hAnsi="Times New Roman"/>
          <w:u w:val="single"/>
        </w:rPr>
        <w:t>K § 38e</w:t>
      </w:r>
    </w:p>
    <w:p w:rsidR="000E6521" w:rsidRPr="00AD5C1D" w:rsidP="000E6521">
      <w:pPr>
        <w:pStyle w:val="BodyText"/>
        <w:widowControl/>
        <w:bidi w:val="0"/>
        <w:jc w:val="both"/>
        <w:rPr>
          <w:rFonts w:ascii="Times New Roman" w:hAnsi="Times New Roman"/>
        </w:rPr>
      </w:pPr>
      <w:r w:rsidRPr="00AD5C1D">
        <w:rPr>
          <w:rFonts w:ascii="Times New Roman" w:hAnsi="Times New Roman"/>
        </w:rPr>
        <w:t xml:space="preserve">Ochranu totožnosti nahlásených osôb by NBS mala v súlade s čl. 11 vykonávacej smernice MAR zabezpečiť rovnakým spôsobom ako v prípade osôb, u ktorých vykonáva kontrolu. </w:t>
      </w:r>
    </w:p>
    <w:p w:rsidR="000E6521" w:rsidP="000E6521">
      <w:pPr>
        <w:pStyle w:val="BodyText"/>
        <w:widowControl/>
        <w:bidi w:val="0"/>
        <w:jc w:val="both"/>
        <w:rPr>
          <w:rFonts w:ascii="Times New Roman" w:hAnsi="Times New Roman"/>
        </w:rPr>
      </w:pPr>
    </w:p>
    <w:p w:rsidR="000E6521" w:rsidRPr="00AD5C1D" w:rsidP="000E6521">
      <w:pPr>
        <w:pStyle w:val="BodyText"/>
        <w:widowControl/>
        <w:bidi w:val="0"/>
        <w:jc w:val="both"/>
        <w:rPr>
          <w:rFonts w:ascii="Times New Roman" w:hAnsi="Times New Roman"/>
        </w:rPr>
      </w:pPr>
    </w:p>
    <w:p w:rsidR="000E6521" w:rsidRPr="00AD5C1D" w:rsidP="000E6521">
      <w:pPr>
        <w:pStyle w:val="BodyText"/>
        <w:widowControl/>
        <w:bidi w:val="0"/>
        <w:jc w:val="both"/>
        <w:rPr>
          <w:rFonts w:ascii="Times New Roman" w:hAnsi="Times New Roman"/>
          <w:u w:val="single"/>
        </w:rPr>
      </w:pPr>
      <w:r w:rsidRPr="00AD5C1D">
        <w:rPr>
          <w:rFonts w:ascii="Times New Roman" w:hAnsi="Times New Roman"/>
          <w:u w:val="single"/>
        </w:rPr>
        <w:t>K § 38f</w:t>
      </w:r>
    </w:p>
    <w:p w:rsidR="000E6521" w:rsidRPr="00AD5C1D" w:rsidP="000E6521">
      <w:pPr>
        <w:pStyle w:val="BodyText"/>
        <w:widowControl/>
        <w:bidi w:val="0"/>
        <w:jc w:val="both"/>
        <w:rPr>
          <w:rFonts w:ascii="Times New Roman" w:hAnsi="Times New Roman"/>
        </w:rPr>
      </w:pPr>
      <w:r w:rsidRPr="00AD5C1D">
        <w:rPr>
          <w:rFonts w:ascii="Times New Roman" w:hAnsi="Times New Roman"/>
        </w:rPr>
        <w:t xml:space="preserve">V súlade s čl. 12 vykonávacej smernice sa ustanovuje povinnosť NBS vykonať pravidelnú revíziu postupov na prijímanie a vybavovanie správ o porušeniach  na základe získaných skúseností, vývoja trhu a komunikačných technológií. </w:t>
      </w:r>
    </w:p>
    <w:p w:rsidR="000E6521" w:rsidRPr="00AD5C1D" w:rsidP="000E6521">
      <w:pPr>
        <w:pStyle w:val="BodyText"/>
        <w:widowControl/>
        <w:bidi w:val="0"/>
        <w:jc w:val="both"/>
        <w:rPr>
          <w:rFonts w:ascii="Times New Roman" w:hAnsi="Times New Roman"/>
        </w:rPr>
      </w:pPr>
    </w:p>
    <w:p w:rsidR="000E6521" w:rsidRPr="00AD5C1D" w:rsidP="000E6521">
      <w:pPr>
        <w:pStyle w:val="BodyText"/>
        <w:widowControl/>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7</w:t>
      </w:r>
    </w:p>
    <w:p w:rsidR="000E6521" w:rsidP="000E6521">
      <w:pPr>
        <w:pStyle w:val="BodyText"/>
        <w:widowControl/>
        <w:bidi w:val="0"/>
        <w:jc w:val="both"/>
        <w:rPr>
          <w:rFonts w:ascii="Times New Roman" w:hAnsi="Times New Roman"/>
        </w:rPr>
      </w:pPr>
      <w:r w:rsidRPr="00AD5C1D">
        <w:rPr>
          <w:rFonts w:ascii="Times New Roman" w:hAnsi="Times New Roman"/>
        </w:rPr>
        <w:t>Ide o doplnenie transpozičnej prílohy.</w:t>
      </w:r>
    </w:p>
    <w:p w:rsidR="000E6521" w:rsidRPr="00AD5C1D" w:rsidP="000E6521">
      <w:pPr>
        <w:pStyle w:val="BodyText"/>
        <w:widowControl/>
        <w:bidi w:val="0"/>
        <w:jc w:val="both"/>
        <w:rPr>
          <w:rFonts w:ascii="Times New Roman" w:hAnsi="Times New Roman"/>
        </w:rPr>
      </w:pPr>
    </w:p>
    <w:p w:rsidR="000E6521" w:rsidRPr="00AD5C1D" w:rsidP="000E6521">
      <w:pPr>
        <w:pStyle w:val="BodyText"/>
        <w:widowControl/>
        <w:bidi w:val="0"/>
        <w:jc w:val="both"/>
        <w:rPr>
          <w:rFonts w:ascii="Times New Roman" w:hAnsi="Times New Roman"/>
          <w:b/>
        </w:rPr>
      </w:pPr>
    </w:p>
    <w:p w:rsidR="000E6521" w:rsidRPr="00AD5C1D" w:rsidP="000E6521">
      <w:pPr>
        <w:pStyle w:val="BodyText"/>
        <w:widowControl/>
        <w:bidi w:val="0"/>
        <w:jc w:val="both"/>
        <w:rPr>
          <w:rFonts w:ascii="Times New Roman" w:hAnsi="Times New Roman"/>
          <w:b/>
        </w:rPr>
      </w:pPr>
      <w:r w:rsidRPr="00AD5C1D">
        <w:rPr>
          <w:rFonts w:ascii="Times New Roman" w:hAnsi="Times New Roman"/>
          <w:b/>
        </w:rPr>
        <w:t xml:space="preserve">K Čl. </w:t>
      </w:r>
      <w:r>
        <w:rPr>
          <w:rFonts w:ascii="Times New Roman" w:hAnsi="Times New Roman"/>
          <w:b/>
        </w:rPr>
        <w:t>VII</w:t>
      </w:r>
    </w:p>
    <w:p w:rsidR="000E6521" w:rsidRPr="00AD5C1D" w:rsidP="000E6521">
      <w:pPr>
        <w:pStyle w:val="BodyText"/>
        <w:widowControl/>
        <w:bidi w:val="0"/>
        <w:jc w:val="both"/>
        <w:rPr>
          <w:rFonts w:ascii="Times New Roman" w:hAnsi="Times New Roman"/>
          <w:b/>
        </w:rPr>
      </w:pPr>
    </w:p>
    <w:p w:rsidR="000E6521" w:rsidRPr="0035039D" w:rsidP="000E6521">
      <w:pPr>
        <w:pStyle w:val="BodyText"/>
        <w:widowControl/>
        <w:bidi w:val="0"/>
        <w:jc w:val="both"/>
        <w:rPr>
          <w:rFonts w:ascii="Times New Roman" w:hAnsi="Times New Roman"/>
          <w:b/>
        </w:rPr>
      </w:pPr>
      <w:r w:rsidRPr="00AD5C1D">
        <w:rPr>
          <w:rFonts w:ascii="Times New Roman" w:hAnsi="Times New Roman"/>
          <w:b/>
        </w:rPr>
        <w:t>K</w:t>
      </w:r>
      <w:r>
        <w:rPr>
          <w:rFonts w:ascii="Times New Roman" w:hAnsi="Times New Roman"/>
          <w:b/>
        </w:rPr>
        <w:t> </w:t>
      </w:r>
      <w:r w:rsidRPr="00AD5C1D">
        <w:rPr>
          <w:rFonts w:ascii="Times New Roman" w:hAnsi="Times New Roman"/>
          <w:b/>
        </w:rPr>
        <w:t>bod</w:t>
      </w:r>
      <w:r>
        <w:rPr>
          <w:rFonts w:ascii="Times New Roman" w:hAnsi="Times New Roman"/>
          <w:b/>
        </w:rPr>
        <w:t xml:space="preserve">om </w:t>
      </w:r>
      <w:r w:rsidRPr="00AD5C1D">
        <w:rPr>
          <w:rFonts w:ascii="Times New Roman" w:hAnsi="Times New Roman"/>
          <w:b/>
        </w:rPr>
        <w:t>1</w:t>
      </w:r>
      <w:r w:rsidRPr="00AD5C1D">
        <w:rPr>
          <w:rFonts w:ascii="Times New Roman" w:hAnsi="Times New Roman"/>
        </w:rPr>
        <w:t xml:space="preserve"> </w:t>
      </w:r>
      <w:r w:rsidRPr="0035039D">
        <w:rPr>
          <w:rFonts w:ascii="Times New Roman" w:hAnsi="Times New Roman"/>
          <w:b/>
        </w:rPr>
        <w:t>a 2</w:t>
      </w:r>
    </w:p>
    <w:p w:rsidR="000E6521" w:rsidRPr="00AD5C1D" w:rsidP="000E6521">
      <w:pPr>
        <w:pStyle w:val="BodyText"/>
        <w:bidi w:val="0"/>
        <w:jc w:val="both"/>
        <w:rPr>
          <w:rFonts w:ascii="Times New Roman" w:hAnsi="Times New Roman"/>
        </w:rPr>
      </w:pPr>
      <w:r w:rsidRPr="00AD5C1D">
        <w:rPr>
          <w:rFonts w:ascii="Times New Roman" w:hAnsi="Times New Roman"/>
        </w:rPr>
        <w:t xml:space="preserve">Odstraňuje sa nesúlad medzi ustanovením  § 31a ods. 1 a ustanovením § 31a ods. 4, ktorý vylučuje všetky špeciálne fondy vytvorené podľa zákona o kolektívnom investovaní  z možnosti využiť výnimku podľa § 31a ods. 1 a nežiadať o povolenie na činnosť v zmysle § 28a. </w:t>
      </w:r>
      <w:r>
        <w:rPr>
          <w:rFonts w:ascii="Times New Roman" w:hAnsi="Times New Roman"/>
        </w:rPr>
        <w:t>Uvedené zmeny súvisia so zavedením fondov „SiCAV“.</w:t>
      </w:r>
    </w:p>
    <w:p w:rsidR="000E6521" w:rsidRPr="00AD5C1D" w:rsidP="000E6521">
      <w:pPr>
        <w:pStyle w:val="BodyText"/>
        <w:bidi w:val="0"/>
        <w:jc w:val="both"/>
        <w:rPr>
          <w:rFonts w:ascii="Times New Roman" w:hAnsi="Times New Roman"/>
        </w:rPr>
      </w:pPr>
    </w:p>
    <w:p w:rsidR="000E6521" w:rsidRPr="00AD5C1D" w:rsidP="000E6521">
      <w:pPr>
        <w:pStyle w:val="BodyText"/>
        <w:widowControl/>
        <w:bidi w:val="0"/>
        <w:jc w:val="both"/>
        <w:rPr>
          <w:rFonts w:ascii="Times New Roman" w:hAnsi="Times New Roman"/>
        </w:rPr>
      </w:pPr>
      <w:r w:rsidRPr="00AD5C1D">
        <w:rPr>
          <w:rFonts w:ascii="Times New Roman" w:hAnsi="Times New Roman"/>
          <w:b/>
        </w:rPr>
        <w:t xml:space="preserve">K bodu </w:t>
      </w:r>
      <w:r>
        <w:rPr>
          <w:rFonts w:ascii="Times New Roman" w:hAnsi="Times New Roman"/>
          <w:b/>
        </w:rPr>
        <w:t>3</w:t>
      </w:r>
      <w:r w:rsidRPr="00AD5C1D">
        <w:rPr>
          <w:rFonts w:ascii="Times New Roman" w:hAnsi="Times New Roman"/>
        </w:rPr>
        <w:t xml:space="preserve"> </w:t>
      </w:r>
    </w:p>
    <w:p w:rsidR="000E6521" w:rsidP="000E6521">
      <w:pPr>
        <w:pStyle w:val="BodyText"/>
        <w:widowControl/>
        <w:bidi w:val="0"/>
        <w:jc w:val="both"/>
        <w:rPr>
          <w:rFonts w:ascii="Times New Roman" w:hAnsi="Times New Roman"/>
        </w:rPr>
      </w:pPr>
      <w:r w:rsidRPr="00AD5C1D">
        <w:rPr>
          <w:rFonts w:ascii="Times New Roman" w:hAnsi="Times New Roman"/>
        </w:rPr>
        <w:t>Ustanovenia o zásadách odmeňovania by sa mali vzťahovať na všetky spravované fondy, nielen na alternatívne investičné fondy.</w:t>
      </w:r>
    </w:p>
    <w:p w:rsidR="000E6521" w:rsidP="000E6521">
      <w:pPr>
        <w:pStyle w:val="BodyText"/>
        <w:widowControl/>
        <w:bidi w:val="0"/>
        <w:jc w:val="both"/>
        <w:rPr>
          <w:rFonts w:ascii="Times New Roman" w:hAnsi="Times New Roman"/>
        </w:rPr>
      </w:pPr>
    </w:p>
    <w:p w:rsidR="000E6521" w:rsidP="000E6521">
      <w:pPr>
        <w:pStyle w:val="BodyText"/>
        <w:widowControl/>
        <w:bidi w:val="0"/>
        <w:jc w:val="both"/>
        <w:rPr>
          <w:rFonts w:ascii="Times New Roman" w:hAnsi="Times New Roman"/>
          <w:b/>
        </w:rPr>
      </w:pPr>
      <w:r>
        <w:rPr>
          <w:rFonts w:ascii="Times New Roman" w:hAnsi="Times New Roman"/>
          <w:b/>
        </w:rPr>
        <w:t>K bodom 4, 5 a 6</w:t>
      </w:r>
    </w:p>
    <w:p w:rsidR="000E6521" w:rsidRPr="0035039D" w:rsidP="000E6521">
      <w:pPr>
        <w:pStyle w:val="BodyText"/>
        <w:widowControl/>
        <w:bidi w:val="0"/>
        <w:jc w:val="both"/>
        <w:rPr>
          <w:rFonts w:ascii="Times New Roman" w:hAnsi="Times New Roman"/>
        </w:rPr>
      </w:pPr>
      <w:r>
        <w:rPr>
          <w:rFonts w:ascii="Times New Roman" w:hAnsi="Times New Roman"/>
        </w:rPr>
        <w:t>Legislatívno-technická úprava.</w:t>
      </w:r>
    </w:p>
    <w:p w:rsidR="000E6521" w:rsidP="000E6521">
      <w:pPr>
        <w:pStyle w:val="BodyText"/>
        <w:widowControl/>
        <w:bidi w:val="0"/>
        <w:jc w:val="both"/>
        <w:rPr>
          <w:rFonts w:ascii="Times New Roman" w:hAnsi="Times New Roman"/>
          <w:b/>
        </w:rPr>
      </w:pPr>
    </w:p>
    <w:p w:rsidR="000E6521" w:rsidRPr="00AD5C1D" w:rsidP="000E6521">
      <w:pPr>
        <w:pStyle w:val="BodyText"/>
        <w:widowControl/>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7</w:t>
      </w:r>
    </w:p>
    <w:p w:rsidR="000E6521" w:rsidRPr="00AD5C1D" w:rsidP="000E6521">
      <w:pPr>
        <w:pStyle w:val="BodyText"/>
        <w:widowControl/>
        <w:bidi w:val="0"/>
        <w:jc w:val="both"/>
        <w:rPr>
          <w:rFonts w:ascii="Times New Roman" w:hAnsi="Times New Roman"/>
        </w:rPr>
      </w:pPr>
      <w:r w:rsidRPr="00AD5C1D">
        <w:rPr>
          <w:rFonts w:ascii="Times New Roman" w:hAnsi="Times New Roman"/>
        </w:rPr>
        <w:t>Ide o spresnenie textu, aby bolo jasné, že ide o ver</w:t>
      </w:r>
      <w:r>
        <w:rPr>
          <w:rFonts w:ascii="Times New Roman" w:hAnsi="Times New Roman"/>
        </w:rPr>
        <w:t>ejné špeciálne podielové fondy.</w:t>
      </w:r>
    </w:p>
    <w:p w:rsidR="000E6521" w:rsidRPr="00AD5C1D" w:rsidP="000E6521">
      <w:pPr>
        <w:pStyle w:val="BodyText"/>
        <w:widowControl/>
        <w:bidi w:val="0"/>
        <w:jc w:val="both"/>
        <w:rPr>
          <w:rFonts w:ascii="Times New Roman" w:hAnsi="Times New Roman"/>
        </w:rPr>
      </w:pPr>
    </w:p>
    <w:p w:rsidR="000E6521" w:rsidP="000E6521">
      <w:pPr>
        <w:pStyle w:val="BodyText"/>
        <w:widowControl/>
        <w:bidi w:val="0"/>
        <w:jc w:val="both"/>
        <w:rPr>
          <w:rFonts w:ascii="Times New Roman" w:hAnsi="Times New Roman"/>
          <w:b/>
        </w:rPr>
      </w:pPr>
      <w:r w:rsidRPr="00AD5C1D">
        <w:rPr>
          <w:rFonts w:ascii="Times New Roman" w:hAnsi="Times New Roman"/>
          <w:b/>
        </w:rPr>
        <w:t xml:space="preserve">K bodu </w:t>
      </w:r>
      <w:r>
        <w:rPr>
          <w:rFonts w:ascii="Times New Roman" w:hAnsi="Times New Roman"/>
          <w:b/>
        </w:rPr>
        <w:t>8</w:t>
      </w:r>
    </w:p>
    <w:p w:rsidR="000E6521" w:rsidRPr="00264AE8" w:rsidP="000E6521">
      <w:pPr>
        <w:pStyle w:val="BodyText"/>
        <w:widowControl/>
        <w:bidi w:val="0"/>
        <w:jc w:val="both"/>
        <w:rPr>
          <w:rFonts w:ascii="Times New Roman" w:hAnsi="Times New Roman"/>
        </w:rPr>
      </w:pPr>
      <w:r>
        <w:rPr>
          <w:rFonts w:ascii="Times New Roman" w:hAnsi="Times New Roman"/>
        </w:rPr>
        <w:t>Ide o zosúladenie s navrhovaným Čl. VI šiesty bod (§ 38d ods. 1).</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bodom 9 a 10</w:t>
      </w:r>
    </w:p>
    <w:p w:rsidR="000E6521" w:rsidP="000E6521">
      <w:pPr>
        <w:bidi w:val="0"/>
        <w:jc w:val="both"/>
        <w:rPr>
          <w:rFonts w:ascii="Times New Roman" w:hAnsi="Times New Roman"/>
        </w:rPr>
      </w:pPr>
      <w:r>
        <w:rPr>
          <w:rFonts w:ascii="Times New Roman" w:hAnsi="Times New Roman"/>
        </w:rPr>
        <w:t>Ide o súlad v</w:t>
      </w:r>
      <w:r w:rsidRPr="0073315A">
        <w:rPr>
          <w:rFonts w:ascii="Times New Roman" w:hAnsi="Times New Roman"/>
        </w:rPr>
        <w:t xml:space="preserve"> rámci prípravy projektu T2S </w:t>
      </w:r>
      <w:r>
        <w:rPr>
          <w:rFonts w:ascii="Times New Roman" w:hAnsi="Times New Roman"/>
        </w:rPr>
        <w:t xml:space="preserve">s </w:t>
      </w:r>
      <w:r w:rsidRPr="0073315A">
        <w:rPr>
          <w:rFonts w:ascii="Times New Roman" w:hAnsi="Times New Roman"/>
        </w:rPr>
        <w:t>Európsk</w:t>
      </w:r>
      <w:r>
        <w:rPr>
          <w:rFonts w:ascii="Times New Roman" w:hAnsi="Times New Roman"/>
        </w:rPr>
        <w:t>ou centrálnou</w:t>
      </w:r>
      <w:r w:rsidRPr="0073315A">
        <w:rPr>
          <w:rFonts w:ascii="Times New Roman" w:hAnsi="Times New Roman"/>
        </w:rPr>
        <w:t xml:space="preserve"> bank</w:t>
      </w:r>
      <w:r>
        <w:rPr>
          <w:rFonts w:ascii="Times New Roman" w:hAnsi="Times New Roman"/>
        </w:rPr>
        <w:t>ou.</w:t>
      </w:r>
      <w:r w:rsidRPr="0073315A">
        <w:rPr>
          <w:rFonts w:ascii="Times New Roman" w:hAnsi="Times New Roman"/>
        </w:rPr>
        <w:t xml:space="preserve"> </w:t>
      </w:r>
    </w:p>
    <w:p w:rsidR="000E6521" w:rsidRPr="004F0785" w:rsidP="000E6521">
      <w:pPr>
        <w:pStyle w:val="BodyText"/>
        <w:widowControl/>
        <w:bidi w:val="0"/>
        <w:jc w:val="both"/>
        <w:rPr>
          <w:rFonts w:ascii="Times New Roman" w:hAnsi="Times New Roman"/>
        </w:rPr>
      </w:pPr>
    </w:p>
    <w:p w:rsidR="000E6521" w:rsidRPr="00AD5C1D" w:rsidP="000E6521">
      <w:pPr>
        <w:pStyle w:val="BodyText"/>
        <w:widowControl/>
        <w:bidi w:val="0"/>
        <w:jc w:val="both"/>
        <w:rPr>
          <w:rFonts w:ascii="Times New Roman" w:hAnsi="Times New Roman"/>
          <w:b/>
        </w:rPr>
      </w:pPr>
      <w:r>
        <w:rPr>
          <w:rFonts w:ascii="Times New Roman" w:hAnsi="Times New Roman"/>
          <w:b/>
        </w:rPr>
        <w:t>K bodu 11</w:t>
      </w:r>
    </w:p>
    <w:p w:rsidR="000E6521" w:rsidRPr="00AD5C1D" w:rsidP="000E6521">
      <w:pPr>
        <w:pStyle w:val="BodyText"/>
        <w:widowControl/>
        <w:bidi w:val="0"/>
        <w:jc w:val="both"/>
        <w:rPr>
          <w:rFonts w:ascii="Times New Roman" w:hAnsi="Times New Roman"/>
        </w:rPr>
      </w:pPr>
      <w:r w:rsidRPr="00AD5C1D">
        <w:rPr>
          <w:rFonts w:ascii="Times New Roman" w:hAnsi="Times New Roman"/>
        </w:rPr>
        <w:t>Oprava chybného vnútorného odkazu.</w:t>
      </w:r>
    </w:p>
    <w:p w:rsidR="000E6521" w:rsidRPr="00AD5C1D"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sidRPr="00AD5C1D">
        <w:rPr>
          <w:rFonts w:ascii="Times New Roman" w:hAnsi="Times New Roman"/>
          <w:b/>
        </w:rPr>
        <w:t>K Čl. V</w:t>
      </w:r>
      <w:r>
        <w:rPr>
          <w:rFonts w:ascii="Times New Roman" w:hAnsi="Times New Roman"/>
          <w:b/>
        </w:rPr>
        <w:t>III</w:t>
      </w:r>
    </w:p>
    <w:p w:rsidR="000E6521" w:rsidP="000E6521">
      <w:pPr>
        <w:pStyle w:val="BodyText"/>
        <w:widowControl/>
        <w:bidi w:val="0"/>
        <w:jc w:val="both"/>
        <w:rPr>
          <w:rFonts w:ascii="Times New Roman" w:hAnsi="Times New Roman"/>
          <w:b/>
        </w:rPr>
      </w:pPr>
    </w:p>
    <w:p w:rsidR="000E6521" w:rsidP="000E6521">
      <w:pPr>
        <w:pStyle w:val="BodyText"/>
        <w:widowControl/>
        <w:bidi w:val="0"/>
        <w:jc w:val="both"/>
        <w:rPr>
          <w:rFonts w:ascii="Times New Roman" w:hAnsi="Times New Roman"/>
          <w:b/>
        </w:rPr>
      </w:pPr>
      <w:r>
        <w:rPr>
          <w:rFonts w:ascii="Times New Roman" w:hAnsi="Times New Roman"/>
          <w:b/>
        </w:rPr>
        <w:t>K bodom 1 a 2</w:t>
      </w:r>
    </w:p>
    <w:p w:rsidR="000E6521" w:rsidP="000E6521">
      <w:pPr>
        <w:bidi w:val="0"/>
        <w:jc w:val="both"/>
        <w:rPr>
          <w:rFonts w:ascii="Times New Roman" w:hAnsi="Times New Roman"/>
        </w:rPr>
      </w:pPr>
      <w:r>
        <w:rPr>
          <w:rFonts w:ascii="Times New Roman" w:hAnsi="Times New Roman"/>
        </w:rPr>
        <w:t>Ide o súlad v</w:t>
      </w:r>
      <w:r w:rsidRPr="0073315A">
        <w:rPr>
          <w:rFonts w:ascii="Times New Roman" w:hAnsi="Times New Roman"/>
        </w:rPr>
        <w:t xml:space="preserve"> rámci prípravy projektu T2S </w:t>
      </w:r>
      <w:r>
        <w:rPr>
          <w:rFonts w:ascii="Times New Roman" w:hAnsi="Times New Roman"/>
        </w:rPr>
        <w:t xml:space="preserve">s </w:t>
      </w:r>
      <w:r w:rsidRPr="0073315A">
        <w:rPr>
          <w:rFonts w:ascii="Times New Roman" w:hAnsi="Times New Roman"/>
        </w:rPr>
        <w:t>Európsk</w:t>
      </w:r>
      <w:r>
        <w:rPr>
          <w:rFonts w:ascii="Times New Roman" w:hAnsi="Times New Roman"/>
        </w:rPr>
        <w:t>ou centrálnou</w:t>
      </w:r>
      <w:r w:rsidRPr="0073315A">
        <w:rPr>
          <w:rFonts w:ascii="Times New Roman" w:hAnsi="Times New Roman"/>
        </w:rPr>
        <w:t xml:space="preserve"> bank</w:t>
      </w:r>
      <w:r>
        <w:rPr>
          <w:rFonts w:ascii="Times New Roman" w:hAnsi="Times New Roman"/>
        </w:rPr>
        <w:t>ou.</w:t>
      </w:r>
      <w:r w:rsidRPr="0073315A">
        <w:rPr>
          <w:rFonts w:ascii="Times New Roman" w:hAnsi="Times New Roman"/>
        </w:rPr>
        <w:t xml:space="preserve"> </w:t>
      </w:r>
    </w:p>
    <w:p w:rsidR="000E6521" w:rsidP="000E6521">
      <w:pPr>
        <w:bidi w:val="0"/>
        <w:jc w:val="both"/>
        <w:rPr>
          <w:rFonts w:ascii="Times New Roman" w:hAnsi="Times New Roman"/>
        </w:rPr>
      </w:pPr>
    </w:p>
    <w:p w:rsidR="000E6521" w:rsidP="000E6521">
      <w:pPr>
        <w:bidi w:val="0"/>
        <w:jc w:val="both"/>
        <w:rPr>
          <w:rFonts w:ascii="Times New Roman" w:hAnsi="Times New Roman"/>
          <w:b/>
        </w:rPr>
      </w:pPr>
      <w:r>
        <w:rPr>
          <w:rFonts w:ascii="Times New Roman" w:hAnsi="Times New Roman"/>
          <w:b/>
        </w:rPr>
        <w:t>K bodu 3</w:t>
      </w:r>
    </w:p>
    <w:p w:rsidR="000E6521" w:rsidRPr="005D4865" w:rsidP="000E6521">
      <w:pPr>
        <w:bidi w:val="0"/>
        <w:jc w:val="both"/>
        <w:rPr>
          <w:rFonts w:ascii="Times New Roman" w:hAnsi="Times New Roman"/>
        </w:rPr>
      </w:pPr>
      <w:r w:rsidRPr="005D4865">
        <w:rPr>
          <w:rFonts w:ascii="Times New Roman" w:hAnsi="Times New Roman"/>
        </w:rPr>
        <w:t>Zosúladenie zo znením ostatných sektorových právnych predpisov.</w:t>
      </w:r>
    </w:p>
    <w:p w:rsidR="000E6521" w:rsidP="000E6521">
      <w:pPr>
        <w:pStyle w:val="BodyText"/>
        <w:widowControl/>
        <w:bidi w:val="0"/>
        <w:jc w:val="both"/>
        <w:rPr>
          <w:rFonts w:ascii="Times New Roman" w:hAnsi="Times New Roman"/>
        </w:rPr>
      </w:pPr>
    </w:p>
    <w:p w:rsidR="000E6521" w:rsidRPr="001A7B66" w:rsidP="000E6521">
      <w:pPr>
        <w:pStyle w:val="BodyText"/>
        <w:widowControl/>
        <w:bidi w:val="0"/>
        <w:jc w:val="both"/>
        <w:rPr>
          <w:rFonts w:ascii="Times New Roman" w:hAnsi="Times New Roman"/>
          <w:b/>
        </w:rPr>
      </w:pPr>
      <w:r w:rsidRPr="001A7B66">
        <w:rPr>
          <w:rFonts w:ascii="Times New Roman" w:hAnsi="Times New Roman"/>
          <w:b/>
        </w:rPr>
        <w:t>K Čl. IX</w:t>
      </w:r>
    </w:p>
    <w:p w:rsidR="000E6521" w:rsidRPr="00AD5C1D" w:rsidP="000E6521">
      <w:pPr>
        <w:pStyle w:val="BodyText"/>
        <w:widowControl/>
        <w:bidi w:val="0"/>
        <w:jc w:val="both"/>
        <w:rPr>
          <w:rFonts w:ascii="Times New Roman" w:hAnsi="Times New Roman"/>
          <w:b/>
        </w:rPr>
      </w:pPr>
    </w:p>
    <w:p w:rsidR="000E6521" w:rsidRPr="00AD5C1D" w:rsidP="000E6521">
      <w:pPr>
        <w:bidi w:val="0"/>
        <w:jc w:val="both"/>
        <w:rPr>
          <w:rFonts w:ascii="Times New Roman" w:eastAsia="SimSun" w:hAnsi="Times New Roman"/>
          <w:lang w:eastAsia="zh-CN"/>
        </w:rPr>
      </w:pPr>
      <w:r>
        <w:rPr>
          <w:rFonts w:ascii="Times New Roman" w:hAnsi="Times New Roman"/>
          <w:bCs/>
          <w:color w:val="000000"/>
        </w:rPr>
        <w:t>Navrhuje sa</w:t>
      </w:r>
      <w:r w:rsidRPr="002063E9">
        <w:rPr>
          <w:rFonts w:ascii="Times New Roman" w:hAnsi="Times New Roman"/>
          <w:bCs/>
          <w:color w:val="000000"/>
        </w:rPr>
        <w:t xml:space="preserve"> účinnosť 1. decembra 2016 okrem čl. I bodov 10, 11, 21 a 22, ktoré  nadobúdajú účinnosť 6. februára 2017.</w:t>
      </w:r>
    </w:p>
    <w:p w:rsidR="00281221"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E24A8A" w:rsidP="003577B8">
      <w:pPr>
        <w:pStyle w:val="BodyText"/>
        <w:widowControl/>
        <w:bidi w:val="0"/>
        <w:jc w:val="both"/>
        <w:rPr>
          <w:rFonts w:ascii="Times New Roman" w:hAnsi="Times New Roman"/>
        </w:rPr>
      </w:pPr>
    </w:p>
    <w:p w:rsidR="00022A55" w:rsidP="00022A55">
      <w:pPr>
        <w:pStyle w:val="BodyText"/>
        <w:overflowPunct w:val="0"/>
        <w:autoSpaceDE w:val="0"/>
        <w:autoSpaceDN w:val="0"/>
        <w:bidi w:val="0"/>
        <w:adjustRightInd w:val="0"/>
        <w:jc w:val="both"/>
        <w:textAlignment w:val="baseline"/>
        <w:rPr>
          <w:rFonts w:ascii="Times New Roman" w:hAnsi="Times New Roman"/>
        </w:rPr>
      </w:pPr>
      <w:r w:rsidRPr="00504AF7">
        <w:rPr>
          <w:rFonts w:ascii="Times New Roman" w:hAnsi="Times New Roman"/>
        </w:rPr>
        <w:t xml:space="preserve">Schválené vládou Slovenskej republiky dňa </w:t>
      </w:r>
      <w:r w:rsidR="00E24A8A">
        <w:rPr>
          <w:rFonts w:ascii="Times New Roman" w:hAnsi="Times New Roman"/>
        </w:rPr>
        <w:t>17</w:t>
      </w:r>
      <w:r>
        <w:rPr>
          <w:rFonts w:ascii="Times New Roman" w:hAnsi="Times New Roman"/>
        </w:rPr>
        <w:t>. augusta 201</w:t>
      </w:r>
      <w:r w:rsidR="00E24A8A">
        <w:rPr>
          <w:rFonts w:ascii="Times New Roman" w:hAnsi="Times New Roman"/>
        </w:rPr>
        <w:t>6</w:t>
      </w:r>
      <w:r>
        <w:rPr>
          <w:rFonts w:ascii="Times New Roman" w:hAnsi="Times New Roman"/>
        </w:rPr>
        <w:t>.</w:t>
      </w:r>
    </w:p>
    <w:p w:rsidR="00022A55" w:rsidP="00022A55">
      <w:pPr>
        <w:pStyle w:val="BodyText"/>
        <w:widowControl/>
        <w:bidi w:val="0"/>
        <w:jc w:val="both"/>
        <w:rPr>
          <w:rFonts w:ascii="Arial Narrow" w:hAnsi="Arial Narrow" w:cs="Arial Narrow"/>
          <w:sz w:val="22"/>
          <w:szCs w:val="22"/>
        </w:rPr>
      </w:pPr>
    </w:p>
    <w:p w:rsidR="00022A55" w:rsidP="00022A55">
      <w:pPr>
        <w:pStyle w:val="BodyText"/>
        <w:widowControl/>
        <w:bidi w:val="0"/>
        <w:jc w:val="both"/>
        <w:rPr>
          <w:rFonts w:ascii="Arial Narrow" w:hAnsi="Arial Narrow" w:cs="Arial Narrow"/>
          <w:sz w:val="22"/>
          <w:szCs w:val="22"/>
        </w:rPr>
      </w:pPr>
    </w:p>
    <w:p w:rsidR="00022A55" w:rsidP="00022A55">
      <w:pPr>
        <w:pStyle w:val="BodyText"/>
        <w:widowControl/>
        <w:bidi w:val="0"/>
        <w:jc w:val="both"/>
        <w:rPr>
          <w:rFonts w:ascii="Arial Narrow" w:hAnsi="Arial Narrow" w:cs="Arial Narrow"/>
          <w:sz w:val="22"/>
          <w:szCs w:val="22"/>
        </w:rPr>
      </w:pPr>
    </w:p>
    <w:p w:rsidR="00022A55" w:rsidP="00022A55">
      <w:pPr>
        <w:pStyle w:val="BodyText"/>
        <w:widowControl/>
        <w:bidi w:val="0"/>
        <w:jc w:val="both"/>
        <w:rPr>
          <w:rFonts w:ascii="Arial Narrow" w:hAnsi="Arial Narrow" w:cs="Arial Narrow"/>
          <w:sz w:val="22"/>
          <w:szCs w:val="22"/>
        </w:rPr>
      </w:pPr>
    </w:p>
    <w:p w:rsidR="00E24A8A" w:rsidP="00022A55">
      <w:pPr>
        <w:pStyle w:val="BodyText"/>
        <w:widowControl/>
        <w:bidi w:val="0"/>
        <w:jc w:val="both"/>
        <w:rPr>
          <w:rFonts w:ascii="Arial Narrow" w:hAnsi="Arial Narrow" w:cs="Arial Narrow"/>
          <w:sz w:val="22"/>
          <w:szCs w:val="22"/>
        </w:rPr>
      </w:pPr>
    </w:p>
    <w:p w:rsidR="00E24A8A" w:rsidP="00022A55">
      <w:pPr>
        <w:pStyle w:val="BodyText"/>
        <w:widowControl/>
        <w:bidi w:val="0"/>
        <w:jc w:val="both"/>
        <w:rPr>
          <w:rFonts w:ascii="Arial Narrow" w:hAnsi="Arial Narrow" w:cs="Arial Narrow"/>
          <w:sz w:val="22"/>
          <w:szCs w:val="22"/>
        </w:rPr>
      </w:pPr>
    </w:p>
    <w:p w:rsidR="00E24A8A" w:rsidRPr="003F2EFD" w:rsidP="00022A55">
      <w:pPr>
        <w:pStyle w:val="BodyText"/>
        <w:widowControl/>
        <w:bidi w:val="0"/>
        <w:jc w:val="both"/>
        <w:rPr>
          <w:rFonts w:ascii="Arial Narrow" w:hAnsi="Arial Narrow" w:cs="Arial Narrow"/>
          <w:sz w:val="22"/>
          <w:szCs w:val="22"/>
        </w:rPr>
      </w:pPr>
    </w:p>
    <w:p w:rsidR="00022A55" w:rsidP="00022A55">
      <w:pPr>
        <w:pStyle w:val="BodyText"/>
        <w:widowControl/>
        <w:bidi w:val="0"/>
        <w:jc w:val="both"/>
        <w:rPr>
          <w:rFonts w:ascii="Times New Roman" w:hAnsi="Times New Roman"/>
          <w:b/>
          <w:bCs/>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Robert F i c o</w:t>
      </w:r>
      <w:r w:rsidR="00076A57">
        <w:rPr>
          <w:rFonts w:ascii="Times New Roman" w:hAnsi="Times New Roman"/>
          <w:b/>
        </w:rPr>
        <w:t>, v. r.</w:t>
      </w:r>
    </w:p>
    <w:p w:rsidR="00022A55"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predseda vlády</w:t>
      </w:r>
    </w:p>
    <w:p w:rsidR="00022A55"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rPr>
      </w:pPr>
    </w:p>
    <w:p w:rsidR="00022A55" w:rsidP="00022A55">
      <w:pPr>
        <w:pStyle w:val="BodyText"/>
        <w:overflowPunct w:val="0"/>
        <w:autoSpaceDE w:val="0"/>
        <w:autoSpaceDN w:val="0"/>
        <w:bidi w:val="0"/>
        <w:adjustRightInd w:val="0"/>
        <w:jc w:val="center"/>
        <w:textAlignment w:val="baseline"/>
        <w:rPr>
          <w:rFonts w:ascii="Times New Roman" w:hAnsi="Times New Roman"/>
          <w:b/>
        </w:rPr>
      </w:pPr>
      <w:r>
        <w:rPr>
          <w:rFonts w:ascii="Times New Roman" w:hAnsi="Times New Roman"/>
          <w:b/>
        </w:rPr>
        <w:t>Peter K a ž i m í r</w:t>
      </w:r>
      <w:r w:rsidR="00076A57">
        <w:rPr>
          <w:rFonts w:ascii="Times New Roman" w:hAnsi="Times New Roman"/>
          <w:b/>
        </w:rPr>
        <w:t>, v. r.</w:t>
      </w:r>
    </w:p>
    <w:p w:rsidR="00022A55"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minister financií</w:t>
      </w:r>
    </w:p>
    <w:p w:rsidR="00022A55" w:rsidRPr="00504AF7" w:rsidP="00022A55">
      <w:pPr>
        <w:pStyle w:val="BodyText"/>
        <w:overflowPunct w:val="0"/>
        <w:autoSpaceDE w:val="0"/>
        <w:autoSpaceDN w:val="0"/>
        <w:bidi w:val="0"/>
        <w:adjustRightInd w:val="0"/>
        <w:jc w:val="center"/>
        <w:textAlignment w:val="baseline"/>
        <w:rPr>
          <w:rFonts w:ascii="Times New Roman" w:hAnsi="Times New Roman"/>
        </w:rPr>
      </w:pPr>
      <w:r>
        <w:rPr>
          <w:rFonts w:ascii="Times New Roman" w:hAnsi="Times New Roman"/>
        </w:rPr>
        <w:t>Slovenskej republiky</w:t>
      </w:r>
    </w:p>
    <w:p w:rsidR="00022A55" w:rsidRPr="00504AF7" w:rsidP="00022A55">
      <w:pPr>
        <w:bidi w:val="0"/>
        <w:rPr>
          <w:rFonts w:ascii="Times New Roman" w:hAnsi="Times New Roman"/>
        </w:rPr>
      </w:pPr>
    </w:p>
    <w:p w:rsidR="00022A55" w:rsidP="003577B8">
      <w:pPr>
        <w:pStyle w:val="BodyText"/>
        <w:widowControl/>
        <w:bidi w:val="0"/>
        <w:jc w:val="both"/>
        <w:rPr>
          <w:rFonts w:ascii="Times New Roman" w:hAnsi="Times New Roman"/>
        </w:rPr>
      </w:pPr>
    </w:p>
    <w:sectPr>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901">
    <w:pPr>
      <w:pStyle w:val="Footer"/>
      <w:framePr w:w="405" w:h="273" w:hRule="exact" w:vAnchor="text" w:hAnchor="page" w:x="5481" w:y="-415"/>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76A57">
      <w:rPr>
        <w:rStyle w:val="PageNumber"/>
        <w:rFonts w:ascii="Times New Roman" w:hAnsi="Times New Roman"/>
        <w:noProof/>
      </w:rPr>
      <w:t>16</w:t>
    </w:r>
    <w:r>
      <w:rPr>
        <w:rStyle w:val="PageNumber"/>
        <w:rFonts w:ascii="Times New Roman" w:hAnsi="Times New Roman"/>
      </w:rPr>
      <w:fldChar w:fldCharType="end"/>
    </w:r>
  </w:p>
  <w:p w:rsidR="000E390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E8DAAEE2"/>
    <w:lvl w:ilvl="0">
      <w:start w:val="1"/>
      <w:numFmt w:val="lowerLetter"/>
      <w:lvlText w:val="%1)"/>
      <w:lvlJc w:val="left"/>
      <w:pPr>
        <w:tabs>
          <w:tab w:val="num" w:pos="785"/>
        </w:tabs>
        <w:ind w:left="785" w:hanging="360"/>
      </w:pPr>
      <w:rPr>
        <w:rFonts w:cs="Times New Roman" w:hint="default"/>
        <w:sz w:val="22"/>
        <w:szCs w:val="22"/>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8BF3BAC"/>
    <w:multiLevelType w:val="hybridMultilevel"/>
    <w:tmpl w:val="A538D910"/>
    <w:lvl w:ilvl="0">
      <w:start w:val="1"/>
      <w:numFmt w:val="decimal"/>
      <w:lvlText w:val="%1."/>
      <w:lvlJc w:val="left"/>
      <w:pPr>
        <w:ind w:left="720" w:hanging="360"/>
      </w:pPr>
      <w:rPr>
        <w:rFonts w:ascii="TimesNewRomanPSMT" w:hAnsi="TimesNewRomanPSMT" w:cs="TimesNewRomanPSMT"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2F43B8F"/>
    <w:multiLevelType w:val="multilevel"/>
    <w:tmpl w:val="2FFAD176"/>
    <w:lvl w:ilvl="0">
      <w:start w:val="6"/>
      <w:numFmt w:val="bullet"/>
      <w:lvlText w:val="-"/>
      <w:lvlJc w:val="left"/>
      <w:pPr>
        <w:ind w:left="425" w:hanging="425"/>
      </w:pPr>
      <w:rPr>
        <w:rFonts w:ascii="Times New Roman" w:eastAsia="Times New Roman" w:hAnsi="Times New Roman" w:hint="default"/>
        <w:b/>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3">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4">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E114AE1"/>
    <w:multiLevelType w:val="hybridMultilevel"/>
    <w:tmpl w:val="D4C4F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9">
    <w:nsid w:val="5D0B44FF"/>
    <w:multiLevelType w:val="hybridMultilevel"/>
    <w:tmpl w:val="763A0D0E"/>
    <w:lvl w:ilvl="0">
      <w:start w:val="1"/>
      <w:numFmt w:val="lowerLetter"/>
      <w:lvlText w:val="%1)"/>
      <w:lvlJc w:val="left"/>
      <w:pPr>
        <w:tabs>
          <w:tab w:val="num" w:pos="720"/>
        </w:tabs>
        <w:ind w:left="720" w:hanging="360"/>
      </w:pPr>
      <w:rPr>
        <w:rFonts w:ascii="Arial Narrow" w:eastAsia="Times New Roman" w:hAnsi="Arial Narrow" w:cs="Arial Unicode MS" w:hint="default"/>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BF03261"/>
    <w:multiLevelType w:val="hybridMultilevel"/>
    <w:tmpl w:val="D8A269E6"/>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66A224E"/>
    <w:multiLevelType w:val="hybridMultilevel"/>
    <w:tmpl w:val="1DE43AD0"/>
    <w:lvl w:ilvl="0">
      <w:start w:val="0"/>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2">
    <w:nsid w:val="7A184E81"/>
    <w:multiLevelType w:val="hybridMultilevel"/>
    <w:tmpl w:val="16447EC2"/>
    <w:lvl w:ilvl="0">
      <w:start w:val="1"/>
      <w:numFmt w:val="bullet"/>
      <w:lvlText w:val="-"/>
      <w:lvlJc w:val="left"/>
      <w:pPr>
        <w:ind w:left="1080" w:hanging="360"/>
      </w:pPr>
      <w:rPr>
        <w:rFonts w:ascii="TimesNewRomanPSMT" w:eastAsia="Times New Roman" w:hAnsi="TimesNewRomanPSMT"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5"/>
    <w:lvlOverride w:ilvl="0"/>
    <w:lvlOverride w:ilvl="1"/>
    <w:lvlOverride w:ilvl="2"/>
    <w:lvlOverride w:ilvl="3"/>
    <w:lvlOverride w:ilvl="4"/>
    <w:lvlOverride w:ilvl="5"/>
    <w:lvlOverride w:ilvl="6"/>
    <w:lvlOverride w:ilvl="7"/>
    <w:lvlOverride w:ilvl="8"/>
  </w:num>
  <w:num w:numId="2">
    <w:abstractNumId w:val="1"/>
  </w:num>
  <w:num w:numId="3">
    <w:abstractNumId w:val="12"/>
  </w:num>
  <w:num w:numId="4">
    <w:abstractNumId w:val="8"/>
  </w:num>
  <w:num w:numId="5">
    <w:abstractNumId w:val="6"/>
  </w:num>
  <w:num w:numId="6">
    <w:abstractNumId w:val="4"/>
  </w:num>
  <w:num w:numId="7">
    <w:abstractNumId w:val="0"/>
  </w:num>
  <w:num w:numId="8">
    <w:abstractNumId w:val="3"/>
  </w:num>
  <w:num w:numId="9">
    <w:abstractNumId w:val="2"/>
  </w:num>
  <w:num w:numId="10">
    <w:abstractNumId w:val="11"/>
  </w:num>
  <w:num w:numId="11">
    <w:abstractNumId w:val="13"/>
  </w:num>
  <w:num w:numId="12">
    <w:abstractNumId w:val="9"/>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94C04"/>
    <w:rsid w:val="0000318E"/>
    <w:rsid w:val="0000543C"/>
    <w:rsid w:val="00005B04"/>
    <w:rsid w:val="00006E7E"/>
    <w:rsid w:val="00010B67"/>
    <w:rsid w:val="00011B29"/>
    <w:rsid w:val="00012C2E"/>
    <w:rsid w:val="000143C4"/>
    <w:rsid w:val="0001756E"/>
    <w:rsid w:val="00022A55"/>
    <w:rsid w:val="00023D07"/>
    <w:rsid w:val="00024AF9"/>
    <w:rsid w:val="00026945"/>
    <w:rsid w:val="000275D9"/>
    <w:rsid w:val="000303F6"/>
    <w:rsid w:val="0003229E"/>
    <w:rsid w:val="00034C35"/>
    <w:rsid w:val="00035530"/>
    <w:rsid w:val="0004141E"/>
    <w:rsid w:val="00044B47"/>
    <w:rsid w:val="00046F84"/>
    <w:rsid w:val="00047FA6"/>
    <w:rsid w:val="000513DE"/>
    <w:rsid w:val="0005220F"/>
    <w:rsid w:val="000529FC"/>
    <w:rsid w:val="0005330B"/>
    <w:rsid w:val="00054EB9"/>
    <w:rsid w:val="00055F91"/>
    <w:rsid w:val="00057EBB"/>
    <w:rsid w:val="0006133B"/>
    <w:rsid w:val="000614E2"/>
    <w:rsid w:val="00063A84"/>
    <w:rsid w:val="00065688"/>
    <w:rsid w:val="00067899"/>
    <w:rsid w:val="00071DCD"/>
    <w:rsid w:val="00074805"/>
    <w:rsid w:val="000755B3"/>
    <w:rsid w:val="00075FB8"/>
    <w:rsid w:val="00076865"/>
    <w:rsid w:val="00076A57"/>
    <w:rsid w:val="00082B49"/>
    <w:rsid w:val="000A3360"/>
    <w:rsid w:val="000A497B"/>
    <w:rsid w:val="000B0F41"/>
    <w:rsid w:val="000B2EEA"/>
    <w:rsid w:val="000B68B8"/>
    <w:rsid w:val="000C129A"/>
    <w:rsid w:val="000C1B88"/>
    <w:rsid w:val="000C2229"/>
    <w:rsid w:val="000D0301"/>
    <w:rsid w:val="000D4C11"/>
    <w:rsid w:val="000D6B8B"/>
    <w:rsid w:val="000D70A0"/>
    <w:rsid w:val="000E04B9"/>
    <w:rsid w:val="000E1EDB"/>
    <w:rsid w:val="000E33AE"/>
    <w:rsid w:val="000E3901"/>
    <w:rsid w:val="000E3AB2"/>
    <w:rsid w:val="000E4230"/>
    <w:rsid w:val="000E6521"/>
    <w:rsid w:val="000E6D1E"/>
    <w:rsid w:val="000F1065"/>
    <w:rsid w:val="000F6CBE"/>
    <w:rsid w:val="000F7BB7"/>
    <w:rsid w:val="000F7D47"/>
    <w:rsid w:val="00101535"/>
    <w:rsid w:val="001109E8"/>
    <w:rsid w:val="001110C5"/>
    <w:rsid w:val="0011196B"/>
    <w:rsid w:val="00116691"/>
    <w:rsid w:val="00121464"/>
    <w:rsid w:val="00121D5A"/>
    <w:rsid w:val="0012410A"/>
    <w:rsid w:val="001300EE"/>
    <w:rsid w:val="0013158F"/>
    <w:rsid w:val="001376A5"/>
    <w:rsid w:val="00137802"/>
    <w:rsid w:val="0014194F"/>
    <w:rsid w:val="00141CAB"/>
    <w:rsid w:val="00142E67"/>
    <w:rsid w:val="0014446B"/>
    <w:rsid w:val="00155DDE"/>
    <w:rsid w:val="00161C44"/>
    <w:rsid w:val="00164844"/>
    <w:rsid w:val="001663E5"/>
    <w:rsid w:val="00166752"/>
    <w:rsid w:val="001672B0"/>
    <w:rsid w:val="0017021F"/>
    <w:rsid w:val="00172DFE"/>
    <w:rsid w:val="00180180"/>
    <w:rsid w:val="001805CA"/>
    <w:rsid w:val="001807BC"/>
    <w:rsid w:val="001869D6"/>
    <w:rsid w:val="00187EE8"/>
    <w:rsid w:val="00190285"/>
    <w:rsid w:val="001946BB"/>
    <w:rsid w:val="001965B9"/>
    <w:rsid w:val="001A4D36"/>
    <w:rsid w:val="001A675F"/>
    <w:rsid w:val="001A7B66"/>
    <w:rsid w:val="001B03A2"/>
    <w:rsid w:val="001C2B85"/>
    <w:rsid w:val="001C6EA5"/>
    <w:rsid w:val="001D073E"/>
    <w:rsid w:val="001D0B87"/>
    <w:rsid w:val="001D38FE"/>
    <w:rsid w:val="001D4B1D"/>
    <w:rsid w:val="001D5F9D"/>
    <w:rsid w:val="001E1082"/>
    <w:rsid w:val="001E5457"/>
    <w:rsid w:val="001E7784"/>
    <w:rsid w:val="001F2566"/>
    <w:rsid w:val="001F5A2A"/>
    <w:rsid w:val="00200019"/>
    <w:rsid w:val="00200F56"/>
    <w:rsid w:val="0020105E"/>
    <w:rsid w:val="002012D1"/>
    <w:rsid w:val="00202C88"/>
    <w:rsid w:val="002063E9"/>
    <w:rsid w:val="00211676"/>
    <w:rsid w:val="00211BFE"/>
    <w:rsid w:val="00216364"/>
    <w:rsid w:val="0022212F"/>
    <w:rsid w:val="00227267"/>
    <w:rsid w:val="00231480"/>
    <w:rsid w:val="00232B05"/>
    <w:rsid w:val="00234958"/>
    <w:rsid w:val="00237789"/>
    <w:rsid w:val="00240E65"/>
    <w:rsid w:val="00241A0A"/>
    <w:rsid w:val="00241B19"/>
    <w:rsid w:val="00241C07"/>
    <w:rsid w:val="0024547E"/>
    <w:rsid w:val="00264AE8"/>
    <w:rsid w:val="0027041A"/>
    <w:rsid w:val="002752DB"/>
    <w:rsid w:val="0027626E"/>
    <w:rsid w:val="00276885"/>
    <w:rsid w:val="00277005"/>
    <w:rsid w:val="00281221"/>
    <w:rsid w:val="002850B6"/>
    <w:rsid w:val="0028534B"/>
    <w:rsid w:val="00285420"/>
    <w:rsid w:val="002857AB"/>
    <w:rsid w:val="002863DC"/>
    <w:rsid w:val="0028721D"/>
    <w:rsid w:val="0029000A"/>
    <w:rsid w:val="002930E7"/>
    <w:rsid w:val="00294D29"/>
    <w:rsid w:val="00297559"/>
    <w:rsid w:val="002A1126"/>
    <w:rsid w:val="002A2347"/>
    <w:rsid w:val="002A2D1E"/>
    <w:rsid w:val="002A32DE"/>
    <w:rsid w:val="002A359C"/>
    <w:rsid w:val="002A4E09"/>
    <w:rsid w:val="002A54E9"/>
    <w:rsid w:val="002B178A"/>
    <w:rsid w:val="002B4D6A"/>
    <w:rsid w:val="002B586C"/>
    <w:rsid w:val="002B72CB"/>
    <w:rsid w:val="002C0A92"/>
    <w:rsid w:val="002C0D30"/>
    <w:rsid w:val="002C7D28"/>
    <w:rsid w:val="002D7A64"/>
    <w:rsid w:val="002D7D2A"/>
    <w:rsid w:val="002E6103"/>
    <w:rsid w:val="002E7750"/>
    <w:rsid w:val="002F55D4"/>
    <w:rsid w:val="002F58FE"/>
    <w:rsid w:val="002F72A4"/>
    <w:rsid w:val="00300175"/>
    <w:rsid w:val="003002C3"/>
    <w:rsid w:val="00302233"/>
    <w:rsid w:val="0030515A"/>
    <w:rsid w:val="0031145F"/>
    <w:rsid w:val="00313660"/>
    <w:rsid w:val="0031366E"/>
    <w:rsid w:val="0031526F"/>
    <w:rsid w:val="00316025"/>
    <w:rsid w:val="00317F72"/>
    <w:rsid w:val="00320C8F"/>
    <w:rsid w:val="00322B22"/>
    <w:rsid w:val="00323673"/>
    <w:rsid w:val="00324AE3"/>
    <w:rsid w:val="00326292"/>
    <w:rsid w:val="0033118E"/>
    <w:rsid w:val="0033442F"/>
    <w:rsid w:val="00340206"/>
    <w:rsid w:val="003456C1"/>
    <w:rsid w:val="0035039D"/>
    <w:rsid w:val="00350732"/>
    <w:rsid w:val="00352252"/>
    <w:rsid w:val="003532F8"/>
    <w:rsid w:val="003577B8"/>
    <w:rsid w:val="00372460"/>
    <w:rsid w:val="00375F01"/>
    <w:rsid w:val="00376B62"/>
    <w:rsid w:val="00377946"/>
    <w:rsid w:val="00380F98"/>
    <w:rsid w:val="0038152D"/>
    <w:rsid w:val="00383BC6"/>
    <w:rsid w:val="003866BE"/>
    <w:rsid w:val="00387F01"/>
    <w:rsid w:val="00392D90"/>
    <w:rsid w:val="00393064"/>
    <w:rsid w:val="00394AB2"/>
    <w:rsid w:val="00394C04"/>
    <w:rsid w:val="003A0A3A"/>
    <w:rsid w:val="003A10CC"/>
    <w:rsid w:val="003A182F"/>
    <w:rsid w:val="003A3461"/>
    <w:rsid w:val="003A6EEA"/>
    <w:rsid w:val="003B0931"/>
    <w:rsid w:val="003B2877"/>
    <w:rsid w:val="003B4B55"/>
    <w:rsid w:val="003B6E7A"/>
    <w:rsid w:val="003C0808"/>
    <w:rsid w:val="003C08D1"/>
    <w:rsid w:val="003C3FE1"/>
    <w:rsid w:val="003D1A23"/>
    <w:rsid w:val="003D1E89"/>
    <w:rsid w:val="003D29A3"/>
    <w:rsid w:val="003D72D3"/>
    <w:rsid w:val="003D737D"/>
    <w:rsid w:val="003E0604"/>
    <w:rsid w:val="003E6669"/>
    <w:rsid w:val="003F2EFD"/>
    <w:rsid w:val="003F3862"/>
    <w:rsid w:val="003F41F4"/>
    <w:rsid w:val="003F5839"/>
    <w:rsid w:val="003F6AEC"/>
    <w:rsid w:val="00404AA1"/>
    <w:rsid w:val="004109A1"/>
    <w:rsid w:val="00410B31"/>
    <w:rsid w:val="00417351"/>
    <w:rsid w:val="00420288"/>
    <w:rsid w:val="00420938"/>
    <w:rsid w:val="00420992"/>
    <w:rsid w:val="004255BB"/>
    <w:rsid w:val="00426D24"/>
    <w:rsid w:val="00426E48"/>
    <w:rsid w:val="004325DF"/>
    <w:rsid w:val="00433D31"/>
    <w:rsid w:val="00435D66"/>
    <w:rsid w:val="00443098"/>
    <w:rsid w:val="00451034"/>
    <w:rsid w:val="00456DDA"/>
    <w:rsid w:val="00460770"/>
    <w:rsid w:val="00462E19"/>
    <w:rsid w:val="0046303D"/>
    <w:rsid w:val="00464A47"/>
    <w:rsid w:val="00465430"/>
    <w:rsid w:val="00467878"/>
    <w:rsid w:val="0047461A"/>
    <w:rsid w:val="004771F4"/>
    <w:rsid w:val="0048306B"/>
    <w:rsid w:val="0048328D"/>
    <w:rsid w:val="004833B5"/>
    <w:rsid w:val="00483E45"/>
    <w:rsid w:val="00483FC8"/>
    <w:rsid w:val="00484B29"/>
    <w:rsid w:val="00486379"/>
    <w:rsid w:val="004865C4"/>
    <w:rsid w:val="0048765C"/>
    <w:rsid w:val="00490650"/>
    <w:rsid w:val="004914CD"/>
    <w:rsid w:val="0049389C"/>
    <w:rsid w:val="004A70BA"/>
    <w:rsid w:val="004C5B12"/>
    <w:rsid w:val="004D01A6"/>
    <w:rsid w:val="004D2826"/>
    <w:rsid w:val="004D52D4"/>
    <w:rsid w:val="004D6301"/>
    <w:rsid w:val="004D6C15"/>
    <w:rsid w:val="004E1162"/>
    <w:rsid w:val="004E1795"/>
    <w:rsid w:val="004E5E0A"/>
    <w:rsid w:val="004F0785"/>
    <w:rsid w:val="004F0C69"/>
    <w:rsid w:val="004F4C16"/>
    <w:rsid w:val="004F4EF4"/>
    <w:rsid w:val="004F59AA"/>
    <w:rsid w:val="004F78E2"/>
    <w:rsid w:val="00503C2A"/>
    <w:rsid w:val="00504AF7"/>
    <w:rsid w:val="005061DF"/>
    <w:rsid w:val="0050673C"/>
    <w:rsid w:val="00511F86"/>
    <w:rsid w:val="00512FDE"/>
    <w:rsid w:val="005169C2"/>
    <w:rsid w:val="00522DA0"/>
    <w:rsid w:val="0052329F"/>
    <w:rsid w:val="0052386A"/>
    <w:rsid w:val="00523CF4"/>
    <w:rsid w:val="00546157"/>
    <w:rsid w:val="00552F85"/>
    <w:rsid w:val="005549B6"/>
    <w:rsid w:val="00555868"/>
    <w:rsid w:val="005616D6"/>
    <w:rsid w:val="005629C1"/>
    <w:rsid w:val="00562FF5"/>
    <w:rsid w:val="005641EE"/>
    <w:rsid w:val="00572426"/>
    <w:rsid w:val="00576187"/>
    <w:rsid w:val="00577BD8"/>
    <w:rsid w:val="00586DF7"/>
    <w:rsid w:val="0059007C"/>
    <w:rsid w:val="00593B81"/>
    <w:rsid w:val="00594F9F"/>
    <w:rsid w:val="00596DEB"/>
    <w:rsid w:val="005A03DD"/>
    <w:rsid w:val="005A0975"/>
    <w:rsid w:val="005A4ADF"/>
    <w:rsid w:val="005A597D"/>
    <w:rsid w:val="005A666D"/>
    <w:rsid w:val="005A6E89"/>
    <w:rsid w:val="005B5BED"/>
    <w:rsid w:val="005C2EFF"/>
    <w:rsid w:val="005C47AF"/>
    <w:rsid w:val="005C4B9C"/>
    <w:rsid w:val="005D196C"/>
    <w:rsid w:val="005D3C87"/>
    <w:rsid w:val="005D4865"/>
    <w:rsid w:val="005D7AE4"/>
    <w:rsid w:val="005E11A3"/>
    <w:rsid w:val="005E1780"/>
    <w:rsid w:val="005E30A6"/>
    <w:rsid w:val="005F2999"/>
    <w:rsid w:val="005F3162"/>
    <w:rsid w:val="005F457E"/>
    <w:rsid w:val="00600777"/>
    <w:rsid w:val="00601AB6"/>
    <w:rsid w:val="00603AF1"/>
    <w:rsid w:val="0061075F"/>
    <w:rsid w:val="00610D22"/>
    <w:rsid w:val="006117C1"/>
    <w:rsid w:val="00614C58"/>
    <w:rsid w:val="0061695E"/>
    <w:rsid w:val="00620130"/>
    <w:rsid w:val="00624AAE"/>
    <w:rsid w:val="00625C16"/>
    <w:rsid w:val="00626444"/>
    <w:rsid w:val="00630CA1"/>
    <w:rsid w:val="00634F7C"/>
    <w:rsid w:val="00637255"/>
    <w:rsid w:val="006373B0"/>
    <w:rsid w:val="006478ED"/>
    <w:rsid w:val="00654DFD"/>
    <w:rsid w:val="0065639D"/>
    <w:rsid w:val="006715A3"/>
    <w:rsid w:val="00673509"/>
    <w:rsid w:val="00680CE2"/>
    <w:rsid w:val="006941BB"/>
    <w:rsid w:val="006A216F"/>
    <w:rsid w:val="006A722D"/>
    <w:rsid w:val="006A7AD9"/>
    <w:rsid w:val="006B3C28"/>
    <w:rsid w:val="006B4049"/>
    <w:rsid w:val="006C2341"/>
    <w:rsid w:val="006D02CB"/>
    <w:rsid w:val="006D3A26"/>
    <w:rsid w:val="006D5D4A"/>
    <w:rsid w:val="006D722E"/>
    <w:rsid w:val="006E05B4"/>
    <w:rsid w:val="006E3319"/>
    <w:rsid w:val="006E4DFE"/>
    <w:rsid w:val="006E5484"/>
    <w:rsid w:val="006E7DC6"/>
    <w:rsid w:val="006F10E5"/>
    <w:rsid w:val="006F2103"/>
    <w:rsid w:val="006F37AB"/>
    <w:rsid w:val="006F6591"/>
    <w:rsid w:val="006F65EB"/>
    <w:rsid w:val="006F6926"/>
    <w:rsid w:val="00703551"/>
    <w:rsid w:val="00704D56"/>
    <w:rsid w:val="007052C0"/>
    <w:rsid w:val="00721A6D"/>
    <w:rsid w:val="00724166"/>
    <w:rsid w:val="007253FB"/>
    <w:rsid w:val="00726473"/>
    <w:rsid w:val="0073315A"/>
    <w:rsid w:val="007364CC"/>
    <w:rsid w:val="0073752D"/>
    <w:rsid w:val="00740EB2"/>
    <w:rsid w:val="00742A49"/>
    <w:rsid w:val="007461E7"/>
    <w:rsid w:val="0074650C"/>
    <w:rsid w:val="007608BB"/>
    <w:rsid w:val="007700ED"/>
    <w:rsid w:val="00770B14"/>
    <w:rsid w:val="00782171"/>
    <w:rsid w:val="00782703"/>
    <w:rsid w:val="0078518E"/>
    <w:rsid w:val="0079298F"/>
    <w:rsid w:val="0079676F"/>
    <w:rsid w:val="007A0DC2"/>
    <w:rsid w:val="007A32EF"/>
    <w:rsid w:val="007B1E12"/>
    <w:rsid w:val="007C05BD"/>
    <w:rsid w:val="007C30E0"/>
    <w:rsid w:val="007C31F1"/>
    <w:rsid w:val="007C737C"/>
    <w:rsid w:val="007C79AE"/>
    <w:rsid w:val="007D03A2"/>
    <w:rsid w:val="007D0C34"/>
    <w:rsid w:val="007D1DF3"/>
    <w:rsid w:val="007D5200"/>
    <w:rsid w:val="007D5437"/>
    <w:rsid w:val="007E03A1"/>
    <w:rsid w:val="007E1EEB"/>
    <w:rsid w:val="007E4032"/>
    <w:rsid w:val="007F0D42"/>
    <w:rsid w:val="007F2068"/>
    <w:rsid w:val="007F3728"/>
    <w:rsid w:val="007F6FCF"/>
    <w:rsid w:val="007F7AE8"/>
    <w:rsid w:val="00801DE1"/>
    <w:rsid w:val="008045DD"/>
    <w:rsid w:val="0080612B"/>
    <w:rsid w:val="00813883"/>
    <w:rsid w:val="008143FB"/>
    <w:rsid w:val="008211C6"/>
    <w:rsid w:val="0082172F"/>
    <w:rsid w:val="00823BF5"/>
    <w:rsid w:val="008262E2"/>
    <w:rsid w:val="0082660C"/>
    <w:rsid w:val="00826BEC"/>
    <w:rsid w:val="00831AB6"/>
    <w:rsid w:val="008335A5"/>
    <w:rsid w:val="00833843"/>
    <w:rsid w:val="008362FA"/>
    <w:rsid w:val="0083685A"/>
    <w:rsid w:val="008421D2"/>
    <w:rsid w:val="0084587F"/>
    <w:rsid w:val="00846792"/>
    <w:rsid w:val="00847685"/>
    <w:rsid w:val="00847EFF"/>
    <w:rsid w:val="0085156C"/>
    <w:rsid w:val="00855637"/>
    <w:rsid w:val="00871683"/>
    <w:rsid w:val="008732EF"/>
    <w:rsid w:val="00877341"/>
    <w:rsid w:val="00880F19"/>
    <w:rsid w:val="00883F1D"/>
    <w:rsid w:val="008874F0"/>
    <w:rsid w:val="00893806"/>
    <w:rsid w:val="008A012F"/>
    <w:rsid w:val="008A39F5"/>
    <w:rsid w:val="008A62D9"/>
    <w:rsid w:val="008B393F"/>
    <w:rsid w:val="008B6962"/>
    <w:rsid w:val="008B6B95"/>
    <w:rsid w:val="008C1B0A"/>
    <w:rsid w:val="008C37A9"/>
    <w:rsid w:val="008C5083"/>
    <w:rsid w:val="008C5EA3"/>
    <w:rsid w:val="008C7718"/>
    <w:rsid w:val="008D0286"/>
    <w:rsid w:val="008D0AE6"/>
    <w:rsid w:val="008D77EB"/>
    <w:rsid w:val="008E7FEA"/>
    <w:rsid w:val="008F099B"/>
    <w:rsid w:val="008F6029"/>
    <w:rsid w:val="008F723A"/>
    <w:rsid w:val="008F7BDF"/>
    <w:rsid w:val="009012DA"/>
    <w:rsid w:val="009019ED"/>
    <w:rsid w:val="00903ACB"/>
    <w:rsid w:val="00911A9C"/>
    <w:rsid w:val="0091207E"/>
    <w:rsid w:val="00912B02"/>
    <w:rsid w:val="00913A51"/>
    <w:rsid w:val="00914082"/>
    <w:rsid w:val="00926D7C"/>
    <w:rsid w:val="00930960"/>
    <w:rsid w:val="009345CA"/>
    <w:rsid w:val="0094301A"/>
    <w:rsid w:val="009442A1"/>
    <w:rsid w:val="00945546"/>
    <w:rsid w:val="0094583F"/>
    <w:rsid w:val="00946575"/>
    <w:rsid w:val="0095347B"/>
    <w:rsid w:val="00954480"/>
    <w:rsid w:val="00957927"/>
    <w:rsid w:val="009607D3"/>
    <w:rsid w:val="009634A5"/>
    <w:rsid w:val="00964602"/>
    <w:rsid w:val="0096517F"/>
    <w:rsid w:val="00971EAA"/>
    <w:rsid w:val="009728DF"/>
    <w:rsid w:val="009741FE"/>
    <w:rsid w:val="00974F9E"/>
    <w:rsid w:val="009837D8"/>
    <w:rsid w:val="00985976"/>
    <w:rsid w:val="009901D2"/>
    <w:rsid w:val="009934F5"/>
    <w:rsid w:val="009975CA"/>
    <w:rsid w:val="00997C68"/>
    <w:rsid w:val="009B09D9"/>
    <w:rsid w:val="009B14C5"/>
    <w:rsid w:val="009B1E98"/>
    <w:rsid w:val="009B4050"/>
    <w:rsid w:val="009B4AA4"/>
    <w:rsid w:val="009B5BD2"/>
    <w:rsid w:val="009C447A"/>
    <w:rsid w:val="009C57E4"/>
    <w:rsid w:val="009C63C3"/>
    <w:rsid w:val="009D48DD"/>
    <w:rsid w:val="009D4954"/>
    <w:rsid w:val="009D65BB"/>
    <w:rsid w:val="009F3379"/>
    <w:rsid w:val="009F5BA7"/>
    <w:rsid w:val="00A01F41"/>
    <w:rsid w:val="00A029EE"/>
    <w:rsid w:val="00A03BB1"/>
    <w:rsid w:val="00A06B51"/>
    <w:rsid w:val="00A12262"/>
    <w:rsid w:val="00A122A2"/>
    <w:rsid w:val="00A13C9D"/>
    <w:rsid w:val="00A1594A"/>
    <w:rsid w:val="00A16484"/>
    <w:rsid w:val="00A179AE"/>
    <w:rsid w:val="00A2196E"/>
    <w:rsid w:val="00A23D3B"/>
    <w:rsid w:val="00A24ADF"/>
    <w:rsid w:val="00A250A8"/>
    <w:rsid w:val="00A254CB"/>
    <w:rsid w:val="00A27359"/>
    <w:rsid w:val="00A27821"/>
    <w:rsid w:val="00A3043B"/>
    <w:rsid w:val="00A30F6F"/>
    <w:rsid w:val="00A436E3"/>
    <w:rsid w:val="00A43FD7"/>
    <w:rsid w:val="00A445F7"/>
    <w:rsid w:val="00A46D1C"/>
    <w:rsid w:val="00A4791E"/>
    <w:rsid w:val="00A512E1"/>
    <w:rsid w:val="00A53F4C"/>
    <w:rsid w:val="00A54FE8"/>
    <w:rsid w:val="00A56FD9"/>
    <w:rsid w:val="00A6114E"/>
    <w:rsid w:val="00A612B7"/>
    <w:rsid w:val="00A63113"/>
    <w:rsid w:val="00A65F82"/>
    <w:rsid w:val="00A820FC"/>
    <w:rsid w:val="00A828A7"/>
    <w:rsid w:val="00A8548C"/>
    <w:rsid w:val="00A85C75"/>
    <w:rsid w:val="00A910D7"/>
    <w:rsid w:val="00A920F9"/>
    <w:rsid w:val="00A96CA2"/>
    <w:rsid w:val="00A97AB8"/>
    <w:rsid w:val="00AA15BF"/>
    <w:rsid w:val="00AA17BF"/>
    <w:rsid w:val="00AA248E"/>
    <w:rsid w:val="00AA34F9"/>
    <w:rsid w:val="00AB06C5"/>
    <w:rsid w:val="00AB1681"/>
    <w:rsid w:val="00AB19D4"/>
    <w:rsid w:val="00AB1C6C"/>
    <w:rsid w:val="00AB5069"/>
    <w:rsid w:val="00AB54EE"/>
    <w:rsid w:val="00AB57E6"/>
    <w:rsid w:val="00AC1C28"/>
    <w:rsid w:val="00AC497C"/>
    <w:rsid w:val="00AC6EDA"/>
    <w:rsid w:val="00AD39A0"/>
    <w:rsid w:val="00AD5C1D"/>
    <w:rsid w:val="00AD65E7"/>
    <w:rsid w:val="00AD7C96"/>
    <w:rsid w:val="00AD7CC0"/>
    <w:rsid w:val="00AE303E"/>
    <w:rsid w:val="00AF71EB"/>
    <w:rsid w:val="00B007D2"/>
    <w:rsid w:val="00B02044"/>
    <w:rsid w:val="00B06994"/>
    <w:rsid w:val="00B06E39"/>
    <w:rsid w:val="00B07421"/>
    <w:rsid w:val="00B11026"/>
    <w:rsid w:val="00B20F64"/>
    <w:rsid w:val="00B23621"/>
    <w:rsid w:val="00B23DA8"/>
    <w:rsid w:val="00B2770C"/>
    <w:rsid w:val="00B27D2C"/>
    <w:rsid w:val="00B31C7C"/>
    <w:rsid w:val="00B36288"/>
    <w:rsid w:val="00B4461E"/>
    <w:rsid w:val="00B44810"/>
    <w:rsid w:val="00B45712"/>
    <w:rsid w:val="00B5217F"/>
    <w:rsid w:val="00B60280"/>
    <w:rsid w:val="00B61353"/>
    <w:rsid w:val="00B67E9C"/>
    <w:rsid w:val="00B727BE"/>
    <w:rsid w:val="00B746AA"/>
    <w:rsid w:val="00B74780"/>
    <w:rsid w:val="00B75E06"/>
    <w:rsid w:val="00B873D1"/>
    <w:rsid w:val="00B90C9B"/>
    <w:rsid w:val="00B913B9"/>
    <w:rsid w:val="00B95078"/>
    <w:rsid w:val="00B95D61"/>
    <w:rsid w:val="00BB16B6"/>
    <w:rsid w:val="00BB22A4"/>
    <w:rsid w:val="00BB3D23"/>
    <w:rsid w:val="00BC08F8"/>
    <w:rsid w:val="00BC16C9"/>
    <w:rsid w:val="00BC738A"/>
    <w:rsid w:val="00BD4CF9"/>
    <w:rsid w:val="00BD6A52"/>
    <w:rsid w:val="00BD6B6E"/>
    <w:rsid w:val="00BF1268"/>
    <w:rsid w:val="00BF2D0E"/>
    <w:rsid w:val="00BF3078"/>
    <w:rsid w:val="00BF7D7F"/>
    <w:rsid w:val="00C031E8"/>
    <w:rsid w:val="00C055E1"/>
    <w:rsid w:val="00C065AC"/>
    <w:rsid w:val="00C0663E"/>
    <w:rsid w:val="00C14456"/>
    <w:rsid w:val="00C15592"/>
    <w:rsid w:val="00C158F2"/>
    <w:rsid w:val="00C25BAF"/>
    <w:rsid w:val="00C27564"/>
    <w:rsid w:val="00C344AC"/>
    <w:rsid w:val="00C37399"/>
    <w:rsid w:val="00C41180"/>
    <w:rsid w:val="00C43349"/>
    <w:rsid w:val="00C4493E"/>
    <w:rsid w:val="00C52B6E"/>
    <w:rsid w:val="00C533CA"/>
    <w:rsid w:val="00C646A8"/>
    <w:rsid w:val="00C663D2"/>
    <w:rsid w:val="00C73CB0"/>
    <w:rsid w:val="00C75133"/>
    <w:rsid w:val="00C81135"/>
    <w:rsid w:val="00C82C34"/>
    <w:rsid w:val="00C8376E"/>
    <w:rsid w:val="00C94B94"/>
    <w:rsid w:val="00CA043A"/>
    <w:rsid w:val="00CA4831"/>
    <w:rsid w:val="00CA49D7"/>
    <w:rsid w:val="00CA7A58"/>
    <w:rsid w:val="00CB3B4D"/>
    <w:rsid w:val="00CB54DB"/>
    <w:rsid w:val="00CC0140"/>
    <w:rsid w:val="00CC1739"/>
    <w:rsid w:val="00CD0199"/>
    <w:rsid w:val="00CD12BA"/>
    <w:rsid w:val="00CD1455"/>
    <w:rsid w:val="00CD342F"/>
    <w:rsid w:val="00CD4AE4"/>
    <w:rsid w:val="00CD7766"/>
    <w:rsid w:val="00CE0833"/>
    <w:rsid w:val="00CE20BC"/>
    <w:rsid w:val="00CE34B6"/>
    <w:rsid w:val="00CF399C"/>
    <w:rsid w:val="00CF5A23"/>
    <w:rsid w:val="00D000D3"/>
    <w:rsid w:val="00D03471"/>
    <w:rsid w:val="00D03A1C"/>
    <w:rsid w:val="00D111A3"/>
    <w:rsid w:val="00D116D4"/>
    <w:rsid w:val="00D12CE5"/>
    <w:rsid w:val="00D14C4B"/>
    <w:rsid w:val="00D2172E"/>
    <w:rsid w:val="00D408F3"/>
    <w:rsid w:val="00D43759"/>
    <w:rsid w:val="00D4704D"/>
    <w:rsid w:val="00D5328E"/>
    <w:rsid w:val="00D54770"/>
    <w:rsid w:val="00D548C9"/>
    <w:rsid w:val="00D554A6"/>
    <w:rsid w:val="00D57A29"/>
    <w:rsid w:val="00D57CC6"/>
    <w:rsid w:val="00D61CA9"/>
    <w:rsid w:val="00D63902"/>
    <w:rsid w:val="00D63EF6"/>
    <w:rsid w:val="00D745C4"/>
    <w:rsid w:val="00D74E44"/>
    <w:rsid w:val="00D86DCD"/>
    <w:rsid w:val="00D87A9A"/>
    <w:rsid w:val="00D922FC"/>
    <w:rsid w:val="00D9235D"/>
    <w:rsid w:val="00D93DF3"/>
    <w:rsid w:val="00D9526D"/>
    <w:rsid w:val="00DA5244"/>
    <w:rsid w:val="00DA6910"/>
    <w:rsid w:val="00DB4769"/>
    <w:rsid w:val="00DB6CE8"/>
    <w:rsid w:val="00DC2A6F"/>
    <w:rsid w:val="00DC39EC"/>
    <w:rsid w:val="00DC530D"/>
    <w:rsid w:val="00DD000A"/>
    <w:rsid w:val="00DD1840"/>
    <w:rsid w:val="00DD306D"/>
    <w:rsid w:val="00DD6E0A"/>
    <w:rsid w:val="00DE5F91"/>
    <w:rsid w:val="00DF2F61"/>
    <w:rsid w:val="00DF7416"/>
    <w:rsid w:val="00DF777C"/>
    <w:rsid w:val="00E03555"/>
    <w:rsid w:val="00E0470F"/>
    <w:rsid w:val="00E04EF8"/>
    <w:rsid w:val="00E12419"/>
    <w:rsid w:val="00E14EAD"/>
    <w:rsid w:val="00E20F0D"/>
    <w:rsid w:val="00E21F18"/>
    <w:rsid w:val="00E23DC2"/>
    <w:rsid w:val="00E240CC"/>
    <w:rsid w:val="00E24A8A"/>
    <w:rsid w:val="00E30894"/>
    <w:rsid w:val="00E361F8"/>
    <w:rsid w:val="00E37365"/>
    <w:rsid w:val="00E430DB"/>
    <w:rsid w:val="00E447D4"/>
    <w:rsid w:val="00E540B9"/>
    <w:rsid w:val="00E620A2"/>
    <w:rsid w:val="00E6483A"/>
    <w:rsid w:val="00E72FB9"/>
    <w:rsid w:val="00E760FC"/>
    <w:rsid w:val="00E7755A"/>
    <w:rsid w:val="00E80AA9"/>
    <w:rsid w:val="00E81F4C"/>
    <w:rsid w:val="00E84394"/>
    <w:rsid w:val="00E852A8"/>
    <w:rsid w:val="00E87E6E"/>
    <w:rsid w:val="00E936CB"/>
    <w:rsid w:val="00E974BE"/>
    <w:rsid w:val="00EA4305"/>
    <w:rsid w:val="00EA4733"/>
    <w:rsid w:val="00EA58B0"/>
    <w:rsid w:val="00EB3159"/>
    <w:rsid w:val="00EC021F"/>
    <w:rsid w:val="00EC06FA"/>
    <w:rsid w:val="00EC0A75"/>
    <w:rsid w:val="00EC4CAD"/>
    <w:rsid w:val="00EC6F52"/>
    <w:rsid w:val="00ED6D75"/>
    <w:rsid w:val="00ED775F"/>
    <w:rsid w:val="00EE5680"/>
    <w:rsid w:val="00EF2EAA"/>
    <w:rsid w:val="00EF49E7"/>
    <w:rsid w:val="00EF562A"/>
    <w:rsid w:val="00EF59D0"/>
    <w:rsid w:val="00EF6741"/>
    <w:rsid w:val="00F02640"/>
    <w:rsid w:val="00F0375D"/>
    <w:rsid w:val="00F11614"/>
    <w:rsid w:val="00F23FAD"/>
    <w:rsid w:val="00F24B73"/>
    <w:rsid w:val="00F322DC"/>
    <w:rsid w:val="00F32900"/>
    <w:rsid w:val="00F33B1A"/>
    <w:rsid w:val="00F33D30"/>
    <w:rsid w:val="00F349D0"/>
    <w:rsid w:val="00F3525D"/>
    <w:rsid w:val="00F35E5F"/>
    <w:rsid w:val="00F363FB"/>
    <w:rsid w:val="00F365EA"/>
    <w:rsid w:val="00F41C70"/>
    <w:rsid w:val="00F4240F"/>
    <w:rsid w:val="00F425BE"/>
    <w:rsid w:val="00F43978"/>
    <w:rsid w:val="00F43E02"/>
    <w:rsid w:val="00F448A5"/>
    <w:rsid w:val="00F474D6"/>
    <w:rsid w:val="00F52628"/>
    <w:rsid w:val="00F5556A"/>
    <w:rsid w:val="00F61B25"/>
    <w:rsid w:val="00F630C5"/>
    <w:rsid w:val="00F6344A"/>
    <w:rsid w:val="00F63C8C"/>
    <w:rsid w:val="00F71CB1"/>
    <w:rsid w:val="00F7413C"/>
    <w:rsid w:val="00F7541B"/>
    <w:rsid w:val="00F756C1"/>
    <w:rsid w:val="00F80161"/>
    <w:rsid w:val="00F83601"/>
    <w:rsid w:val="00F84FFF"/>
    <w:rsid w:val="00F85CA2"/>
    <w:rsid w:val="00FB4470"/>
    <w:rsid w:val="00FB4E75"/>
    <w:rsid w:val="00FB7193"/>
    <w:rsid w:val="00FC0B2A"/>
    <w:rsid w:val="00FD613A"/>
    <w:rsid w:val="00FD69E3"/>
    <w:rsid w:val="00FE23B6"/>
    <w:rsid w:val="00FE4289"/>
    <w:rsid w:val="00FE440C"/>
    <w:rsid w:val="00FE4790"/>
    <w:rsid w:val="00FE6DCA"/>
    <w:rsid w:val="00FF24B4"/>
    <w:rsid w:val="00FF4737"/>
    <w:rsid w:val="00FF6F05"/>
    <w:rsid w:val="00FF7A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spacing w:before="240" w:after="60"/>
      <w:jc w:val="left"/>
      <w:outlineLvl w:val="0"/>
    </w:pPr>
    <w:rPr>
      <w:rFonts w:ascii="Arial" w:hAnsi="Arial" w:cs="Arial"/>
      <w:b/>
      <w:bCs/>
      <w:kern w:val="28"/>
      <w:sz w:val="28"/>
      <w:szCs w:val="28"/>
    </w:rPr>
  </w:style>
  <w:style w:type="paragraph" w:styleId="Heading2">
    <w:name w:val="heading 2"/>
    <w:basedOn w:val="Normal"/>
    <w:next w:val="Normal"/>
    <w:link w:val="Nadpis2Char"/>
    <w:uiPriority w:val="99"/>
    <w:qFormat/>
    <w:pPr>
      <w:keepNext/>
      <w:jc w:val="left"/>
      <w:outlineLvl w:val="1"/>
    </w:pPr>
    <w:rPr>
      <w:b/>
      <w:bCs/>
    </w:rPr>
  </w:style>
  <w:style w:type="paragraph" w:styleId="Heading3">
    <w:name w:val="heading 3"/>
    <w:basedOn w:val="Normal"/>
    <w:next w:val="Normal"/>
    <w:link w:val="Nadpis3Char"/>
    <w:uiPriority w:val="99"/>
    <w:qFormat/>
    <w:pPr>
      <w:keepNext/>
      <w:spacing w:before="240" w:after="60"/>
      <w:jc w:val="left"/>
      <w:outlineLvl w:val="2"/>
    </w:pPr>
    <w:rPr>
      <w:b/>
      <w:bCs/>
    </w:rPr>
  </w:style>
  <w:style w:type="paragraph" w:styleId="Heading4">
    <w:name w:val="heading 4"/>
    <w:basedOn w:val="Normal"/>
    <w:next w:val="Normal"/>
    <w:link w:val="Nadpis4Char"/>
    <w:uiPriority w:val="99"/>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overflowPunct w:val="0"/>
      <w:autoSpaceDE w:val="0"/>
      <w:autoSpaceDN w:val="0"/>
      <w:adjustRightInd w:val="0"/>
      <w:jc w:val="both"/>
      <w:textAlignment w:val="baseline"/>
      <w:outlineLvl w:val="3"/>
    </w:pPr>
  </w:style>
  <w:style w:type="paragraph" w:styleId="Heading5">
    <w:name w:val="heading 5"/>
    <w:basedOn w:val="Normal"/>
    <w:next w:val="Normal"/>
    <w:link w:val="Nadpis5Char"/>
    <w:uiPriority w:val="99"/>
    <w:qFormat/>
    <w:pPr>
      <w:keepNext/>
      <w:jc w:val="left"/>
      <w:outlineLvl w:val="4"/>
    </w:pPr>
    <w:rPr>
      <w:b/>
      <w:bCs/>
      <w:u w:val="single"/>
    </w:rPr>
  </w:style>
  <w:style w:type="paragraph" w:styleId="Heading7">
    <w:name w:val="heading 7"/>
    <w:basedOn w:val="Normal"/>
    <w:next w:val="Normal"/>
    <w:link w:val="Nadpis7Char"/>
    <w:uiPriority w:val="99"/>
    <w:qFormat/>
    <w:pPr>
      <w:keepNext/>
      <w:jc w:val="both"/>
      <w:outlineLvl w:val="6"/>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basedOn w:val="DefaultParagraphFont"/>
    <w:link w:val="Heading4"/>
    <w:uiPriority w:val="99"/>
    <w:semiHidden/>
    <w:locked/>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Calibri"/>
      <w:b/>
      <w:bCs/>
      <w:i/>
      <w:iCs/>
      <w:sz w:val="26"/>
      <w:szCs w:val="26"/>
      <w:rtl w:val="0"/>
      <w:cs w:val="0"/>
    </w:rPr>
  </w:style>
  <w:style w:type="character" w:customStyle="1" w:styleId="Nadpis7Char">
    <w:name w:val="Nadpis 7 Char"/>
    <w:basedOn w:val="DefaultParagraphFont"/>
    <w:link w:val="Heading7"/>
    <w:uiPriority w:val="99"/>
    <w:semiHidden/>
    <w:locked/>
    <w:rPr>
      <w:rFonts w:ascii="Calibri" w:hAnsi="Calibri" w:cs="Calibri"/>
      <w:sz w:val="24"/>
      <w:szCs w:val="24"/>
      <w:rtl w:val="0"/>
      <w:cs w:val="0"/>
    </w:rPr>
  </w:style>
  <w:style w:type="paragraph" w:styleId="List2">
    <w:name w:val="List 2"/>
    <w:basedOn w:val="Normal"/>
    <w:uiPriority w:val="99"/>
    <w:semiHidden/>
    <w:pPr>
      <w:widowControl w:val="0"/>
      <w:ind w:left="566" w:hanging="283"/>
      <w:jc w:val="left"/>
    </w:pPr>
    <w:rPr>
      <w:sz w:val="20"/>
      <w:szCs w:val="20"/>
    </w:rPr>
  </w:style>
  <w:style w:type="paragraph" w:styleId="BodyText">
    <w:name w:val="Body Text"/>
    <w:basedOn w:val="Normal"/>
    <w:link w:val="ZkladntextChar"/>
    <w:uiPriority w:val="99"/>
    <w:pPr>
      <w:widowControl w:val="0"/>
      <w:jc w:val="left"/>
    </w:pPr>
    <w:rPr>
      <w:color w:val="00000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BodyTextIndent">
    <w:name w:val="Body Text Indent"/>
    <w:basedOn w:val="Normal"/>
    <w:link w:val="ZarkazkladnhotextuChar"/>
    <w:uiPriority w:val="99"/>
    <w:semiHidden/>
    <w:pPr>
      <w:autoSpaceDE w:val="0"/>
      <w:autoSpaceDN w:val="0"/>
      <w:adjustRightInd w:val="0"/>
      <w:spacing w:before="57" w:line="240" w:lineRule="exact"/>
      <w:ind w:left="288"/>
      <w:jc w:val="both"/>
    </w:pPr>
    <w:rPr>
      <w:lang w:val="cs-CZ"/>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Title">
    <w:name w:val="Title"/>
    <w:basedOn w:val="Normal"/>
    <w:link w:val="NzovChar"/>
    <w:uiPriority w:val="10"/>
    <w:qFormat/>
    <w:pPr>
      <w:autoSpaceDE w:val="0"/>
      <w:autoSpaceDN w:val="0"/>
      <w:adjustRightInd w:val="0"/>
      <w:spacing w:line="240" w:lineRule="exact"/>
      <w:jc w:val="center"/>
    </w:pPr>
    <w:rPr>
      <w:b/>
      <w:bCs/>
      <w:smallCaps/>
      <w:lang w:val="cs-CZ"/>
    </w:rPr>
  </w:style>
  <w:style w:type="character" w:customStyle="1" w:styleId="NzovChar">
    <w:name w:val="Názov Char"/>
    <w:basedOn w:val="DefaultParagraphFont"/>
    <w:link w:val="Title"/>
    <w:uiPriority w:val="10"/>
    <w:locked/>
    <w:rPr>
      <w:rFonts w:ascii="Cambria" w:hAnsi="Cambria" w:cs="Cambria"/>
      <w:b/>
      <w:bCs/>
      <w:kern w:val="28"/>
      <w:sz w:val="32"/>
      <w:szCs w:val="32"/>
      <w:rtl w:val="0"/>
      <w:cs w:val="0"/>
    </w:rPr>
  </w:style>
  <w:style w:type="paragraph" w:styleId="BodyText3">
    <w:name w:val="Body Text 3"/>
    <w:basedOn w:val="Normal"/>
    <w:link w:val="Zkladntext3Char"/>
    <w:uiPriority w:val="99"/>
    <w:semiHidden/>
    <w:pPr>
      <w:numPr>
        <w:ilvl w:val="12"/>
      </w:numPr>
      <w:jc w:val="left"/>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Zkladntext">
    <w:name w:val="Základní text"/>
    <w:uiPriority w:val="99"/>
    <w:pPr>
      <w:framePr w:wrap="auto"/>
      <w:widowControl w:val="0"/>
      <w:autoSpaceDE/>
      <w:autoSpaceDN/>
      <w:adjustRightInd/>
      <w:ind w:left="0" w:right="0"/>
      <w:jc w:val="left"/>
      <w:textAlignment w:val="auto"/>
    </w:pPr>
    <w:rPr>
      <w:rFonts w:cs="Times New Roman"/>
      <w:color w:val="000000"/>
      <w:sz w:val="20"/>
      <w:szCs w:val="20"/>
      <w:rtl w:val="0"/>
      <w:cs w:val="0"/>
      <w:lang w:val="cs-CZ" w:eastAsia="sk-SK" w:bidi="ar-SA"/>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Indent3">
    <w:name w:val="Body Text Indent 3"/>
    <w:basedOn w:val="Normal"/>
    <w:link w:val="Zarkazkladnhotextu3Char"/>
    <w:uiPriority w:val="99"/>
    <w:semiHidden/>
    <w:pPr>
      <w:ind w:firstLine="708"/>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3">
    <w:name w:val="List 3"/>
    <w:basedOn w:val="Normal"/>
    <w:uiPriority w:val="99"/>
    <w:semiHidden/>
    <w:pPr>
      <w:ind w:left="849" w:hanging="283"/>
      <w:jc w:val="left"/>
    </w:pPr>
    <w:rPr>
      <w:sz w:val="20"/>
      <w:szCs w:val="20"/>
    </w:rPr>
  </w:style>
  <w:style w:type="paragraph" w:customStyle="1" w:styleId="Odka">
    <w:name w:val="Oádka"/>
    <w:uiPriority w:val="99"/>
    <w:pPr>
      <w:framePr w:wrap="auto"/>
      <w:widowControl w:val="0"/>
      <w:autoSpaceDE/>
      <w:autoSpaceDN/>
      <w:adjustRightInd/>
      <w:ind w:left="0" w:right="0"/>
      <w:jc w:val="left"/>
      <w:textAlignment w:val="auto"/>
    </w:pPr>
    <w:rPr>
      <w:rFonts w:cs="Times New Roman"/>
      <w:color w:val="000000"/>
      <w:sz w:val="24"/>
      <w:szCs w:val="24"/>
      <w:rtl w:val="0"/>
      <w:cs w:val="0"/>
      <w:lang w:val="cs-CZ" w:eastAsia="sk-SK" w:bidi="ar-SA"/>
    </w:rPr>
  </w:style>
  <w:style w:type="paragraph" w:styleId="BodyText2">
    <w:name w:val="Body Text 2"/>
    <w:basedOn w:val="Normal"/>
    <w:link w:val="Zkladntext2Char"/>
    <w:uiPriority w:val="99"/>
    <w:semiHidden/>
    <w:pPr>
      <w:spacing w:after="120"/>
      <w:jc w:val="both"/>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2">
    <w:name w:val="Body Text Indent 2"/>
    <w:basedOn w:val="Normal"/>
    <w:link w:val="Zarkazkladnhotextu2Char"/>
    <w:uiPriority w:val="99"/>
    <w:semiHidden/>
    <w:pPr>
      <w:ind w:left="180" w:hanging="180"/>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PageNumber">
    <w:name w:val="page number"/>
    <w:basedOn w:val="DefaultParagraphFont"/>
    <w:uiPriority w:val="99"/>
    <w:semiHidden/>
    <w:rPr>
      <w:rFonts w:cs="Times New Roman"/>
      <w:rtl w:val="0"/>
      <w:cs w:val="0"/>
    </w:rPr>
  </w:style>
  <w:style w:type="paragraph" w:styleId="Footer">
    <w:name w:val="footer"/>
    <w:basedOn w:val="Normal"/>
    <w:link w:val="PtaChar"/>
    <w:uiPriority w:val="99"/>
    <w:semiHidden/>
    <w:pPr>
      <w:tabs>
        <w:tab w:val="center" w:pos="4536"/>
        <w:tab w:val="right" w:pos="9072"/>
      </w:tabs>
      <w:jc w:val="left"/>
    </w:pPr>
    <w:rPr>
      <w:sz w:val="20"/>
      <w:szCs w:val="20"/>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BalloonText">
    <w:name w:val="Balloon Text"/>
    <w:basedOn w:val="Normal"/>
    <w:link w:val="TextbublinyChar"/>
    <w:uiPriority w:val="99"/>
    <w:semiHidden/>
    <w:rsid w:val="00FD69E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D69E3"/>
    <w:rPr>
      <w:rFonts w:ascii="Tahoma" w:hAnsi="Tahoma" w:cs="Tahoma"/>
      <w:sz w:val="16"/>
      <w:szCs w:val="16"/>
      <w:rtl w:val="0"/>
      <w:cs w:val="0"/>
    </w:rPr>
  </w:style>
  <w:style w:type="paragraph" w:customStyle="1" w:styleId="Point1">
    <w:name w:val="Point 1"/>
    <w:basedOn w:val="Normal"/>
    <w:uiPriority w:val="99"/>
    <w:rsid w:val="00410B31"/>
    <w:pPr>
      <w:spacing w:before="120" w:after="120"/>
      <w:ind w:left="1417" w:hanging="567"/>
      <w:jc w:val="both"/>
    </w:pPr>
    <w:rPr>
      <w:lang w:eastAsia="en-US"/>
    </w:rPr>
  </w:style>
  <w:style w:type="character" w:customStyle="1" w:styleId="ra">
    <w:name w:val="ra"/>
    <w:basedOn w:val="DefaultParagraphFont"/>
    <w:uiPriority w:val="99"/>
    <w:rsid w:val="00EC06FA"/>
    <w:rPr>
      <w:rFonts w:cs="Times New Roman"/>
      <w:rtl w:val="0"/>
      <w:cs w:val="0"/>
    </w:rPr>
  </w:style>
  <w:style w:type="character" w:styleId="PlaceholderText">
    <w:name w:val="Placeholder Text"/>
    <w:basedOn w:val="DefaultParagraphFont"/>
    <w:uiPriority w:val="99"/>
    <w:semiHidden/>
    <w:rsid w:val="00057EBB"/>
    <w:rPr>
      <w:rFonts w:ascii="Times New Roman" w:hAnsi="Times New Roman" w:cs="Times New Roman"/>
      <w:color w:val="808080"/>
      <w:rtl w:val="0"/>
      <w:cs w:val="0"/>
    </w:rPr>
  </w:style>
  <w:style w:type="paragraph" w:styleId="ListParagraph">
    <w:name w:val="List Paragraph"/>
    <w:basedOn w:val="Normal"/>
    <w:uiPriority w:val="99"/>
    <w:qFormat/>
    <w:rsid w:val="00121D5A"/>
    <w:pPr>
      <w:spacing w:after="200" w:line="276" w:lineRule="auto"/>
      <w:ind w:left="720"/>
      <w:jc w:val="left"/>
    </w:pPr>
    <w:rPr>
      <w:rFonts w:ascii="Calibri" w:hAnsi="Calibri" w:cs="Calibri"/>
      <w:sz w:val="22"/>
      <w:szCs w:val="22"/>
      <w:lang w:eastAsia="zh-CN"/>
    </w:rPr>
  </w:style>
  <w:style w:type="paragraph" w:customStyle="1" w:styleId="CM1">
    <w:name w:val="CM1"/>
    <w:basedOn w:val="Normal"/>
    <w:next w:val="Normal"/>
    <w:uiPriority w:val="99"/>
    <w:rsid w:val="005E1780"/>
    <w:pPr>
      <w:autoSpaceDE w:val="0"/>
      <w:autoSpaceDN w:val="0"/>
      <w:adjustRightInd w:val="0"/>
      <w:jc w:val="left"/>
    </w:pPr>
    <w:rPr>
      <w:rFonts w:ascii="EUAlbertina" w:hAnsi="EUAlbertina" w:cs="EUAlbertina"/>
    </w:rPr>
  </w:style>
  <w:style w:type="character" w:styleId="Emphasis">
    <w:name w:val="Emphasis"/>
    <w:basedOn w:val="DefaultParagraphFont"/>
    <w:uiPriority w:val="20"/>
    <w:qFormat/>
    <w:locked/>
    <w:rsid w:val="003D1A23"/>
    <w:rPr>
      <w:rFonts w:cs="Times New Roman"/>
      <w:b/>
      <w:rtl w:val="0"/>
      <w:cs w:val="0"/>
    </w:rPr>
  </w:style>
  <w:style w:type="table" w:styleId="TableGrid">
    <w:name w:val="Table Grid"/>
    <w:basedOn w:val="TableNormal"/>
    <w:uiPriority w:val="59"/>
    <w:locked/>
    <w:rsid w:val="000E6521"/>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521"/>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an.foltan@mfsr.s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9489-6A3C-4390-B597-58022389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32</TotalTime>
  <Pages>18</Pages>
  <Words>5709</Words>
  <Characters>32546</Characters>
  <Application>Microsoft Office Word</Application>
  <DocSecurity>0</DocSecurity>
  <Lines>0</Lines>
  <Paragraphs>0</Paragraphs>
  <ScaleCrop>false</ScaleCrop>
  <Company/>
  <LinksUpToDate>false</LinksUpToDate>
  <CharactersWithSpaces>38179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Robert Vlkolinsky</dc:creator>
  <cp:lastModifiedBy>Kassovic Jan</cp:lastModifiedBy>
  <cp:revision>8</cp:revision>
  <cp:lastPrinted>2016-08-17T11:40:00Z</cp:lastPrinted>
  <dcterms:created xsi:type="dcterms:W3CDTF">2016-08-12T09:18:00Z</dcterms:created>
  <dcterms:modified xsi:type="dcterms:W3CDTF">2016-08-17T12:09:00Z</dcterms:modified>
</cp:coreProperties>
</file>