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558A1" w:rsidP="005A0F5A">
      <w:pPr>
        <w:bidi w:val="0"/>
        <w:spacing w:after="0"/>
        <w:jc w:val="center"/>
        <w:rPr>
          <w:rFonts w:ascii="Times New Roman" w:hAnsi="Times New Roman" w:cs="Times New Roman"/>
          <w:b/>
          <w:bCs/>
          <w:sz w:val="24"/>
          <w:szCs w:val="24"/>
        </w:rPr>
      </w:pPr>
    </w:p>
    <w:p w:rsidR="006558A1" w:rsidP="006558A1">
      <w:pPr>
        <w:pStyle w:val="Zkladntext"/>
        <w:bidi w:val="0"/>
        <w:jc w:val="center"/>
        <w:rPr>
          <w:rFonts w:ascii="Times New Roman" w:hAnsi="Times New Roman"/>
          <w:b/>
          <w:bCs/>
          <w:sz w:val="28"/>
        </w:rPr>
      </w:pPr>
      <w:r>
        <w:rPr>
          <w:rFonts w:ascii="Times New Roman" w:hAnsi="Times New Roman"/>
          <w:b/>
          <w:bCs/>
          <w:sz w:val="28"/>
        </w:rPr>
        <w:t>NÁRODNÁ RADA SLOVENSKEJ REPUBLIKY</w:t>
      </w:r>
    </w:p>
    <w:p w:rsidR="006558A1" w:rsidRPr="00D64CC6" w:rsidP="006558A1">
      <w:pPr>
        <w:pStyle w:val="Zkladntext"/>
        <w:bidi w:val="0"/>
        <w:jc w:val="center"/>
        <w:rPr>
          <w:rFonts w:ascii="Times New Roman" w:hAnsi="Times New Roman"/>
          <w:b/>
          <w:bCs/>
          <w:sz w:val="28"/>
          <w:lang w:val="sk-SK"/>
        </w:rPr>
      </w:pPr>
      <w:r>
        <w:rPr>
          <w:rFonts w:ascii="Times New Roman" w:hAnsi="Times New Roman"/>
          <w:b/>
          <w:bCs/>
          <w:sz w:val="28"/>
        </w:rPr>
        <w:t>V</w:t>
      </w:r>
      <w:r w:rsidR="00287861">
        <w:rPr>
          <w:rFonts w:ascii="Times New Roman" w:hAnsi="Times New Roman"/>
          <w:b/>
          <w:bCs/>
          <w:sz w:val="28"/>
        </w:rPr>
        <w:t>I</w:t>
      </w:r>
      <w:r>
        <w:rPr>
          <w:rFonts w:ascii="Times New Roman" w:hAnsi="Times New Roman"/>
          <w:b/>
          <w:bCs/>
          <w:sz w:val="28"/>
        </w:rPr>
        <w:t xml:space="preserve">I. </w:t>
      </w:r>
      <w:r>
        <w:rPr>
          <w:rFonts w:ascii="Times New Roman" w:hAnsi="Times New Roman"/>
          <w:b/>
          <w:bCs/>
          <w:sz w:val="28"/>
          <w:lang w:val="sk-SK"/>
        </w:rPr>
        <w:t>volebné obdobie</w:t>
      </w:r>
    </w:p>
    <w:p w:rsidR="006558A1" w:rsidP="006558A1">
      <w:pPr>
        <w:pStyle w:val="Zkladntext"/>
        <w:bidi w:val="0"/>
        <w:jc w:val="both"/>
        <w:rPr>
          <w:rFonts w:ascii="Times New Roman" w:hAnsi="Times New Roman"/>
          <w:b/>
          <w:bCs/>
          <w:sz w:val="26"/>
        </w:rPr>
      </w:pPr>
      <w:r>
        <w:rPr>
          <w:rFonts w:ascii="Times New Roman" w:hAnsi="Times New Roman"/>
          <w:b/>
          <w:bCs/>
          <w:sz w:val="26"/>
        </w:rPr>
        <w:t>____________________________________________________________________</w:t>
      </w:r>
    </w:p>
    <w:p w:rsidR="006558A1" w:rsidP="006558A1">
      <w:pPr>
        <w:pStyle w:val="Zkladntext"/>
        <w:bidi w:val="0"/>
        <w:jc w:val="center"/>
        <w:rPr>
          <w:rFonts w:ascii="Times New Roman" w:hAnsi="Times New Roman"/>
          <w:b/>
          <w:bCs/>
          <w:sz w:val="26"/>
        </w:rPr>
      </w:pPr>
    </w:p>
    <w:p w:rsidR="006558A1" w:rsidP="006558A1">
      <w:pPr>
        <w:pStyle w:val="Zkladntext"/>
        <w:bidi w:val="0"/>
        <w:jc w:val="center"/>
        <w:rPr>
          <w:rFonts w:ascii="Times New Roman" w:hAnsi="Times New Roman"/>
          <w:b/>
          <w:bCs/>
          <w:sz w:val="28"/>
        </w:rPr>
      </w:pPr>
      <w:r w:rsidR="00EB6AF3">
        <w:rPr>
          <w:rFonts w:ascii="Times New Roman" w:hAnsi="Times New Roman"/>
          <w:b/>
          <w:bCs/>
          <w:sz w:val="28"/>
        </w:rPr>
        <w:t>1</w:t>
      </w:r>
      <w:r w:rsidR="00D51E02">
        <w:rPr>
          <w:rFonts w:ascii="Times New Roman" w:hAnsi="Times New Roman"/>
          <w:b/>
          <w:bCs/>
          <w:sz w:val="28"/>
        </w:rPr>
        <w:t>81</w:t>
      </w:r>
    </w:p>
    <w:p w:rsidR="006558A1" w:rsidP="006558A1">
      <w:pPr>
        <w:pStyle w:val="Zkladntext"/>
        <w:bidi w:val="0"/>
        <w:jc w:val="center"/>
        <w:rPr>
          <w:rFonts w:ascii="Times New Roman" w:hAnsi="Times New Roman"/>
          <w:b/>
          <w:bCs/>
          <w:sz w:val="28"/>
        </w:rPr>
      </w:pPr>
    </w:p>
    <w:p w:rsidR="006558A1" w:rsidP="006558A1">
      <w:pPr>
        <w:pStyle w:val="Zkladntext"/>
        <w:bidi w:val="0"/>
        <w:jc w:val="center"/>
        <w:rPr>
          <w:rFonts w:ascii="Times New Roman" w:hAnsi="Times New Roman"/>
          <w:b/>
          <w:bCs/>
          <w:sz w:val="28"/>
        </w:rPr>
      </w:pPr>
      <w:r>
        <w:rPr>
          <w:rFonts w:ascii="Times New Roman" w:hAnsi="Times New Roman"/>
          <w:b/>
          <w:bCs/>
          <w:sz w:val="28"/>
        </w:rPr>
        <w:t>VLÁDNY NÁVRH</w:t>
      </w:r>
    </w:p>
    <w:p w:rsidR="006558A1" w:rsidP="006558A1">
      <w:pPr>
        <w:pStyle w:val="Zkladntext"/>
        <w:bidi w:val="0"/>
        <w:jc w:val="center"/>
        <w:rPr>
          <w:rFonts w:ascii="Times New Roman" w:hAnsi="Times New Roman"/>
          <w:b/>
          <w:bCs/>
          <w:sz w:val="28"/>
        </w:rPr>
      </w:pPr>
    </w:p>
    <w:p w:rsidR="006D761E" w:rsidRPr="000C5202" w:rsidP="005A0F5A">
      <w:pPr>
        <w:bidi w:val="0"/>
        <w:spacing w:after="0"/>
        <w:jc w:val="center"/>
        <w:rPr>
          <w:rFonts w:ascii="Times New Roman" w:hAnsi="Times New Roman" w:cs="Times New Roman"/>
          <w:b/>
          <w:bCs/>
          <w:sz w:val="24"/>
          <w:szCs w:val="24"/>
        </w:rPr>
      </w:pPr>
      <w:r w:rsidRPr="000C5202">
        <w:rPr>
          <w:rFonts w:ascii="Times New Roman" w:hAnsi="Times New Roman" w:cs="Times New Roman"/>
          <w:b/>
          <w:bCs/>
          <w:sz w:val="24"/>
          <w:szCs w:val="24"/>
        </w:rPr>
        <w:t>Z</w:t>
      </w:r>
      <w:r w:rsidRPr="000C5202" w:rsidR="00D31EBB">
        <w:rPr>
          <w:rFonts w:ascii="Times New Roman" w:hAnsi="Times New Roman" w:cs="Times New Roman"/>
          <w:b/>
          <w:bCs/>
          <w:sz w:val="24"/>
          <w:szCs w:val="24"/>
        </w:rPr>
        <w:t>ÁKON</w:t>
      </w:r>
    </w:p>
    <w:p w:rsidR="006D761E" w:rsidRPr="000537B8" w:rsidP="005A0F5A">
      <w:pPr>
        <w:bidi w:val="0"/>
        <w:spacing w:after="0"/>
        <w:jc w:val="center"/>
        <w:rPr>
          <w:rFonts w:ascii="Times New Roman" w:hAnsi="Times New Roman" w:cs="Times New Roman"/>
          <w:b/>
          <w:bCs/>
          <w:sz w:val="24"/>
          <w:szCs w:val="24"/>
        </w:rPr>
      </w:pPr>
    </w:p>
    <w:p w:rsidR="006D761E" w:rsidRPr="000537B8" w:rsidP="005A0F5A">
      <w:pPr>
        <w:bidi w:val="0"/>
        <w:spacing w:after="0"/>
        <w:jc w:val="center"/>
        <w:rPr>
          <w:rFonts w:ascii="Times New Roman" w:hAnsi="Times New Roman" w:cs="Times New Roman"/>
          <w:b/>
          <w:bCs/>
          <w:sz w:val="24"/>
          <w:szCs w:val="24"/>
        </w:rPr>
      </w:pPr>
      <w:r w:rsidRPr="000537B8">
        <w:rPr>
          <w:rFonts w:ascii="Times New Roman" w:hAnsi="Times New Roman" w:cs="Times New Roman"/>
          <w:b/>
          <w:bCs/>
          <w:sz w:val="24"/>
          <w:szCs w:val="24"/>
        </w:rPr>
        <w:t>z ... 201</w:t>
      </w:r>
      <w:r w:rsidRPr="000537B8" w:rsidR="000537B8">
        <w:rPr>
          <w:rFonts w:ascii="Times New Roman" w:hAnsi="Times New Roman" w:cs="Times New Roman"/>
          <w:b/>
          <w:bCs/>
          <w:sz w:val="24"/>
          <w:szCs w:val="24"/>
        </w:rPr>
        <w:t>6</w:t>
      </w:r>
      <w:r w:rsidRPr="000537B8">
        <w:rPr>
          <w:rFonts w:ascii="Times New Roman" w:hAnsi="Times New Roman" w:cs="Times New Roman"/>
          <w:b/>
          <w:bCs/>
          <w:sz w:val="24"/>
          <w:szCs w:val="24"/>
        </w:rPr>
        <w:t>,</w:t>
      </w:r>
    </w:p>
    <w:p w:rsidR="006D761E" w:rsidRPr="000537B8" w:rsidP="005A0F5A">
      <w:pPr>
        <w:bidi w:val="0"/>
        <w:spacing w:after="0"/>
        <w:jc w:val="center"/>
        <w:rPr>
          <w:rFonts w:ascii="Times New Roman" w:hAnsi="Times New Roman" w:cs="Times New Roman"/>
          <w:b/>
          <w:bCs/>
          <w:sz w:val="24"/>
          <w:szCs w:val="24"/>
        </w:rPr>
      </w:pPr>
    </w:p>
    <w:p w:rsidR="000537B8" w:rsidRPr="000537B8" w:rsidP="000537B8">
      <w:pPr>
        <w:widowControl w:val="0"/>
        <w:bidi w:val="0"/>
        <w:jc w:val="center"/>
        <w:rPr>
          <w:rFonts w:ascii="Times New Roman" w:hAnsi="Times New Roman" w:cs="Times New Roman"/>
          <w:b/>
          <w:bCs/>
          <w:sz w:val="24"/>
          <w:szCs w:val="24"/>
        </w:rPr>
      </w:pPr>
      <w:r w:rsidRPr="000537B8">
        <w:rPr>
          <w:rFonts w:ascii="Times New Roman" w:hAnsi="Times New Roman" w:cs="Times New Roman"/>
          <w:b/>
          <w:bCs/>
          <w:sz w:val="24"/>
          <w:szCs w:val="24"/>
        </w:rPr>
        <w:t>ktorým sa mení a dopĺňa zákon č. 566/2001 Z. z. o cenných papieroch a investičných službách a o zmene a doplnení niektorých zákonov (zákon o cenných papieroch) v znení neskorších predpisov a ktorým sa menia a dopĺňajú niektoré zákony</w:t>
      </w:r>
    </w:p>
    <w:p w:rsidR="000537B8" w:rsidRPr="000537B8" w:rsidP="000537B8">
      <w:pPr>
        <w:widowControl w:val="0"/>
        <w:bidi w:val="0"/>
        <w:jc w:val="center"/>
        <w:rPr>
          <w:rFonts w:ascii="Times New Roman" w:hAnsi="Times New Roman" w:cs="Times New Roman"/>
          <w:b/>
          <w:bCs/>
          <w:sz w:val="24"/>
          <w:szCs w:val="24"/>
        </w:rPr>
      </w:pPr>
    </w:p>
    <w:p w:rsidR="000537B8" w:rsidRPr="000537B8" w:rsidP="000537B8">
      <w:pPr>
        <w:widowControl w:val="0"/>
        <w:bidi w:val="0"/>
        <w:spacing w:after="0"/>
        <w:ind w:firstLine="426"/>
        <w:rPr>
          <w:rFonts w:ascii="Times New Roman" w:hAnsi="Times New Roman" w:cs="Times New Roman"/>
          <w:bCs/>
          <w:sz w:val="24"/>
          <w:szCs w:val="24"/>
        </w:rPr>
      </w:pPr>
      <w:r w:rsidRPr="000537B8">
        <w:rPr>
          <w:rFonts w:ascii="Times New Roman" w:hAnsi="Times New Roman" w:cs="Times New Roman"/>
          <w:bCs/>
          <w:sz w:val="24"/>
          <w:szCs w:val="24"/>
        </w:rPr>
        <w:t>Národná rada Slovenskej republiky sa uzniesla na tomto zákone:</w:t>
      </w:r>
    </w:p>
    <w:p w:rsidR="000537B8" w:rsidRPr="000537B8" w:rsidP="000537B8">
      <w:pPr>
        <w:bidi w:val="0"/>
        <w:spacing w:after="0"/>
        <w:ind w:left="426" w:hanging="426"/>
        <w:jc w:val="center"/>
        <w:rPr>
          <w:rFonts w:ascii="Times New Roman" w:hAnsi="Times New Roman" w:cs="Times New Roman"/>
          <w:bCs/>
          <w:color w:val="000000"/>
          <w:sz w:val="24"/>
          <w:szCs w:val="24"/>
        </w:rPr>
      </w:pPr>
    </w:p>
    <w:p w:rsidR="00536EC9" w:rsidRPr="00536EC9" w:rsidP="00536EC9">
      <w:pPr>
        <w:bidi w:val="0"/>
        <w:spacing w:after="0"/>
        <w:ind w:left="426" w:hanging="426"/>
        <w:jc w:val="center"/>
        <w:rPr>
          <w:rFonts w:ascii="Times New Roman" w:hAnsi="Times New Roman" w:cs="Times New Roman"/>
          <w:b/>
          <w:bCs/>
          <w:color w:val="000000"/>
          <w:sz w:val="24"/>
          <w:szCs w:val="24"/>
        </w:rPr>
      </w:pPr>
      <w:r w:rsidRPr="00536EC9">
        <w:rPr>
          <w:rFonts w:ascii="Times New Roman" w:hAnsi="Times New Roman" w:cs="Times New Roman"/>
          <w:b/>
          <w:bCs/>
          <w:color w:val="000000"/>
          <w:sz w:val="24"/>
          <w:szCs w:val="24"/>
        </w:rPr>
        <w:t>Čl. I</w:t>
      </w:r>
    </w:p>
    <w:p w:rsidR="00536EC9" w:rsidRPr="00536EC9" w:rsidP="00536EC9">
      <w:pPr>
        <w:widowControl w:val="0"/>
        <w:overflowPunct w:val="0"/>
        <w:bidi w:val="0"/>
        <w:adjustRightInd w:val="0"/>
        <w:spacing w:after="0"/>
        <w:jc w:val="center"/>
        <w:rPr>
          <w:rFonts w:ascii="Times New Roman" w:hAnsi="Times New Roman" w:cs="Times New Roman"/>
          <w:b/>
          <w:bCs/>
          <w:kern w:val="28"/>
          <w:sz w:val="24"/>
          <w:szCs w:val="24"/>
        </w:rPr>
      </w:pPr>
    </w:p>
    <w:p w:rsidR="00536EC9" w:rsidRPr="00536EC9" w:rsidP="00536EC9">
      <w:pPr>
        <w:pStyle w:val="Default"/>
        <w:bidi w:val="0"/>
        <w:jc w:val="both"/>
        <w:rPr>
          <w:rFonts w:ascii="Times New Roman" w:hAnsi="Times New Roman" w:cs="Times New Roman"/>
          <w:kern w:val="28"/>
        </w:rPr>
      </w:pPr>
      <w:r w:rsidRPr="00536EC9">
        <w:rPr>
          <w:rFonts w:ascii="Times New Roman" w:hAnsi="Times New Roman" w:cs="Times New Roman"/>
          <w:bCs/>
          <w:kern w:val="28"/>
        </w:rPr>
        <w:t>Zákon č. 566/2001 Z. z. o cenných papieroch a investičných službách</w:t>
      </w:r>
      <w:r w:rsidRPr="00536EC9">
        <w:rPr>
          <w:rFonts w:ascii="Times New Roman" w:hAnsi="Times New Roman" w:cs="Times New Roman"/>
          <w:b/>
          <w:bCs/>
          <w:kern w:val="28"/>
        </w:rPr>
        <w:t xml:space="preserve"> </w:t>
      </w:r>
      <w:r w:rsidRPr="00536EC9">
        <w:rPr>
          <w:rFonts w:ascii="Times New Roman" w:hAnsi="Times New Roman" w:cs="Times New Roman"/>
          <w:kern w:val="28"/>
        </w:rPr>
        <w:t>a o zmene a doplnení niektorých zákonov (zákon o cenných papieroch) v znení zákona č. 291/2002 Z. z., zákona č. 510/2002 Z. z., zákona č. 162/2003 Z. z., zákona č. 594/2003 Z. z., zákona č. 43/2004 Z. z., zákona č. 635/2004 Z. z., zákona č. 747/2004 Z. z., zákona č. 7/2005 Z. z., zákona č. 266/2005 Z. z., zákona č. 336/2005 Z. z., zákona č. 213/2006 Z. z., zákona č. 644/2006 Z. z., zákona č. 209/2007 Z. z., zákona č. 659/2007 Z. z., zákona č. 70/2008 Z. z., zákona č. 297/2008 Z. z., zákona č. 552/2008 Z. z., zákona č. 160/2009 Z. z., zákona č. 186/2009 Z. z., zákona č. 276/2009 Z. z., zákona č. 487/2009 Z. z., zákona č.  492/2009 Z. z., zákona č. 129/2010 Z. z., zákona č.</w:t>
      </w:r>
      <w:r w:rsidRPr="00536EC9">
        <w:rPr>
          <w:rFonts w:ascii="Times New Roman" w:hAnsi="Times New Roman" w:cs="Times New Roman"/>
          <w:b/>
          <w:bCs/>
          <w:kern w:val="28"/>
        </w:rPr>
        <w:t xml:space="preserve"> </w:t>
      </w:r>
      <w:r w:rsidRPr="00536EC9">
        <w:rPr>
          <w:rFonts w:ascii="Times New Roman" w:hAnsi="Times New Roman" w:cs="Times New Roman"/>
          <w:kern w:val="28"/>
        </w:rPr>
        <w:t xml:space="preserve">505/2010 Z. z., zákona č. </w:t>
      </w:r>
      <w:r w:rsidRPr="00536EC9">
        <w:rPr>
          <w:rFonts w:ascii="Times New Roman" w:hAnsi="Times New Roman" w:cs="Times New Roman"/>
          <w:bCs/>
          <w:kern w:val="28"/>
        </w:rPr>
        <w:t xml:space="preserve">46/2011 Z. z., zákona č. 130/2011 Z. z., zákona č. 394/2011 Z. z., zákona č. 520/2011 Z. z., zákona č. 440/2012 Z. z., zákona č. 132/2013 Z. z., zákona č. 206/2013 Z. z., zákona č. 352/2013 Z. z.,  zákona č. 213/2014 Z. z., zákona č. 371/2014 Z. z., zákona č. 39/2015 Z. z., zákona č. 117/2015 Z. z., </w:t>
      </w:r>
      <w:r w:rsidRPr="00536EC9">
        <w:rPr>
          <w:rFonts w:ascii="Times New Roman" w:hAnsi="Times New Roman" w:cs="Times New Roman"/>
        </w:rPr>
        <w:t>zákona č. 253/2015 Z. z., zákona č. 323/2015 Z. z., zákona č. 359/2015 Z. z., zákona č. 361/2015 Z. z., zákona č. 375/2015 Z. z., zákona č. 388/2015 Z. z., zákona č. 389/2015 Z. z.,</w:t>
      </w:r>
      <w:r w:rsidRPr="00536EC9">
        <w:rPr>
          <w:rFonts w:ascii="Times New Roman" w:hAnsi="Times New Roman" w:cs="Times New Roman"/>
          <w:bCs/>
          <w:kern w:val="28"/>
        </w:rPr>
        <w:t> zákona č. 437/2015 Z. z., zákona č. 91/2016 Z. z. a zákona č. 125/2016 Z. z. s</w:t>
      </w:r>
      <w:r w:rsidRPr="00536EC9">
        <w:rPr>
          <w:rFonts w:ascii="Times New Roman" w:hAnsi="Times New Roman" w:cs="Times New Roman"/>
          <w:kern w:val="28"/>
        </w:rPr>
        <w:t>a mení a dopĺňa takto:</w:t>
      </w:r>
    </w:p>
    <w:p w:rsidR="00536EC9" w:rsidRPr="00536EC9" w:rsidP="00536EC9">
      <w:pPr>
        <w:widowControl w:val="0"/>
        <w:overflowPunct w:val="0"/>
        <w:bidi w:val="0"/>
        <w:adjustRightInd w:val="0"/>
        <w:spacing w:after="0"/>
        <w:ind w:firstLine="708"/>
        <w:jc w:val="both"/>
        <w:rPr>
          <w:rFonts w:ascii="Times New Roman" w:hAnsi="Times New Roman" w:cs="Times New Roman"/>
          <w:kern w:val="28"/>
          <w:sz w:val="24"/>
          <w:szCs w:val="24"/>
        </w:rPr>
      </w:pPr>
    </w:p>
    <w:p w:rsidR="00536EC9" w:rsidRPr="00536EC9" w:rsidP="00536EC9">
      <w:pPr>
        <w:pStyle w:val="ListParagraph"/>
        <w:numPr>
          <w:numId w:val="10"/>
        </w:numPr>
        <w:bidi w:val="0"/>
        <w:spacing w:after="0" w:line="259" w:lineRule="auto"/>
        <w:ind w:left="426" w:firstLine="0"/>
        <w:contextualSpacing/>
        <w:jc w:val="both"/>
        <w:rPr>
          <w:rFonts w:ascii="Times New Roman" w:hAnsi="Times New Roman" w:cs="Times New Roman"/>
          <w:sz w:val="24"/>
          <w:szCs w:val="24"/>
        </w:rPr>
      </w:pPr>
      <w:r w:rsidRPr="00536EC9">
        <w:rPr>
          <w:rFonts w:ascii="Times New Roman" w:hAnsi="Times New Roman" w:cs="Times New Roman"/>
          <w:sz w:val="24"/>
          <w:szCs w:val="24"/>
        </w:rPr>
        <w:t>V § 4a ods. 3 písm. g) sa na konci pripájajú tieto slová: „ak v emisných podmienkach investičných certifikátov nie je uvedené, že ide o trvalý finančný nástroj bez povinnosti jeho vyrovnania,“.</w:t>
      </w:r>
    </w:p>
    <w:p w:rsidR="00536EC9" w:rsidRPr="00536EC9" w:rsidP="00536EC9">
      <w:pPr>
        <w:pStyle w:val="ListParagraph"/>
        <w:bidi w:val="0"/>
        <w:spacing w:after="0" w:line="259" w:lineRule="auto"/>
        <w:ind w:left="786"/>
        <w:jc w:val="both"/>
        <w:rPr>
          <w:rFonts w:ascii="Times New Roman" w:hAnsi="Times New Roman" w:cs="Times New Roman"/>
          <w:sz w:val="24"/>
          <w:szCs w:val="24"/>
        </w:rPr>
      </w:pPr>
    </w:p>
    <w:p w:rsidR="00536EC9" w:rsidRPr="00536EC9" w:rsidP="00536EC9">
      <w:pPr>
        <w:numPr>
          <w:numId w:val="10"/>
        </w:numPr>
        <w:bidi w:val="0"/>
        <w:spacing w:after="0" w:line="259" w:lineRule="auto"/>
        <w:contextualSpacing/>
        <w:jc w:val="both"/>
        <w:rPr>
          <w:rFonts w:ascii="Times New Roman" w:hAnsi="Times New Roman" w:cs="Times New Roman"/>
          <w:sz w:val="24"/>
          <w:szCs w:val="24"/>
        </w:rPr>
      </w:pPr>
      <w:r w:rsidRPr="00536EC9">
        <w:rPr>
          <w:rFonts w:ascii="Times New Roman" w:hAnsi="Times New Roman" w:cs="Times New Roman"/>
          <w:sz w:val="24"/>
          <w:szCs w:val="24"/>
        </w:rPr>
        <w:t xml:space="preserve">§ 4a sa dopĺňa odsekom 19, ktorý znie: </w:t>
      </w:r>
    </w:p>
    <w:p w:rsidR="00536EC9" w:rsidRPr="00536EC9" w:rsidP="00536EC9">
      <w:pPr>
        <w:bidi w:val="0"/>
        <w:spacing w:after="0"/>
        <w:ind w:left="360"/>
        <w:jc w:val="both"/>
        <w:rPr>
          <w:rFonts w:ascii="Times New Roman" w:hAnsi="Times New Roman" w:cs="Times New Roman"/>
          <w:sz w:val="24"/>
          <w:szCs w:val="24"/>
        </w:rPr>
      </w:pPr>
      <w:r w:rsidRPr="00536EC9">
        <w:rPr>
          <w:rFonts w:ascii="Times New Roman" w:hAnsi="Times New Roman" w:cs="Times New Roman"/>
          <w:sz w:val="24"/>
          <w:szCs w:val="24"/>
        </w:rPr>
        <w:t xml:space="preserve">       „(19) Ak v emisných podmienkach investičných certifikátov emitent uviedol, že ide o trvalý finančný nástroj bez povinnosti jeho vyrovnania alebo je v nich uvedená skutočnosť, ktorá trvalo alebo dočasne znižuje hodnotu investičného certifikátu a umožňuje jeho konverziu na nástroje vlastného kapitálu Tier 1 podľa osobitného predpisu,</w:t>
      </w:r>
      <w:r w:rsidRPr="00536EC9">
        <w:rPr>
          <w:rFonts w:ascii="Times New Roman" w:hAnsi="Times New Roman" w:cs="Times New Roman"/>
          <w:sz w:val="24"/>
          <w:szCs w:val="24"/>
          <w:vertAlign w:val="superscript"/>
        </w:rPr>
        <w:t>16ae</w:t>
      </w:r>
      <w:r w:rsidRPr="00536EC9">
        <w:rPr>
          <w:rFonts w:ascii="Times New Roman" w:hAnsi="Times New Roman" w:cs="Times New Roman"/>
          <w:sz w:val="24"/>
          <w:szCs w:val="24"/>
        </w:rPr>
        <w:t>) takéto investičné certifikáty môžu byť predmetom ponuky len pre profesionálnych klientov podľa § 8a ods. 2.“</w:t>
      </w:r>
      <w:r w:rsidRPr="00536EC9">
        <w:rPr>
          <w:rFonts w:ascii="Times New Roman" w:hAnsi="Times New Roman" w:cs="Times New Roman"/>
          <w:bCs/>
          <w:sz w:val="24"/>
          <w:szCs w:val="24"/>
        </w:rPr>
        <w:t>.</w:t>
      </w:r>
      <w:r w:rsidRPr="00536EC9">
        <w:rPr>
          <w:rFonts w:ascii="Times New Roman" w:hAnsi="Times New Roman" w:cs="Times New Roman"/>
          <w:sz w:val="24"/>
          <w:szCs w:val="24"/>
        </w:rPr>
        <w:t xml:space="preserve">     </w:t>
      </w:r>
    </w:p>
    <w:p w:rsidR="00536EC9" w:rsidRPr="00536EC9" w:rsidP="00536EC9">
      <w:pPr>
        <w:bidi w:val="0"/>
        <w:spacing w:after="0"/>
        <w:ind w:left="360"/>
        <w:jc w:val="both"/>
        <w:rPr>
          <w:rFonts w:ascii="Times New Roman" w:hAnsi="Times New Roman" w:cs="Times New Roman"/>
          <w:sz w:val="24"/>
          <w:szCs w:val="24"/>
        </w:rPr>
      </w:pPr>
      <w:r w:rsidRPr="00536EC9">
        <w:rPr>
          <w:rFonts w:ascii="Times New Roman" w:hAnsi="Times New Roman" w:cs="Times New Roman"/>
          <w:sz w:val="24"/>
          <w:szCs w:val="24"/>
        </w:rPr>
        <w:t>Poznámka pod čiarou k odkazu 16ae znie:</w:t>
      </w:r>
    </w:p>
    <w:p w:rsidR="00536EC9" w:rsidRPr="00536EC9" w:rsidP="00536EC9">
      <w:pPr>
        <w:autoSpaceDE w:val="0"/>
        <w:autoSpaceDN w:val="0"/>
        <w:bidi w:val="0"/>
        <w:adjustRightInd w:val="0"/>
        <w:spacing w:after="0"/>
        <w:ind w:left="360"/>
        <w:jc w:val="both"/>
        <w:rPr>
          <w:rFonts w:ascii="Times New Roman" w:hAnsi="Times New Roman" w:cs="Times New Roman"/>
          <w:sz w:val="24"/>
          <w:szCs w:val="24"/>
        </w:rPr>
      </w:pPr>
      <w:r w:rsidRPr="00536EC9">
        <w:rPr>
          <w:rFonts w:ascii="Times New Roman" w:hAnsi="Times New Roman" w:cs="Times New Roman"/>
          <w:color w:val="231F20"/>
          <w:sz w:val="24"/>
          <w:szCs w:val="24"/>
        </w:rPr>
        <w:t>„</w:t>
      </w:r>
      <w:r w:rsidRPr="00536EC9">
        <w:rPr>
          <w:rFonts w:ascii="Times New Roman" w:hAnsi="Times New Roman" w:cs="Times New Roman"/>
          <w:color w:val="231F20"/>
          <w:sz w:val="24"/>
          <w:szCs w:val="24"/>
          <w:vertAlign w:val="superscript"/>
        </w:rPr>
        <w:t>16ae</w:t>
      </w:r>
      <w:r w:rsidRPr="00536EC9">
        <w:rPr>
          <w:rFonts w:ascii="Times New Roman" w:hAnsi="Times New Roman" w:cs="Times New Roman"/>
          <w:color w:val="231F20"/>
          <w:sz w:val="24"/>
          <w:szCs w:val="24"/>
        </w:rPr>
        <w:t>) Nariadenie (EÚ) č. 575/2013 v platnom znení.</w:t>
      </w:r>
    </w:p>
    <w:p w:rsidR="00536EC9" w:rsidRPr="00536EC9" w:rsidP="00536EC9">
      <w:pPr>
        <w:autoSpaceDE w:val="0"/>
        <w:autoSpaceDN w:val="0"/>
        <w:bidi w:val="0"/>
        <w:adjustRightInd w:val="0"/>
        <w:spacing w:after="0"/>
        <w:ind w:left="360"/>
        <w:jc w:val="both"/>
        <w:rPr>
          <w:rFonts w:ascii="Times New Roman" w:hAnsi="Times New Roman" w:cs="Times New Roman"/>
          <w:sz w:val="24"/>
          <w:szCs w:val="24"/>
        </w:rPr>
      </w:pPr>
      <w:r w:rsidRPr="00536EC9">
        <w:rPr>
          <w:rFonts w:ascii="Times New Roman" w:hAnsi="Times New Roman" w:cs="Times New Roman"/>
          <w:color w:val="231F20"/>
          <w:sz w:val="24"/>
          <w:szCs w:val="24"/>
        </w:rPr>
        <w:t>Delegované nariadenie Komisie (EÚ) č. 241/2014 zo 7. januára 2014, ktorým sa dopĺňa nariadenie Európskeho parlamentu a Rady (EÚ) č. 575/2013, pokiaľ ide o regulačné technické predpisy týkajúce sa požiadaviek na vlastné zdroje inštitúcií (</w:t>
      </w:r>
      <w:r w:rsidRPr="00536EC9">
        <w:rPr>
          <w:rFonts w:ascii="Times New Roman" w:hAnsi="Times New Roman" w:cs="Times New Roman"/>
          <w:iCs/>
          <w:sz w:val="24"/>
          <w:szCs w:val="24"/>
        </w:rPr>
        <w:t>Ú. v. EÚ L 74, 14.3.2014</w:t>
      </w:r>
      <w:r w:rsidRPr="00536EC9">
        <w:rPr>
          <w:rFonts w:ascii="Times New Roman" w:hAnsi="Times New Roman" w:cs="Times New Roman"/>
          <w:i/>
          <w:iCs/>
          <w:sz w:val="24"/>
          <w:szCs w:val="24"/>
        </w:rPr>
        <w:t>)</w:t>
      </w:r>
      <w:r w:rsidRPr="00536EC9">
        <w:rPr>
          <w:rFonts w:ascii="Times New Roman" w:hAnsi="Times New Roman" w:cs="Times New Roman"/>
          <w:iCs/>
          <w:sz w:val="24"/>
          <w:szCs w:val="24"/>
        </w:rPr>
        <w:t xml:space="preserve"> v platnom znení</w:t>
      </w:r>
      <w:r w:rsidRPr="00536EC9">
        <w:rPr>
          <w:rFonts w:ascii="Times New Roman" w:hAnsi="Times New Roman" w:cs="Times New Roman"/>
          <w:sz w:val="24"/>
          <w:szCs w:val="24"/>
        </w:rPr>
        <w:t>.</w:t>
      </w:r>
      <w:r w:rsidRPr="00536EC9">
        <w:rPr>
          <w:rFonts w:ascii="Times New Roman" w:hAnsi="Times New Roman" w:cs="Times New Roman"/>
          <w:color w:val="231F20"/>
          <w:sz w:val="24"/>
          <w:szCs w:val="24"/>
        </w:rPr>
        <w:t>“.</w:t>
      </w:r>
    </w:p>
    <w:p w:rsidR="00536EC9" w:rsidRPr="00536EC9" w:rsidP="00536EC9">
      <w:pPr>
        <w:widowControl w:val="0"/>
        <w:overflowPunct w:val="0"/>
        <w:bidi w:val="0"/>
        <w:adjustRightInd w:val="0"/>
        <w:spacing w:after="0"/>
        <w:ind w:firstLine="708"/>
        <w:jc w:val="both"/>
        <w:rPr>
          <w:rFonts w:ascii="Times New Roman" w:hAnsi="Times New Roman" w:cs="Times New Roman"/>
          <w:kern w:val="28"/>
          <w:sz w:val="24"/>
          <w:szCs w:val="24"/>
        </w:rPr>
      </w:pPr>
    </w:p>
    <w:p w:rsidR="00536EC9" w:rsidRPr="00536EC9" w:rsidP="00536EC9">
      <w:pPr>
        <w:pStyle w:val="ListParagraph"/>
        <w:numPr>
          <w:numId w:val="10"/>
        </w:numPr>
        <w:bidi w:val="0"/>
        <w:spacing w:after="0"/>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 xml:space="preserve">V § 7 ods. 9 sa vypúšťajú slová „písm. b), § 99 ods. 3 písm. b), § 104 ods. 2 a § 164 ods. 1“.  </w:t>
      </w:r>
    </w:p>
    <w:p w:rsidR="00536EC9" w:rsidRPr="00536EC9" w:rsidP="00536EC9">
      <w:pPr>
        <w:bidi w:val="0"/>
        <w:spacing w:after="0"/>
        <w:ind w:left="360"/>
        <w:contextualSpacing/>
        <w:jc w:val="both"/>
        <w:rPr>
          <w:rFonts w:ascii="Times New Roman" w:hAnsi="Times New Roman" w:cs="Times New Roman"/>
          <w:color w:val="000000"/>
          <w:sz w:val="24"/>
          <w:szCs w:val="24"/>
        </w:rPr>
      </w:pPr>
    </w:p>
    <w:p w:rsidR="00536EC9" w:rsidRPr="00536EC9" w:rsidP="00536EC9">
      <w:pPr>
        <w:numPr>
          <w:numId w:val="10"/>
        </w:numPr>
        <w:bidi w:val="0"/>
        <w:spacing w:after="0"/>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 xml:space="preserve">V § 10 ods. 4 písm. a) sa za slovo „depozitárom“ vkladá čiarka a slová „podľa § 99 ods. 3“ sa nahrádzajú slovami „zahraničným centrálnym depozitárom“.   </w:t>
      </w:r>
    </w:p>
    <w:p w:rsidR="00536EC9" w:rsidRPr="00536EC9" w:rsidP="00536EC9">
      <w:pPr>
        <w:pStyle w:val="ListParagraph"/>
        <w:numPr>
          <w:numId w:val="10"/>
        </w:numPr>
        <w:bidi w:val="0"/>
        <w:spacing w:after="0" w:line="259" w:lineRule="auto"/>
        <w:contextualSpacing/>
        <w:jc w:val="both"/>
        <w:rPr>
          <w:rFonts w:ascii="Times New Roman" w:hAnsi="Times New Roman" w:cs="Times New Roman"/>
          <w:sz w:val="24"/>
          <w:szCs w:val="24"/>
        </w:rPr>
      </w:pPr>
      <w:r w:rsidRPr="00536EC9">
        <w:rPr>
          <w:rFonts w:ascii="Times New Roman" w:hAnsi="Times New Roman" w:cs="Times New Roman"/>
          <w:sz w:val="24"/>
          <w:szCs w:val="24"/>
        </w:rPr>
        <w:t xml:space="preserve">V § 10 ods. 4 písm. b) sa slová „§ 99 ods. 3 a § 103“ nahrádzajú slovami „tohto zákona“. </w:t>
      </w:r>
    </w:p>
    <w:p w:rsidR="00536EC9" w:rsidRPr="00536EC9" w:rsidP="00536EC9">
      <w:pPr>
        <w:pStyle w:val="ListParagraph"/>
        <w:bidi w:val="0"/>
        <w:spacing w:after="0" w:line="259" w:lineRule="auto"/>
        <w:jc w:val="both"/>
        <w:rPr>
          <w:rFonts w:ascii="Times New Roman" w:hAnsi="Times New Roman" w:cs="Times New Roman"/>
          <w:sz w:val="24"/>
          <w:szCs w:val="24"/>
        </w:rPr>
      </w:pPr>
    </w:p>
    <w:p w:rsidR="00536EC9" w:rsidRPr="00536EC9" w:rsidP="00536EC9">
      <w:pPr>
        <w:pStyle w:val="ListParagraph"/>
        <w:numPr>
          <w:numId w:val="10"/>
        </w:numPr>
        <w:bidi w:val="0"/>
        <w:spacing w:after="0" w:line="259" w:lineRule="auto"/>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V § 12 sa vypúšťa odsek 2.</w:t>
      </w:r>
    </w:p>
    <w:p w:rsidR="00536EC9" w:rsidRPr="00536EC9" w:rsidP="00536EC9">
      <w:pPr>
        <w:bidi w:val="0"/>
        <w:spacing w:after="0"/>
        <w:ind w:left="1080"/>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Doterajšie odseky 3 až 7 sa označujú ako odseky 2 až 6.</w:t>
      </w:r>
    </w:p>
    <w:p w:rsidR="00536EC9" w:rsidRPr="00536EC9" w:rsidP="00536EC9">
      <w:pPr>
        <w:bidi w:val="0"/>
        <w:spacing w:after="0"/>
        <w:ind w:left="1080"/>
        <w:jc w:val="both"/>
        <w:rPr>
          <w:rFonts w:ascii="Times New Roman" w:hAnsi="Times New Roman" w:cs="Times New Roman"/>
          <w:color w:val="000000"/>
          <w:sz w:val="24"/>
          <w:szCs w:val="24"/>
        </w:rPr>
      </w:pPr>
    </w:p>
    <w:p w:rsidR="00536EC9" w:rsidRPr="00536EC9" w:rsidP="00536EC9">
      <w:pPr>
        <w:pStyle w:val="ListParagraph"/>
        <w:numPr>
          <w:numId w:val="10"/>
        </w:numPr>
        <w:bidi w:val="0"/>
        <w:spacing w:after="0"/>
        <w:contextualSpacing/>
        <w:jc w:val="both"/>
        <w:rPr>
          <w:rFonts w:ascii="Times New Roman" w:hAnsi="Times New Roman" w:cs="Times New Roman"/>
          <w:color w:val="000000"/>
          <w:sz w:val="24"/>
          <w:szCs w:val="24"/>
          <w:u w:val="single"/>
        </w:rPr>
      </w:pPr>
      <w:r w:rsidRPr="00536EC9">
        <w:rPr>
          <w:rFonts w:ascii="Times New Roman" w:hAnsi="Times New Roman" w:cs="Times New Roman"/>
          <w:color w:val="000000"/>
          <w:sz w:val="24"/>
          <w:szCs w:val="24"/>
        </w:rPr>
        <w:t xml:space="preserve">V § 14 odsek 4 znie: </w:t>
      </w:r>
    </w:p>
    <w:p w:rsidR="00536EC9" w:rsidRPr="00536EC9" w:rsidP="00536EC9">
      <w:pPr>
        <w:bidi w:val="0"/>
        <w:spacing w:after="0"/>
        <w:ind w:left="426" w:firstLine="578"/>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 xml:space="preserve">„(4) Osoba, ktorá vedie evidenciu zaknihovaných cenných papierov, je povinná pri zániku zaknihovaného cenného papiera vykonať výmaz cenného papiera v tejto evidencii bezodkladne po tom, ako sa dozvie o tejto skutočnosti; tým nie je dotknuté ustanovenie § 104 ods. 5.“.  </w:t>
      </w:r>
    </w:p>
    <w:p w:rsidR="00536EC9" w:rsidRPr="00536EC9" w:rsidP="00536EC9">
      <w:pPr>
        <w:bidi w:val="0"/>
        <w:spacing w:after="0"/>
        <w:ind w:left="426" w:firstLine="578"/>
        <w:jc w:val="both"/>
        <w:rPr>
          <w:rFonts w:ascii="Times New Roman" w:hAnsi="Times New Roman" w:cs="Times New Roman"/>
          <w:color w:val="000000"/>
          <w:sz w:val="24"/>
          <w:szCs w:val="24"/>
        </w:rPr>
      </w:pPr>
    </w:p>
    <w:p w:rsidR="00536EC9" w:rsidRPr="00536EC9" w:rsidP="00536EC9">
      <w:pPr>
        <w:pStyle w:val="ListParagraph"/>
        <w:numPr>
          <w:numId w:val="10"/>
        </w:numPr>
        <w:bidi w:val="0"/>
        <w:spacing w:after="0" w:line="240" w:lineRule="auto"/>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V § 17 ods. 1 sa za slovo „depozitára“ vkladajú slová „(ďalej len „člen“)“.</w:t>
      </w:r>
    </w:p>
    <w:p w:rsidR="00536EC9" w:rsidRPr="00536EC9" w:rsidP="00536EC9">
      <w:pPr>
        <w:bidi w:val="0"/>
        <w:spacing w:after="0"/>
        <w:ind w:left="426" w:firstLine="578"/>
        <w:jc w:val="both"/>
        <w:rPr>
          <w:rFonts w:ascii="Times New Roman" w:hAnsi="Times New Roman" w:cs="Times New Roman"/>
          <w:color w:val="000000"/>
          <w:sz w:val="24"/>
          <w:szCs w:val="24"/>
        </w:rPr>
      </w:pPr>
    </w:p>
    <w:p w:rsidR="00536EC9" w:rsidRPr="00536EC9" w:rsidP="00536EC9">
      <w:pPr>
        <w:pStyle w:val="ListParagraph"/>
        <w:numPr>
          <w:numId w:val="10"/>
        </w:numPr>
        <w:bidi w:val="0"/>
        <w:spacing w:after="0"/>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 xml:space="preserve">V § 23 ods. 2 sa za slovami „§ 70 ods. 1 písm. a)“ vypúšťa čiarka a slová „§ 102 ods. 1 písm. a) a b)“.  </w:t>
      </w:r>
    </w:p>
    <w:p w:rsidR="00536EC9" w:rsidRPr="00536EC9" w:rsidP="00536EC9">
      <w:pPr>
        <w:pStyle w:val="ListParagraph"/>
        <w:bidi w:val="0"/>
        <w:spacing w:after="0"/>
        <w:rPr>
          <w:rFonts w:ascii="Times New Roman" w:hAnsi="Times New Roman" w:cs="Times New Roman"/>
          <w:color w:val="000000"/>
          <w:sz w:val="24"/>
          <w:szCs w:val="24"/>
        </w:rPr>
      </w:pPr>
    </w:p>
    <w:p w:rsidR="00536EC9" w:rsidRPr="00536EC9" w:rsidP="00536EC9">
      <w:pPr>
        <w:pStyle w:val="ListParagraph"/>
        <w:numPr>
          <w:numId w:val="10"/>
        </w:numPr>
        <w:bidi w:val="0"/>
        <w:spacing w:after="0"/>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 xml:space="preserve"> V § 28 ods. 3 písm. e) sa vypúšťajú slová „výplaty úrokových výnosov, splatenia menovitej hodnoty,“.</w:t>
      </w:r>
    </w:p>
    <w:p w:rsidR="00536EC9" w:rsidRPr="00536EC9" w:rsidP="00536EC9">
      <w:pPr>
        <w:pStyle w:val="ListParagraph"/>
        <w:bidi w:val="0"/>
        <w:spacing w:after="0"/>
        <w:rPr>
          <w:rFonts w:ascii="Times New Roman" w:hAnsi="Times New Roman" w:cs="Times New Roman"/>
          <w:color w:val="000000"/>
          <w:sz w:val="24"/>
          <w:szCs w:val="24"/>
        </w:rPr>
      </w:pPr>
    </w:p>
    <w:p w:rsidR="00536EC9" w:rsidRPr="00536EC9" w:rsidP="00536EC9">
      <w:pPr>
        <w:pStyle w:val="ListParagraph"/>
        <w:numPr>
          <w:numId w:val="10"/>
        </w:numPr>
        <w:bidi w:val="0"/>
        <w:spacing w:after="0"/>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V § 28 ods. 3 sa vypúšťa písmeno f).</w:t>
      </w:r>
    </w:p>
    <w:p w:rsidR="00536EC9" w:rsidRPr="00536EC9" w:rsidP="00536EC9">
      <w:pPr>
        <w:pStyle w:val="ListParagraph"/>
        <w:bidi w:val="0"/>
        <w:spacing w:after="0"/>
        <w:rPr>
          <w:rFonts w:ascii="Times New Roman" w:hAnsi="Times New Roman" w:cs="Times New Roman"/>
          <w:color w:val="000000"/>
          <w:sz w:val="24"/>
          <w:szCs w:val="24"/>
        </w:rPr>
      </w:pPr>
    </w:p>
    <w:p w:rsidR="00536EC9" w:rsidRPr="00536EC9" w:rsidP="00536EC9">
      <w:pPr>
        <w:pStyle w:val="ListParagraph"/>
        <w:bidi w:val="0"/>
        <w:spacing w:after="0"/>
        <w:ind w:left="786"/>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Doterajšie písmená g) až l) sa označujú ako písmená f) až k).</w:t>
      </w:r>
    </w:p>
    <w:p w:rsidR="00536EC9" w:rsidRPr="00536EC9" w:rsidP="00536EC9">
      <w:pPr>
        <w:pStyle w:val="ListParagraph"/>
        <w:bidi w:val="0"/>
        <w:spacing w:after="0"/>
        <w:ind w:left="786"/>
        <w:jc w:val="both"/>
        <w:rPr>
          <w:rFonts w:ascii="Times New Roman" w:hAnsi="Times New Roman" w:cs="Times New Roman"/>
          <w:color w:val="000000"/>
          <w:sz w:val="24"/>
          <w:szCs w:val="24"/>
        </w:rPr>
      </w:pPr>
    </w:p>
    <w:p w:rsidR="00536EC9" w:rsidRPr="00536EC9" w:rsidP="00536EC9">
      <w:pPr>
        <w:pStyle w:val="ListParagraph"/>
        <w:numPr>
          <w:numId w:val="10"/>
        </w:numPr>
        <w:bidi w:val="0"/>
        <w:spacing w:after="0"/>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V § 28 ods. 3 písm. f) sa na konci pripájajú tieto slová: „alebo za účelom plnenia povinností podľa osobitných predpisov</w:t>
      </w:r>
      <w:r w:rsidRPr="00536EC9">
        <w:rPr>
          <w:rFonts w:ascii="Times New Roman" w:hAnsi="Times New Roman" w:cs="Times New Roman"/>
          <w:color w:val="000000"/>
          <w:sz w:val="24"/>
          <w:szCs w:val="24"/>
          <w:vertAlign w:val="superscript"/>
        </w:rPr>
        <w:t>40</w:t>
      </w:r>
      <w:r w:rsidRPr="00536EC9">
        <w:rPr>
          <w:rFonts w:ascii="Times New Roman" w:hAnsi="Times New Roman" w:cs="Times New Roman"/>
          <w:color w:val="000000"/>
          <w:sz w:val="24"/>
          <w:szCs w:val="24"/>
        </w:rPr>
        <w:t>), alebo centrálny depozitár na nevyhnutný čas za účelom nápravy zisteného nesúladu v evidencii“.</w:t>
      </w:r>
    </w:p>
    <w:p w:rsidR="00536EC9" w:rsidRPr="00536EC9" w:rsidP="00536EC9">
      <w:pPr>
        <w:pStyle w:val="ListParagraph"/>
        <w:bidi w:val="0"/>
        <w:spacing w:after="0"/>
        <w:jc w:val="both"/>
        <w:rPr>
          <w:rFonts w:ascii="Times New Roman" w:hAnsi="Times New Roman" w:cs="Times New Roman"/>
          <w:color w:val="000000"/>
          <w:sz w:val="24"/>
          <w:szCs w:val="24"/>
        </w:rPr>
      </w:pPr>
    </w:p>
    <w:p w:rsidR="00536EC9" w:rsidRPr="00536EC9" w:rsidP="00536EC9">
      <w:pPr>
        <w:pStyle w:val="ListParagraph"/>
        <w:bidi w:val="0"/>
        <w:spacing w:after="0"/>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Poznámka pod čiarou k odkazu 40 znie:</w:t>
      </w:r>
    </w:p>
    <w:p w:rsidR="00536EC9" w:rsidRPr="00536EC9" w:rsidP="00536EC9">
      <w:pPr>
        <w:pStyle w:val="ListParagraph"/>
        <w:bidi w:val="0"/>
        <w:spacing w:after="0"/>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w:t>
      </w:r>
      <w:r w:rsidRPr="00536EC9">
        <w:rPr>
          <w:rFonts w:ascii="Times New Roman" w:hAnsi="Times New Roman" w:cs="Times New Roman"/>
          <w:color w:val="000000"/>
          <w:sz w:val="24"/>
          <w:szCs w:val="24"/>
          <w:vertAlign w:val="superscript"/>
        </w:rPr>
        <w:t>40</w:t>
      </w:r>
      <w:r w:rsidRPr="00536EC9">
        <w:rPr>
          <w:rFonts w:ascii="Times New Roman" w:hAnsi="Times New Roman" w:cs="Times New Roman"/>
          <w:color w:val="000000"/>
          <w:sz w:val="24"/>
          <w:szCs w:val="24"/>
        </w:rPr>
        <w:t>) Napríklad zákon č. ......./2016 Z. z.  o vykonávaní medzinárodných sankcií.“.</w:t>
      </w:r>
    </w:p>
    <w:p w:rsidR="00536EC9" w:rsidRPr="00536EC9" w:rsidP="00536EC9">
      <w:pPr>
        <w:pStyle w:val="ListParagraph"/>
        <w:bidi w:val="0"/>
        <w:spacing w:after="0"/>
        <w:jc w:val="both"/>
        <w:rPr>
          <w:rFonts w:ascii="Times New Roman" w:hAnsi="Times New Roman" w:cs="Times New Roman"/>
          <w:color w:val="000000"/>
          <w:sz w:val="24"/>
          <w:szCs w:val="24"/>
        </w:rPr>
      </w:pPr>
    </w:p>
    <w:p w:rsidR="00536EC9" w:rsidRPr="00536EC9" w:rsidP="00536EC9">
      <w:pPr>
        <w:pStyle w:val="ListParagraph"/>
        <w:numPr>
          <w:numId w:val="10"/>
        </w:numPr>
        <w:bidi w:val="0"/>
        <w:spacing w:after="0"/>
        <w:ind w:left="0" w:firstLine="426"/>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 xml:space="preserve">V § 28 ods. 4 prvej vete sa na konci bodka nahrádza bodkočiarkou a pripájajú sa tieto slová: „ak osoba podľa odseku 3 písm. a), g) a i) neuvedie v príkaze označenie cenných papierov a počet kusov cenného papiera, príkaz sa vzťahuje na všetky cenné papiere evidované na účte majiteľa v čase podania príkazu.“ a v druhej vete sa slová „všetky náležitosti“ nahrádzajú slovami „náležitosti najmenej v rozsahu prvej vety“. </w:t>
      </w:r>
    </w:p>
    <w:p w:rsidR="00536EC9" w:rsidRPr="00536EC9" w:rsidP="00536EC9">
      <w:pPr>
        <w:bidi w:val="0"/>
        <w:spacing w:after="0"/>
        <w:jc w:val="both"/>
        <w:rPr>
          <w:rFonts w:ascii="Times New Roman" w:hAnsi="Times New Roman" w:cs="Times New Roman"/>
          <w:color w:val="000000"/>
          <w:sz w:val="24"/>
          <w:szCs w:val="24"/>
        </w:rPr>
      </w:pPr>
    </w:p>
    <w:p w:rsidR="00536EC9" w:rsidRPr="00536EC9" w:rsidP="00536EC9">
      <w:pPr>
        <w:pStyle w:val="ListParagraph"/>
        <w:numPr>
          <w:numId w:val="10"/>
        </w:numPr>
        <w:bidi w:val="0"/>
        <w:spacing w:after="0"/>
        <w:ind w:left="0" w:firstLine="360"/>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V § 28 ods. 5 prvej vete sa na konci bodka nahrádza čiarkou a pripájajú sa tieto slová: „ktorý vedie emisiu v registri emitenta.“ a za prvú vetu sa vkladá nová druhá veta, ktorá znie:  „Ak sa pozastavenie práva nakladať vzťahuje na celú emisiu, ktorej cenné papiere sú evidované na držiteľskom účte centrálneho depozitára, je centrálny depozitár povinný zaregistrovať pozastavenie práva nakladať v evidencii, ktorú vedie podľa § 105c na základe oznámenia centrálneho depozitára, ktorý vedie register emitenta; oznámenie môže byť realizované elektronickou formou a musí obsahovať údaje v rovnakom rozsahu ako boli uvedené v príkaze na registráciu pozastavenia práva nakladať.“.</w:t>
      </w:r>
    </w:p>
    <w:p w:rsidR="00536EC9" w:rsidRPr="00536EC9" w:rsidP="00536EC9">
      <w:pPr>
        <w:pStyle w:val="ListParagraph"/>
        <w:bidi w:val="0"/>
        <w:spacing w:after="0"/>
        <w:rPr>
          <w:rFonts w:ascii="Times New Roman" w:hAnsi="Times New Roman" w:cs="Times New Roman"/>
          <w:color w:val="000000"/>
          <w:sz w:val="24"/>
          <w:szCs w:val="24"/>
        </w:rPr>
      </w:pPr>
    </w:p>
    <w:p w:rsidR="00536EC9" w:rsidRPr="00536EC9" w:rsidP="00536EC9">
      <w:pPr>
        <w:pStyle w:val="ListParagraph"/>
        <w:numPr>
          <w:numId w:val="10"/>
        </w:numPr>
        <w:bidi w:val="0"/>
        <w:spacing w:after="0"/>
        <w:ind w:left="0" w:firstLine="360"/>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V § 28 ods. 7 sa za slovo „predaja,“ vkladajú slová „zmluvu o zabezpečovacom prevode cenného papiera,“.</w:t>
      </w:r>
    </w:p>
    <w:p w:rsidR="00536EC9" w:rsidRPr="00536EC9" w:rsidP="00536EC9">
      <w:pPr>
        <w:pStyle w:val="ListParagraph"/>
        <w:bidi w:val="0"/>
        <w:spacing w:after="0"/>
        <w:rPr>
          <w:rFonts w:ascii="Times New Roman" w:hAnsi="Times New Roman" w:cs="Times New Roman"/>
          <w:color w:val="000000"/>
          <w:sz w:val="24"/>
          <w:szCs w:val="24"/>
        </w:rPr>
      </w:pPr>
    </w:p>
    <w:p w:rsidR="00536EC9" w:rsidRPr="00536EC9" w:rsidP="00536EC9">
      <w:pPr>
        <w:pStyle w:val="ListParagraph"/>
        <w:numPr>
          <w:numId w:val="10"/>
        </w:numPr>
        <w:bidi w:val="0"/>
        <w:spacing w:after="0"/>
        <w:ind w:left="0" w:firstLine="360"/>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V § 29 sa slová „§ 99 ods. 16 a § 107a“ nahrádzajú slovami „tohto zákona“.</w:t>
      </w:r>
    </w:p>
    <w:p w:rsidR="00536EC9" w:rsidRPr="00536EC9" w:rsidP="00536EC9">
      <w:pPr>
        <w:bidi w:val="0"/>
        <w:spacing w:after="0"/>
        <w:jc w:val="both"/>
        <w:rPr>
          <w:rFonts w:ascii="Times New Roman" w:hAnsi="Times New Roman" w:cs="Times New Roman"/>
          <w:color w:val="000000"/>
          <w:sz w:val="24"/>
          <w:szCs w:val="24"/>
        </w:rPr>
      </w:pPr>
    </w:p>
    <w:p w:rsidR="00536EC9" w:rsidRPr="00536EC9" w:rsidP="00536EC9">
      <w:pPr>
        <w:pStyle w:val="ListParagraph"/>
        <w:numPr>
          <w:numId w:val="10"/>
        </w:numPr>
        <w:bidi w:val="0"/>
        <w:spacing w:after="0"/>
        <w:contextualSpacing/>
        <w:rPr>
          <w:rFonts w:ascii="Times New Roman" w:hAnsi="Times New Roman" w:cs="Times New Roman"/>
          <w:color w:val="000000"/>
          <w:sz w:val="24"/>
          <w:szCs w:val="24"/>
        </w:rPr>
      </w:pPr>
      <w:r w:rsidRPr="00536EC9">
        <w:rPr>
          <w:rFonts w:ascii="Times New Roman" w:hAnsi="Times New Roman" w:cs="Times New Roman"/>
          <w:color w:val="000000"/>
          <w:sz w:val="24"/>
          <w:szCs w:val="24"/>
        </w:rPr>
        <w:t>V § 41 ods. 2 sa číslo „100“ nahrádza slovami „centrálny depozitár“.</w:t>
      </w:r>
    </w:p>
    <w:p w:rsidR="00536EC9" w:rsidRPr="00536EC9" w:rsidP="00536EC9">
      <w:pPr>
        <w:pStyle w:val="ListParagraph"/>
        <w:bidi w:val="0"/>
        <w:spacing w:after="0"/>
        <w:rPr>
          <w:rFonts w:ascii="Times New Roman" w:hAnsi="Times New Roman" w:cs="Times New Roman"/>
          <w:color w:val="000000"/>
          <w:sz w:val="24"/>
          <w:szCs w:val="24"/>
        </w:rPr>
      </w:pPr>
    </w:p>
    <w:p w:rsidR="00536EC9" w:rsidRPr="00536EC9" w:rsidP="00536EC9">
      <w:pPr>
        <w:pStyle w:val="ListParagraph"/>
        <w:numPr>
          <w:numId w:val="10"/>
        </w:numPr>
        <w:bidi w:val="0"/>
        <w:spacing w:after="0"/>
        <w:contextualSpacing/>
        <w:rPr>
          <w:rFonts w:ascii="Times New Roman" w:hAnsi="Times New Roman" w:cs="Times New Roman"/>
          <w:color w:val="000000"/>
          <w:sz w:val="24"/>
          <w:szCs w:val="24"/>
        </w:rPr>
      </w:pPr>
      <w:r w:rsidRPr="00536EC9">
        <w:rPr>
          <w:rFonts w:ascii="Times New Roman" w:hAnsi="Times New Roman" w:cs="Times New Roman"/>
          <w:color w:val="000000"/>
          <w:sz w:val="24"/>
          <w:szCs w:val="24"/>
        </w:rPr>
        <w:t>V § 42 ods. 2 sa vypúšťajú slová „alebo 100“.</w:t>
      </w:r>
    </w:p>
    <w:p w:rsidR="00536EC9" w:rsidRPr="00536EC9" w:rsidP="00536EC9">
      <w:pPr>
        <w:bidi w:val="0"/>
        <w:spacing w:after="0"/>
        <w:rPr>
          <w:rFonts w:ascii="Times New Roman" w:hAnsi="Times New Roman" w:cs="Times New Roman"/>
          <w:color w:val="000000"/>
          <w:sz w:val="24"/>
          <w:szCs w:val="24"/>
        </w:rPr>
      </w:pPr>
    </w:p>
    <w:p w:rsidR="00536EC9" w:rsidRPr="00536EC9" w:rsidP="00536EC9">
      <w:pPr>
        <w:pStyle w:val="ListParagraph"/>
        <w:numPr>
          <w:numId w:val="10"/>
        </w:numPr>
        <w:bidi w:val="0"/>
        <w:spacing w:after="0"/>
        <w:ind w:left="0" w:firstLine="273"/>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 xml:space="preserve">V § 44 ods. 3 sa na konci bodka nahrádza bodkočiarkou a pripájajú sa tieto slová: „to neplatí, ak sú imobilizované cenné papiere prijaté na obchodovanie na regulovanom trhu alebo na inom obchodnom mieste.“. </w:t>
      </w:r>
    </w:p>
    <w:p w:rsidR="00536EC9" w:rsidRPr="00536EC9" w:rsidP="00536EC9">
      <w:pPr>
        <w:bidi w:val="0"/>
        <w:spacing w:after="0"/>
        <w:ind w:left="360"/>
        <w:jc w:val="both"/>
        <w:rPr>
          <w:rFonts w:ascii="Times New Roman" w:hAnsi="Times New Roman" w:cs="Times New Roman"/>
          <w:color w:val="000000"/>
          <w:sz w:val="24"/>
          <w:szCs w:val="24"/>
        </w:rPr>
      </w:pPr>
      <w:r w:rsidRPr="00536EC9">
        <w:rPr>
          <w:rFonts w:ascii="Times New Roman" w:hAnsi="Times New Roman" w:cs="Times New Roman"/>
          <w:i/>
          <w:color w:val="000000"/>
          <w:sz w:val="24"/>
          <w:szCs w:val="24"/>
        </w:rPr>
        <w:t xml:space="preserve">       </w:t>
      </w:r>
      <w:r w:rsidRPr="00536EC9">
        <w:rPr>
          <w:rFonts w:ascii="Times New Roman" w:hAnsi="Times New Roman" w:cs="Times New Roman"/>
          <w:i/>
          <w:color w:val="000000"/>
          <w:sz w:val="24"/>
          <w:szCs w:val="24"/>
          <w:u w:val="single"/>
        </w:rPr>
        <w:t xml:space="preserve"> </w:t>
      </w:r>
    </w:p>
    <w:p w:rsidR="00536EC9" w:rsidRPr="00536EC9" w:rsidP="00536EC9">
      <w:pPr>
        <w:pStyle w:val="ListParagraph"/>
        <w:numPr>
          <w:numId w:val="10"/>
        </w:numPr>
        <w:bidi w:val="0"/>
        <w:spacing w:after="0"/>
        <w:contextualSpacing/>
        <w:jc w:val="both"/>
        <w:rPr>
          <w:rFonts w:ascii="Times New Roman" w:hAnsi="Times New Roman" w:cs="Times New Roman"/>
          <w:color w:val="000000"/>
          <w:sz w:val="24"/>
          <w:szCs w:val="24"/>
        </w:rPr>
      </w:pPr>
      <w:r w:rsidRPr="00536EC9">
        <w:rPr>
          <w:rFonts w:ascii="Times New Roman" w:hAnsi="Times New Roman" w:cs="Times New Roman"/>
          <w:sz w:val="24"/>
          <w:szCs w:val="24"/>
        </w:rPr>
        <w:t>§ 44 sa dopĺňa odsekom 4, ktorý znie:</w:t>
      </w:r>
    </w:p>
    <w:p w:rsidR="00536EC9" w:rsidRPr="00536EC9" w:rsidP="00536EC9">
      <w:pPr>
        <w:bidi w:val="0"/>
        <w:spacing w:after="0"/>
        <w:ind w:firstLine="720"/>
        <w:jc w:val="both"/>
        <w:rPr>
          <w:rFonts w:ascii="Times New Roman" w:hAnsi="Times New Roman" w:cs="Times New Roman"/>
          <w:sz w:val="24"/>
          <w:szCs w:val="24"/>
        </w:rPr>
      </w:pPr>
      <w:r w:rsidRPr="00536EC9">
        <w:rPr>
          <w:rFonts w:ascii="Times New Roman" w:hAnsi="Times New Roman" w:cs="Times New Roman"/>
          <w:sz w:val="24"/>
          <w:szCs w:val="24"/>
        </w:rPr>
        <w:t xml:space="preserve">„(4)  Emitent, ktorého cenné papiere sú  </w:t>
      </w:r>
      <w:r w:rsidRPr="00536EC9">
        <w:rPr>
          <w:rFonts w:ascii="Times New Roman" w:hAnsi="Times New Roman" w:cs="Times New Roman"/>
          <w:color w:val="000000"/>
          <w:sz w:val="24"/>
          <w:szCs w:val="24"/>
        </w:rPr>
        <w:t>prijaté na obchodovanie na regulovanom trhu alebo na inom obchodnom mieste,</w:t>
      </w:r>
      <w:r w:rsidRPr="00536EC9">
        <w:rPr>
          <w:rFonts w:ascii="Times New Roman" w:hAnsi="Times New Roman" w:cs="Times New Roman"/>
          <w:sz w:val="24"/>
          <w:szCs w:val="24"/>
        </w:rPr>
        <w:t xml:space="preserve"> môže uzavrieť zmluvu podľa odseku 1 len s centrálnym depozitárom alebo so zahraničným centrálnym depozitárom, ktorý vykonáva túto činnosť.“.</w:t>
      </w:r>
    </w:p>
    <w:p w:rsidR="00536EC9" w:rsidRPr="00536EC9" w:rsidP="00536EC9">
      <w:pPr>
        <w:bidi w:val="0"/>
        <w:spacing w:after="0"/>
        <w:ind w:firstLine="720"/>
        <w:jc w:val="both"/>
        <w:rPr>
          <w:rFonts w:ascii="Times New Roman" w:hAnsi="Times New Roman" w:cs="Times New Roman"/>
          <w:sz w:val="24"/>
          <w:szCs w:val="24"/>
        </w:rPr>
      </w:pPr>
    </w:p>
    <w:p w:rsidR="00536EC9" w:rsidRPr="00536EC9" w:rsidP="00536EC9">
      <w:pPr>
        <w:pStyle w:val="ListParagraph"/>
        <w:numPr>
          <w:numId w:val="10"/>
        </w:numPr>
        <w:bidi w:val="0"/>
        <w:spacing w:after="0"/>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V § 47 ods. 1 písmeno c) znie:</w:t>
      </w:r>
    </w:p>
    <w:p w:rsidR="00536EC9" w:rsidRPr="00536EC9" w:rsidP="00536EC9">
      <w:pPr>
        <w:bidi w:val="0"/>
        <w:spacing w:after="0"/>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„c) označenie založeného cenného papiera obsahujúce ISIN pri zaknihovanom cennom papieri alebo pri listinnom cennom papieri označenie založeného cenného papiera obsahujúce druh a formu cenného papiera, identifikačné číslo, obchodné meno alebo názov a sídlo emitenta, ak je právnickou osobou, alebo meno a priezvisko a trvalý pobyt emitenta, ak je fyzickou osobou,“.</w:t>
      </w:r>
    </w:p>
    <w:p w:rsidR="00536EC9" w:rsidRPr="00536EC9" w:rsidP="00536EC9">
      <w:pPr>
        <w:bidi w:val="0"/>
        <w:spacing w:after="0"/>
        <w:jc w:val="both"/>
        <w:rPr>
          <w:rFonts w:ascii="Times New Roman" w:hAnsi="Times New Roman" w:cs="Times New Roman"/>
          <w:color w:val="000000"/>
          <w:sz w:val="24"/>
          <w:szCs w:val="24"/>
        </w:rPr>
      </w:pPr>
    </w:p>
    <w:p w:rsidR="00536EC9" w:rsidRPr="00536EC9" w:rsidP="00536EC9">
      <w:pPr>
        <w:pStyle w:val="ListParagraph"/>
        <w:numPr>
          <w:numId w:val="10"/>
        </w:numPr>
        <w:bidi w:val="0"/>
        <w:spacing w:after="0"/>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V § 47 odsek 2 znie:</w:t>
      </w:r>
    </w:p>
    <w:p w:rsidR="00536EC9" w:rsidRPr="00536EC9" w:rsidP="00536EC9">
      <w:pPr>
        <w:bidi w:val="0"/>
        <w:spacing w:after="0"/>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„(2) Centrálny depozitár je povinný na písomnú žiadosť právnickej osoby alebo fyzickej osoby vydať výpis z registra záložných práv v rozsahu údajov podľa odseku 1 písm. a), c), f) a h), pričom výpis môže obsahovať aj ďalšie údaje z registra emitenta.“.</w:t>
      </w:r>
    </w:p>
    <w:p w:rsidR="00536EC9" w:rsidRPr="00536EC9" w:rsidP="00536EC9">
      <w:pPr>
        <w:bidi w:val="0"/>
        <w:spacing w:after="0"/>
        <w:ind w:left="360"/>
        <w:jc w:val="both"/>
        <w:rPr>
          <w:rFonts w:ascii="Times New Roman" w:hAnsi="Times New Roman" w:cs="Times New Roman"/>
          <w:i/>
          <w:color w:val="000000"/>
          <w:sz w:val="24"/>
          <w:szCs w:val="24"/>
          <w:u w:val="single"/>
        </w:rPr>
      </w:pPr>
    </w:p>
    <w:p w:rsidR="00536EC9" w:rsidRPr="00536EC9" w:rsidP="00536EC9">
      <w:pPr>
        <w:pStyle w:val="ListParagraph"/>
        <w:numPr>
          <w:numId w:val="10"/>
        </w:numPr>
        <w:bidi w:val="0"/>
        <w:spacing w:after="0"/>
        <w:ind w:left="0" w:firstLine="426"/>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V § 50 ods. 5, § 107h ods. 10 a § 107l ods. 10 sa slová „§ 99“ nahrádzajú slovami „§ 10 ods. 4 písm. a)“.</w:t>
      </w:r>
    </w:p>
    <w:p w:rsidR="00536EC9" w:rsidRPr="00536EC9" w:rsidP="00536EC9">
      <w:pPr>
        <w:pStyle w:val="ListParagraph"/>
        <w:bidi w:val="0"/>
        <w:spacing w:after="0"/>
        <w:ind w:left="786"/>
        <w:jc w:val="both"/>
        <w:rPr>
          <w:rFonts w:ascii="Times New Roman" w:hAnsi="Times New Roman" w:cs="Times New Roman"/>
          <w:color w:val="000000"/>
          <w:sz w:val="24"/>
          <w:szCs w:val="24"/>
        </w:rPr>
      </w:pPr>
    </w:p>
    <w:p w:rsidR="00536EC9" w:rsidRPr="00536EC9" w:rsidP="00536EC9">
      <w:pPr>
        <w:pStyle w:val="ListParagraph"/>
        <w:numPr>
          <w:numId w:val="10"/>
        </w:numPr>
        <w:bidi w:val="0"/>
        <w:spacing w:after="0" w:line="240" w:lineRule="auto"/>
        <w:ind w:left="0" w:firstLine="349"/>
        <w:contextualSpacing/>
        <w:jc w:val="both"/>
        <w:rPr>
          <w:rFonts w:ascii="Times New Roman" w:hAnsi="Times New Roman" w:cs="Times New Roman"/>
          <w:sz w:val="24"/>
          <w:szCs w:val="24"/>
        </w:rPr>
      </w:pPr>
      <w:r w:rsidRPr="00536EC9">
        <w:rPr>
          <w:rFonts w:ascii="Times New Roman" w:hAnsi="Times New Roman" w:cs="Times New Roman"/>
          <w:sz w:val="24"/>
          <w:szCs w:val="24"/>
        </w:rPr>
        <w:t>V § 54 ods. 12 sa na konci pripája táto veta: „Národná banka Slovenska môže povoliť obchodníkovi s cennými papiermi podľa prvej vety, ktorý vykonáva pokyny klientov týkajúce sa finančných nástrojov, držať takéto nástroje na vlastný účet, len ak sú splnené tieto podmienky:</w:t>
      </w:r>
    </w:p>
    <w:p w:rsidR="00536EC9" w:rsidRPr="00536EC9" w:rsidP="00536EC9">
      <w:pPr>
        <w:pStyle w:val="CM1"/>
        <w:tabs>
          <w:tab w:val="left" w:pos="550"/>
        </w:tabs>
        <w:bidi w:val="0"/>
        <w:ind w:firstLine="349"/>
        <w:jc w:val="both"/>
        <w:rPr>
          <w:rFonts w:ascii="Times New Roman" w:hAnsi="Times New Roman" w:cs="Times New Roman"/>
          <w:color w:val="000000"/>
        </w:rPr>
      </w:pPr>
    </w:p>
    <w:p w:rsidR="00536EC9" w:rsidRPr="00536EC9" w:rsidP="00536EC9">
      <w:pPr>
        <w:pStyle w:val="CM4"/>
        <w:bidi w:val="0"/>
        <w:spacing w:before="60"/>
        <w:ind w:left="567" w:hanging="141"/>
        <w:jc w:val="both"/>
        <w:rPr>
          <w:rFonts w:ascii="Times New Roman" w:hAnsi="Times New Roman" w:cs="Times New Roman"/>
          <w:color w:val="000000"/>
        </w:rPr>
      </w:pPr>
      <w:r w:rsidRPr="00536EC9">
        <w:rPr>
          <w:rFonts w:ascii="Times New Roman" w:hAnsi="Times New Roman" w:cs="Times New Roman"/>
          <w:color w:val="000000"/>
        </w:rPr>
        <w:t xml:space="preserve">a) ide o pozície vzniknuté len v dôsledku toho, že obchodníkovi s cennými papiermi sa nepodarilo presne splniť pokyny klientov, </w:t>
      </w:r>
    </w:p>
    <w:p w:rsidR="00536EC9" w:rsidRPr="00536EC9" w:rsidP="00536EC9">
      <w:pPr>
        <w:pStyle w:val="CM4"/>
        <w:bidi w:val="0"/>
        <w:spacing w:before="60"/>
        <w:ind w:left="567" w:hanging="141"/>
        <w:jc w:val="both"/>
        <w:rPr>
          <w:rFonts w:ascii="Times New Roman" w:hAnsi="Times New Roman" w:cs="Times New Roman"/>
          <w:color w:val="000000"/>
        </w:rPr>
      </w:pPr>
      <w:r w:rsidRPr="00536EC9">
        <w:rPr>
          <w:rFonts w:ascii="Times New Roman" w:hAnsi="Times New Roman" w:cs="Times New Roman"/>
          <w:color w:val="000000"/>
        </w:rPr>
        <w:t xml:space="preserve">b) celková trhová hodnota všetkých takýchto pozícií je najviac 15 % z hodnoty počiatočného kapitálu obchodníka s cennými papiermi, </w:t>
      </w:r>
    </w:p>
    <w:p w:rsidR="00536EC9" w:rsidRPr="00536EC9" w:rsidP="00536EC9">
      <w:pPr>
        <w:pStyle w:val="CM4"/>
        <w:bidi w:val="0"/>
        <w:spacing w:before="60"/>
        <w:ind w:left="567" w:hanging="141"/>
        <w:jc w:val="both"/>
        <w:rPr>
          <w:rFonts w:ascii="Times New Roman" w:hAnsi="Times New Roman" w:cs="Times New Roman"/>
          <w:color w:val="000000"/>
        </w:rPr>
      </w:pPr>
      <w:r w:rsidRPr="00536EC9">
        <w:rPr>
          <w:rFonts w:ascii="Times New Roman" w:hAnsi="Times New Roman" w:cs="Times New Roman"/>
          <w:color w:val="000000"/>
        </w:rPr>
        <w:t>c) obchodník s cennými papiermi spĺňa požiadavky podľa osobitného predpisu,</w:t>
      </w:r>
      <w:r w:rsidRPr="00536EC9">
        <w:rPr>
          <w:rFonts w:ascii="Times New Roman" w:hAnsi="Times New Roman" w:cs="Times New Roman"/>
          <w:color w:val="000000"/>
          <w:vertAlign w:val="superscript"/>
        </w:rPr>
        <w:t>50ab</w:t>
      </w:r>
      <w:r w:rsidRPr="00536EC9">
        <w:rPr>
          <w:rFonts w:ascii="Times New Roman" w:hAnsi="Times New Roman" w:cs="Times New Roman"/>
          <w:color w:val="000000"/>
        </w:rPr>
        <w:t xml:space="preserve">) </w:t>
      </w:r>
    </w:p>
    <w:p w:rsidR="00536EC9" w:rsidRPr="00536EC9" w:rsidP="00536EC9">
      <w:pPr>
        <w:pStyle w:val="CM4"/>
        <w:bidi w:val="0"/>
        <w:spacing w:before="60"/>
        <w:ind w:left="567" w:hanging="141"/>
        <w:jc w:val="both"/>
        <w:rPr>
          <w:rFonts w:ascii="Times New Roman" w:hAnsi="Times New Roman" w:cs="Times New Roman"/>
          <w:color w:val="000000"/>
        </w:rPr>
      </w:pPr>
      <w:r w:rsidRPr="00536EC9">
        <w:rPr>
          <w:rFonts w:ascii="Times New Roman" w:hAnsi="Times New Roman" w:cs="Times New Roman"/>
          <w:color w:val="000000"/>
        </w:rPr>
        <w:t xml:space="preserve">d) takéto pozície nie sú otvárané na systematickej a trvalej báze a sú obmedzené len na čas potrebný na uskutočnenie príslušného obchodu.“. </w:t>
      </w:r>
    </w:p>
    <w:p w:rsidR="00536EC9" w:rsidRPr="00536EC9" w:rsidP="00536EC9">
      <w:pPr>
        <w:bidi w:val="0"/>
        <w:spacing w:after="0"/>
        <w:rPr>
          <w:rFonts w:ascii="Times New Roman" w:hAnsi="Times New Roman" w:cs="Times New Roman"/>
          <w:sz w:val="24"/>
          <w:szCs w:val="24"/>
        </w:rPr>
      </w:pPr>
    </w:p>
    <w:p w:rsidR="00536EC9" w:rsidRPr="00536EC9" w:rsidP="00536EC9">
      <w:pPr>
        <w:bidi w:val="0"/>
        <w:spacing w:after="0"/>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ab/>
        <w:t>Poznámka pod čiarou k odkazu 50ab znie:</w:t>
      </w:r>
    </w:p>
    <w:p w:rsidR="00536EC9" w:rsidRPr="00536EC9" w:rsidP="00536EC9">
      <w:pPr>
        <w:bidi w:val="0"/>
        <w:spacing w:after="0"/>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 xml:space="preserve">          „</w:t>
      </w:r>
      <w:r w:rsidRPr="00536EC9">
        <w:rPr>
          <w:rFonts w:ascii="Times New Roman" w:hAnsi="Times New Roman" w:cs="Times New Roman"/>
          <w:color w:val="000000"/>
          <w:sz w:val="24"/>
          <w:szCs w:val="24"/>
          <w:vertAlign w:val="superscript"/>
        </w:rPr>
        <w:t>50ab</w:t>
      </w:r>
      <w:r w:rsidRPr="00536EC9">
        <w:rPr>
          <w:rFonts w:ascii="Times New Roman" w:hAnsi="Times New Roman" w:cs="Times New Roman"/>
          <w:color w:val="000000"/>
          <w:sz w:val="24"/>
          <w:szCs w:val="24"/>
        </w:rPr>
        <w:t>) Čl. 92 až 95 a časť IV nariadenia (EÚ) č. 575/2013 v platnom znení.“.</w:t>
      </w:r>
    </w:p>
    <w:p w:rsidR="00536EC9" w:rsidRPr="00536EC9" w:rsidP="00536EC9">
      <w:pPr>
        <w:pStyle w:val="ListParagraph"/>
        <w:bidi w:val="0"/>
        <w:spacing w:after="0"/>
        <w:ind w:left="786"/>
        <w:jc w:val="both"/>
        <w:rPr>
          <w:rFonts w:ascii="Times New Roman" w:hAnsi="Times New Roman" w:cs="Times New Roman"/>
          <w:color w:val="000000"/>
          <w:sz w:val="24"/>
          <w:szCs w:val="24"/>
        </w:rPr>
      </w:pPr>
    </w:p>
    <w:p w:rsidR="00536EC9" w:rsidRPr="00536EC9" w:rsidP="00536EC9">
      <w:pPr>
        <w:pStyle w:val="ListParagraph"/>
        <w:numPr>
          <w:numId w:val="10"/>
        </w:numPr>
        <w:bidi w:val="0"/>
        <w:spacing w:after="0"/>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V § 70 ods. 1 a 4 sa vypúšťa písmeno g).</w:t>
      </w:r>
    </w:p>
    <w:p w:rsidR="00536EC9" w:rsidRPr="00536EC9" w:rsidP="00536EC9">
      <w:pPr>
        <w:bidi w:val="0"/>
        <w:spacing w:after="0"/>
        <w:jc w:val="both"/>
        <w:rPr>
          <w:rFonts w:ascii="Times New Roman" w:hAnsi="Times New Roman" w:cs="Times New Roman"/>
          <w:color w:val="000000"/>
          <w:sz w:val="24"/>
          <w:szCs w:val="24"/>
        </w:rPr>
      </w:pPr>
    </w:p>
    <w:p w:rsidR="00536EC9" w:rsidRPr="00536EC9" w:rsidP="00536EC9">
      <w:pPr>
        <w:pStyle w:val="ListParagraph"/>
        <w:numPr>
          <w:numId w:val="10"/>
        </w:numPr>
        <w:bidi w:val="0"/>
        <w:spacing w:after="0"/>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 xml:space="preserve">V § 70 ods. 2 sa vypúšťa štvrtá veta. </w:t>
      </w:r>
    </w:p>
    <w:p w:rsidR="00536EC9" w:rsidRPr="00536EC9" w:rsidP="00536EC9">
      <w:pPr>
        <w:pStyle w:val="ListParagraph"/>
        <w:bidi w:val="0"/>
        <w:spacing w:after="0"/>
        <w:rPr>
          <w:rFonts w:ascii="Times New Roman" w:hAnsi="Times New Roman" w:cs="Times New Roman"/>
          <w:color w:val="000000"/>
          <w:sz w:val="24"/>
          <w:szCs w:val="24"/>
        </w:rPr>
      </w:pPr>
    </w:p>
    <w:p w:rsidR="00536EC9" w:rsidRPr="00536EC9" w:rsidP="00536EC9">
      <w:pPr>
        <w:pStyle w:val="ListParagraph"/>
        <w:numPr>
          <w:numId w:val="10"/>
        </w:numPr>
        <w:bidi w:val="0"/>
        <w:spacing w:after="0"/>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V § 70 ods. 13 sa slová „až g)“ nahrádzajú slovami „a f)“.</w:t>
      </w:r>
    </w:p>
    <w:p w:rsidR="00536EC9" w:rsidRPr="00536EC9" w:rsidP="00536EC9">
      <w:pPr>
        <w:bidi w:val="0"/>
        <w:spacing w:after="0"/>
        <w:jc w:val="both"/>
        <w:rPr>
          <w:rFonts w:ascii="Times New Roman" w:hAnsi="Times New Roman" w:cs="Times New Roman"/>
          <w:color w:val="000000"/>
          <w:sz w:val="24"/>
          <w:szCs w:val="24"/>
        </w:rPr>
      </w:pPr>
    </w:p>
    <w:p w:rsidR="00536EC9" w:rsidRPr="00536EC9" w:rsidP="00536EC9">
      <w:pPr>
        <w:pStyle w:val="ListParagraph"/>
        <w:numPr>
          <w:numId w:val="10"/>
        </w:numPr>
        <w:bidi w:val="0"/>
        <w:spacing w:after="0"/>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 74c sa dopĺňa odsekom 6, ktorý znie:</w:t>
      </w:r>
    </w:p>
    <w:p w:rsidR="00536EC9" w:rsidRPr="00536EC9" w:rsidP="00536EC9">
      <w:pPr>
        <w:bidi w:val="0"/>
        <w:spacing w:after="0"/>
        <w:ind w:firstLine="708"/>
        <w:jc w:val="both"/>
        <w:rPr>
          <w:rFonts w:ascii="Times New Roman" w:hAnsi="Times New Roman" w:cs="Times New Roman"/>
          <w:sz w:val="24"/>
          <w:szCs w:val="24"/>
        </w:rPr>
      </w:pPr>
      <w:r w:rsidRPr="00536EC9">
        <w:rPr>
          <w:rFonts w:ascii="Times New Roman" w:hAnsi="Times New Roman" w:cs="Times New Roman"/>
          <w:color w:val="000000"/>
          <w:sz w:val="24"/>
          <w:szCs w:val="24"/>
        </w:rPr>
        <w:t xml:space="preserve"> „</w:t>
      </w:r>
      <w:r w:rsidRPr="00536EC9">
        <w:rPr>
          <w:rFonts w:ascii="Times New Roman" w:hAnsi="Times New Roman" w:cs="Times New Roman"/>
          <w:sz w:val="24"/>
          <w:szCs w:val="24"/>
        </w:rPr>
        <w:t>(6)  Ak Národná banka Slovenska  udelila výnimku na uplatňovanie požiadaviek na vlastné zdroje na konsolidovanom základe podľa osobitného predpisu,</w:t>
      </w:r>
      <w:r w:rsidRPr="00536EC9">
        <w:rPr>
          <w:rFonts w:ascii="Times New Roman" w:hAnsi="Times New Roman" w:cs="Times New Roman"/>
          <w:sz w:val="24"/>
          <w:szCs w:val="24"/>
          <w:vertAlign w:val="superscript"/>
        </w:rPr>
        <w:t>58jca</w:t>
      </w:r>
      <w:r w:rsidRPr="00536EC9">
        <w:rPr>
          <w:rFonts w:ascii="Times New Roman" w:hAnsi="Times New Roman" w:cs="Times New Roman"/>
          <w:sz w:val="24"/>
          <w:szCs w:val="24"/>
        </w:rPr>
        <w:t>)  požiadavky podľa odseku 1 sa uplatňujú na individuálnom základe.“.</w:t>
      </w:r>
    </w:p>
    <w:p w:rsidR="00536EC9" w:rsidRPr="00536EC9" w:rsidP="00536EC9">
      <w:pPr>
        <w:bidi w:val="0"/>
        <w:spacing w:after="0"/>
        <w:ind w:firstLine="708"/>
        <w:jc w:val="both"/>
        <w:rPr>
          <w:rFonts w:ascii="Times New Roman" w:hAnsi="Times New Roman" w:cs="Times New Roman"/>
          <w:sz w:val="24"/>
          <w:szCs w:val="24"/>
        </w:rPr>
      </w:pPr>
    </w:p>
    <w:p w:rsidR="00536EC9" w:rsidRPr="00536EC9" w:rsidP="00536EC9">
      <w:pPr>
        <w:bidi w:val="0"/>
        <w:spacing w:after="0"/>
        <w:ind w:firstLine="708"/>
        <w:jc w:val="both"/>
        <w:rPr>
          <w:rFonts w:ascii="Times New Roman" w:hAnsi="Times New Roman" w:cs="Times New Roman"/>
          <w:sz w:val="24"/>
          <w:szCs w:val="24"/>
        </w:rPr>
      </w:pPr>
      <w:r w:rsidRPr="00536EC9">
        <w:rPr>
          <w:rFonts w:ascii="Times New Roman" w:hAnsi="Times New Roman" w:cs="Times New Roman"/>
          <w:sz w:val="24"/>
          <w:szCs w:val="24"/>
        </w:rPr>
        <w:t xml:space="preserve">Poznámka pod čiarou k odkazu 58jca znie:  </w:t>
      </w:r>
    </w:p>
    <w:p w:rsidR="00536EC9" w:rsidRPr="00536EC9" w:rsidP="00536EC9">
      <w:pPr>
        <w:bidi w:val="0"/>
        <w:spacing w:after="0"/>
        <w:ind w:firstLine="708"/>
        <w:jc w:val="both"/>
        <w:rPr>
          <w:rFonts w:ascii="Times New Roman" w:hAnsi="Times New Roman" w:cs="Times New Roman"/>
          <w:sz w:val="24"/>
          <w:szCs w:val="24"/>
        </w:rPr>
      </w:pPr>
      <w:r w:rsidRPr="00536EC9">
        <w:rPr>
          <w:rFonts w:ascii="Times New Roman" w:hAnsi="Times New Roman" w:cs="Times New Roman"/>
          <w:sz w:val="24"/>
          <w:szCs w:val="24"/>
        </w:rPr>
        <w:t>„</w:t>
      </w:r>
      <w:r w:rsidRPr="00536EC9">
        <w:rPr>
          <w:rFonts w:ascii="Times New Roman" w:hAnsi="Times New Roman" w:cs="Times New Roman"/>
          <w:sz w:val="24"/>
          <w:szCs w:val="24"/>
          <w:vertAlign w:val="superscript"/>
        </w:rPr>
        <w:t>58jca</w:t>
      </w:r>
      <w:r w:rsidRPr="00536EC9">
        <w:rPr>
          <w:rFonts w:ascii="Times New Roman" w:hAnsi="Times New Roman" w:cs="Times New Roman"/>
          <w:sz w:val="24"/>
          <w:szCs w:val="24"/>
        </w:rPr>
        <w:t>) Čl. 15 nariadenia (EÚ) č. 575/2013 v platnom znení.“.</w:t>
      </w:r>
    </w:p>
    <w:p w:rsidR="00536EC9" w:rsidRPr="00536EC9" w:rsidP="00536EC9">
      <w:pPr>
        <w:tabs>
          <w:tab w:val="left" w:pos="944"/>
        </w:tabs>
        <w:autoSpaceDE w:val="0"/>
        <w:autoSpaceDN w:val="0"/>
        <w:bidi w:val="0"/>
        <w:adjustRightInd w:val="0"/>
        <w:spacing w:after="0"/>
        <w:jc w:val="both"/>
        <w:rPr>
          <w:rFonts w:ascii="Times New Roman" w:hAnsi="Times New Roman" w:cs="Times New Roman"/>
          <w:color w:val="000000"/>
          <w:sz w:val="24"/>
          <w:szCs w:val="24"/>
        </w:rPr>
      </w:pPr>
    </w:p>
    <w:p w:rsidR="00536EC9" w:rsidRPr="00536EC9" w:rsidP="00536EC9">
      <w:pPr>
        <w:pStyle w:val="ListParagraph"/>
        <w:numPr>
          <w:numId w:val="10"/>
        </w:numPr>
        <w:autoSpaceDE w:val="0"/>
        <w:autoSpaceDN w:val="0"/>
        <w:bidi w:val="0"/>
        <w:adjustRightInd w:val="0"/>
        <w:spacing w:after="0" w:line="240" w:lineRule="auto"/>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 xml:space="preserve">V § 84 ods. 5 sa slová „5 000 Sk“ nahrádzajú slovami „150 eur“, slová „12 000 Sk“ sa nahrádzajú slovami „350 eur“ a  slová „70 000 Sk“ sa nahrádzajú slovami „2 000 eur“.     </w:t>
      </w:r>
    </w:p>
    <w:p w:rsidR="00536EC9" w:rsidRPr="00536EC9" w:rsidP="00536EC9">
      <w:pPr>
        <w:autoSpaceDE w:val="0"/>
        <w:autoSpaceDN w:val="0"/>
        <w:bidi w:val="0"/>
        <w:adjustRightInd w:val="0"/>
        <w:spacing w:after="0"/>
        <w:jc w:val="both"/>
        <w:rPr>
          <w:rFonts w:ascii="Times New Roman" w:hAnsi="Times New Roman" w:cs="Times New Roman"/>
          <w:color w:val="000000"/>
          <w:sz w:val="24"/>
          <w:szCs w:val="24"/>
        </w:rPr>
      </w:pPr>
    </w:p>
    <w:p w:rsidR="00536EC9" w:rsidRPr="00536EC9" w:rsidP="00536EC9">
      <w:pPr>
        <w:pStyle w:val="ListParagraph"/>
        <w:numPr>
          <w:numId w:val="10"/>
        </w:numPr>
        <w:autoSpaceDE w:val="0"/>
        <w:autoSpaceDN w:val="0"/>
        <w:bidi w:val="0"/>
        <w:adjustRightInd w:val="0"/>
        <w:spacing w:after="0" w:line="240" w:lineRule="auto"/>
        <w:contextualSpacing/>
        <w:jc w:val="both"/>
        <w:rPr>
          <w:rFonts w:ascii="Times New Roman" w:hAnsi="Times New Roman" w:cs="Times New Roman"/>
          <w:sz w:val="24"/>
          <w:szCs w:val="24"/>
        </w:rPr>
      </w:pPr>
      <w:r w:rsidRPr="00536EC9">
        <w:rPr>
          <w:rFonts w:ascii="Times New Roman" w:hAnsi="Times New Roman" w:cs="Times New Roman"/>
          <w:sz w:val="24"/>
          <w:szCs w:val="24"/>
        </w:rPr>
        <w:t>V § 84 ods. 6 písm. b) prvom bode sa na konci pripájajú tieto slová: „najmenej však 390 eur“.</w:t>
      </w:r>
    </w:p>
    <w:p w:rsidR="00536EC9" w:rsidRPr="00536EC9" w:rsidP="00536EC9">
      <w:pPr>
        <w:autoSpaceDE w:val="0"/>
        <w:autoSpaceDN w:val="0"/>
        <w:bidi w:val="0"/>
        <w:adjustRightInd w:val="0"/>
        <w:spacing w:after="0"/>
        <w:ind w:left="360"/>
        <w:jc w:val="both"/>
        <w:rPr>
          <w:rFonts w:ascii="Times New Roman" w:hAnsi="Times New Roman" w:cs="Times New Roman"/>
          <w:color w:val="000000"/>
          <w:sz w:val="24"/>
          <w:szCs w:val="24"/>
        </w:rPr>
      </w:pPr>
    </w:p>
    <w:p w:rsidR="00536EC9" w:rsidRPr="00536EC9" w:rsidP="00536EC9">
      <w:pPr>
        <w:pStyle w:val="ListParagraph"/>
        <w:numPr>
          <w:numId w:val="10"/>
        </w:numPr>
        <w:autoSpaceDE w:val="0"/>
        <w:autoSpaceDN w:val="0"/>
        <w:bidi w:val="0"/>
        <w:adjustRightInd w:val="0"/>
        <w:spacing w:after="0" w:line="240" w:lineRule="auto"/>
        <w:contextualSpacing/>
        <w:jc w:val="both"/>
        <w:rPr>
          <w:rFonts w:ascii="Times New Roman" w:hAnsi="Times New Roman" w:cs="Times New Roman"/>
          <w:sz w:val="24"/>
          <w:szCs w:val="24"/>
        </w:rPr>
      </w:pPr>
      <w:r w:rsidRPr="00536EC9">
        <w:rPr>
          <w:rFonts w:ascii="Times New Roman" w:hAnsi="Times New Roman" w:cs="Times New Roman"/>
          <w:sz w:val="24"/>
          <w:szCs w:val="24"/>
        </w:rPr>
        <w:t>V § 84 ods. 6 písm. c) prvom bode sa na konci pripájajú tieto slová: „najmenej však 2 300 eur“.</w:t>
      </w:r>
    </w:p>
    <w:p w:rsidR="00536EC9" w:rsidRPr="00536EC9" w:rsidP="00536EC9">
      <w:pPr>
        <w:autoSpaceDE w:val="0"/>
        <w:autoSpaceDN w:val="0"/>
        <w:bidi w:val="0"/>
        <w:adjustRightInd w:val="0"/>
        <w:spacing w:after="0"/>
        <w:rPr>
          <w:rFonts w:ascii="Times New Roman" w:hAnsi="Times New Roman" w:cs="Times New Roman"/>
          <w:sz w:val="24"/>
          <w:szCs w:val="24"/>
        </w:rPr>
      </w:pPr>
    </w:p>
    <w:p w:rsidR="00536EC9" w:rsidRPr="00536EC9" w:rsidP="00536EC9">
      <w:pPr>
        <w:pStyle w:val="ListParagraph"/>
        <w:numPr>
          <w:numId w:val="10"/>
        </w:numPr>
        <w:bidi w:val="0"/>
        <w:spacing w:after="0"/>
        <w:contextualSpacing/>
        <w:rPr>
          <w:rFonts w:ascii="Times New Roman" w:hAnsi="Times New Roman" w:cs="Times New Roman"/>
          <w:color w:val="000000"/>
          <w:sz w:val="24"/>
          <w:szCs w:val="24"/>
        </w:rPr>
      </w:pPr>
      <w:r w:rsidRPr="00536EC9">
        <w:rPr>
          <w:rFonts w:ascii="Times New Roman" w:hAnsi="Times New Roman" w:cs="Times New Roman"/>
          <w:color w:val="000000"/>
          <w:sz w:val="24"/>
          <w:szCs w:val="24"/>
        </w:rPr>
        <w:t>V § 99 odseky 1 až 8 znejú:</w:t>
      </w:r>
    </w:p>
    <w:p w:rsidR="00536EC9" w:rsidRPr="00536EC9" w:rsidP="00536EC9">
      <w:pPr>
        <w:autoSpaceDE w:val="0"/>
        <w:autoSpaceDN w:val="0"/>
        <w:bidi w:val="0"/>
        <w:adjustRightInd w:val="0"/>
        <w:spacing w:after="0"/>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 xml:space="preserve">           „(1) Centrálny depozitár je právnickou osobou so sídlom na území Slovenskej republiky, ktorej bolo udelené povolenie na činnosť centrálneho depozitára podľa osobitného predpisu</w:t>
      </w:r>
      <w:r w:rsidRPr="00536EC9">
        <w:rPr>
          <w:rFonts w:ascii="Times New Roman" w:hAnsi="Times New Roman" w:cs="Times New Roman"/>
          <w:color w:val="000000"/>
          <w:sz w:val="24"/>
          <w:szCs w:val="24"/>
          <w:vertAlign w:val="superscript"/>
        </w:rPr>
        <w:t>89</w:t>
      </w:r>
      <w:r w:rsidRPr="00536EC9">
        <w:rPr>
          <w:rFonts w:ascii="Times New Roman" w:hAnsi="Times New Roman" w:cs="Times New Roman"/>
          <w:color w:val="000000"/>
          <w:sz w:val="24"/>
          <w:szCs w:val="24"/>
        </w:rPr>
        <w:t>)</w:t>
      </w:r>
      <w:r w:rsidRPr="00536EC9">
        <w:rPr>
          <w:rFonts w:ascii="Times New Roman" w:hAnsi="Times New Roman" w:cs="Times New Roman"/>
          <w:color w:val="000000"/>
          <w:sz w:val="24"/>
          <w:szCs w:val="24"/>
          <w:vertAlign w:val="superscript"/>
        </w:rPr>
        <w:t xml:space="preserve"> </w:t>
      </w:r>
      <w:r w:rsidRPr="00536EC9">
        <w:rPr>
          <w:rFonts w:ascii="Times New Roman" w:hAnsi="Times New Roman" w:cs="Times New Roman"/>
          <w:color w:val="000000"/>
          <w:sz w:val="24"/>
          <w:szCs w:val="24"/>
        </w:rPr>
        <w:t xml:space="preserve">(ďalej len „povolenie na činnosť“). </w:t>
      </w:r>
    </w:p>
    <w:p w:rsidR="00536EC9" w:rsidRPr="00536EC9" w:rsidP="00536EC9">
      <w:pPr>
        <w:autoSpaceDE w:val="0"/>
        <w:autoSpaceDN w:val="0"/>
        <w:bidi w:val="0"/>
        <w:adjustRightInd w:val="0"/>
        <w:spacing w:after="0"/>
        <w:rPr>
          <w:rFonts w:ascii="Times New Roman" w:hAnsi="Times New Roman" w:cs="Times New Roman"/>
          <w:color w:val="000000"/>
          <w:sz w:val="24"/>
          <w:szCs w:val="24"/>
        </w:rPr>
      </w:pPr>
    </w:p>
    <w:p w:rsidR="00536EC9" w:rsidRPr="00536EC9" w:rsidP="00536EC9">
      <w:pPr>
        <w:autoSpaceDE w:val="0"/>
        <w:autoSpaceDN w:val="0"/>
        <w:bidi w:val="0"/>
        <w:adjustRightInd w:val="0"/>
        <w:spacing w:after="0"/>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 xml:space="preserve">          (2) Zahraničný centrálny depozitár je právnickou osobou so sídlom v inom členskom štáte, ktorej bolo udelené povolenie na činnosť alebo právnická osoba so sídlom mimo územia Slovenskej republiky, ktorá bola uznaná podľa osobitného predpisu.</w:t>
      </w:r>
      <w:r w:rsidRPr="00536EC9">
        <w:rPr>
          <w:rFonts w:ascii="Times New Roman" w:hAnsi="Times New Roman" w:cs="Times New Roman"/>
          <w:color w:val="000000"/>
          <w:sz w:val="24"/>
          <w:szCs w:val="24"/>
          <w:vertAlign w:val="superscript"/>
        </w:rPr>
        <w:t>89</w:t>
      </w:r>
      <w:r w:rsidRPr="00536EC9">
        <w:rPr>
          <w:rFonts w:ascii="Times New Roman" w:hAnsi="Times New Roman" w:cs="Times New Roman"/>
          <w:color w:val="000000"/>
          <w:sz w:val="24"/>
          <w:szCs w:val="24"/>
        </w:rPr>
        <w:t xml:space="preserve">) </w:t>
      </w:r>
    </w:p>
    <w:p w:rsidR="00536EC9" w:rsidRPr="00536EC9" w:rsidP="00536EC9">
      <w:pPr>
        <w:autoSpaceDE w:val="0"/>
        <w:autoSpaceDN w:val="0"/>
        <w:bidi w:val="0"/>
        <w:adjustRightInd w:val="0"/>
        <w:spacing w:after="0"/>
        <w:rPr>
          <w:rFonts w:ascii="Times New Roman" w:hAnsi="Times New Roman" w:cs="Times New Roman"/>
          <w:color w:val="000000"/>
          <w:sz w:val="24"/>
          <w:szCs w:val="24"/>
        </w:rPr>
      </w:pPr>
    </w:p>
    <w:p w:rsidR="00536EC9" w:rsidRPr="00536EC9" w:rsidP="00536EC9">
      <w:pPr>
        <w:autoSpaceDE w:val="0"/>
        <w:autoSpaceDN w:val="0"/>
        <w:bidi w:val="0"/>
        <w:adjustRightInd w:val="0"/>
        <w:spacing w:after="0"/>
        <w:rPr>
          <w:rFonts w:ascii="Times New Roman" w:hAnsi="Times New Roman" w:cs="Times New Roman"/>
          <w:color w:val="000000"/>
          <w:sz w:val="24"/>
          <w:szCs w:val="24"/>
        </w:rPr>
      </w:pPr>
      <w:r w:rsidRPr="00536EC9">
        <w:rPr>
          <w:rFonts w:ascii="Times New Roman" w:hAnsi="Times New Roman" w:cs="Times New Roman"/>
          <w:color w:val="000000"/>
          <w:sz w:val="24"/>
          <w:szCs w:val="24"/>
        </w:rPr>
        <w:t xml:space="preserve">          (3) Povolenie na činnosť udeľuje Národná banka Slovenska. </w:t>
      </w:r>
    </w:p>
    <w:p w:rsidR="00536EC9" w:rsidRPr="00536EC9" w:rsidP="00536EC9">
      <w:pPr>
        <w:bidi w:val="0"/>
        <w:spacing w:after="0"/>
        <w:rPr>
          <w:rFonts w:ascii="Times New Roman" w:hAnsi="Times New Roman" w:cs="Times New Roman"/>
          <w:color w:val="000000"/>
          <w:sz w:val="24"/>
          <w:szCs w:val="24"/>
        </w:rPr>
      </w:pPr>
    </w:p>
    <w:p w:rsidR="00536EC9" w:rsidRPr="00536EC9" w:rsidP="00536EC9">
      <w:pPr>
        <w:bidi w:val="0"/>
        <w:spacing w:after="0"/>
        <w:ind w:firstLine="284"/>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 xml:space="preserve">    (4) Na žiadosť o povolenie na činnosť, postup pri udelení povolenia na činnosť, podmienky udelenia povolenia na činnosť, zmenu povolenia na činnosť, zverenie vykonávania hlavnej služby centrálneho depozitára a odňatie povolenia na činnosť sa vzťahuje osobitný predpis.</w:t>
      </w:r>
      <w:r w:rsidRPr="00536EC9">
        <w:rPr>
          <w:rFonts w:ascii="Times New Roman" w:hAnsi="Times New Roman" w:cs="Times New Roman"/>
          <w:color w:val="000000"/>
          <w:sz w:val="24"/>
          <w:szCs w:val="24"/>
          <w:vertAlign w:val="superscript"/>
        </w:rPr>
        <w:t>89a</w:t>
      </w:r>
      <w:r w:rsidRPr="00536EC9">
        <w:rPr>
          <w:rFonts w:ascii="Times New Roman" w:hAnsi="Times New Roman" w:cs="Times New Roman"/>
          <w:color w:val="000000"/>
          <w:sz w:val="24"/>
          <w:szCs w:val="24"/>
        </w:rPr>
        <w:t>)</w:t>
      </w:r>
    </w:p>
    <w:p w:rsidR="00536EC9" w:rsidRPr="00536EC9" w:rsidP="00536EC9">
      <w:pPr>
        <w:bidi w:val="0"/>
        <w:spacing w:after="0"/>
        <w:jc w:val="both"/>
        <w:rPr>
          <w:rFonts w:ascii="Times New Roman" w:hAnsi="Times New Roman" w:cs="Times New Roman"/>
          <w:color w:val="000000"/>
          <w:sz w:val="24"/>
          <w:szCs w:val="24"/>
        </w:rPr>
      </w:pPr>
    </w:p>
    <w:p w:rsidR="00536EC9" w:rsidRPr="00536EC9" w:rsidP="00536EC9">
      <w:pPr>
        <w:autoSpaceDE w:val="0"/>
        <w:autoSpaceDN w:val="0"/>
        <w:bidi w:val="0"/>
        <w:adjustRightInd w:val="0"/>
        <w:spacing w:after="0"/>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 xml:space="preserve">          (5) Ustanovenia o vedení evidencie zaknihovaných cenných papierov podľa tohto zákona alebo osobitného zákona</w:t>
      </w:r>
      <w:r w:rsidRPr="00536EC9">
        <w:rPr>
          <w:rFonts w:ascii="Times New Roman" w:hAnsi="Times New Roman" w:cs="Times New Roman"/>
          <w:color w:val="000000"/>
          <w:sz w:val="24"/>
          <w:szCs w:val="24"/>
          <w:vertAlign w:val="superscript"/>
        </w:rPr>
        <w:t>89b</w:t>
      </w:r>
      <w:r w:rsidRPr="00536EC9">
        <w:rPr>
          <w:rFonts w:ascii="Times New Roman" w:hAnsi="Times New Roman" w:cs="Times New Roman"/>
          <w:color w:val="000000"/>
          <w:sz w:val="24"/>
          <w:szCs w:val="24"/>
        </w:rPr>
        <w:t>) centrálnym depozitárom sa primerane vzťahujú na zahraničného centrálneho depozitára vykonávajúceho činnosť na území Slovenskej republiky na základe práva poskytovať služby podľa osobitného predpisu.</w:t>
      </w:r>
      <w:r w:rsidRPr="00536EC9">
        <w:rPr>
          <w:rFonts w:ascii="Times New Roman" w:hAnsi="Times New Roman" w:cs="Times New Roman"/>
          <w:color w:val="000000"/>
          <w:sz w:val="24"/>
          <w:szCs w:val="24"/>
          <w:vertAlign w:val="superscript"/>
        </w:rPr>
        <w:t>89c</w:t>
      </w:r>
      <w:r w:rsidRPr="00536EC9">
        <w:rPr>
          <w:rFonts w:ascii="Times New Roman" w:hAnsi="Times New Roman" w:cs="Times New Roman"/>
          <w:color w:val="000000"/>
          <w:sz w:val="24"/>
          <w:szCs w:val="24"/>
        </w:rPr>
        <w:t xml:space="preserve">)  </w:t>
      </w:r>
    </w:p>
    <w:p w:rsidR="00536EC9" w:rsidRPr="00536EC9" w:rsidP="00536EC9">
      <w:pPr>
        <w:autoSpaceDE w:val="0"/>
        <w:autoSpaceDN w:val="0"/>
        <w:bidi w:val="0"/>
        <w:adjustRightInd w:val="0"/>
        <w:spacing w:after="0"/>
        <w:jc w:val="both"/>
        <w:rPr>
          <w:rFonts w:ascii="Times New Roman" w:hAnsi="Times New Roman" w:cs="Times New Roman"/>
          <w:color w:val="000000"/>
          <w:sz w:val="24"/>
          <w:szCs w:val="24"/>
        </w:rPr>
      </w:pPr>
    </w:p>
    <w:p w:rsidR="00536EC9" w:rsidRPr="00536EC9" w:rsidP="00536EC9">
      <w:pPr>
        <w:autoSpaceDE w:val="0"/>
        <w:autoSpaceDN w:val="0"/>
        <w:bidi w:val="0"/>
        <w:adjustRightInd w:val="0"/>
        <w:spacing w:after="0"/>
        <w:jc w:val="both"/>
        <w:rPr>
          <w:rFonts w:ascii="Times New Roman" w:hAnsi="Times New Roman" w:cs="Times New Roman"/>
          <w:sz w:val="24"/>
          <w:szCs w:val="24"/>
        </w:rPr>
      </w:pPr>
      <w:r w:rsidRPr="00536EC9">
        <w:rPr>
          <w:rFonts w:ascii="Times New Roman" w:hAnsi="Times New Roman" w:cs="Times New Roman"/>
          <w:color w:val="000000"/>
          <w:sz w:val="24"/>
          <w:szCs w:val="24"/>
        </w:rPr>
        <w:t xml:space="preserve">          (6) Iná osoba ako </w:t>
      </w:r>
      <w:r w:rsidRPr="00536EC9">
        <w:rPr>
          <w:rFonts w:ascii="Times New Roman" w:hAnsi="Times New Roman" w:cs="Times New Roman"/>
          <w:sz w:val="24"/>
          <w:szCs w:val="24"/>
        </w:rPr>
        <w:t>centrálny depozitár alebo zahraničný centrálny depozitár môže v Slovenskej republike poskytovať služby centrálneho vedenia účtov</w:t>
      </w:r>
      <w:r w:rsidRPr="00536EC9">
        <w:rPr>
          <w:rFonts w:ascii="Times New Roman" w:hAnsi="Times New Roman" w:cs="Times New Roman"/>
          <w:sz w:val="24"/>
          <w:szCs w:val="24"/>
          <w:vertAlign w:val="superscript"/>
        </w:rPr>
        <w:t>89d</w:t>
      </w:r>
      <w:r w:rsidRPr="00536EC9">
        <w:rPr>
          <w:rFonts w:ascii="Times New Roman" w:hAnsi="Times New Roman" w:cs="Times New Roman"/>
          <w:sz w:val="24"/>
          <w:szCs w:val="24"/>
        </w:rPr>
        <w:t>) pre cenné papiere prijaté na obchodovanie na regulovanom trhu len za podmienok podľa tohto zákona a osobitného predpisu.</w:t>
      </w:r>
      <w:r w:rsidRPr="00536EC9">
        <w:rPr>
          <w:rFonts w:ascii="Times New Roman" w:hAnsi="Times New Roman" w:cs="Times New Roman"/>
          <w:sz w:val="24"/>
          <w:szCs w:val="24"/>
          <w:vertAlign w:val="superscript"/>
        </w:rPr>
        <w:t>89e</w:t>
      </w:r>
      <w:r w:rsidRPr="00536EC9">
        <w:rPr>
          <w:rFonts w:ascii="Times New Roman" w:hAnsi="Times New Roman" w:cs="Times New Roman"/>
          <w:sz w:val="24"/>
          <w:szCs w:val="24"/>
        </w:rPr>
        <w:t>)</w:t>
      </w:r>
    </w:p>
    <w:p w:rsidR="00536EC9" w:rsidRPr="00536EC9" w:rsidP="00536EC9">
      <w:pPr>
        <w:autoSpaceDE w:val="0"/>
        <w:autoSpaceDN w:val="0"/>
        <w:bidi w:val="0"/>
        <w:adjustRightInd w:val="0"/>
        <w:spacing w:after="0"/>
        <w:jc w:val="both"/>
        <w:rPr>
          <w:rFonts w:ascii="Times New Roman" w:hAnsi="Times New Roman" w:cs="Times New Roman"/>
          <w:color w:val="000000"/>
          <w:sz w:val="24"/>
          <w:szCs w:val="24"/>
        </w:rPr>
      </w:pPr>
    </w:p>
    <w:p w:rsidR="00536EC9" w:rsidRPr="00536EC9" w:rsidP="00536EC9">
      <w:pPr>
        <w:autoSpaceDE w:val="0"/>
        <w:autoSpaceDN w:val="0"/>
        <w:bidi w:val="0"/>
        <w:adjustRightInd w:val="0"/>
        <w:spacing w:after="0"/>
        <w:ind w:firstLine="284"/>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 xml:space="preserve">     (7) Systém vyrovnania transakcií s cennými papiermi tvoria najmenej traja účastníci okrem jeho prevádzkovateľa, prípadného zúčtovacieho agenta, centrálnej protistrany, zúčtovacieho ústavu alebo prípadného nepriameho účastníka, so spoločnými pravidlami pre zúčtovanie cez centrálnu protistranu alebo mimo centrálnej protistrany a na vykonávanie príkazov na prevody medzi účastníkmi (ďalej len „systém vyrovnania“).   </w:t>
      </w:r>
    </w:p>
    <w:p w:rsidR="00536EC9" w:rsidRPr="00536EC9" w:rsidP="00536EC9">
      <w:pPr>
        <w:autoSpaceDE w:val="0"/>
        <w:autoSpaceDN w:val="0"/>
        <w:bidi w:val="0"/>
        <w:adjustRightInd w:val="0"/>
        <w:spacing w:after="0"/>
        <w:jc w:val="both"/>
        <w:rPr>
          <w:rFonts w:ascii="Times New Roman" w:hAnsi="Times New Roman" w:cs="Times New Roman"/>
          <w:color w:val="000000"/>
          <w:sz w:val="24"/>
          <w:szCs w:val="24"/>
        </w:rPr>
      </w:pPr>
    </w:p>
    <w:p w:rsidR="00536EC9" w:rsidRPr="00536EC9" w:rsidP="00536EC9">
      <w:pPr>
        <w:autoSpaceDE w:val="0"/>
        <w:autoSpaceDN w:val="0"/>
        <w:bidi w:val="0"/>
        <w:adjustRightInd w:val="0"/>
        <w:spacing w:after="0"/>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 xml:space="preserve">           (8) Centrálny depozitár </w:t>
      </w:r>
      <w:r w:rsidRPr="00536EC9">
        <w:rPr>
          <w:rFonts w:ascii="Times New Roman" w:hAnsi="Times New Roman" w:cs="Times New Roman"/>
          <w:sz w:val="24"/>
          <w:szCs w:val="24"/>
        </w:rPr>
        <w:t>určí časový rozvrh vyrovnania transakcií s cennými papiermi vrátane určenia okamihu vstupu príkazu na registráciu prevodu do systému vyrovnania a okamihu, od ktorého nesmie byť účastníkom systému vyrovnania ani žiadnou treťou osobou príkaz na registráciu prevodu odvolaný ani zrušený a ani inak nesmie byť znemožnené vykonanie tohto príkazu; ak je centrálny depozitár účastníkom v prepojenom systéme, prihliadne pri určovaní tohto okamihu na potrebu, čo možno najvyššej miery koordinácie medzi systémami vyrovnania v prepojenom systéme v súlade s  pravidlami podľa odseku 18.“.</w:t>
      </w:r>
    </w:p>
    <w:p w:rsidR="00536EC9" w:rsidRPr="00536EC9" w:rsidP="00536EC9">
      <w:pPr>
        <w:autoSpaceDE w:val="0"/>
        <w:autoSpaceDN w:val="0"/>
        <w:bidi w:val="0"/>
        <w:adjustRightInd w:val="0"/>
        <w:spacing w:after="0"/>
        <w:rPr>
          <w:rFonts w:ascii="Times New Roman" w:hAnsi="Times New Roman" w:cs="Times New Roman"/>
          <w:sz w:val="24"/>
          <w:szCs w:val="24"/>
        </w:rPr>
      </w:pPr>
    </w:p>
    <w:p w:rsidR="00536EC9" w:rsidRPr="00536EC9" w:rsidP="00536EC9">
      <w:pPr>
        <w:bidi w:val="0"/>
        <w:spacing w:after="0"/>
        <w:rPr>
          <w:rFonts w:ascii="Times New Roman" w:hAnsi="Times New Roman" w:cs="Times New Roman"/>
          <w:color w:val="000000"/>
          <w:sz w:val="24"/>
          <w:szCs w:val="24"/>
        </w:rPr>
      </w:pPr>
      <w:r w:rsidRPr="00536EC9">
        <w:rPr>
          <w:rFonts w:ascii="Times New Roman" w:hAnsi="Times New Roman" w:cs="Times New Roman"/>
          <w:color w:val="000000"/>
          <w:sz w:val="24"/>
          <w:szCs w:val="24"/>
        </w:rPr>
        <w:t>Poznámky pod čiarou k odkazom 89 až 89e znejú:</w:t>
      </w:r>
    </w:p>
    <w:p w:rsidR="00536EC9" w:rsidRPr="00536EC9" w:rsidP="00536EC9">
      <w:pPr>
        <w:bidi w:val="0"/>
        <w:spacing w:after="0"/>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 xml:space="preserve"> „</w:t>
      </w:r>
      <w:r w:rsidRPr="00536EC9">
        <w:rPr>
          <w:rFonts w:ascii="Times New Roman" w:hAnsi="Times New Roman" w:cs="Times New Roman"/>
          <w:color w:val="000000"/>
          <w:sz w:val="24"/>
          <w:szCs w:val="24"/>
          <w:vertAlign w:val="superscript"/>
        </w:rPr>
        <w:t>89</w:t>
      </w:r>
      <w:r w:rsidRPr="00536EC9">
        <w:rPr>
          <w:rFonts w:ascii="Times New Roman" w:hAnsi="Times New Roman" w:cs="Times New Roman"/>
          <w:color w:val="000000"/>
          <w:sz w:val="24"/>
          <w:szCs w:val="24"/>
        </w:rPr>
        <w:t>) Čl. 16 nariadenia Európskeho parlamentu a Rady (EÚ) č. 909/2014 z 23. júla 2014 o zlepšení vyrovnania transakcií s cennými papiermi v Európskej únii, centrálnych depozitároch cenných papierov a o zmene smerníc 98/26/ES a 2014/65/EÚ a nariadenia (EÚ) č. 236/2012 (Ú.v. EÚ L 257, 28.8.2014).</w:t>
      </w:r>
    </w:p>
    <w:p w:rsidR="00536EC9" w:rsidRPr="00536EC9" w:rsidP="00536EC9">
      <w:pPr>
        <w:bidi w:val="0"/>
        <w:spacing w:after="0"/>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 xml:space="preserve">  </w:t>
      </w:r>
      <w:r w:rsidRPr="00536EC9">
        <w:rPr>
          <w:rFonts w:ascii="Times New Roman" w:hAnsi="Times New Roman" w:cs="Times New Roman"/>
          <w:color w:val="000000"/>
          <w:sz w:val="24"/>
          <w:szCs w:val="24"/>
          <w:vertAlign w:val="superscript"/>
        </w:rPr>
        <w:t>89a</w:t>
      </w:r>
      <w:r w:rsidRPr="00536EC9">
        <w:rPr>
          <w:rFonts w:ascii="Times New Roman" w:hAnsi="Times New Roman" w:cs="Times New Roman"/>
          <w:color w:val="000000"/>
          <w:sz w:val="24"/>
          <w:szCs w:val="24"/>
        </w:rPr>
        <w:t>)  Čl. 16 až 21, 54 až 57 a čl. 69 ods. 2,4 a 5 nariadenia (EÚ) č. 909/2014.</w:t>
      </w:r>
    </w:p>
    <w:p w:rsidR="00536EC9" w:rsidRPr="00536EC9" w:rsidP="00536EC9">
      <w:pPr>
        <w:bidi w:val="0"/>
        <w:spacing w:after="0"/>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 xml:space="preserve">  </w:t>
      </w:r>
      <w:r w:rsidRPr="00536EC9">
        <w:rPr>
          <w:rFonts w:ascii="Times New Roman" w:hAnsi="Times New Roman" w:cs="Times New Roman"/>
          <w:color w:val="000000"/>
          <w:sz w:val="24"/>
          <w:szCs w:val="24"/>
          <w:vertAlign w:val="superscript"/>
        </w:rPr>
        <w:t>89b</w:t>
      </w:r>
      <w:r w:rsidRPr="00536EC9">
        <w:rPr>
          <w:rFonts w:ascii="Times New Roman" w:hAnsi="Times New Roman" w:cs="Times New Roman"/>
          <w:color w:val="000000"/>
          <w:sz w:val="24"/>
          <w:szCs w:val="24"/>
        </w:rPr>
        <w:t>) Napríklad zákon č. 203/2011 Z. z. v znení neskorších predpisov.</w:t>
      </w:r>
    </w:p>
    <w:p w:rsidR="00536EC9" w:rsidRPr="00536EC9" w:rsidP="00536EC9">
      <w:pPr>
        <w:bidi w:val="0"/>
        <w:spacing w:after="0"/>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 xml:space="preserve">  </w:t>
      </w:r>
      <w:r w:rsidRPr="00536EC9">
        <w:rPr>
          <w:rFonts w:ascii="Times New Roman" w:hAnsi="Times New Roman" w:cs="Times New Roman"/>
          <w:color w:val="000000"/>
          <w:sz w:val="24"/>
          <w:szCs w:val="24"/>
          <w:vertAlign w:val="superscript"/>
        </w:rPr>
        <w:t>89c</w:t>
      </w:r>
      <w:r w:rsidRPr="00536EC9">
        <w:rPr>
          <w:rFonts w:ascii="Times New Roman" w:hAnsi="Times New Roman" w:cs="Times New Roman"/>
          <w:color w:val="000000"/>
          <w:sz w:val="24"/>
          <w:szCs w:val="24"/>
        </w:rPr>
        <w:t>)  Čl. 23 a 25 nariadenia (EÚ) č. 909/2014.</w:t>
      </w:r>
    </w:p>
    <w:p w:rsidR="00536EC9" w:rsidRPr="00536EC9" w:rsidP="00536EC9">
      <w:pPr>
        <w:bidi w:val="0"/>
        <w:spacing w:after="0"/>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 xml:space="preserve"> </w:t>
      </w:r>
      <w:r w:rsidRPr="00536EC9">
        <w:rPr>
          <w:rFonts w:ascii="Times New Roman" w:hAnsi="Times New Roman" w:cs="Times New Roman"/>
          <w:color w:val="000000"/>
          <w:sz w:val="24"/>
          <w:szCs w:val="24"/>
          <w:vertAlign w:val="superscript"/>
        </w:rPr>
        <w:t>89d</w:t>
      </w:r>
      <w:r w:rsidRPr="00536EC9">
        <w:rPr>
          <w:rFonts w:ascii="Times New Roman" w:hAnsi="Times New Roman" w:cs="Times New Roman"/>
          <w:color w:val="000000"/>
          <w:sz w:val="24"/>
          <w:szCs w:val="24"/>
        </w:rPr>
        <w:t xml:space="preserve">) § 10 zákona č. 203/2011 Z. z. v znení zákona č. 206/2013 Z. z. </w:t>
      </w:r>
    </w:p>
    <w:p w:rsidR="00536EC9" w:rsidRPr="00536EC9" w:rsidP="00536EC9">
      <w:pPr>
        <w:bidi w:val="0"/>
        <w:spacing w:after="0"/>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 xml:space="preserve">  </w:t>
      </w:r>
      <w:r w:rsidRPr="00536EC9">
        <w:rPr>
          <w:rFonts w:ascii="Times New Roman" w:hAnsi="Times New Roman" w:cs="Times New Roman"/>
          <w:color w:val="000000"/>
          <w:sz w:val="24"/>
          <w:szCs w:val="24"/>
          <w:vertAlign w:val="superscript"/>
        </w:rPr>
        <w:t>89e</w:t>
      </w:r>
      <w:r w:rsidRPr="00536EC9">
        <w:rPr>
          <w:rFonts w:ascii="Times New Roman" w:hAnsi="Times New Roman" w:cs="Times New Roman"/>
          <w:color w:val="000000"/>
          <w:sz w:val="24"/>
          <w:szCs w:val="24"/>
        </w:rPr>
        <w:t>)  Čl. 31 a príloha oddiel A prvý a druhý bod nariadenia (EÚ) č. 909/2014.“.</w:t>
      </w:r>
    </w:p>
    <w:p w:rsidR="00536EC9" w:rsidRPr="00536EC9" w:rsidP="00536EC9">
      <w:pPr>
        <w:bidi w:val="0"/>
        <w:spacing w:after="0"/>
        <w:jc w:val="both"/>
        <w:rPr>
          <w:rFonts w:ascii="Times New Roman" w:hAnsi="Times New Roman" w:cs="Times New Roman"/>
          <w:color w:val="000000"/>
          <w:sz w:val="24"/>
          <w:szCs w:val="24"/>
        </w:rPr>
      </w:pPr>
    </w:p>
    <w:p w:rsidR="00536EC9" w:rsidRPr="00536EC9" w:rsidP="00536EC9">
      <w:pPr>
        <w:pStyle w:val="ListParagraph"/>
        <w:numPr>
          <w:numId w:val="10"/>
        </w:numPr>
        <w:bidi w:val="0"/>
        <w:spacing w:after="0"/>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V § 99 ods. 9 sa na konci pripája táto veta:</w:t>
      </w:r>
    </w:p>
    <w:p w:rsidR="00536EC9" w:rsidRPr="00536EC9" w:rsidP="00536EC9">
      <w:pPr>
        <w:pStyle w:val="ListParagraph"/>
        <w:bidi w:val="0"/>
        <w:spacing w:after="0"/>
        <w:ind w:left="786"/>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„Člen, ktorý podáva príkazy na nezaradený účet podľa § 173v zodpovedá za správnosť, úplnosť a včasnosť podania týchto príkazov.“.</w:t>
      </w:r>
    </w:p>
    <w:p w:rsidR="00536EC9" w:rsidRPr="00536EC9" w:rsidP="00536EC9">
      <w:pPr>
        <w:bidi w:val="0"/>
        <w:spacing w:after="0"/>
        <w:jc w:val="both"/>
        <w:rPr>
          <w:rFonts w:ascii="Times New Roman" w:hAnsi="Times New Roman" w:cs="Times New Roman"/>
          <w:i/>
          <w:sz w:val="24"/>
          <w:szCs w:val="24"/>
        </w:rPr>
      </w:pPr>
      <w:r w:rsidRPr="00536EC9">
        <w:rPr>
          <w:rFonts w:ascii="Times New Roman" w:hAnsi="Times New Roman" w:cs="Times New Roman"/>
          <w:color w:val="000000"/>
          <w:sz w:val="24"/>
          <w:szCs w:val="24"/>
        </w:rPr>
        <w:t xml:space="preserve">  </w:t>
      </w:r>
    </w:p>
    <w:p w:rsidR="00536EC9" w:rsidRPr="00536EC9" w:rsidP="00536EC9">
      <w:pPr>
        <w:pStyle w:val="ListParagraph"/>
        <w:numPr>
          <w:numId w:val="10"/>
        </w:numPr>
        <w:bidi w:val="0"/>
        <w:spacing w:after="0"/>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 xml:space="preserve">V § 99 sa vypúšťajú odseky 11 až 13. </w:t>
      </w:r>
    </w:p>
    <w:p w:rsidR="00536EC9" w:rsidRPr="00536EC9" w:rsidP="00536EC9">
      <w:pPr>
        <w:bidi w:val="0"/>
        <w:spacing w:after="0"/>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 xml:space="preserve">     Doterajšie odseky 14 až 23 sa označujú ako odseky 11 až 20.</w:t>
      </w:r>
    </w:p>
    <w:p w:rsidR="00536EC9" w:rsidRPr="00536EC9" w:rsidP="00536EC9">
      <w:pPr>
        <w:bidi w:val="0"/>
        <w:spacing w:after="0"/>
        <w:jc w:val="both"/>
        <w:rPr>
          <w:rFonts w:ascii="Times New Roman" w:hAnsi="Times New Roman" w:cs="Times New Roman"/>
          <w:color w:val="000000"/>
          <w:sz w:val="24"/>
          <w:szCs w:val="24"/>
        </w:rPr>
      </w:pPr>
    </w:p>
    <w:p w:rsidR="00536EC9" w:rsidRPr="00536EC9" w:rsidP="00536EC9">
      <w:pPr>
        <w:pStyle w:val="ListParagraph"/>
        <w:numPr>
          <w:numId w:val="10"/>
        </w:numPr>
        <w:bidi w:val="0"/>
        <w:spacing w:after="0"/>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 xml:space="preserve">V § 99 ods. 11 sa vypúšťajú slová „ § 71, a § 71b ods. 1, 2, 4 a 5 a“.   </w:t>
      </w:r>
    </w:p>
    <w:p w:rsidR="00536EC9" w:rsidRPr="00536EC9" w:rsidP="00536EC9">
      <w:pPr>
        <w:pStyle w:val="ListParagraph"/>
        <w:numPr>
          <w:numId w:val="10"/>
        </w:numPr>
        <w:bidi w:val="0"/>
        <w:spacing w:after="0"/>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 xml:space="preserve">V § 99 odsek 13 znie:  </w:t>
      </w:r>
    </w:p>
    <w:p w:rsidR="00536EC9" w:rsidRPr="00536EC9" w:rsidP="00536EC9">
      <w:pPr>
        <w:bidi w:val="0"/>
        <w:spacing w:after="0"/>
        <w:ind w:left="720"/>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„(13) Účastníkom systému vyrovnania môže byť len</w:t>
      </w:r>
    </w:p>
    <w:p w:rsidR="00536EC9" w:rsidRPr="00536EC9" w:rsidP="00536EC9">
      <w:pPr>
        <w:numPr>
          <w:numId w:val="14"/>
        </w:numPr>
        <w:bidi w:val="0"/>
        <w:spacing w:after="0"/>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banka alebo zahraničná banka,</w:t>
      </w:r>
    </w:p>
    <w:p w:rsidR="00536EC9" w:rsidRPr="00536EC9" w:rsidP="00536EC9">
      <w:pPr>
        <w:numPr>
          <w:numId w:val="14"/>
        </w:numPr>
        <w:bidi w:val="0"/>
        <w:spacing w:after="0"/>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obchodník s cennými papiermi alebo zahraničný obchodník s cennými papiermi,</w:t>
      </w:r>
    </w:p>
    <w:p w:rsidR="00536EC9" w:rsidRPr="00536EC9" w:rsidP="00536EC9">
      <w:pPr>
        <w:numPr>
          <w:numId w:val="14"/>
        </w:numPr>
        <w:bidi w:val="0"/>
        <w:spacing w:after="0"/>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centrálna protistrana, zúčtovací agent, zúčtovací ústav alebo prevádzkovateľ systému vyrovnania alebo prevádzkovateľ platobného systému,</w:t>
      </w:r>
    </w:p>
    <w:p w:rsidR="00536EC9" w:rsidRPr="00536EC9" w:rsidP="00536EC9">
      <w:pPr>
        <w:numPr>
          <w:numId w:val="14"/>
        </w:numPr>
        <w:bidi w:val="0"/>
        <w:spacing w:after="0"/>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orgán verejnej moci,</w:t>
      </w:r>
    </w:p>
    <w:p w:rsidR="00536EC9" w:rsidRPr="00536EC9" w:rsidP="00536EC9">
      <w:pPr>
        <w:numPr>
          <w:numId w:val="14"/>
        </w:numPr>
        <w:bidi w:val="0"/>
        <w:spacing w:after="0"/>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obchodná spoločnosť, ktorej štát poskytol záruku v súvislosti s jej účasťou v systéme vyrovnania alebo v platobnom systéme,</w:t>
      </w:r>
    </w:p>
    <w:p w:rsidR="00536EC9" w:rsidRPr="00536EC9" w:rsidP="00536EC9">
      <w:pPr>
        <w:numPr>
          <w:numId w:val="14"/>
        </w:numPr>
        <w:bidi w:val="0"/>
        <w:spacing w:after="0"/>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centrálny depozitár, ktorý sa stal účastníkom systému vyrovnania prevádzkovaného centrálnym depozitárom na základe osobitného predpisu.</w:t>
      </w:r>
      <w:r w:rsidRPr="00536EC9">
        <w:rPr>
          <w:rFonts w:ascii="Times New Roman" w:hAnsi="Times New Roman" w:cs="Times New Roman"/>
          <w:color w:val="000000"/>
          <w:sz w:val="24"/>
          <w:szCs w:val="24"/>
          <w:vertAlign w:val="superscript"/>
        </w:rPr>
        <w:t>90</w:t>
      </w:r>
      <w:r w:rsidRPr="00536EC9">
        <w:rPr>
          <w:rFonts w:ascii="Times New Roman" w:hAnsi="Times New Roman" w:cs="Times New Roman"/>
          <w:color w:val="000000"/>
          <w:sz w:val="24"/>
          <w:szCs w:val="24"/>
        </w:rPr>
        <w:t>)“.</w:t>
      </w:r>
    </w:p>
    <w:p w:rsidR="00536EC9" w:rsidRPr="00536EC9" w:rsidP="00536EC9">
      <w:pPr>
        <w:bidi w:val="0"/>
        <w:spacing w:after="0"/>
        <w:contextualSpacing/>
        <w:jc w:val="both"/>
        <w:rPr>
          <w:rFonts w:ascii="Times New Roman" w:hAnsi="Times New Roman" w:cs="Times New Roman"/>
          <w:color w:val="000000"/>
          <w:sz w:val="24"/>
          <w:szCs w:val="24"/>
        </w:rPr>
      </w:pPr>
    </w:p>
    <w:p w:rsidR="00536EC9" w:rsidRPr="00536EC9" w:rsidP="00536EC9">
      <w:pPr>
        <w:bidi w:val="0"/>
        <w:spacing w:after="0"/>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Poznámka  pod čiarou k odkazu 90 znie:</w:t>
      </w:r>
    </w:p>
    <w:p w:rsidR="00536EC9" w:rsidRPr="00536EC9" w:rsidP="00536EC9">
      <w:pPr>
        <w:bidi w:val="0"/>
        <w:spacing w:after="0"/>
        <w:contextualSpacing/>
        <w:jc w:val="both"/>
        <w:rPr>
          <w:rFonts w:ascii="Times New Roman" w:hAnsi="Times New Roman" w:cs="Times New Roman"/>
          <w:sz w:val="24"/>
          <w:szCs w:val="24"/>
        </w:rPr>
      </w:pPr>
      <w:r w:rsidRPr="00536EC9">
        <w:rPr>
          <w:rFonts w:ascii="Times New Roman" w:hAnsi="Times New Roman" w:cs="Times New Roman"/>
          <w:color w:val="000000"/>
          <w:sz w:val="24"/>
          <w:szCs w:val="24"/>
        </w:rPr>
        <w:t>„</w:t>
      </w:r>
      <w:r w:rsidRPr="00536EC9">
        <w:rPr>
          <w:rFonts w:ascii="Times New Roman" w:hAnsi="Times New Roman" w:cs="Times New Roman"/>
          <w:color w:val="000000"/>
          <w:sz w:val="24"/>
          <w:szCs w:val="24"/>
          <w:vertAlign w:val="superscript"/>
        </w:rPr>
        <w:t>90</w:t>
      </w:r>
      <w:r w:rsidRPr="00536EC9">
        <w:rPr>
          <w:rFonts w:ascii="Times New Roman" w:hAnsi="Times New Roman" w:cs="Times New Roman"/>
          <w:color w:val="000000"/>
          <w:sz w:val="24"/>
          <w:szCs w:val="24"/>
        </w:rPr>
        <w:t>) Nariadenie (EÚ) č. 909/2014.</w:t>
      </w:r>
      <w:r w:rsidRPr="00536EC9">
        <w:rPr>
          <w:rFonts w:ascii="Times New Roman" w:hAnsi="Times New Roman" w:cs="Times New Roman"/>
          <w:iCs/>
          <w:sz w:val="24"/>
          <w:szCs w:val="24"/>
        </w:rPr>
        <w:t>“.</w:t>
      </w:r>
    </w:p>
    <w:p w:rsidR="00536EC9" w:rsidRPr="00536EC9" w:rsidP="00536EC9">
      <w:pPr>
        <w:bidi w:val="0"/>
        <w:spacing w:after="0"/>
        <w:jc w:val="both"/>
        <w:rPr>
          <w:rFonts w:ascii="Times New Roman" w:hAnsi="Times New Roman" w:cs="Times New Roman"/>
          <w:color w:val="000000"/>
          <w:sz w:val="24"/>
          <w:szCs w:val="24"/>
        </w:rPr>
      </w:pPr>
    </w:p>
    <w:p w:rsidR="00536EC9" w:rsidRPr="00536EC9" w:rsidP="00536EC9">
      <w:pPr>
        <w:pStyle w:val="ListParagraph"/>
        <w:numPr>
          <w:numId w:val="10"/>
        </w:numPr>
        <w:bidi w:val="0"/>
        <w:spacing w:after="0"/>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 xml:space="preserve">§ 100 sa vypúšťa. </w:t>
      </w:r>
    </w:p>
    <w:p w:rsidR="00536EC9" w:rsidRPr="00536EC9" w:rsidP="00536EC9">
      <w:pPr>
        <w:pStyle w:val="ListParagraph"/>
        <w:bidi w:val="0"/>
        <w:spacing w:after="0"/>
        <w:jc w:val="both"/>
        <w:rPr>
          <w:rFonts w:ascii="Times New Roman" w:hAnsi="Times New Roman" w:cs="Times New Roman"/>
          <w:color w:val="000000"/>
          <w:sz w:val="24"/>
          <w:szCs w:val="24"/>
        </w:rPr>
      </w:pPr>
    </w:p>
    <w:p w:rsidR="00536EC9" w:rsidRPr="00536EC9" w:rsidP="00536EC9">
      <w:pPr>
        <w:pStyle w:val="ListParagraph"/>
        <w:numPr>
          <w:numId w:val="10"/>
        </w:numPr>
        <w:bidi w:val="0"/>
        <w:spacing w:after="0"/>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 101 vrátane nadpisu znie:</w:t>
      </w:r>
    </w:p>
    <w:p w:rsidR="00536EC9" w:rsidRPr="00536EC9" w:rsidP="00536EC9">
      <w:pPr>
        <w:bidi w:val="0"/>
        <w:spacing w:after="0"/>
        <w:jc w:val="center"/>
        <w:rPr>
          <w:rFonts w:ascii="Times New Roman" w:hAnsi="Times New Roman" w:cs="Times New Roman"/>
          <w:sz w:val="24"/>
          <w:szCs w:val="24"/>
        </w:rPr>
      </w:pPr>
      <w:r w:rsidRPr="00536EC9">
        <w:rPr>
          <w:rFonts w:ascii="Times New Roman" w:hAnsi="Times New Roman" w:cs="Times New Roman"/>
          <w:sz w:val="24"/>
          <w:szCs w:val="24"/>
        </w:rPr>
        <w:t>„§ 101</w:t>
      </w:r>
    </w:p>
    <w:p w:rsidR="00536EC9" w:rsidRPr="00536EC9" w:rsidP="00536EC9">
      <w:pPr>
        <w:bidi w:val="0"/>
        <w:spacing w:after="0"/>
        <w:jc w:val="center"/>
        <w:rPr>
          <w:rFonts w:ascii="Times New Roman" w:hAnsi="Times New Roman" w:cs="Times New Roman"/>
          <w:sz w:val="24"/>
          <w:szCs w:val="24"/>
        </w:rPr>
      </w:pPr>
      <w:r w:rsidRPr="00536EC9">
        <w:rPr>
          <w:rFonts w:ascii="Times New Roman" w:hAnsi="Times New Roman" w:cs="Times New Roman"/>
          <w:sz w:val="24"/>
          <w:szCs w:val="24"/>
        </w:rPr>
        <w:t>Vzdanie sa povolenia na činnosť</w:t>
      </w:r>
    </w:p>
    <w:p w:rsidR="00536EC9" w:rsidRPr="00536EC9" w:rsidP="00536EC9">
      <w:pPr>
        <w:autoSpaceDE w:val="0"/>
        <w:autoSpaceDN w:val="0"/>
        <w:bidi w:val="0"/>
        <w:adjustRightInd w:val="0"/>
        <w:spacing w:after="0"/>
        <w:ind w:firstLine="708"/>
        <w:rPr>
          <w:rFonts w:ascii="Times New Roman" w:hAnsi="Times New Roman" w:cs="Times New Roman"/>
          <w:sz w:val="24"/>
          <w:szCs w:val="24"/>
        </w:rPr>
      </w:pPr>
    </w:p>
    <w:p w:rsidR="00536EC9" w:rsidRPr="00536EC9" w:rsidP="00536EC9">
      <w:pPr>
        <w:pStyle w:val="ListParagraph"/>
        <w:bidi w:val="0"/>
        <w:spacing w:after="0"/>
        <w:ind w:left="0" w:firstLine="708"/>
        <w:jc w:val="both"/>
        <w:rPr>
          <w:rFonts w:ascii="Times New Roman" w:hAnsi="Times New Roman" w:cs="Times New Roman"/>
          <w:sz w:val="24"/>
          <w:szCs w:val="24"/>
        </w:rPr>
      </w:pPr>
      <w:r w:rsidRPr="00536EC9">
        <w:rPr>
          <w:rFonts w:ascii="Times New Roman" w:hAnsi="Times New Roman" w:cs="Times New Roman"/>
          <w:sz w:val="24"/>
          <w:szCs w:val="24"/>
        </w:rPr>
        <w:t xml:space="preserve">(1) Centrálny depozitár oznamuje Národnej banke Slovenska úmysel vzdať sa povolenia na činnosť podľa osobitného predpisu. </w:t>
      </w:r>
      <w:r w:rsidRPr="00536EC9">
        <w:rPr>
          <w:rFonts w:ascii="Times New Roman" w:hAnsi="Times New Roman" w:cs="Times New Roman"/>
          <w:sz w:val="24"/>
          <w:szCs w:val="24"/>
          <w:vertAlign w:val="superscript"/>
        </w:rPr>
        <w:t>90ab</w:t>
      </w:r>
      <w:r w:rsidRPr="00536EC9">
        <w:rPr>
          <w:rFonts w:ascii="Times New Roman" w:hAnsi="Times New Roman" w:cs="Times New Roman"/>
          <w:sz w:val="24"/>
          <w:szCs w:val="24"/>
        </w:rPr>
        <w:t>) Doručením oznámenia o úmysle vzdať sa povolenia na činnosť Národnej banke Slovenska začína konanie podľa osobitného predpisu</w:t>
      </w:r>
      <w:r w:rsidRPr="00536EC9">
        <w:rPr>
          <w:rFonts w:ascii="Times New Roman" w:hAnsi="Times New Roman" w:cs="Times New Roman"/>
          <w:sz w:val="24"/>
          <w:szCs w:val="24"/>
          <w:vertAlign w:val="superscript"/>
        </w:rPr>
        <w:t>20</w:t>
      </w:r>
      <w:r w:rsidRPr="00536EC9">
        <w:rPr>
          <w:rFonts w:ascii="Times New Roman" w:hAnsi="Times New Roman" w:cs="Times New Roman"/>
          <w:sz w:val="24"/>
          <w:szCs w:val="24"/>
        </w:rPr>
        <w:t>)</w:t>
      </w:r>
      <w:r w:rsidRPr="00536EC9">
        <w:rPr>
          <w:rFonts w:ascii="Times New Roman" w:hAnsi="Times New Roman" w:cs="Times New Roman"/>
          <w:sz w:val="24"/>
          <w:szCs w:val="24"/>
          <w:vertAlign w:val="superscript"/>
        </w:rPr>
        <w:t xml:space="preserve"> </w:t>
      </w:r>
      <w:r w:rsidRPr="00536EC9">
        <w:rPr>
          <w:rFonts w:ascii="Times New Roman" w:hAnsi="Times New Roman" w:cs="Times New Roman"/>
          <w:sz w:val="24"/>
          <w:szCs w:val="24"/>
        </w:rPr>
        <w:t xml:space="preserve"> o odňatí povolenia.</w:t>
      </w:r>
    </w:p>
    <w:p w:rsidR="00536EC9" w:rsidRPr="00536EC9" w:rsidP="00536EC9">
      <w:pPr>
        <w:pStyle w:val="ListParagraph"/>
        <w:autoSpaceDE w:val="0"/>
        <w:autoSpaceDN w:val="0"/>
        <w:bidi w:val="0"/>
        <w:adjustRightInd w:val="0"/>
        <w:spacing w:after="0"/>
        <w:ind w:left="1413"/>
        <w:jc w:val="both"/>
        <w:rPr>
          <w:rFonts w:ascii="Times New Roman" w:hAnsi="Times New Roman" w:cs="Times New Roman"/>
          <w:sz w:val="24"/>
          <w:szCs w:val="24"/>
        </w:rPr>
      </w:pPr>
    </w:p>
    <w:p w:rsidR="00536EC9" w:rsidRPr="00536EC9" w:rsidP="00536EC9">
      <w:pPr>
        <w:pStyle w:val="ListParagraph"/>
        <w:autoSpaceDE w:val="0"/>
        <w:autoSpaceDN w:val="0"/>
        <w:bidi w:val="0"/>
        <w:adjustRightInd w:val="0"/>
        <w:spacing w:after="0"/>
        <w:ind w:left="0" w:firstLine="708"/>
        <w:jc w:val="both"/>
        <w:rPr>
          <w:rFonts w:ascii="Times New Roman" w:hAnsi="Times New Roman" w:cs="Times New Roman"/>
          <w:sz w:val="24"/>
          <w:szCs w:val="24"/>
        </w:rPr>
      </w:pPr>
      <w:r w:rsidRPr="00536EC9">
        <w:rPr>
          <w:rFonts w:ascii="Times New Roman" w:hAnsi="Times New Roman" w:cs="Times New Roman"/>
          <w:sz w:val="24"/>
          <w:szCs w:val="24"/>
        </w:rPr>
        <w:t xml:space="preserve">(2) Pred vydaním rozhodnutia o odňatí povolenia na činnosť Národná banka Slovenska preverí plnenie povinností a ďalších podmienok postupu zabezpečujúceho včasné a riadne vyrovnanie a prevod aktív klientov a členov na iného centrálneho depozitára (ďalej len „prevod aktív“) určenom v pláne na riadenie ukončenia činnosti vypracovanom podľa osobitného predpisu. </w:t>
      </w:r>
      <w:r w:rsidRPr="00536EC9">
        <w:rPr>
          <w:rFonts w:ascii="Times New Roman" w:hAnsi="Times New Roman" w:cs="Times New Roman"/>
          <w:sz w:val="24"/>
          <w:szCs w:val="24"/>
          <w:vertAlign w:val="superscript"/>
        </w:rPr>
        <w:t>90ac</w:t>
      </w:r>
      <w:r w:rsidRPr="00536EC9">
        <w:rPr>
          <w:rFonts w:ascii="Times New Roman" w:hAnsi="Times New Roman" w:cs="Times New Roman"/>
          <w:sz w:val="24"/>
          <w:szCs w:val="24"/>
        </w:rPr>
        <w:t xml:space="preserve">) V konaní podľa prvej vety je Národná banka Slovenska oprávnená uložiť centrálnemu depozitárovi prijať opatrenia na zabezpečenie včasného a riadneho vyrovnania a prevodu aktív aj nad rámec plánu podľa prvej vety a oznámeného úmyslu. </w:t>
      </w:r>
    </w:p>
    <w:p w:rsidR="00536EC9" w:rsidRPr="00536EC9" w:rsidP="00536EC9">
      <w:pPr>
        <w:pStyle w:val="ListParagraph"/>
        <w:autoSpaceDE w:val="0"/>
        <w:autoSpaceDN w:val="0"/>
        <w:bidi w:val="0"/>
        <w:adjustRightInd w:val="0"/>
        <w:spacing w:after="0"/>
        <w:ind w:left="1413"/>
        <w:jc w:val="both"/>
        <w:rPr>
          <w:rFonts w:ascii="Times New Roman" w:hAnsi="Times New Roman" w:cs="Times New Roman"/>
          <w:sz w:val="24"/>
          <w:szCs w:val="24"/>
        </w:rPr>
      </w:pPr>
    </w:p>
    <w:p w:rsidR="00536EC9" w:rsidRPr="00536EC9" w:rsidP="00536EC9">
      <w:pPr>
        <w:pStyle w:val="ListParagraph"/>
        <w:bidi w:val="0"/>
        <w:spacing w:after="0"/>
        <w:ind w:left="0" w:firstLine="708"/>
        <w:jc w:val="both"/>
        <w:rPr>
          <w:rFonts w:ascii="Times New Roman" w:hAnsi="Times New Roman" w:cs="Times New Roman"/>
          <w:sz w:val="24"/>
          <w:szCs w:val="24"/>
        </w:rPr>
      </w:pPr>
      <w:r w:rsidRPr="00536EC9">
        <w:rPr>
          <w:rFonts w:ascii="Times New Roman" w:hAnsi="Times New Roman" w:cs="Times New Roman"/>
          <w:sz w:val="24"/>
          <w:szCs w:val="24"/>
        </w:rPr>
        <w:t xml:space="preserve">(3) Centrálny depozitár prevádza aktíva na iného centrálneho depozitára ako oprávneného nadobúdateľa podľa osobitného predpisu. </w:t>
      </w:r>
      <w:r w:rsidRPr="00536EC9">
        <w:rPr>
          <w:rFonts w:ascii="Times New Roman" w:hAnsi="Times New Roman" w:cs="Times New Roman"/>
          <w:sz w:val="24"/>
          <w:szCs w:val="24"/>
          <w:vertAlign w:val="superscript"/>
        </w:rPr>
        <w:t>90</w:t>
      </w:r>
      <w:r w:rsidRPr="00536EC9">
        <w:rPr>
          <w:rFonts w:ascii="Times New Roman" w:hAnsi="Times New Roman" w:cs="Times New Roman"/>
          <w:sz w:val="24"/>
          <w:szCs w:val="24"/>
        </w:rPr>
        <w:t xml:space="preserve">) S prevodom aktív prevádza centrálny depozitár aj súvisiacu evidenciu a registre. Národná banka Slovenska je oprávnená určiť rozsah, obsah a podmienky prevodu aktív a súvisiacej evidencie a registrov tak, aby prevodom neboli dotknuté práva osôb, ktorých aktíva sa prevádzajú a práva tretích osôb súvisiace s prevádzanými aktívami, evidenciou a registrami. Pri pochybnostiach sa predpokladá, že s prevádzanými aktívami prešli na oprávneného nadobúdateľa aj všetky povinnosti týkajúce sa prevádzaných aktív a súvisiacej evidencie a registrov. Na prevod aktív a súvisiacej evidencie a registrov platia primerane ustanovenia o predaji podniku, </w:t>
      </w:r>
      <w:r w:rsidRPr="00536EC9">
        <w:rPr>
          <w:rFonts w:ascii="Times New Roman" w:hAnsi="Times New Roman" w:cs="Times New Roman"/>
          <w:sz w:val="24"/>
          <w:szCs w:val="24"/>
          <w:vertAlign w:val="superscript"/>
        </w:rPr>
        <w:t>90ad</w:t>
      </w:r>
      <w:r w:rsidRPr="00536EC9">
        <w:rPr>
          <w:rFonts w:ascii="Times New Roman" w:hAnsi="Times New Roman" w:cs="Times New Roman"/>
          <w:sz w:val="24"/>
          <w:szCs w:val="24"/>
        </w:rPr>
        <w:t>) ak  osobitný predpis</w:t>
      </w:r>
      <w:r w:rsidRPr="00536EC9">
        <w:rPr>
          <w:rFonts w:ascii="Times New Roman" w:hAnsi="Times New Roman" w:cs="Times New Roman"/>
          <w:sz w:val="24"/>
          <w:szCs w:val="24"/>
          <w:vertAlign w:val="superscript"/>
        </w:rPr>
        <w:t>90</w:t>
      </w:r>
      <w:r w:rsidRPr="00536EC9">
        <w:rPr>
          <w:rFonts w:ascii="Times New Roman" w:hAnsi="Times New Roman" w:cs="Times New Roman"/>
          <w:sz w:val="24"/>
          <w:szCs w:val="24"/>
        </w:rPr>
        <w:t>) neustanovuje inak. Pri prevode aktív a súvisiacej evidencie a registrov musí centrálny depozitár, oprávnený nadobúdateľ a každá ďalšia osoba podieľajúca sa na takomto prevode chrániť práva tretích osôb, ktoré môžu byť takýmto prevodom dotknuté. Za škodu spôsobenú pri prevode aktív a súvisiacej evidencie a registrov zodpovedá centrálny depozitár a  oprávnený nadobúdateľ spoločne a nerozdielne.</w:t>
      </w:r>
    </w:p>
    <w:p w:rsidR="00536EC9" w:rsidRPr="00536EC9" w:rsidP="00536EC9">
      <w:pPr>
        <w:pStyle w:val="ListParagraph"/>
        <w:autoSpaceDE w:val="0"/>
        <w:autoSpaceDN w:val="0"/>
        <w:bidi w:val="0"/>
        <w:adjustRightInd w:val="0"/>
        <w:spacing w:after="0"/>
        <w:ind w:left="1413"/>
        <w:jc w:val="both"/>
        <w:rPr>
          <w:rFonts w:ascii="Times New Roman" w:hAnsi="Times New Roman" w:cs="Times New Roman"/>
          <w:sz w:val="24"/>
          <w:szCs w:val="24"/>
        </w:rPr>
      </w:pPr>
    </w:p>
    <w:p w:rsidR="00536EC9" w:rsidRPr="00536EC9" w:rsidP="00536EC9">
      <w:pPr>
        <w:pStyle w:val="ListParagraph"/>
        <w:autoSpaceDE w:val="0"/>
        <w:autoSpaceDN w:val="0"/>
        <w:bidi w:val="0"/>
        <w:adjustRightInd w:val="0"/>
        <w:spacing w:after="0"/>
        <w:ind w:left="0" w:firstLine="708"/>
        <w:jc w:val="both"/>
        <w:rPr>
          <w:rFonts w:ascii="Times New Roman" w:hAnsi="Times New Roman" w:cs="Times New Roman"/>
          <w:sz w:val="24"/>
          <w:szCs w:val="24"/>
        </w:rPr>
      </w:pPr>
      <w:r w:rsidRPr="00536EC9">
        <w:rPr>
          <w:rFonts w:ascii="Times New Roman" w:hAnsi="Times New Roman" w:cs="Times New Roman"/>
          <w:sz w:val="24"/>
          <w:szCs w:val="24"/>
        </w:rPr>
        <w:t>(4) Po ukončení prevodu aktív a súvisiacej evidencie a registrov na oprávneného nadobúdateľa podľa osobitného predpisu</w:t>
      </w:r>
      <w:r w:rsidRPr="00536EC9">
        <w:rPr>
          <w:rFonts w:ascii="Times New Roman" w:hAnsi="Times New Roman" w:cs="Times New Roman"/>
          <w:sz w:val="24"/>
          <w:szCs w:val="24"/>
          <w:vertAlign w:val="superscript"/>
        </w:rPr>
        <w:t>90ac</w:t>
      </w:r>
      <w:r w:rsidRPr="00536EC9">
        <w:rPr>
          <w:rFonts w:ascii="Times New Roman" w:hAnsi="Times New Roman" w:cs="Times New Roman"/>
          <w:sz w:val="24"/>
          <w:szCs w:val="24"/>
        </w:rPr>
        <w:t xml:space="preserve">) a po splnení podmienok uložených Národnou bankou Slovenska v súvislosti s prevodom aktív vydá Národná banka Slovenska rozhodnutie, ktorým odníme centrálnemu depozitárovi povolenie na činnosť. </w:t>
      </w:r>
      <w:r w:rsidRPr="00536EC9">
        <w:rPr>
          <w:rFonts w:ascii="Times New Roman" w:hAnsi="Times New Roman" w:cs="Times New Roman"/>
          <w:sz w:val="24"/>
          <w:szCs w:val="24"/>
          <w:vertAlign w:val="superscript"/>
        </w:rPr>
        <w:t>90ab</w:t>
      </w:r>
      <w:r w:rsidRPr="00536EC9">
        <w:rPr>
          <w:rFonts w:ascii="Times New Roman" w:hAnsi="Times New Roman" w:cs="Times New Roman"/>
          <w:sz w:val="24"/>
          <w:szCs w:val="24"/>
        </w:rPr>
        <w:t xml:space="preserve">) </w:t>
      </w:r>
    </w:p>
    <w:p w:rsidR="00536EC9" w:rsidRPr="00536EC9" w:rsidP="00536EC9">
      <w:pPr>
        <w:pStyle w:val="ListParagraph"/>
        <w:autoSpaceDE w:val="0"/>
        <w:autoSpaceDN w:val="0"/>
        <w:bidi w:val="0"/>
        <w:adjustRightInd w:val="0"/>
        <w:spacing w:after="0"/>
        <w:ind w:left="1413"/>
        <w:jc w:val="both"/>
        <w:rPr>
          <w:rFonts w:ascii="Times New Roman" w:hAnsi="Times New Roman" w:cs="Times New Roman"/>
          <w:sz w:val="24"/>
          <w:szCs w:val="24"/>
        </w:rPr>
      </w:pPr>
    </w:p>
    <w:p w:rsidR="00536EC9" w:rsidRPr="00536EC9" w:rsidP="00536EC9">
      <w:pPr>
        <w:autoSpaceDE w:val="0"/>
        <w:autoSpaceDN w:val="0"/>
        <w:bidi w:val="0"/>
        <w:adjustRightInd w:val="0"/>
        <w:spacing w:after="0"/>
        <w:ind w:firstLine="708"/>
        <w:jc w:val="both"/>
        <w:rPr>
          <w:rFonts w:ascii="Times New Roman" w:hAnsi="Times New Roman" w:cs="Times New Roman"/>
          <w:sz w:val="24"/>
          <w:szCs w:val="24"/>
        </w:rPr>
      </w:pPr>
      <w:r w:rsidRPr="00536EC9">
        <w:rPr>
          <w:rFonts w:ascii="Times New Roman" w:hAnsi="Times New Roman" w:cs="Times New Roman"/>
          <w:sz w:val="24"/>
          <w:szCs w:val="24"/>
        </w:rPr>
        <w:t>(5) Odňatím povolenia na činnosť podľa odseku 4 nie je dotknutá dôveryhodnosť  osôb podľa tohto zákona alebo osobitných zákonov.“.</w:t>
      </w:r>
    </w:p>
    <w:p w:rsidR="00536EC9" w:rsidRPr="00536EC9" w:rsidP="00536EC9">
      <w:pPr>
        <w:autoSpaceDE w:val="0"/>
        <w:autoSpaceDN w:val="0"/>
        <w:bidi w:val="0"/>
        <w:adjustRightInd w:val="0"/>
        <w:spacing w:after="0"/>
        <w:jc w:val="both"/>
        <w:rPr>
          <w:rFonts w:ascii="Times New Roman" w:hAnsi="Times New Roman" w:cs="Times New Roman"/>
          <w:sz w:val="24"/>
          <w:szCs w:val="24"/>
        </w:rPr>
      </w:pPr>
    </w:p>
    <w:p w:rsidR="00536EC9" w:rsidRPr="00536EC9" w:rsidP="00536EC9">
      <w:pPr>
        <w:bidi w:val="0"/>
        <w:spacing w:after="0"/>
        <w:rPr>
          <w:rFonts w:ascii="Times New Roman" w:hAnsi="Times New Roman" w:cs="Times New Roman"/>
          <w:sz w:val="24"/>
          <w:szCs w:val="24"/>
        </w:rPr>
      </w:pPr>
      <w:r w:rsidRPr="00536EC9">
        <w:rPr>
          <w:rFonts w:ascii="Times New Roman" w:hAnsi="Times New Roman" w:cs="Times New Roman"/>
          <w:sz w:val="24"/>
          <w:szCs w:val="24"/>
        </w:rPr>
        <w:t>Poznámky pod čiarou k odkazom 90ab až 90ad znejú:</w:t>
      </w:r>
    </w:p>
    <w:p w:rsidR="00536EC9" w:rsidRPr="00536EC9" w:rsidP="00536EC9">
      <w:pPr>
        <w:bidi w:val="0"/>
        <w:spacing w:after="0"/>
        <w:ind w:left="284" w:hanging="142"/>
        <w:rPr>
          <w:rFonts w:ascii="Times New Roman" w:hAnsi="Times New Roman" w:cs="Times New Roman"/>
          <w:sz w:val="24"/>
          <w:szCs w:val="24"/>
        </w:rPr>
      </w:pPr>
      <w:r w:rsidRPr="00536EC9">
        <w:rPr>
          <w:rFonts w:ascii="Times New Roman" w:hAnsi="Times New Roman" w:cs="Times New Roman"/>
          <w:sz w:val="24"/>
          <w:szCs w:val="24"/>
        </w:rPr>
        <w:t xml:space="preserve">  „ </w:t>
      </w:r>
      <w:r w:rsidRPr="00536EC9">
        <w:rPr>
          <w:rFonts w:ascii="Times New Roman" w:hAnsi="Times New Roman" w:cs="Times New Roman"/>
          <w:sz w:val="24"/>
          <w:szCs w:val="24"/>
          <w:vertAlign w:val="superscript"/>
        </w:rPr>
        <w:t>90ab</w:t>
      </w:r>
      <w:r w:rsidRPr="00536EC9">
        <w:rPr>
          <w:rFonts w:ascii="Times New Roman" w:hAnsi="Times New Roman" w:cs="Times New Roman"/>
          <w:sz w:val="24"/>
          <w:szCs w:val="24"/>
        </w:rPr>
        <w:t>) Čl. 20 ods. 1 písm. a) nariadenia (EÚ) č. 909/2014.</w:t>
      </w:r>
    </w:p>
    <w:p w:rsidR="00536EC9" w:rsidRPr="00536EC9" w:rsidP="00536EC9">
      <w:pPr>
        <w:bidi w:val="0"/>
        <w:spacing w:after="0"/>
        <w:rPr>
          <w:rFonts w:ascii="Times New Roman" w:hAnsi="Times New Roman" w:cs="Times New Roman"/>
          <w:sz w:val="24"/>
          <w:szCs w:val="24"/>
        </w:rPr>
      </w:pPr>
      <w:r w:rsidRPr="00536EC9">
        <w:rPr>
          <w:rFonts w:ascii="Times New Roman" w:hAnsi="Times New Roman" w:cs="Times New Roman"/>
          <w:sz w:val="24"/>
          <w:szCs w:val="24"/>
        </w:rPr>
        <w:t xml:space="preserve">     </w:t>
      </w:r>
      <w:r w:rsidRPr="00536EC9">
        <w:rPr>
          <w:rFonts w:ascii="Times New Roman" w:hAnsi="Times New Roman" w:cs="Times New Roman"/>
          <w:sz w:val="24"/>
          <w:szCs w:val="24"/>
          <w:vertAlign w:val="superscript"/>
        </w:rPr>
        <w:t>90ac</w:t>
      </w:r>
      <w:r w:rsidRPr="00536EC9">
        <w:rPr>
          <w:rFonts w:ascii="Times New Roman" w:hAnsi="Times New Roman" w:cs="Times New Roman"/>
          <w:sz w:val="24"/>
          <w:szCs w:val="24"/>
        </w:rPr>
        <w:t>) Čl. 20 ods. 5 nariadenia (EÚ) č. 909/2014.</w:t>
      </w:r>
    </w:p>
    <w:p w:rsidR="00536EC9" w:rsidRPr="00536EC9" w:rsidP="00536EC9">
      <w:pPr>
        <w:bidi w:val="0"/>
        <w:spacing w:after="0"/>
        <w:rPr>
          <w:rFonts w:ascii="Times New Roman" w:hAnsi="Times New Roman" w:cs="Times New Roman"/>
          <w:color w:val="FF0000"/>
          <w:sz w:val="24"/>
          <w:szCs w:val="24"/>
        </w:rPr>
      </w:pPr>
      <w:r w:rsidRPr="00536EC9">
        <w:rPr>
          <w:rFonts w:ascii="Times New Roman" w:hAnsi="Times New Roman" w:cs="Times New Roman"/>
          <w:sz w:val="24"/>
          <w:szCs w:val="24"/>
        </w:rPr>
        <w:t xml:space="preserve">     </w:t>
      </w:r>
      <w:r w:rsidRPr="00536EC9">
        <w:rPr>
          <w:rFonts w:ascii="Times New Roman" w:hAnsi="Times New Roman" w:cs="Times New Roman"/>
          <w:sz w:val="24"/>
          <w:szCs w:val="24"/>
          <w:vertAlign w:val="superscript"/>
        </w:rPr>
        <w:t>90ad</w:t>
      </w:r>
      <w:r w:rsidRPr="00536EC9">
        <w:rPr>
          <w:rFonts w:ascii="Times New Roman" w:hAnsi="Times New Roman" w:cs="Times New Roman"/>
          <w:sz w:val="24"/>
          <w:szCs w:val="24"/>
        </w:rPr>
        <w:t>) Obchodný zákonník v znení neskorších predpisov.“.</w:t>
      </w:r>
    </w:p>
    <w:p w:rsidR="00536EC9" w:rsidRPr="00536EC9" w:rsidP="00536EC9">
      <w:pPr>
        <w:tabs>
          <w:tab w:val="left" w:pos="558"/>
          <w:tab w:val="left" w:pos="1092"/>
        </w:tabs>
        <w:bidi w:val="0"/>
        <w:spacing w:after="0"/>
        <w:rPr>
          <w:rFonts w:ascii="Times New Roman" w:hAnsi="Times New Roman" w:cs="Times New Roman"/>
          <w:color w:val="FF0000"/>
          <w:sz w:val="24"/>
          <w:szCs w:val="24"/>
        </w:rPr>
      </w:pPr>
    </w:p>
    <w:p w:rsidR="00536EC9" w:rsidRPr="00536EC9" w:rsidP="00536EC9">
      <w:pPr>
        <w:pStyle w:val="ListParagraph"/>
        <w:numPr>
          <w:numId w:val="10"/>
        </w:numPr>
        <w:bidi w:val="0"/>
        <w:spacing w:after="0"/>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 xml:space="preserve">§ 102 sa vypúšťa. </w:t>
      </w:r>
    </w:p>
    <w:p w:rsidR="00536EC9" w:rsidRPr="00536EC9" w:rsidP="00536EC9">
      <w:pPr>
        <w:pStyle w:val="ListParagraph"/>
        <w:bidi w:val="0"/>
        <w:spacing w:after="0"/>
        <w:ind w:left="786"/>
        <w:jc w:val="both"/>
        <w:rPr>
          <w:rFonts w:ascii="Times New Roman" w:hAnsi="Times New Roman" w:cs="Times New Roman"/>
          <w:color w:val="000000"/>
          <w:sz w:val="24"/>
          <w:szCs w:val="24"/>
        </w:rPr>
      </w:pPr>
    </w:p>
    <w:p w:rsidR="00536EC9" w:rsidRPr="00536EC9" w:rsidP="00536EC9">
      <w:pPr>
        <w:pStyle w:val="ListParagraph"/>
        <w:numPr>
          <w:numId w:val="10"/>
        </w:numPr>
        <w:bidi w:val="0"/>
        <w:spacing w:after="0"/>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V § 103 odseky 1 a 2 znejú:</w:t>
      </w:r>
    </w:p>
    <w:p w:rsidR="00536EC9" w:rsidRPr="00536EC9" w:rsidP="00536EC9">
      <w:pPr>
        <w:bidi w:val="0"/>
        <w:spacing w:after="0"/>
        <w:ind w:left="720"/>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„(1) Prevádzkový poriadok upravuje pravidlá a postupy pri vykonávaní činností a poskytovaní služieb centrálneho depozitára.</w:t>
      </w:r>
    </w:p>
    <w:p w:rsidR="00536EC9" w:rsidRPr="00536EC9" w:rsidP="00536EC9">
      <w:pPr>
        <w:bidi w:val="0"/>
        <w:spacing w:after="0"/>
        <w:ind w:left="720"/>
        <w:jc w:val="both"/>
        <w:rPr>
          <w:rFonts w:ascii="Times New Roman" w:hAnsi="Times New Roman" w:cs="Times New Roman"/>
          <w:color w:val="000000"/>
          <w:sz w:val="24"/>
          <w:szCs w:val="24"/>
        </w:rPr>
      </w:pPr>
    </w:p>
    <w:p w:rsidR="00536EC9" w:rsidRPr="00536EC9" w:rsidP="00536EC9">
      <w:pPr>
        <w:bidi w:val="0"/>
        <w:spacing w:after="0"/>
        <w:ind w:left="720"/>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 xml:space="preserve">(2) Prevádzkový poriadok upravuje rozsah príkazov na iné zápisy, ktoré je člen oprávnený vykonávať vo vzťahu k nezaradenému účtu podľa § 173v ods. 2.“. </w:t>
      </w:r>
    </w:p>
    <w:p w:rsidR="00536EC9" w:rsidRPr="00536EC9" w:rsidP="00536EC9">
      <w:pPr>
        <w:bidi w:val="0"/>
        <w:spacing w:after="0"/>
        <w:ind w:left="360"/>
        <w:jc w:val="both"/>
        <w:rPr>
          <w:rFonts w:ascii="Times New Roman" w:hAnsi="Times New Roman" w:cs="Times New Roman"/>
          <w:color w:val="000000"/>
          <w:sz w:val="24"/>
          <w:szCs w:val="24"/>
        </w:rPr>
      </w:pPr>
    </w:p>
    <w:p w:rsidR="00536EC9" w:rsidRPr="00536EC9" w:rsidP="00536EC9">
      <w:pPr>
        <w:pStyle w:val="ListParagraph"/>
        <w:numPr>
          <w:numId w:val="10"/>
        </w:numPr>
        <w:autoSpaceDE w:val="0"/>
        <w:autoSpaceDN w:val="0"/>
        <w:bidi w:val="0"/>
        <w:adjustRightInd w:val="0"/>
        <w:spacing w:after="0"/>
        <w:contextualSpacing/>
        <w:rPr>
          <w:rFonts w:ascii="Times New Roman" w:hAnsi="Times New Roman" w:cs="Times New Roman"/>
          <w:color w:val="000000"/>
          <w:sz w:val="24"/>
          <w:szCs w:val="24"/>
        </w:rPr>
      </w:pPr>
      <w:r w:rsidRPr="00536EC9">
        <w:rPr>
          <w:rFonts w:ascii="Times New Roman" w:hAnsi="Times New Roman" w:cs="Times New Roman"/>
          <w:color w:val="000000"/>
          <w:sz w:val="24"/>
          <w:szCs w:val="24"/>
        </w:rPr>
        <w:t xml:space="preserve">V § 103 sa vypúšťajú odseky 3 a 4. </w:t>
      </w:r>
    </w:p>
    <w:p w:rsidR="00536EC9" w:rsidRPr="00536EC9" w:rsidP="00536EC9">
      <w:pPr>
        <w:bidi w:val="0"/>
        <w:spacing w:after="0"/>
        <w:ind w:left="360"/>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Doterajšie odseky 5 a 6 sa označujú ako odseky 3 a 4.</w:t>
      </w:r>
    </w:p>
    <w:p w:rsidR="00536EC9" w:rsidRPr="00536EC9" w:rsidP="00536EC9">
      <w:pPr>
        <w:bidi w:val="0"/>
        <w:spacing w:after="0"/>
        <w:ind w:left="360"/>
        <w:jc w:val="both"/>
        <w:rPr>
          <w:rFonts w:ascii="Times New Roman" w:hAnsi="Times New Roman" w:cs="Times New Roman"/>
          <w:color w:val="000000"/>
          <w:sz w:val="24"/>
          <w:szCs w:val="24"/>
        </w:rPr>
      </w:pPr>
    </w:p>
    <w:p w:rsidR="00536EC9" w:rsidRPr="00536EC9" w:rsidP="00536EC9">
      <w:pPr>
        <w:pStyle w:val="ListParagraph"/>
        <w:numPr>
          <w:numId w:val="10"/>
        </w:numPr>
        <w:bidi w:val="0"/>
        <w:spacing w:after="0"/>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V § 103 ods. 4 sa slová „obchodníka s cennými papiermi, ktorému“ nahrádzajú slovami „subjektu, ktorému“ a na konci sa pripájajú tieto slová: „a ďalšie subjekty, ktorým centrálny depozitár poskytuje služby v súvislosti s výkonom svojich činností“.</w:t>
      </w:r>
    </w:p>
    <w:p w:rsidR="00536EC9" w:rsidRPr="00536EC9" w:rsidP="00536EC9">
      <w:pPr>
        <w:autoSpaceDE w:val="0"/>
        <w:autoSpaceDN w:val="0"/>
        <w:bidi w:val="0"/>
        <w:adjustRightInd w:val="0"/>
        <w:spacing w:after="0"/>
        <w:ind w:left="780"/>
        <w:rPr>
          <w:rFonts w:ascii="Times New Roman" w:hAnsi="Times New Roman" w:cs="Times New Roman"/>
          <w:color w:val="000000"/>
          <w:sz w:val="24"/>
          <w:szCs w:val="24"/>
        </w:rPr>
      </w:pPr>
    </w:p>
    <w:p w:rsidR="00536EC9" w:rsidRPr="00536EC9" w:rsidP="00536EC9">
      <w:pPr>
        <w:pStyle w:val="ListParagraph"/>
        <w:numPr>
          <w:numId w:val="10"/>
        </w:numPr>
        <w:autoSpaceDE w:val="0"/>
        <w:autoSpaceDN w:val="0"/>
        <w:bidi w:val="0"/>
        <w:adjustRightInd w:val="0"/>
        <w:spacing w:after="0"/>
        <w:contextualSpacing/>
        <w:rPr>
          <w:rFonts w:ascii="Times New Roman" w:hAnsi="Times New Roman" w:cs="Times New Roman"/>
          <w:color w:val="000000"/>
          <w:sz w:val="24"/>
          <w:szCs w:val="24"/>
        </w:rPr>
      </w:pPr>
      <w:r w:rsidRPr="00536EC9">
        <w:rPr>
          <w:rFonts w:ascii="Times New Roman" w:hAnsi="Times New Roman" w:cs="Times New Roman"/>
          <w:color w:val="000000"/>
          <w:sz w:val="24"/>
          <w:szCs w:val="24"/>
        </w:rPr>
        <w:t xml:space="preserve">V § 104 odsek 1 znie: </w:t>
      </w:r>
    </w:p>
    <w:p w:rsidR="00536EC9" w:rsidRPr="00536EC9" w:rsidP="00536EC9">
      <w:pPr>
        <w:autoSpaceDE w:val="0"/>
        <w:autoSpaceDN w:val="0"/>
        <w:bidi w:val="0"/>
        <w:adjustRightInd w:val="0"/>
        <w:spacing w:after="0"/>
        <w:ind w:left="360"/>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 xml:space="preserve">     „(1) Členom centrálneho depozitára môže byť len účastník systému vyrovnania prevádzkovaného centrálnym depozitárom a centrálnym depozitárom, ktorý sa stal účastníkom systému vyrovnania prevádzkovaného centrálnym depozitárom na základe osobitného predpisu.</w:t>
      </w:r>
      <w:r w:rsidRPr="00536EC9">
        <w:rPr>
          <w:rFonts w:ascii="Times New Roman" w:hAnsi="Times New Roman" w:cs="Times New Roman"/>
          <w:color w:val="000000"/>
          <w:sz w:val="24"/>
          <w:szCs w:val="24"/>
          <w:vertAlign w:val="superscript"/>
        </w:rPr>
        <w:t>90</w:t>
      </w:r>
      <w:r w:rsidRPr="00536EC9">
        <w:rPr>
          <w:rFonts w:ascii="Times New Roman" w:hAnsi="Times New Roman" w:cs="Times New Roman"/>
          <w:color w:val="000000"/>
          <w:sz w:val="24"/>
          <w:szCs w:val="24"/>
        </w:rPr>
        <w:t xml:space="preserve">)“. </w:t>
      </w:r>
    </w:p>
    <w:p w:rsidR="00536EC9" w:rsidRPr="00536EC9" w:rsidP="00536EC9">
      <w:pPr>
        <w:autoSpaceDE w:val="0"/>
        <w:autoSpaceDN w:val="0"/>
        <w:bidi w:val="0"/>
        <w:adjustRightInd w:val="0"/>
        <w:spacing w:after="0"/>
        <w:jc w:val="both"/>
        <w:rPr>
          <w:rFonts w:ascii="Times New Roman" w:hAnsi="Times New Roman" w:cs="Times New Roman"/>
          <w:color w:val="000000"/>
          <w:sz w:val="24"/>
          <w:szCs w:val="24"/>
          <w:vertAlign w:val="superscript"/>
        </w:rPr>
      </w:pPr>
    </w:p>
    <w:p w:rsidR="00536EC9" w:rsidRPr="00536EC9" w:rsidP="00536EC9">
      <w:pPr>
        <w:pStyle w:val="ListParagraph"/>
        <w:numPr>
          <w:numId w:val="10"/>
        </w:numPr>
        <w:autoSpaceDE w:val="0"/>
        <w:autoSpaceDN w:val="0"/>
        <w:bidi w:val="0"/>
        <w:adjustRightInd w:val="0"/>
        <w:spacing w:after="0"/>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V § 104 ods. 2 písm. b) sa slová „§ 99 ods. 3 písm. d)“ nahrádzajú slovami „tohto zákona“.</w:t>
      </w:r>
    </w:p>
    <w:p w:rsidR="00536EC9" w:rsidRPr="00536EC9" w:rsidP="00536EC9">
      <w:pPr>
        <w:pStyle w:val="ListParagraph"/>
        <w:numPr>
          <w:numId w:val="10"/>
        </w:numPr>
        <w:autoSpaceDE w:val="0"/>
        <w:autoSpaceDN w:val="0"/>
        <w:bidi w:val="0"/>
        <w:adjustRightInd w:val="0"/>
        <w:spacing w:after="0"/>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 xml:space="preserve">V § 104 ods. 2 sa vypúšťa sa písmeno f). </w:t>
      </w:r>
    </w:p>
    <w:p w:rsidR="00536EC9" w:rsidRPr="00536EC9" w:rsidP="00536EC9">
      <w:pPr>
        <w:pStyle w:val="ListParagraph"/>
        <w:autoSpaceDE w:val="0"/>
        <w:autoSpaceDN w:val="0"/>
        <w:bidi w:val="0"/>
        <w:adjustRightInd w:val="0"/>
        <w:spacing w:after="0"/>
        <w:ind w:left="786"/>
        <w:jc w:val="both"/>
        <w:rPr>
          <w:rFonts w:ascii="Times New Roman" w:hAnsi="Times New Roman" w:cs="Times New Roman"/>
          <w:color w:val="000000"/>
          <w:sz w:val="24"/>
          <w:szCs w:val="24"/>
        </w:rPr>
      </w:pPr>
    </w:p>
    <w:p w:rsidR="00536EC9" w:rsidRPr="00536EC9" w:rsidP="00536EC9">
      <w:pPr>
        <w:pStyle w:val="ListParagraph"/>
        <w:numPr>
          <w:numId w:val="10"/>
        </w:numPr>
        <w:autoSpaceDE w:val="0"/>
        <w:autoSpaceDN w:val="0"/>
        <w:bidi w:val="0"/>
        <w:adjustRightInd w:val="0"/>
        <w:spacing w:after="0"/>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V § 104 sa vypúšťajú odseky 4 a 7 až 9.</w:t>
      </w:r>
    </w:p>
    <w:p w:rsidR="00536EC9" w:rsidRPr="00536EC9" w:rsidP="00536EC9">
      <w:pPr>
        <w:autoSpaceDE w:val="0"/>
        <w:autoSpaceDN w:val="0"/>
        <w:bidi w:val="0"/>
        <w:adjustRightInd w:val="0"/>
        <w:spacing w:after="0"/>
        <w:jc w:val="both"/>
        <w:rPr>
          <w:rFonts w:ascii="Times New Roman" w:hAnsi="Times New Roman" w:cs="Times New Roman"/>
          <w:color w:val="000000"/>
          <w:sz w:val="24"/>
          <w:szCs w:val="24"/>
        </w:rPr>
      </w:pPr>
    </w:p>
    <w:p w:rsidR="00536EC9" w:rsidRPr="00536EC9" w:rsidP="00536EC9">
      <w:pPr>
        <w:bidi w:val="0"/>
        <w:spacing w:after="0"/>
        <w:ind w:left="426"/>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 xml:space="preserve"> </w:t>
        <w:tab/>
        <w:t>Doterajšie odseky 5, 6 a 10 sa označujú ako odseky 4 až 6.</w:t>
      </w:r>
    </w:p>
    <w:p w:rsidR="00536EC9" w:rsidRPr="00536EC9" w:rsidP="00536EC9">
      <w:pPr>
        <w:bidi w:val="0"/>
        <w:spacing w:after="0"/>
        <w:ind w:left="426"/>
        <w:jc w:val="both"/>
        <w:rPr>
          <w:rFonts w:ascii="Times New Roman" w:hAnsi="Times New Roman" w:cs="Times New Roman"/>
          <w:color w:val="000000"/>
          <w:sz w:val="24"/>
          <w:szCs w:val="24"/>
        </w:rPr>
      </w:pPr>
    </w:p>
    <w:p w:rsidR="00536EC9" w:rsidRPr="00536EC9" w:rsidP="00536EC9">
      <w:pPr>
        <w:pStyle w:val="ListParagraph"/>
        <w:numPr>
          <w:numId w:val="10"/>
        </w:numPr>
        <w:bidi w:val="0"/>
        <w:spacing w:after="0"/>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V § 105 ods. 2 sa slovo „depozitáru“ nahrádza slovami „depozitárovi, členovi,“.</w:t>
      </w:r>
    </w:p>
    <w:p w:rsidR="00536EC9" w:rsidRPr="00536EC9" w:rsidP="00536EC9">
      <w:pPr>
        <w:bidi w:val="0"/>
        <w:spacing w:after="0"/>
        <w:jc w:val="both"/>
        <w:rPr>
          <w:rFonts w:ascii="Times New Roman" w:hAnsi="Times New Roman" w:cs="Times New Roman"/>
          <w:color w:val="000000"/>
          <w:sz w:val="24"/>
          <w:szCs w:val="24"/>
        </w:rPr>
      </w:pPr>
    </w:p>
    <w:p w:rsidR="00536EC9" w:rsidRPr="00536EC9" w:rsidP="00536EC9">
      <w:pPr>
        <w:pStyle w:val="ListParagraph"/>
        <w:numPr>
          <w:numId w:val="10"/>
        </w:numPr>
        <w:bidi w:val="0"/>
        <w:spacing w:after="0"/>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V § 105 ods. 8  a § 105a ods. 8 sa slová „počtu kusov“ nahrádzajú slovami „množstva alebo objemu“, slová „počet kusov“ sa nahrádzajú slovami „množstvo alebo objem“ a vypúšťajú sa slová „vrátane ich podielu  z príslušnej emisie“.</w:t>
      </w:r>
    </w:p>
    <w:p w:rsidR="00536EC9" w:rsidRPr="00536EC9" w:rsidP="00536EC9">
      <w:pPr>
        <w:pStyle w:val="ListParagraph"/>
        <w:bidi w:val="0"/>
        <w:spacing w:after="0"/>
        <w:ind w:left="786"/>
        <w:jc w:val="both"/>
        <w:rPr>
          <w:rFonts w:ascii="Times New Roman" w:hAnsi="Times New Roman" w:cs="Times New Roman"/>
          <w:color w:val="000000"/>
          <w:sz w:val="24"/>
          <w:szCs w:val="24"/>
        </w:rPr>
      </w:pPr>
    </w:p>
    <w:p w:rsidR="00536EC9" w:rsidRPr="00536EC9" w:rsidP="00536EC9">
      <w:pPr>
        <w:pStyle w:val="ListParagraph"/>
        <w:numPr>
          <w:numId w:val="10"/>
        </w:numPr>
        <w:bidi w:val="0"/>
        <w:spacing w:after="0"/>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V § 105a ods. 2 písm. c) treťom bode a § 105b ods. 2 písm. c) treťom bode sa slová „podľa § 28 ods. 3 písm. e) a f)“ nahrádzajú slovami „pre celú emisiu zaknihovaných cenných papierov“.</w:t>
      </w:r>
    </w:p>
    <w:p w:rsidR="00536EC9" w:rsidRPr="00536EC9" w:rsidP="00536EC9">
      <w:pPr>
        <w:bidi w:val="0"/>
        <w:spacing w:after="0"/>
        <w:jc w:val="both"/>
        <w:rPr>
          <w:rFonts w:ascii="Times New Roman" w:hAnsi="Times New Roman" w:cs="Times New Roman"/>
          <w:color w:val="000000"/>
          <w:sz w:val="24"/>
          <w:szCs w:val="24"/>
        </w:rPr>
      </w:pPr>
    </w:p>
    <w:p w:rsidR="00536EC9" w:rsidRPr="00536EC9" w:rsidP="00536EC9">
      <w:pPr>
        <w:pStyle w:val="ListParagraph"/>
        <w:numPr>
          <w:numId w:val="10"/>
        </w:numPr>
        <w:bidi w:val="0"/>
        <w:spacing w:after="0"/>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V § 105a ods. 3 prvej vete sa za slová „len pre“ vkladajú slová „Národnú banku Slovenska,“.</w:t>
      </w:r>
    </w:p>
    <w:p w:rsidR="00536EC9" w:rsidRPr="00536EC9" w:rsidP="00536EC9">
      <w:pPr>
        <w:pStyle w:val="ListParagraph"/>
        <w:bidi w:val="0"/>
        <w:spacing w:after="0"/>
        <w:rPr>
          <w:rFonts w:ascii="Times New Roman" w:hAnsi="Times New Roman" w:cs="Times New Roman"/>
          <w:color w:val="000000"/>
          <w:sz w:val="24"/>
          <w:szCs w:val="24"/>
        </w:rPr>
      </w:pPr>
    </w:p>
    <w:p w:rsidR="00536EC9" w:rsidRPr="00536EC9" w:rsidP="00536EC9">
      <w:pPr>
        <w:pStyle w:val="ListParagraph"/>
        <w:numPr>
          <w:numId w:val="10"/>
        </w:numPr>
        <w:bidi w:val="0"/>
        <w:spacing w:after="0"/>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V § 105a ods. 10 sa na konci pripája táto veta:</w:t>
      </w:r>
    </w:p>
    <w:p w:rsidR="00536EC9" w:rsidRPr="00536EC9" w:rsidP="00536EC9">
      <w:pPr>
        <w:pStyle w:val="ListParagraph"/>
        <w:bidi w:val="0"/>
        <w:spacing w:after="0"/>
        <w:rPr>
          <w:rFonts w:ascii="Times New Roman" w:hAnsi="Times New Roman" w:cs="Times New Roman"/>
          <w:color w:val="000000"/>
          <w:sz w:val="24"/>
          <w:szCs w:val="24"/>
        </w:rPr>
      </w:pPr>
    </w:p>
    <w:p w:rsidR="00536EC9" w:rsidRPr="00536EC9" w:rsidP="00536EC9">
      <w:pPr>
        <w:pStyle w:val="ListParagraph"/>
        <w:bidi w:val="0"/>
        <w:spacing w:after="0"/>
        <w:ind w:left="786"/>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„Ak ide o zahraničné cenné papiere je osoba, pre ktorú bol držiteľský účet zriadený, povinná poskytnúť centrálnemu depozitárovi údaje o majiteľovi cenných papierov v nevyhnutnom rozsahu za účelom plnenia informačných povinností centrálneho depozitára podľa právneho poriadku štátu, podľa ktorého boli zahraničné cenné papiere vydané.“.</w:t>
      </w:r>
    </w:p>
    <w:p w:rsidR="00536EC9" w:rsidRPr="00536EC9" w:rsidP="00536EC9">
      <w:pPr>
        <w:pStyle w:val="ListParagraph"/>
        <w:bidi w:val="0"/>
        <w:spacing w:after="0"/>
        <w:ind w:left="786"/>
        <w:jc w:val="both"/>
        <w:rPr>
          <w:rFonts w:ascii="Times New Roman" w:hAnsi="Times New Roman" w:cs="Times New Roman"/>
          <w:color w:val="000000"/>
          <w:sz w:val="24"/>
          <w:szCs w:val="24"/>
        </w:rPr>
      </w:pPr>
    </w:p>
    <w:p w:rsidR="00536EC9" w:rsidRPr="00536EC9" w:rsidP="00536EC9">
      <w:pPr>
        <w:pStyle w:val="ListParagraph"/>
        <w:numPr>
          <w:numId w:val="10"/>
        </w:numPr>
        <w:bidi w:val="0"/>
        <w:spacing w:after="0"/>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V § 107 odsek 7 znie:</w:t>
      </w:r>
    </w:p>
    <w:p w:rsidR="00536EC9" w:rsidRPr="00536EC9" w:rsidP="00536EC9">
      <w:pPr>
        <w:bidi w:val="0"/>
        <w:spacing w:after="0"/>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„(7) Vedenie osobitnej evidencie cenných papierov, ktoré centrálny depozitár neeviduje v registri emitenta, upravuje prevádzkový poriadok.“.</w:t>
      </w:r>
    </w:p>
    <w:p w:rsidR="00536EC9" w:rsidRPr="00536EC9" w:rsidP="00536EC9">
      <w:pPr>
        <w:bidi w:val="0"/>
        <w:spacing w:after="0"/>
        <w:jc w:val="both"/>
        <w:rPr>
          <w:rFonts w:ascii="Times New Roman" w:hAnsi="Times New Roman" w:cs="Times New Roman"/>
          <w:color w:val="000000"/>
          <w:sz w:val="24"/>
          <w:szCs w:val="24"/>
        </w:rPr>
      </w:pPr>
    </w:p>
    <w:p w:rsidR="00536EC9" w:rsidRPr="00536EC9" w:rsidP="00536EC9">
      <w:pPr>
        <w:pStyle w:val="ListParagraph"/>
        <w:numPr>
          <w:numId w:val="10"/>
        </w:numPr>
        <w:bidi w:val="0"/>
        <w:spacing w:after="0"/>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V § 107 ods. 9 sa za slovo „je“ vkladajú slová „pri vedení zoznamu akcionárov listinných akcií“.</w:t>
      </w:r>
    </w:p>
    <w:p w:rsidR="00536EC9" w:rsidRPr="00536EC9" w:rsidP="00536EC9">
      <w:pPr>
        <w:bidi w:val="0"/>
        <w:spacing w:after="0"/>
        <w:jc w:val="both"/>
        <w:rPr>
          <w:rFonts w:ascii="Times New Roman" w:hAnsi="Times New Roman" w:cs="Times New Roman"/>
          <w:color w:val="000000"/>
          <w:sz w:val="24"/>
          <w:szCs w:val="24"/>
        </w:rPr>
      </w:pPr>
    </w:p>
    <w:p w:rsidR="00536EC9" w:rsidRPr="00536EC9" w:rsidP="00536EC9">
      <w:pPr>
        <w:pStyle w:val="ListParagraph"/>
        <w:numPr>
          <w:numId w:val="10"/>
        </w:numPr>
        <w:bidi w:val="0"/>
        <w:spacing w:after="0"/>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V § 107 sa vypúšťa odsek 10.</w:t>
      </w:r>
    </w:p>
    <w:p w:rsidR="00536EC9" w:rsidRPr="00536EC9" w:rsidP="00536EC9">
      <w:pPr>
        <w:pStyle w:val="ListParagraph"/>
        <w:bidi w:val="0"/>
        <w:spacing w:after="0"/>
        <w:rPr>
          <w:rFonts w:ascii="Times New Roman" w:hAnsi="Times New Roman" w:cs="Times New Roman"/>
          <w:color w:val="000000"/>
          <w:sz w:val="24"/>
          <w:szCs w:val="24"/>
        </w:rPr>
      </w:pPr>
    </w:p>
    <w:p w:rsidR="00536EC9" w:rsidRPr="00536EC9" w:rsidP="00536EC9">
      <w:pPr>
        <w:bidi w:val="0"/>
        <w:spacing w:after="0"/>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Doterajšie odseky 11 až 19 sa označujú ako odseky 10 až 18.</w:t>
      </w:r>
    </w:p>
    <w:p w:rsidR="00536EC9" w:rsidRPr="00536EC9" w:rsidP="00536EC9">
      <w:pPr>
        <w:bidi w:val="0"/>
        <w:spacing w:after="0"/>
        <w:jc w:val="both"/>
        <w:rPr>
          <w:rFonts w:ascii="Times New Roman" w:hAnsi="Times New Roman" w:cs="Times New Roman"/>
          <w:color w:val="000000"/>
          <w:sz w:val="24"/>
          <w:szCs w:val="24"/>
        </w:rPr>
      </w:pPr>
    </w:p>
    <w:p w:rsidR="00536EC9" w:rsidRPr="00536EC9" w:rsidP="00536EC9">
      <w:pPr>
        <w:pStyle w:val="ListParagraph"/>
        <w:numPr>
          <w:numId w:val="10"/>
        </w:numPr>
        <w:bidi w:val="0"/>
        <w:spacing w:after="0"/>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V § 107 ods. 13 sa vypúšťajú slová „podľa § 99“.</w:t>
      </w:r>
    </w:p>
    <w:p w:rsidR="00536EC9" w:rsidRPr="00536EC9" w:rsidP="00536EC9">
      <w:pPr>
        <w:bidi w:val="0"/>
        <w:spacing w:after="0"/>
        <w:jc w:val="both"/>
        <w:rPr>
          <w:rFonts w:ascii="Times New Roman" w:hAnsi="Times New Roman" w:cs="Times New Roman"/>
          <w:color w:val="000000"/>
          <w:sz w:val="24"/>
          <w:szCs w:val="24"/>
        </w:rPr>
      </w:pPr>
    </w:p>
    <w:p w:rsidR="00536EC9" w:rsidRPr="00536EC9" w:rsidP="00536EC9">
      <w:pPr>
        <w:pStyle w:val="ListParagraph"/>
        <w:numPr>
          <w:numId w:val="10"/>
        </w:numPr>
        <w:bidi w:val="0"/>
        <w:spacing w:after="0"/>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V § 107 ods. 16 sa slová „odsek 16“ nahrádzajú slovami „odsek 15“.</w:t>
      </w:r>
    </w:p>
    <w:p w:rsidR="00536EC9" w:rsidRPr="00536EC9" w:rsidP="00536EC9">
      <w:pPr>
        <w:bidi w:val="0"/>
        <w:spacing w:after="0"/>
        <w:jc w:val="both"/>
        <w:rPr>
          <w:rFonts w:ascii="Times New Roman" w:hAnsi="Times New Roman" w:cs="Times New Roman"/>
          <w:color w:val="000000"/>
          <w:sz w:val="24"/>
          <w:szCs w:val="24"/>
        </w:rPr>
      </w:pPr>
    </w:p>
    <w:p w:rsidR="00536EC9" w:rsidRPr="00536EC9" w:rsidP="00536EC9">
      <w:pPr>
        <w:pStyle w:val="ListParagraph"/>
        <w:numPr>
          <w:numId w:val="10"/>
        </w:numPr>
        <w:bidi w:val="0"/>
        <w:spacing w:after="0"/>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V § 107a ods. 1 sa slová „prijatia príkazu na registráciu prevodu“ nahrádzajú slovami „určeného v prevádzkovom poriadku“.</w:t>
      </w:r>
    </w:p>
    <w:p w:rsidR="00536EC9" w:rsidRPr="00536EC9" w:rsidP="00536EC9">
      <w:pPr>
        <w:tabs>
          <w:tab w:val="left" w:pos="1296"/>
        </w:tabs>
        <w:bidi w:val="0"/>
        <w:spacing w:after="0"/>
        <w:jc w:val="both"/>
        <w:rPr>
          <w:rFonts w:ascii="Times New Roman" w:hAnsi="Times New Roman" w:cs="Times New Roman"/>
          <w:color w:val="000000"/>
          <w:sz w:val="24"/>
          <w:szCs w:val="24"/>
        </w:rPr>
      </w:pPr>
    </w:p>
    <w:p w:rsidR="00536EC9" w:rsidRPr="00536EC9" w:rsidP="00536EC9">
      <w:pPr>
        <w:pStyle w:val="ListParagraph"/>
        <w:numPr>
          <w:numId w:val="10"/>
        </w:numPr>
        <w:bidi w:val="0"/>
        <w:spacing w:after="0"/>
        <w:contextualSpacing/>
        <w:jc w:val="both"/>
        <w:rPr>
          <w:rFonts w:ascii="Times New Roman" w:hAnsi="Times New Roman" w:cs="Times New Roman"/>
          <w:sz w:val="24"/>
          <w:szCs w:val="24"/>
        </w:rPr>
      </w:pPr>
      <w:r w:rsidRPr="00536EC9">
        <w:rPr>
          <w:rFonts w:ascii="Times New Roman" w:hAnsi="Times New Roman" w:cs="Times New Roman"/>
          <w:sz w:val="24"/>
          <w:szCs w:val="24"/>
        </w:rPr>
        <w:t>V § 109 odsek 1 znie:</w:t>
      </w:r>
    </w:p>
    <w:p w:rsidR="00536EC9" w:rsidRPr="00536EC9" w:rsidP="00536EC9">
      <w:pPr>
        <w:pStyle w:val="ListParagraph"/>
        <w:bidi w:val="0"/>
        <w:spacing w:after="0"/>
        <w:ind w:left="426" w:firstLine="283"/>
        <w:jc w:val="both"/>
        <w:rPr>
          <w:rFonts w:ascii="Times New Roman" w:hAnsi="Times New Roman" w:cs="Times New Roman"/>
          <w:sz w:val="24"/>
          <w:szCs w:val="24"/>
        </w:rPr>
      </w:pPr>
      <w:r w:rsidRPr="00536EC9">
        <w:rPr>
          <w:rFonts w:ascii="Times New Roman" w:hAnsi="Times New Roman" w:cs="Times New Roman"/>
          <w:sz w:val="24"/>
          <w:szCs w:val="24"/>
        </w:rPr>
        <w:t xml:space="preserve"> „(1) Údaje o majiteľoch cenných papierov a akcionároch listinných akcií na meno, údaje o cenných papieroch, ktoré sú evidované na účte majiteľa, držiteľskom účte a klientskom účte a údaje evidované v registri záložných práv alebo inej osobitnej evidencii v súvislosti so zabezpečením pohľadávok cennými papiermi a registráciou pozastavenia práva nakladať sú centrálny depozitár, člen a obchodník s cennými papiermi povinní chrániť, ak § 110 neustanovuje inak.“.</w:t>
      </w:r>
    </w:p>
    <w:p w:rsidR="00536EC9" w:rsidRPr="00536EC9" w:rsidP="00536EC9">
      <w:pPr>
        <w:pStyle w:val="ListParagraph"/>
        <w:bidi w:val="0"/>
        <w:spacing w:after="0"/>
        <w:rPr>
          <w:rFonts w:ascii="Times New Roman" w:hAnsi="Times New Roman" w:cs="Times New Roman"/>
          <w:sz w:val="24"/>
          <w:szCs w:val="24"/>
        </w:rPr>
      </w:pPr>
    </w:p>
    <w:p w:rsidR="00536EC9" w:rsidRPr="00536EC9" w:rsidP="00536EC9">
      <w:pPr>
        <w:pStyle w:val="ListParagraph"/>
        <w:numPr>
          <w:numId w:val="10"/>
        </w:numPr>
        <w:bidi w:val="0"/>
        <w:spacing w:after="0"/>
        <w:contextualSpacing/>
        <w:jc w:val="both"/>
        <w:rPr>
          <w:rFonts w:ascii="Times New Roman" w:hAnsi="Times New Roman" w:cs="Times New Roman"/>
          <w:sz w:val="24"/>
          <w:szCs w:val="24"/>
        </w:rPr>
      </w:pPr>
      <w:r w:rsidRPr="00536EC9">
        <w:rPr>
          <w:rFonts w:ascii="Times New Roman" w:hAnsi="Times New Roman" w:cs="Times New Roman"/>
          <w:color w:val="000000"/>
          <w:sz w:val="24"/>
          <w:szCs w:val="24"/>
        </w:rPr>
        <w:t>V § 111 ods. 1 úvodná veta znie: „Centrálny depozitár je povinný bezodkladne zverejniť na svojom webovom sídle“.</w:t>
      </w:r>
    </w:p>
    <w:p w:rsidR="00536EC9" w:rsidRPr="00536EC9" w:rsidP="00536EC9">
      <w:pPr>
        <w:pStyle w:val="ListParagraph"/>
        <w:bidi w:val="0"/>
        <w:spacing w:after="0"/>
        <w:ind w:left="786"/>
        <w:jc w:val="both"/>
        <w:rPr>
          <w:rFonts w:ascii="Times New Roman" w:hAnsi="Times New Roman" w:cs="Times New Roman"/>
          <w:sz w:val="24"/>
          <w:szCs w:val="24"/>
        </w:rPr>
      </w:pPr>
    </w:p>
    <w:p w:rsidR="00536EC9" w:rsidRPr="00536EC9" w:rsidP="00536EC9">
      <w:pPr>
        <w:pStyle w:val="ListParagraph"/>
        <w:numPr>
          <w:numId w:val="10"/>
        </w:numPr>
        <w:bidi w:val="0"/>
        <w:spacing w:after="0"/>
        <w:contextualSpacing/>
        <w:jc w:val="both"/>
        <w:rPr>
          <w:rFonts w:ascii="Times New Roman" w:hAnsi="Times New Roman" w:cs="Times New Roman"/>
          <w:sz w:val="24"/>
          <w:szCs w:val="24"/>
        </w:rPr>
      </w:pPr>
      <w:r w:rsidRPr="00536EC9">
        <w:rPr>
          <w:rFonts w:ascii="Times New Roman" w:hAnsi="Times New Roman" w:cs="Times New Roman"/>
          <w:sz w:val="24"/>
          <w:szCs w:val="24"/>
        </w:rPr>
        <w:t>V § 118i ods. 3 sa slová „ods. 11“ nahrádzajú slovami „ods. 10“.</w:t>
      </w:r>
    </w:p>
    <w:p w:rsidR="00536EC9" w:rsidRPr="00536EC9" w:rsidP="00536EC9">
      <w:pPr>
        <w:bidi w:val="0"/>
        <w:spacing w:after="0"/>
        <w:rPr>
          <w:rFonts w:ascii="Times New Roman" w:hAnsi="Times New Roman" w:cs="Times New Roman"/>
          <w:sz w:val="24"/>
          <w:szCs w:val="24"/>
        </w:rPr>
      </w:pPr>
    </w:p>
    <w:p w:rsidR="00536EC9" w:rsidRPr="00536EC9" w:rsidP="00536EC9">
      <w:pPr>
        <w:pStyle w:val="ListParagraph"/>
        <w:numPr>
          <w:numId w:val="10"/>
        </w:numPr>
        <w:bidi w:val="0"/>
        <w:spacing w:after="0"/>
        <w:contextualSpacing/>
        <w:jc w:val="both"/>
        <w:rPr>
          <w:rFonts w:ascii="Times New Roman" w:hAnsi="Times New Roman" w:cs="Times New Roman"/>
          <w:sz w:val="24"/>
          <w:szCs w:val="24"/>
        </w:rPr>
      </w:pPr>
      <w:r w:rsidRPr="00536EC9">
        <w:rPr>
          <w:rFonts w:ascii="Times New Roman" w:hAnsi="Times New Roman" w:cs="Times New Roman"/>
          <w:sz w:val="24"/>
          <w:szCs w:val="24"/>
        </w:rPr>
        <w:t>V § 134 ods. 3 sa za písmeno h) vkladá nové písmeno i), ktoré znie:</w:t>
      </w:r>
    </w:p>
    <w:p w:rsidR="00536EC9" w:rsidRPr="00536EC9" w:rsidP="00536EC9">
      <w:pPr>
        <w:pStyle w:val="ListParagraph"/>
        <w:bidi w:val="0"/>
        <w:spacing w:after="0"/>
        <w:rPr>
          <w:rFonts w:ascii="Times New Roman" w:hAnsi="Times New Roman" w:cs="Times New Roman"/>
          <w:sz w:val="24"/>
          <w:szCs w:val="24"/>
        </w:rPr>
      </w:pPr>
    </w:p>
    <w:p w:rsidR="00536EC9" w:rsidRPr="00536EC9" w:rsidP="00536EC9">
      <w:pPr>
        <w:pStyle w:val="ListParagraph"/>
        <w:bidi w:val="0"/>
        <w:spacing w:after="0"/>
        <w:ind w:left="786"/>
        <w:jc w:val="both"/>
        <w:rPr>
          <w:rFonts w:ascii="Times New Roman" w:hAnsi="Times New Roman" w:cs="Times New Roman"/>
          <w:sz w:val="24"/>
          <w:szCs w:val="24"/>
        </w:rPr>
      </w:pPr>
      <w:r w:rsidRPr="00536EC9">
        <w:rPr>
          <w:rFonts w:ascii="Times New Roman" w:hAnsi="Times New Roman" w:cs="Times New Roman"/>
          <w:sz w:val="24"/>
          <w:szCs w:val="24"/>
        </w:rPr>
        <w:t>„i) Vojenskému spravodajstvu na účely plnenia úloh ustanovených osobitnými predpismi,</w:t>
      </w:r>
      <w:r w:rsidRPr="00536EC9">
        <w:rPr>
          <w:rFonts w:ascii="Times New Roman" w:hAnsi="Times New Roman" w:cs="Times New Roman"/>
          <w:sz w:val="24"/>
          <w:szCs w:val="24"/>
          <w:vertAlign w:val="superscript"/>
        </w:rPr>
        <w:t>107f</w:t>
      </w:r>
      <w:r w:rsidRPr="00536EC9">
        <w:rPr>
          <w:rFonts w:ascii="Times New Roman" w:hAnsi="Times New Roman" w:cs="Times New Roman"/>
          <w:sz w:val="24"/>
          <w:szCs w:val="24"/>
        </w:rPr>
        <w:t>)“.</w:t>
      </w:r>
    </w:p>
    <w:p w:rsidR="00536EC9" w:rsidRPr="00536EC9" w:rsidP="00536EC9">
      <w:pPr>
        <w:pStyle w:val="ListParagraph"/>
        <w:bidi w:val="0"/>
        <w:spacing w:after="0"/>
        <w:ind w:left="786"/>
        <w:jc w:val="both"/>
        <w:rPr>
          <w:rFonts w:ascii="Times New Roman" w:hAnsi="Times New Roman" w:cs="Times New Roman"/>
          <w:sz w:val="24"/>
          <w:szCs w:val="24"/>
        </w:rPr>
      </w:pPr>
    </w:p>
    <w:p w:rsidR="00536EC9" w:rsidRPr="00536EC9" w:rsidP="00536EC9">
      <w:pPr>
        <w:pStyle w:val="ListParagraph"/>
        <w:bidi w:val="0"/>
        <w:spacing w:after="0"/>
        <w:ind w:left="786"/>
        <w:jc w:val="both"/>
        <w:rPr>
          <w:rFonts w:ascii="Times New Roman" w:hAnsi="Times New Roman" w:cs="Times New Roman"/>
          <w:sz w:val="24"/>
          <w:szCs w:val="24"/>
        </w:rPr>
      </w:pPr>
      <w:r w:rsidRPr="00536EC9">
        <w:rPr>
          <w:rFonts w:ascii="Times New Roman" w:hAnsi="Times New Roman" w:cs="Times New Roman"/>
          <w:sz w:val="24"/>
          <w:szCs w:val="24"/>
        </w:rPr>
        <w:t>Poznámka pod čiarou k odkazu 107f znie:</w:t>
      </w:r>
    </w:p>
    <w:p w:rsidR="00536EC9" w:rsidRPr="00536EC9" w:rsidP="00536EC9">
      <w:pPr>
        <w:pStyle w:val="ListParagraph"/>
        <w:bidi w:val="0"/>
        <w:spacing w:after="0"/>
        <w:ind w:left="786"/>
        <w:jc w:val="both"/>
        <w:rPr>
          <w:rFonts w:ascii="Times New Roman" w:hAnsi="Times New Roman" w:cs="Times New Roman"/>
          <w:sz w:val="24"/>
          <w:szCs w:val="24"/>
        </w:rPr>
      </w:pPr>
      <w:r w:rsidRPr="00536EC9">
        <w:rPr>
          <w:rFonts w:ascii="Times New Roman" w:hAnsi="Times New Roman" w:cs="Times New Roman"/>
          <w:sz w:val="24"/>
          <w:szCs w:val="24"/>
        </w:rPr>
        <w:t>„</w:t>
      </w:r>
      <w:r w:rsidRPr="00536EC9">
        <w:rPr>
          <w:rFonts w:ascii="Times New Roman" w:hAnsi="Times New Roman" w:cs="Times New Roman"/>
          <w:sz w:val="24"/>
          <w:szCs w:val="24"/>
          <w:vertAlign w:val="superscript"/>
        </w:rPr>
        <w:t>107f</w:t>
      </w:r>
      <w:r w:rsidRPr="00536EC9">
        <w:rPr>
          <w:rFonts w:ascii="Times New Roman" w:hAnsi="Times New Roman" w:cs="Times New Roman"/>
          <w:sz w:val="24"/>
          <w:szCs w:val="24"/>
        </w:rPr>
        <w:t>) § 2 zákona Národnej rady Slovenskej republiky č. 198/1994 Z. z. v znení neskorších predpisov.</w:t>
      </w:r>
    </w:p>
    <w:p w:rsidR="00536EC9" w:rsidRPr="00536EC9" w:rsidP="00536EC9">
      <w:pPr>
        <w:pStyle w:val="ListParagraph"/>
        <w:bidi w:val="0"/>
        <w:spacing w:after="0"/>
        <w:ind w:left="786"/>
        <w:jc w:val="both"/>
        <w:rPr>
          <w:rFonts w:ascii="Times New Roman" w:hAnsi="Times New Roman" w:cs="Times New Roman"/>
          <w:sz w:val="24"/>
          <w:szCs w:val="24"/>
        </w:rPr>
      </w:pPr>
      <w:r w:rsidRPr="00536EC9">
        <w:rPr>
          <w:rFonts w:ascii="Times New Roman" w:hAnsi="Times New Roman" w:cs="Times New Roman"/>
          <w:sz w:val="24"/>
          <w:szCs w:val="24"/>
        </w:rPr>
        <w:t>§ 75 zákona č. 215/2004 Z. z. v znení zákona č. 195/2014 Z. z.“.</w:t>
      </w:r>
    </w:p>
    <w:p w:rsidR="00536EC9" w:rsidRPr="00536EC9" w:rsidP="00536EC9">
      <w:pPr>
        <w:pStyle w:val="ListParagraph"/>
        <w:bidi w:val="0"/>
        <w:spacing w:after="0"/>
        <w:ind w:left="786"/>
        <w:jc w:val="both"/>
        <w:rPr>
          <w:rFonts w:ascii="Times New Roman" w:hAnsi="Times New Roman" w:cs="Times New Roman"/>
          <w:sz w:val="24"/>
          <w:szCs w:val="24"/>
        </w:rPr>
      </w:pPr>
    </w:p>
    <w:p w:rsidR="00536EC9" w:rsidRPr="00536EC9" w:rsidP="00536EC9">
      <w:pPr>
        <w:pStyle w:val="ListParagraph"/>
        <w:bidi w:val="0"/>
        <w:spacing w:after="0"/>
        <w:ind w:left="786"/>
        <w:jc w:val="both"/>
        <w:rPr>
          <w:rFonts w:ascii="Times New Roman" w:hAnsi="Times New Roman" w:cs="Times New Roman"/>
          <w:sz w:val="24"/>
          <w:szCs w:val="24"/>
        </w:rPr>
      </w:pPr>
      <w:r w:rsidRPr="00536EC9">
        <w:rPr>
          <w:rFonts w:ascii="Times New Roman" w:hAnsi="Times New Roman" w:cs="Times New Roman"/>
          <w:sz w:val="24"/>
          <w:szCs w:val="24"/>
        </w:rPr>
        <w:t>Doterajšie písmená i) a j) sa označujú ako písmená j) a k).</w:t>
      </w:r>
    </w:p>
    <w:p w:rsidR="00536EC9" w:rsidRPr="00536EC9" w:rsidP="00536EC9">
      <w:pPr>
        <w:pStyle w:val="ListParagraph"/>
        <w:bidi w:val="0"/>
        <w:spacing w:after="0"/>
        <w:jc w:val="both"/>
        <w:rPr>
          <w:rFonts w:ascii="Times New Roman" w:hAnsi="Times New Roman" w:cs="Times New Roman"/>
          <w:sz w:val="24"/>
          <w:szCs w:val="24"/>
        </w:rPr>
      </w:pPr>
    </w:p>
    <w:p w:rsidR="00536EC9" w:rsidRPr="00536EC9" w:rsidP="00536EC9">
      <w:pPr>
        <w:pStyle w:val="ListParagraph"/>
        <w:numPr>
          <w:numId w:val="10"/>
        </w:numPr>
        <w:bidi w:val="0"/>
        <w:spacing w:after="0"/>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 xml:space="preserve">V § 144 odsek 2 znie: </w:t>
      </w:r>
    </w:p>
    <w:p w:rsidR="00536EC9" w:rsidRPr="00536EC9" w:rsidP="00536EC9">
      <w:pPr>
        <w:autoSpaceDE w:val="0"/>
        <w:autoSpaceDN w:val="0"/>
        <w:bidi w:val="0"/>
        <w:adjustRightInd w:val="0"/>
        <w:spacing w:after="0"/>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 xml:space="preserve">      </w:t>
        <w:tab/>
        <w:tab/>
        <w:t xml:space="preserve">„(2) </w:t>
      </w:r>
      <w:r w:rsidRPr="00536EC9">
        <w:rPr>
          <w:rFonts w:ascii="Times New Roman" w:hAnsi="Times New Roman" w:cs="Times New Roman"/>
          <w:sz w:val="24"/>
          <w:szCs w:val="24"/>
        </w:rPr>
        <w:t>Ak Národná banka Slovenska zistí nedostatky v činnosti centrálneho depozitára spočívajúce v nedodržiavaní podmienok určených v povolení na činnosť, v nedodržiavaní podmienok alebo povinností vyplývajúcich z iných rozhodnutí Národnej banky Slovenska uložených centrálnemu depozitárovi, alebo v nedodržiavaní alebo v obchádzaní iných ustanovení tohto zákona, osobitných zákonov</w:t>
      </w:r>
      <w:r w:rsidRPr="00536EC9">
        <w:rPr>
          <w:rFonts w:ascii="Times New Roman" w:hAnsi="Times New Roman" w:cs="Times New Roman"/>
          <w:sz w:val="24"/>
          <w:szCs w:val="24"/>
          <w:vertAlign w:val="superscript"/>
        </w:rPr>
        <w:t>110e</w:t>
      </w:r>
      <w:r w:rsidRPr="00536EC9">
        <w:rPr>
          <w:rFonts w:ascii="Times New Roman" w:hAnsi="Times New Roman" w:cs="Times New Roman"/>
          <w:sz w:val="24"/>
          <w:szCs w:val="24"/>
        </w:rPr>
        <w:t xml:space="preserve">) alebo iných všeobecne záväzných právnych predpisov a </w:t>
      </w:r>
      <w:r w:rsidRPr="00536EC9">
        <w:rPr>
          <w:rFonts w:ascii="Times New Roman" w:hAnsi="Times New Roman" w:cs="Times New Roman"/>
          <w:color w:val="000000"/>
          <w:sz w:val="24"/>
          <w:szCs w:val="24"/>
        </w:rPr>
        <w:t>právne záväzných aktov Európskej únie,</w:t>
      </w:r>
      <w:r w:rsidRPr="00536EC9">
        <w:rPr>
          <w:rFonts w:ascii="Times New Roman" w:hAnsi="Times New Roman" w:cs="Times New Roman"/>
          <w:sz w:val="24"/>
          <w:szCs w:val="24"/>
        </w:rPr>
        <w:t xml:space="preserve"> ktoré sa vzťahujú na výkon činností centrálneho depozitára, môže Národná banka Slovenska  </w:t>
      </w:r>
      <w:r w:rsidRPr="00536EC9">
        <w:rPr>
          <w:rFonts w:ascii="Times New Roman" w:hAnsi="Times New Roman" w:cs="Times New Roman"/>
          <w:color w:val="000000"/>
          <w:sz w:val="24"/>
          <w:szCs w:val="24"/>
        </w:rPr>
        <w:t>uložiť sankcie podľa odseku 1 písm. a), c), h) až k) a podľa osobitného predpisu.</w:t>
      </w:r>
      <w:r w:rsidRPr="00536EC9">
        <w:rPr>
          <w:rFonts w:ascii="Times New Roman" w:hAnsi="Times New Roman" w:cs="Times New Roman"/>
          <w:color w:val="000000"/>
          <w:sz w:val="24"/>
          <w:szCs w:val="24"/>
          <w:vertAlign w:val="superscript"/>
        </w:rPr>
        <w:t>110f</w:t>
      </w:r>
      <w:r w:rsidRPr="00536EC9">
        <w:rPr>
          <w:rFonts w:ascii="Times New Roman" w:hAnsi="Times New Roman" w:cs="Times New Roman"/>
          <w:color w:val="000000"/>
          <w:sz w:val="24"/>
          <w:szCs w:val="24"/>
        </w:rPr>
        <w:t xml:space="preserve">)“. </w:t>
      </w:r>
    </w:p>
    <w:p w:rsidR="00536EC9" w:rsidRPr="00536EC9" w:rsidP="00536EC9">
      <w:pPr>
        <w:bidi w:val="0"/>
        <w:spacing w:after="0"/>
        <w:jc w:val="both"/>
        <w:rPr>
          <w:rFonts w:ascii="Times New Roman" w:hAnsi="Times New Roman" w:cs="Times New Roman"/>
          <w:color w:val="000000"/>
          <w:sz w:val="24"/>
          <w:szCs w:val="24"/>
        </w:rPr>
      </w:pPr>
    </w:p>
    <w:p w:rsidR="00536EC9" w:rsidRPr="00536EC9" w:rsidP="00536EC9">
      <w:pPr>
        <w:bidi w:val="0"/>
        <w:spacing w:after="0"/>
        <w:rPr>
          <w:rFonts w:ascii="Times New Roman" w:hAnsi="Times New Roman" w:cs="Times New Roman"/>
          <w:color w:val="000000"/>
          <w:sz w:val="24"/>
          <w:szCs w:val="24"/>
        </w:rPr>
      </w:pPr>
      <w:r w:rsidRPr="00536EC9">
        <w:rPr>
          <w:rFonts w:ascii="Times New Roman" w:hAnsi="Times New Roman" w:cs="Times New Roman"/>
          <w:color w:val="000000"/>
          <w:sz w:val="24"/>
          <w:szCs w:val="24"/>
        </w:rPr>
        <w:t>Poznámka pod čiarou k odkazu 110f znie:</w:t>
      </w:r>
    </w:p>
    <w:p w:rsidR="00536EC9" w:rsidRPr="00536EC9" w:rsidP="00536EC9">
      <w:pPr>
        <w:bidi w:val="0"/>
        <w:spacing w:after="0"/>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 xml:space="preserve"> „</w:t>
      </w:r>
      <w:r w:rsidRPr="00536EC9">
        <w:rPr>
          <w:rFonts w:ascii="Times New Roman" w:hAnsi="Times New Roman" w:cs="Times New Roman"/>
          <w:color w:val="000000"/>
          <w:sz w:val="24"/>
          <w:szCs w:val="24"/>
          <w:vertAlign w:val="superscript"/>
        </w:rPr>
        <w:t>110f</w:t>
      </w:r>
      <w:r w:rsidRPr="00536EC9">
        <w:rPr>
          <w:rFonts w:ascii="Times New Roman" w:hAnsi="Times New Roman" w:cs="Times New Roman"/>
          <w:color w:val="000000"/>
          <w:sz w:val="24"/>
          <w:szCs w:val="24"/>
        </w:rPr>
        <w:t>) Čl. 63 ods. 2 nariadenia (EÚ) č. 909/2014.“.</w:t>
      </w:r>
    </w:p>
    <w:p w:rsidR="00536EC9" w:rsidRPr="00536EC9" w:rsidP="00536EC9">
      <w:pPr>
        <w:bidi w:val="0"/>
        <w:spacing w:after="0"/>
        <w:jc w:val="both"/>
        <w:rPr>
          <w:rFonts w:ascii="Times New Roman" w:hAnsi="Times New Roman" w:cs="Times New Roman"/>
          <w:color w:val="000000"/>
          <w:sz w:val="24"/>
          <w:szCs w:val="24"/>
        </w:rPr>
      </w:pPr>
    </w:p>
    <w:p w:rsidR="00536EC9" w:rsidRPr="00536EC9" w:rsidP="00536EC9">
      <w:pPr>
        <w:pStyle w:val="ListParagraph"/>
        <w:numPr>
          <w:numId w:val="10"/>
        </w:numPr>
        <w:bidi w:val="0"/>
        <w:spacing w:after="0" w:line="240" w:lineRule="auto"/>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V § 144 ods. 12 sa vypúšťajú slová „§ 99 ods. 10, § 102,“.</w:t>
      </w:r>
    </w:p>
    <w:p w:rsidR="00536EC9" w:rsidRPr="00536EC9" w:rsidP="00536EC9">
      <w:pPr>
        <w:bidi w:val="0"/>
        <w:spacing w:after="0"/>
        <w:jc w:val="both"/>
        <w:rPr>
          <w:rFonts w:ascii="Times New Roman" w:hAnsi="Times New Roman" w:cs="Times New Roman"/>
          <w:color w:val="000000"/>
          <w:sz w:val="24"/>
          <w:szCs w:val="24"/>
        </w:rPr>
      </w:pPr>
    </w:p>
    <w:p w:rsidR="00536EC9" w:rsidRPr="00536EC9" w:rsidP="00536EC9">
      <w:pPr>
        <w:pStyle w:val="ListParagraph"/>
        <w:numPr>
          <w:numId w:val="10"/>
        </w:numPr>
        <w:bidi w:val="0"/>
        <w:spacing w:after="0" w:line="240" w:lineRule="auto"/>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V § 144 ods. 16 sa slovo „rovnako“ nahrádza slovom „primerane“.</w:t>
      </w:r>
    </w:p>
    <w:p w:rsidR="00536EC9" w:rsidRPr="00536EC9" w:rsidP="00536EC9">
      <w:pPr>
        <w:bidi w:val="0"/>
        <w:spacing w:after="0"/>
        <w:jc w:val="both"/>
        <w:rPr>
          <w:rFonts w:ascii="Times New Roman" w:hAnsi="Times New Roman" w:cs="Times New Roman"/>
          <w:color w:val="000000"/>
          <w:sz w:val="24"/>
          <w:szCs w:val="24"/>
        </w:rPr>
      </w:pPr>
    </w:p>
    <w:p w:rsidR="00536EC9" w:rsidRPr="00536EC9" w:rsidP="00536EC9">
      <w:pPr>
        <w:pStyle w:val="ListParagraph"/>
        <w:numPr>
          <w:numId w:val="10"/>
        </w:numPr>
        <w:bidi w:val="0"/>
        <w:spacing w:after="0"/>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 xml:space="preserve">V § 144 ods. 26 sa za slová „odsekov  1,“ vkladá číslo „2,“ a slová „bol obchodník s cennými papiermi, pobočka zahraničného obchodníka s cennými papiermi, zmiešaná finančná holdingová spoločnosť alebo“ sa nahrádzajú slovom „bola“.   </w:t>
      </w:r>
    </w:p>
    <w:p w:rsidR="00536EC9" w:rsidRPr="00536EC9" w:rsidP="00536EC9">
      <w:pPr>
        <w:pStyle w:val="ListParagraph"/>
        <w:bidi w:val="0"/>
        <w:spacing w:after="0"/>
        <w:ind w:left="786"/>
        <w:jc w:val="both"/>
        <w:rPr>
          <w:rFonts w:ascii="Times New Roman" w:hAnsi="Times New Roman" w:cs="Times New Roman"/>
          <w:color w:val="000000"/>
          <w:sz w:val="24"/>
          <w:szCs w:val="24"/>
        </w:rPr>
      </w:pPr>
    </w:p>
    <w:p w:rsidR="00536EC9" w:rsidRPr="00536EC9" w:rsidP="00536EC9">
      <w:pPr>
        <w:pStyle w:val="ListParagraph"/>
        <w:numPr>
          <w:numId w:val="10"/>
        </w:numPr>
        <w:bidi w:val="0"/>
        <w:spacing w:after="0"/>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 xml:space="preserve">V § 144 ods. 27 sa vypúšťajú slová „obchodné meno, sídlo a identifikačné číslo obchodníka s cennými papiermi, pobočky zahraničného obchodníka s cennými papiermi, zmiešanej finančnej holdingovej spoločnosti,“. </w:t>
      </w:r>
    </w:p>
    <w:p w:rsidR="00536EC9" w:rsidRPr="00536EC9" w:rsidP="00536EC9">
      <w:pPr>
        <w:bidi w:val="0"/>
        <w:spacing w:after="0"/>
        <w:jc w:val="both"/>
        <w:rPr>
          <w:rFonts w:ascii="Times New Roman" w:hAnsi="Times New Roman" w:cs="Times New Roman"/>
          <w:color w:val="000000"/>
          <w:sz w:val="24"/>
          <w:szCs w:val="24"/>
        </w:rPr>
      </w:pPr>
    </w:p>
    <w:p w:rsidR="00536EC9" w:rsidRPr="00536EC9" w:rsidP="00536EC9">
      <w:pPr>
        <w:pStyle w:val="ListParagraph"/>
        <w:numPr>
          <w:numId w:val="10"/>
        </w:numPr>
        <w:bidi w:val="0"/>
        <w:spacing w:after="0"/>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 xml:space="preserve">§ 144 sa dopĺňa odsekom 31, ktorý znie: </w:t>
      </w:r>
    </w:p>
    <w:p w:rsidR="00536EC9" w:rsidRPr="00536EC9" w:rsidP="00536EC9">
      <w:pPr>
        <w:bidi w:val="0"/>
        <w:spacing w:after="0"/>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 xml:space="preserve">           „(31) Národná banka Slovenska postupuje pri odložení zverejňovania a nezverejňovania informácii o sankciách podľa osobitného predpisu.</w:t>
      </w:r>
      <w:r w:rsidRPr="00536EC9">
        <w:rPr>
          <w:rFonts w:ascii="Times New Roman" w:hAnsi="Times New Roman" w:cs="Times New Roman"/>
          <w:color w:val="000000"/>
          <w:sz w:val="24"/>
          <w:szCs w:val="24"/>
          <w:vertAlign w:val="superscript"/>
        </w:rPr>
        <w:t>114h</w:t>
      </w:r>
      <w:r w:rsidRPr="00536EC9">
        <w:rPr>
          <w:rFonts w:ascii="Times New Roman" w:hAnsi="Times New Roman" w:cs="Times New Roman"/>
          <w:color w:val="000000"/>
          <w:sz w:val="24"/>
          <w:szCs w:val="24"/>
        </w:rPr>
        <w:t>)“.</w:t>
      </w:r>
    </w:p>
    <w:p w:rsidR="00536EC9" w:rsidRPr="00536EC9" w:rsidP="00536EC9">
      <w:pPr>
        <w:bidi w:val="0"/>
        <w:spacing w:after="0"/>
        <w:jc w:val="both"/>
        <w:rPr>
          <w:rFonts w:ascii="Times New Roman" w:hAnsi="Times New Roman" w:cs="Times New Roman"/>
          <w:color w:val="000000"/>
          <w:sz w:val="24"/>
          <w:szCs w:val="24"/>
        </w:rPr>
      </w:pPr>
    </w:p>
    <w:p w:rsidR="00536EC9" w:rsidRPr="00536EC9" w:rsidP="00536EC9">
      <w:pPr>
        <w:bidi w:val="0"/>
        <w:spacing w:after="0"/>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Poznámka pod čiarou k odkazu 114h znie:</w:t>
      </w:r>
    </w:p>
    <w:p w:rsidR="00536EC9" w:rsidRPr="00536EC9" w:rsidP="00536EC9">
      <w:pPr>
        <w:bidi w:val="0"/>
        <w:spacing w:after="0"/>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w:t>
      </w:r>
      <w:r w:rsidRPr="00536EC9">
        <w:rPr>
          <w:rFonts w:ascii="Times New Roman" w:hAnsi="Times New Roman" w:cs="Times New Roman"/>
          <w:color w:val="000000"/>
          <w:sz w:val="24"/>
          <w:szCs w:val="24"/>
          <w:vertAlign w:val="superscript"/>
        </w:rPr>
        <w:t>114h</w:t>
      </w:r>
      <w:r w:rsidRPr="00536EC9">
        <w:rPr>
          <w:rFonts w:ascii="Times New Roman" w:hAnsi="Times New Roman" w:cs="Times New Roman"/>
          <w:color w:val="000000"/>
          <w:sz w:val="24"/>
          <w:szCs w:val="24"/>
        </w:rPr>
        <w:t>) Čl. 62 nariadenia (EÚ) č. 909/2014.“.</w:t>
      </w:r>
    </w:p>
    <w:p w:rsidR="00536EC9" w:rsidRPr="00536EC9" w:rsidP="00536EC9">
      <w:pPr>
        <w:bidi w:val="0"/>
        <w:spacing w:after="0"/>
        <w:jc w:val="both"/>
        <w:rPr>
          <w:rFonts w:ascii="Times New Roman" w:hAnsi="Times New Roman" w:cs="Times New Roman"/>
          <w:color w:val="000000"/>
          <w:sz w:val="24"/>
          <w:szCs w:val="24"/>
        </w:rPr>
      </w:pPr>
    </w:p>
    <w:p w:rsidR="00536EC9" w:rsidRPr="00536EC9" w:rsidP="00536EC9">
      <w:pPr>
        <w:pStyle w:val="ListParagraph"/>
        <w:numPr>
          <w:numId w:val="10"/>
        </w:numPr>
        <w:bidi w:val="0"/>
        <w:spacing w:after="0" w:line="240" w:lineRule="auto"/>
        <w:contextualSpacing/>
        <w:rPr>
          <w:rFonts w:ascii="Times New Roman" w:hAnsi="Times New Roman" w:cs="Times New Roman"/>
          <w:color w:val="000000"/>
          <w:sz w:val="24"/>
          <w:szCs w:val="24"/>
        </w:rPr>
      </w:pPr>
      <w:r w:rsidRPr="00536EC9">
        <w:rPr>
          <w:rFonts w:ascii="Times New Roman" w:hAnsi="Times New Roman" w:cs="Times New Roman"/>
          <w:color w:val="000000"/>
          <w:sz w:val="24"/>
          <w:szCs w:val="24"/>
        </w:rPr>
        <w:t xml:space="preserve">V § 146 sa vypúšťajú slová „alebo centrálny depozitár“ vo všetkých gramatických tvaroch. </w:t>
      </w:r>
    </w:p>
    <w:p w:rsidR="00536EC9" w:rsidRPr="00536EC9" w:rsidP="00536EC9">
      <w:pPr>
        <w:bidi w:val="0"/>
        <w:spacing w:after="0"/>
        <w:jc w:val="both"/>
        <w:rPr>
          <w:rFonts w:ascii="Times New Roman" w:hAnsi="Times New Roman" w:cs="Times New Roman"/>
          <w:color w:val="000000"/>
          <w:sz w:val="24"/>
          <w:szCs w:val="24"/>
        </w:rPr>
      </w:pPr>
    </w:p>
    <w:p w:rsidR="00536EC9" w:rsidRPr="00536EC9" w:rsidP="00536EC9">
      <w:pPr>
        <w:pStyle w:val="ListParagraph"/>
        <w:numPr>
          <w:numId w:val="10"/>
        </w:numPr>
        <w:bidi w:val="0"/>
        <w:spacing w:after="0"/>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V § 146 ods. 1 sa vypúšťajú slová „§ 102 ods. 1 písm. a)“ a  slová „alebo § 102 ods. 1 písm. a)“.</w:t>
      </w:r>
    </w:p>
    <w:p w:rsidR="00536EC9" w:rsidRPr="00536EC9" w:rsidP="00536EC9">
      <w:pPr>
        <w:pStyle w:val="ListParagraph"/>
        <w:bidi w:val="0"/>
        <w:spacing w:after="0"/>
        <w:rPr>
          <w:rFonts w:ascii="Times New Roman" w:hAnsi="Times New Roman" w:cs="Times New Roman"/>
          <w:color w:val="000000"/>
          <w:sz w:val="24"/>
          <w:szCs w:val="24"/>
        </w:rPr>
      </w:pPr>
    </w:p>
    <w:p w:rsidR="00536EC9" w:rsidRPr="00536EC9" w:rsidP="00536EC9">
      <w:pPr>
        <w:pStyle w:val="ListParagraph"/>
        <w:numPr>
          <w:numId w:val="10"/>
        </w:numPr>
        <w:bidi w:val="0"/>
        <w:spacing w:after="0"/>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V § 146 sa vypúšťa odsek 2.</w:t>
      </w:r>
    </w:p>
    <w:p w:rsidR="00536EC9" w:rsidRPr="00536EC9" w:rsidP="00536EC9">
      <w:pPr>
        <w:pStyle w:val="ListParagraph"/>
        <w:bidi w:val="0"/>
        <w:spacing w:after="0"/>
        <w:rPr>
          <w:rFonts w:ascii="Times New Roman" w:hAnsi="Times New Roman" w:cs="Times New Roman"/>
          <w:color w:val="000000"/>
          <w:sz w:val="24"/>
          <w:szCs w:val="24"/>
        </w:rPr>
      </w:pPr>
    </w:p>
    <w:p w:rsidR="00536EC9" w:rsidRPr="00536EC9" w:rsidP="00536EC9">
      <w:pPr>
        <w:pStyle w:val="ListParagraph"/>
        <w:bidi w:val="0"/>
        <w:spacing w:after="0"/>
        <w:ind w:left="786"/>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Doterajšie odseky 3 až 9 sa označujú ako odseky 2 až 8.</w:t>
      </w:r>
    </w:p>
    <w:p w:rsidR="00536EC9" w:rsidRPr="00536EC9" w:rsidP="00536EC9">
      <w:pPr>
        <w:pStyle w:val="ListParagraph"/>
        <w:bidi w:val="0"/>
        <w:spacing w:after="0"/>
        <w:ind w:left="786"/>
        <w:jc w:val="both"/>
        <w:rPr>
          <w:rFonts w:ascii="Times New Roman" w:hAnsi="Times New Roman" w:cs="Times New Roman"/>
          <w:color w:val="000000"/>
          <w:sz w:val="24"/>
          <w:szCs w:val="24"/>
        </w:rPr>
      </w:pPr>
    </w:p>
    <w:p w:rsidR="00536EC9" w:rsidRPr="00536EC9" w:rsidP="00536EC9">
      <w:pPr>
        <w:pStyle w:val="ListParagraph"/>
        <w:numPr>
          <w:numId w:val="10"/>
        </w:numPr>
        <w:bidi w:val="0"/>
        <w:spacing w:after="0"/>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V § 146 odsek 2 znie:</w:t>
      </w:r>
    </w:p>
    <w:p w:rsidR="00536EC9" w:rsidRPr="00536EC9" w:rsidP="00536EC9">
      <w:pPr>
        <w:pStyle w:val="ListParagraph"/>
        <w:bidi w:val="0"/>
        <w:spacing w:after="0"/>
        <w:rPr>
          <w:rFonts w:ascii="Times New Roman" w:hAnsi="Times New Roman" w:cs="Times New Roman"/>
          <w:color w:val="000000"/>
          <w:sz w:val="24"/>
          <w:szCs w:val="24"/>
        </w:rPr>
      </w:pPr>
    </w:p>
    <w:p w:rsidR="00536EC9" w:rsidRPr="00536EC9" w:rsidP="00536EC9">
      <w:pPr>
        <w:pStyle w:val="ListParagraph"/>
        <w:bidi w:val="0"/>
        <w:spacing w:after="0"/>
        <w:ind w:left="426"/>
        <w:jc w:val="both"/>
        <w:rPr>
          <w:rFonts w:ascii="Times New Roman" w:hAnsi="Times New Roman" w:cs="Times New Roman"/>
          <w:sz w:val="24"/>
          <w:szCs w:val="24"/>
        </w:rPr>
      </w:pPr>
      <w:r w:rsidRPr="00536EC9">
        <w:rPr>
          <w:rFonts w:ascii="Times New Roman" w:hAnsi="Times New Roman" w:cs="Times New Roman"/>
          <w:color w:val="000000"/>
          <w:sz w:val="24"/>
          <w:szCs w:val="24"/>
        </w:rPr>
        <w:t xml:space="preserve">„(2) </w:t>
      </w:r>
      <w:r w:rsidRPr="00536EC9">
        <w:rPr>
          <w:rFonts w:ascii="Times New Roman" w:hAnsi="Times New Roman" w:cs="Times New Roman"/>
          <w:sz w:val="24"/>
          <w:szCs w:val="24"/>
        </w:rPr>
        <w:t xml:space="preserve">Obchodník s cennými papiermi je povinný predložiť Národnej banke Slovenska výpis z jeho registra emitenta a z jeho zoznamu akcionárov vyhotovený k rozhodujúcemu dňu, </w:t>
      </w:r>
      <w:r w:rsidRPr="00536EC9">
        <w:rPr>
          <w:rFonts w:ascii="Times New Roman" w:hAnsi="Times New Roman" w:cs="Times New Roman"/>
          <w:sz w:val="24"/>
          <w:szCs w:val="24"/>
          <w:vertAlign w:val="superscript"/>
        </w:rPr>
        <w:t>114i</w:t>
      </w:r>
      <w:r w:rsidRPr="00536EC9">
        <w:rPr>
          <w:rFonts w:ascii="Times New Roman" w:hAnsi="Times New Roman" w:cs="Times New Roman"/>
          <w:sz w:val="24"/>
          <w:szCs w:val="24"/>
        </w:rPr>
        <w:t>) ktorý je určený najmenej päť pracovných dní pred dňom konania valného zhromaždenia. Tento výpis je obchodník s cennými papiermi povinný doručiť Národnej banke Slovenska v  deň jeho vyhotovenia. Národná banka Slovenska bezodkladne na tomto výpise písomne označí osobu, ktorej pozastavila výkon práv uvedených v odseku 1, a doručí ho obchodníkovi s cennými papiermi najneskôr v deň predchádzajúci konaniu valného zhromaždenia obchodníka s cennými papiermi.“.</w:t>
      </w:r>
    </w:p>
    <w:p w:rsidR="00536EC9" w:rsidRPr="00536EC9" w:rsidP="00536EC9">
      <w:pPr>
        <w:pStyle w:val="ListParagraph"/>
        <w:bidi w:val="0"/>
        <w:spacing w:after="0"/>
        <w:ind w:left="426"/>
        <w:jc w:val="both"/>
        <w:rPr>
          <w:rFonts w:ascii="Times New Roman" w:hAnsi="Times New Roman" w:cs="Times New Roman"/>
          <w:sz w:val="24"/>
          <w:szCs w:val="24"/>
        </w:rPr>
      </w:pPr>
    </w:p>
    <w:p w:rsidR="00536EC9" w:rsidRPr="00536EC9" w:rsidP="00536EC9">
      <w:pPr>
        <w:pStyle w:val="ListParagraph"/>
        <w:bidi w:val="0"/>
        <w:spacing w:after="0"/>
        <w:ind w:left="786"/>
        <w:jc w:val="both"/>
        <w:rPr>
          <w:rFonts w:ascii="Times New Roman" w:hAnsi="Times New Roman" w:cs="Times New Roman"/>
          <w:sz w:val="24"/>
          <w:szCs w:val="24"/>
        </w:rPr>
      </w:pPr>
      <w:r w:rsidRPr="00536EC9">
        <w:rPr>
          <w:rFonts w:ascii="Times New Roman" w:hAnsi="Times New Roman" w:cs="Times New Roman"/>
          <w:sz w:val="24"/>
          <w:szCs w:val="24"/>
        </w:rPr>
        <w:t>Poznámka pod čiarou k odkazu 114i znie:</w:t>
      </w:r>
    </w:p>
    <w:p w:rsidR="00536EC9" w:rsidRPr="00536EC9" w:rsidP="00536EC9">
      <w:pPr>
        <w:pStyle w:val="ListParagraph"/>
        <w:bidi w:val="0"/>
        <w:spacing w:after="0"/>
        <w:ind w:left="786"/>
        <w:jc w:val="both"/>
        <w:rPr>
          <w:rFonts w:ascii="Times New Roman" w:hAnsi="Times New Roman" w:cs="Times New Roman"/>
          <w:sz w:val="24"/>
          <w:szCs w:val="24"/>
        </w:rPr>
      </w:pPr>
      <w:r w:rsidRPr="00536EC9">
        <w:rPr>
          <w:rFonts w:ascii="Times New Roman" w:hAnsi="Times New Roman" w:cs="Times New Roman"/>
          <w:sz w:val="24"/>
          <w:szCs w:val="24"/>
        </w:rPr>
        <w:t>„</w:t>
      </w:r>
      <w:r w:rsidRPr="00536EC9">
        <w:rPr>
          <w:rFonts w:ascii="Times New Roman" w:hAnsi="Times New Roman" w:cs="Times New Roman"/>
          <w:sz w:val="24"/>
          <w:szCs w:val="24"/>
          <w:vertAlign w:val="superscript"/>
        </w:rPr>
        <w:t>114i</w:t>
      </w:r>
      <w:r w:rsidRPr="00536EC9">
        <w:rPr>
          <w:rFonts w:ascii="Times New Roman" w:hAnsi="Times New Roman" w:cs="Times New Roman"/>
          <w:sz w:val="24"/>
          <w:szCs w:val="24"/>
        </w:rPr>
        <w:t>) § 156a Obchodného zákonníka v znení neskorších predpisov.“.</w:t>
      </w:r>
    </w:p>
    <w:p w:rsidR="00536EC9" w:rsidRPr="00536EC9" w:rsidP="00536EC9">
      <w:pPr>
        <w:pStyle w:val="ListParagraph"/>
        <w:bidi w:val="0"/>
        <w:spacing w:after="0"/>
        <w:ind w:left="786"/>
        <w:jc w:val="both"/>
        <w:rPr>
          <w:rFonts w:ascii="Times New Roman" w:hAnsi="Times New Roman" w:cs="Times New Roman"/>
          <w:sz w:val="24"/>
          <w:szCs w:val="24"/>
        </w:rPr>
      </w:pPr>
    </w:p>
    <w:p w:rsidR="00536EC9" w:rsidRPr="00536EC9" w:rsidP="00536EC9">
      <w:pPr>
        <w:pStyle w:val="ListParagraph"/>
        <w:numPr>
          <w:numId w:val="10"/>
        </w:numPr>
        <w:bidi w:val="0"/>
        <w:spacing w:after="0"/>
        <w:contextualSpacing/>
        <w:jc w:val="both"/>
        <w:rPr>
          <w:rFonts w:ascii="Times New Roman" w:hAnsi="Times New Roman" w:cs="Times New Roman"/>
          <w:sz w:val="24"/>
          <w:szCs w:val="24"/>
        </w:rPr>
      </w:pPr>
      <w:r w:rsidRPr="00536EC9">
        <w:rPr>
          <w:rFonts w:ascii="Times New Roman" w:hAnsi="Times New Roman" w:cs="Times New Roman"/>
          <w:sz w:val="24"/>
          <w:szCs w:val="24"/>
        </w:rPr>
        <w:t>V § 146 ods. 5 a 6 sa slová „odseku 3“ nahrádzajú slovami „odseku 2“.</w:t>
      </w:r>
    </w:p>
    <w:p w:rsidR="00536EC9" w:rsidRPr="00536EC9" w:rsidP="00536EC9">
      <w:pPr>
        <w:pStyle w:val="ListParagraph"/>
        <w:bidi w:val="0"/>
        <w:spacing w:after="0"/>
        <w:ind w:left="786"/>
        <w:jc w:val="both"/>
        <w:rPr>
          <w:rFonts w:ascii="Times New Roman" w:hAnsi="Times New Roman" w:cs="Times New Roman"/>
          <w:color w:val="000000"/>
          <w:sz w:val="24"/>
          <w:szCs w:val="24"/>
        </w:rPr>
      </w:pPr>
    </w:p>
    <w:p w:rsidR="00536EC9" w:rsidRPr="00536EC9" w:rsidP="00536EC9">
      <w:pPr>
        <w:pStyle w:val="ListParagraph"/>
        <w:numPr>
          <w:numId w:val="10"/>
        </w:numPr>
        <w:bidi w:val="0"/>
        <w:spacing w:after="0"/>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V § 146 ods. 6 sa vypúšťajú slová „alebo centrálnym depozitárom“ a slová „alebo § 102 ods. 1 písm. a)“.</w:t>
      </w:r>
    </w:p>
    <w:p w:rsidR="00536EC9" w:rsidRPr="00536EC9" w:rsidP="00536EC9">
      <w:pPr>
        <w:pStyle w:val="ListParagraph"/>
        <w:bidi w:val="0"/>
        <w:spacing w:after="0"/>
        <w:ind w:left="0"/>
        <w:rPr>
          <w:rFonts w:ascii="Times New Roman" w:hAnsi="Times New Roman" w:cs="Times New Roman"/>
          <w:color w:val="000000"/>
          <w:sz w:val="24"/>
          <w:szCs w:val="24"/>
        </w:rPr>
      </w:pPr>
    </w:p>
    <w:p w:rsidR="00536EC9" w:rsidRPr="00536EC9" w:rsidP="00536EC9">
      <w:pPr>
        <w:pStyle w:val="ListParagraph"/>
        <w:numPr>
          <w:numId w:val="10"/>
        </w:numPr>
        <w:bidi w:val="0"/>
        <w:spacing w:after="0"/>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 146a znie:</w:t>
      </w:r>
    </w:p>
    <w:p w:rsidR="00536EC9" w:rsidRPr="00536EC9" w:rsidP="00536EC9">
      <w:pPr>
        <w:pStyle w:val="ListParagraph"/>
        <w:bidi w:val="0"/>
        <w:spacing w:after="0"/>
        <w:ind w:left="0"/>
        <w:jc w:val="both"/>
        <w:rPr>
          <w:rFonts w:ascii="Times New Roman" w:hAnsi="Times New Roman" w:cs="Times New Roman"/>
          <w:color w:val="000000"/>
          <w:sz w:val="24"/>
          <w:szCs w:val="24"/>
        </w:rPr>
      </w:pPr>
    </w:p>
    <w:p w:rsidR="00536EC9" w:rsidRPr="00536EC9" w:rsidP="00536EC9">
      <w:pPr>
        <w:pStyle w:val="ListParagraph"/>
        <w:bidi w:val="0"/>
        <w:spacing w:after="0"/>
        <w:jc w:val="center"/>
        <w:rPr>
          <w:rFonts w:ascii="Times New Roman" w:hAnsi="Times New Roman" w:cs="Times New Roman"/>
          <w:color w:val="000000"/>
          <w:sz w:val="24"/>
          <w:szCs w:val="24"/>
        </w:rPr>
      </w:pPr>
      <w:r w:rsidRPr="00536EC9">
        <w:rPr>
          <w:rFonts w:ascii="Times New Roman" w:hAnsi="Times New Roman" w:cs="Times New Roman"/>
          <w:color w:val="000000"/>
          <w:sz w:val="24"/>
          <w:szCs w:val="24"/>
        </w:rPr>
        <w:t>„§ 146a</w:t>
      </w:r>
    </w:p>
    <w:p w:rsidR="00536EC9" w:rsidRPr="00536EC9" w:rsidP="00536EC9">
      <w:pPr>
        <w:bidi w:val="0"/>
        <w:spacing w:after="0"/>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(1) Národná banka Slovenska je povinná zachovať anonymitu zamestnanca, vedúceho zamestnanca, člena štatutárneho orgánu alebo člena dozornej rady, osoby podliehajúcej dohľadu podľa § 135 ods. 1, ako aj zamestnanca alebo vedúceho zamestnanca pobočky tejto osoby, ktorý poskytol Národnej banke Slovenska akúkoľvek informáciu o nedostatkoch v činnosti tejto osoby alebo jej pobočky.</w:t>
      </w:r>
    </w:p>
    <w:p w:rsidR="00536EC9" w:rsidRPr="00536EC9" w:rsidP="00536EC9">
      <w:pPr>
        <w:bidi w:val="0"/>
        <w:spacing w:after="0"/>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(2) Finančná inštitúcia podliehajúca dohľadu podľa § 135 ods. 1 je povinná upraviť vo vnútorných aktoch riadenia postupy pre svojich zamestnancov na interné nahlasovanie nedostatkov a určené spôsoby tohto nahlasovania.“.</w:t>
      </w:r>
    </w:p>
    <w:p w:rsidR="00536EC9" w:rsidRPr="00536EC9" w:rsidP="00536EC9">
      <w:pPr>
        <w:pStyle w:val="ListParagraph"/>
        <w:bidi w:val="0"/>
        <w:spacing w:after="0"/>
        <w:rPr>
          <w:rFonts w:ascii="Times New Roman" w:hAnsi="Times New Roman" w:cs="Times New Roman"/>
          <w:color w:val="000000"/>
          <w:sz w:val="24"/>
          <w:szCs w:val="24"/>
        </w:rPr>
      </w:pPr>
    </w:p>
    <w:p w:rsidR="00536EC9" w:rsidRPr="00536EC9" w:rsidP="00536EC9">
      <w:pPr>
        <w:pStyle w:val="ListParagraph"/>
        <w:numPr>
          <w:numId w:val="10"/>
        </w:numPr>
        <w:bidi w:val="0"/>
        <w:spacing w:after="0"/>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V § 156 sa vypúšťa odsek 3.</w:t>
      </w:r>
    </w:p>
    <w:p w:rsidR="00536EC9" w:rsidRPr="00536EC9" w:rsidP="00536EC9">
      <w:pPr>
        <w:pStyle w:val="ListParagraph"/>
        <w:bidi w:val="0"/>
        <w:spacing w:after="0"/>
        <w:ind w:left="786"/>
        <w:jc w:val="both"/>
        <w:rPr>
          <w:rFonts w:ascii="Times New Roman" w:hAnsi="Times New Roman" w:cs="Times New Roman"/>
          <w:color w:val="000000"/>
          <w:sz w:val="24"/>
          <w:szCs w:val="24"/>
        </w:rPr>
      </w:pPr>
    </w:p>
    <w:p w:rsidR="00536EC9" w:rsidRPr="00536EC9" w:rsidP="00536EC9">
      <w:pPr>
        <w:pStyle w:val="ListParagraph"/>
        <w:numPr>
          <w:numId w:val="10"/>
        </w:numPr>
        <w:bidi w:val="0"/>
        <w:spacing w:after="0"/>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V § 159 ods. 2 sa vypúšťajú slová „podľa § 99 ods. 3“.</w:t>
      </w:r>
    </w:p>
    <w:p w:rsidR="00536EC9" w:rsidRPr="00536EC9" w:rsidP="00536EC9">
      <w:pPr>
        <w:bidi w:val="0"/>
        <w:spacing w:after="0"/>
        <w:ind w:firstLine="708"/>
        <w:jc w:val="both"/>
        <w:rPr>
          <w:rFonts w:ascii="Times New Roman" w:hAnsi="Times New Roman" w:cs="Times New Roman"/>
          <w:color w:val="000000"/>
          <w:sz w:val="24"/>
          <w:szCs w:val="24"/>
        </w:rPr>
      </w:pPr>
    </w:p>
    <w:p w:rsidR="00536EC9" w:rsidRPr="00536EC9" w:rsidP="00536EC9">
      <w:pPr>
        <w:pStyle w:val="ListParagraph"/>
        <w:numPr>
          <w:numId w:val="10"/>
        </w:numPr>
        <w:bidi w:val="0"/>
        <w:spacing w:after="0"/>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V § 159 ods. 3 sa vypúšťajú slová „a 102“.</w:t>
      </w:r>
    </w:p>
    <w:p w:rsidR="00536EC9" w:rsidRPr="00536EC9" w:rsidP="00536EC9">
      <w:pPr>
        <w:pStyle w:val="ListParagraph"/>
        <w:bidi w:val="0"/>
        <w:spacing w:after="0"/>
        <w:rPr>
          <w:rFonts w:ascii="Times New Roman" w:hAnsi="Times New Roman" w:cs="Times New Roman"/>
          <w:color w:val="000000"/>
          <w:sz w:val="24"/>
          <w:szCs w:val="24"/>
        </w:rPr>
      </w:pPr>
    </w:p>
    <w:p w:rsidR="00536EC9" w:rsidRPr="00536EC9" w:rsidP="00536EC9">
      <w:pPr>
        <w:pStyle w:val="ListParagraph"/>
        <w:numPr>
          <w:numId w:val="10"/>
        </w:numPr>
        <w:bidi w:val="0"/>
        <w:spacing w:after="0"/>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Za § 173x sa vkladá § 173y, ktorý vrátane nadpisu znie:</w:t>
      </w:r>
    </w:p>
    <w:p w:rsidR="00536EC9" w:rsidRPr="00536EC9" w:rsidP="00536EC9">
      <w:pPr>
        <w:pStyle w:val="ListParagraph"/>
        <w:bidi w:val="0"/>
        <w:spacing w:after="0"/>
        <w:rPr>
          <w:rFonts w:ascii="Times New Roman" w:hAnsi="Times New Roman" w:cs="Times New Roman"/>
          <w:color w:val="000000"/>
          <w:sz w:val="24"/>
          <w:szCs w:val="24"/>
        </w:rPr>
      </w:pPr>
    </w:p>
    <w:p w:rsidR="00536EC9" w:rsidRPr="00536EC9" w:rsidP="00536EC9">
      <w:pPr>
        <w:bidi w:val="0"/>
        <w:spacing w:after="0"/>
        <w:jc w:val="center"/>
        <w:rPr>
          <w:rFonts w:ascii="Times New Roman" w:hAnsi="Times New Roman" w:cs="Times New Roman"/>
          <w:color w:val="000000"/>
          <w:sz w:val="24"/>
          <w:szCs w:val="24"/>
        </w:rPr>
      </w:pPr>
      <w:r w:rsidRPr="00536EC9">
        <w:rPr>
          <w:rFonts w:ascii="Times New Roman" w:hAnsi="Times New Roman" w:cs="Times New Roman"/>
          <w:color w:val="000000"/>
          <w:sz w:val="24"/>
          <w:szCs w:val="24"/>
        </w:rPr>
        <w:t>„§ 173y</w:t>
      </w:r>
    </w:p>
    <w:p w:rsidR="00536EC9" w:rsidRPr="00536EC9" w:rsidP="00536EC9">
      <w:pPr>
        <w:bidi w:val="0"/>
        <w:spacing w:after="0"/>
        <w:jc w:val="center"/>
        <w:rPr>
          <w:rFonts w:ascii="Times New Roman" w:hAnsi="Times New Roman" w:cs="Times New Roman"/>
          <w:color w:val="000000"/>
          <w:sz w:val="24"/>
          <w:szCs w:val="24"/>
        </w:rPr>
      </w:pPr>
      <w:r w:rsidRPr="00536EC9">
        <w:rPr>
          <w:rFonts w:ascii="Times New Roman" w:hAnsi="Times New Roman" w:cs="Times New Roman"/>
          <w:color w:val="000000"/>
          <w:sz w:val="24"/>
          <w:szCs w:val="24"/>
        </w:rPr>
        <w:t>Prechodné ustanovenia k úpravám účinným od 1. decembra 2016</w:t>
      </w:r>
    </w:p>
    <w:p w:rsidR="00536EC9" w:rsidRPr="00536EC9" w:rsidP="00536EC9">
      <w:pPr>
        <w:pStyle w:val="ListParagraph"/>
        <w:numPr>
          <w:numId w:val="24"/>
        </w:numPr>
        <w:bidi w:val="0"/>
        <w:spacing w:after="0"/>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Pri právnych vzťahov, ktoré vznikli do 30. novembra 2016, na základe ktorých centrálny depozitár vykonával činnosti podľa predpisu účinného do 30. novembra 2016 za odplatu, patrí centrálnemu depozitárovi odplata za výkon týchto činností.</w:t>
      </w:r>
    </w:p>
    <w:p w:rsidR="00536EC9" w:rsidRPr="00536EC9" w:rsidP="00536EC9">
      <w:pPr>
        <w:pStyle w:val="ListParagraph"/>
        <w:bidi w:val="0"/>
        <w:spacing w:after="0"/>
        <w:jc w:val="both"/>
        <w:rPr>
          <w:rFonts w:ascii="Times New Roman" w:hAnsi="Times New Roman" w:cs="Times New Roman"/>
          <w:color w:val="000000"/>
          <w:sz w:val="24"/>
          <w:szCs w:val="24"/>
        </w:rPr>
      </w:pPr>
    </w:p>
    <w:p w:rsidR="00536EC9" w:rsidRPr="00536EC9" w:rsidP="00536EC9">
      <w:pPr>
        <w:pStyle w:val="ListParagraph"/>
        <w:numPr>
          <w:numId w:val="24"/>
        </w:numPr>
        <w:bidi w:val="0"/>
        <w:spacing w:after="0" w:line="240" w:lineRule="auto"/>
        <w:contextualSpacing/>
        <w:rPr>
          <w:rFonts w:ascii="Times New Roman" w:hAnsi="Times New Roman" w:cs="Times New Roman"/>
          <w:color w:val="000000"/>
          <w:sz w:val="24"/>
          <w:szCs w:val="24"/>
        </w:rPr>
      </w:pPr>
      <w:r w:rsidRPr="00536EC9">
        <w:rPr>
          <w:rFonts w:ascii="Times New Roman" w:hAnsi="Times New Roman" w:cs="Times New Roman"/>
          <w:color w:val="000000"/>
          <w:sz w:val="24"/>
          <w:szCs w:val="24"/>
        </w:rPr>
        <w:t>Do právoplatnosti povolenia na činnosť podľa osobitného predpisu</w:t>
      </w:r>
      <w:r w:rsidRPr="00536EC9">
        <w:rPr>
          <w:rFonts w:ascii="Times New Roman" w:hAnsi="Times New Roman" w:cs="Times New Roman"/>
          <w:color w:val="000000"/>
          <w:sz w:val="24"/>
          <w:szCs w:val="24"/>
          <w:vertAlign w:val="superscript"/>
        </w:rPr>
        <w:t>90</w:t>
      </w:r>
      <w:r w:rsidRPr="00536EC9">
        <w:rPr>
          <w:rFonts w:ascii="Times New Roman" w:hAnsi="Times New Roman" w:cs="Times New Roman"/>
          <w:color w:val="000000"/>
          <w:sz w:val="24"/>
          <w:szCs w:val="24"/>
        </w:rPr>
        <w:t>) sa na centrálneho depozitára vzťahuje predpis účinný do 30. novembra 2016.“.</w:t>
      </w:r>
    </w:p>
    <w:p w:rsidR="00536EC9" w:rsidRPr="00536EC9" w:rsidP="00536EC9">
      <w:pPr>
        <w:pStyle w:val="ListParagraph"/>
        <w:bidi w:val="0"/>
        <w:spacing w:after="0"/>
        <w:jc w:val="both"/>
        <w:rPr>
          <w:rFonts w:ascii="Times New Roman" w:hAnsi="Times New Roman" w:cs="Times New Roman"/>
          <w:color w:val="000000"/>
          <w:sz w:val="24"/>
          <w:szCs w:val="24"/>
        </w:rPr>
      </w:pPr>
    </w:p>
    <w:p w:rsidR="00536EC9" w:rsidRPr="00536EC9" w:rsidP="00536EC9">
      <w:pPr>
        <w:pStyle w:val="ListParagraph"/>
        <w:numPr>
          <w:numId w:val="10"/>
        </w:numPr>
        <w:bidi w:val="0"/>
        <w:spacing w:after="0"/>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Za § 174a sa dopĺňa § 174b, ktorý vrátane nadpisu znie:</w:t>
      </w:r>
    </w:p>
    <w:p w:rsidR="00536EC9" w:rsidRPr="00536EC9" w:rsidP="00536EC9">
      <w:pPr>
        <w:bidi w:val="0"/>
        <w:spacing w:after="0"/>
        <w:jc w:val="both"/>
        <w:rPr>
          <w:rFonts w:ascii="Times New Roman" w:hAnsi="Times New Roman" w:cs="Times New Roman"/>
          <w:color w:val="000000"/>
          <w:sz w:val="24"/>
          <w:szCs w:val="24"/>
        </w:rPr>
      </w:pPr>
    </w:p>
    <w:p w:rsidR="00536EC9" w:rsidRPr="00536EC9" w:rsidP="00536EC9">
      <w:pPr>
        <w:bidi w:val="0"/>
        <w:spacing w:after="0"/>
        <w:jc w:val="center"/>
        <w:rPr>
          <w:rFonts w:ascii="Times New Roman" w:hAnsi="Times New Roman" w:cs="Times New Roman"/>
          <w:color w:val="000000"/>
          <w:sz w:val="24"/>
          <w:szCs w:val="24"/>
        </w:rPr>
      </w:pPr>
      <w:r w:rsidRPr="00536EC9">
        <w:rPr>
          <w:rFonts w:ascii="Times New Roman" w:hAnsi="Times New Roman" w:cs="Times New Roman"/>
          <w:color w:val="000000"/>
          <w:sz w:val="24"/>
          <w:szCs w:val="24"/>
        </w:rPr>
        <w:t>„§ 174b</w:t>
      </w:r>
    </w:p>
    <w:p w:rsidR="00536EC9" w:rsidRPr="00536EC9" w:rsidP="00536EC9">
      <w:pPr>
        <w:bidi w:val="0"/>
        <w:spacing w:after="0"/>
        <w:jc w:val="center"/>
        <w:rPr>
          <w:rFonts w:ascii="Times New Roman" w:hAnsi="Times New Roman" w:cs="Times New Roman"/>
          <w:color w:val="000000"/>
          <w:sz w:val="24"/>
          <w:szCs w:val="24"/>
        </w:rPr>
      </w:pPr>
      <w:r w:rsidRPr="00536EC9">
        <w:rPr>
          <w:rFonts w:ascii="Times New Roman" w:hAnsi="Times New Roman" w:cs="Times New Roman"/>
          <w:color w:val="000000"/>
          <w:sz w:val="24"/>
          <w:szCs w:val="24"/>
        </w:rPr>
        <w:t>Zrušovacie ustanovenia k úpravám účinným od 1. decembra 2016</w:t>
      </w:r>
    </w:p>
    <w:p w:rsidR="00536EC9" w:rsidRPr="00536EC9" w:rsidP="00536EC9">
      <w:pPr>
        <w:bidi w:val="0"/>
        <w:spacing w:after="0"/>
        <w:rPr>
          <w:rFonts w:ascii="Times New Roman" w:hAnsi="Times New Roman" w:cs="Times New Roman"/>
          <w:color w:val="000000"/>
          <w:sz w:val="24"/>
          <w:szCs w:val="24"/>
        </w:rPr>
      </w:pPr>
    </w:p>
    <w:p w:rsidR="00536EC9" w:rsidRPr="00536EC9" w:rsidP="00536EC9">
      <w:pPr>
        <w:pStyle w:val="ListParagraph"/>
        <w:bidi w:val="0"/>
        <w:spacing w:after="0"/>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 xml:space="preserve">Zrušujú sa:  </w:t>
      </w:r>
    </w:p>
    <w:p w:rsidR="00536EC9" w:rsidRPr="00536EC9" w:rsidP="00536EC9">
      <w:pPr>
        <w:bidi w:val="0"/>
        <w:spacing w:after="0"/>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 xml:space="preserve">      1. vyhláška Ministerstva financií Slovenskej republiky č. 92/2002 Z. z., ktorou sa ustanovujú podrobnosti a spôsob preukazovania splnenia podmienok na udelenie povolenia na vznik a činnosť centrálneho depozitára cenných papierov,</w:t>
      </w:r>
    </w:p>
    <w:p w:rsidR="00536EC9" w:rsidRPr="00536EC9" w:rsidP="00536EC9">
      <w:pPr>
        <w:bidi w:val="0"/>
        <w:spacing w:after="0"/>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 xml:space="preserve">      2.  opatrenie Národnej banky Slovenska č. 1/2013 z 19. marca 2013, ktorým sa ustanovujú náležitosti žiadosti o udelenie predchádzajúceho súhlasu Národnej banky Slovenska podľa § 102 ods. 1 zákona č. 566/2001 Z. z. o cenných papieroch a investičných službách a o zmene a doplnení niektorých zákonov (zákon o cenných papieroch).“.</w:t>
      </w:r>
    </w:p>
    <w:p w:rsidR="00536EC9" w:rsidRPr="00536EC9" w:rsidP="00536EC9">
      <w:pPr>
        <w:bidi w:val="0"/>
        <w:spacing w:after="0"/>
        <w:rPr>
          <w:rFonts w:ascii="Times New Roman" w:hAnsi="Times New Roman" w:cs="Times New Roman"/>
          <w:b/>
          <w:bCs/>
          <w:color w:val="000000"/>
          <w:sz w:val="24"/>
          <w:szCs w:val="24"/>
        </w:rPr>
      </w:pPr>
    </w:p>
    <w:p w:rsidR="00536EC9" w:rsidRPr="00536EC9" w:rsidP="00536EC9">
      <w:pPr>
        <w:bidi w:val="0"/>
        <w:spacing w:after="0"/>
        <w:ind w:left="426" w:hanging="426"/>
        <w:jc w:val="center"/>
        <w:rPr>
          <w:rFonts w:ascii="Times New Roman" w:hAnsi="Times New Roman" w:cs="Times New Roman"/>
          <w:b/>
          <w:bCs/>
          <w:color w:val="000000"/>
          <w:sz w:val="24"/>
          <w:szCs w:val="24"/>
        </w:rPr>
      </w:pPr>
      <w:r w:rsidRPr="00536EC9">
        <w:rPr>
          <w:rFonts w:ascii="Times New Roman" w:hAnsi="Times New Roman" w:cs="Times New Roman"/>
          <w:b/>
          <w:bCs/>
          <w:color w:val="000000"/>
          <w:sz w:val="24"/>
          <w:szCs w:val="24"/>
        </w:rPr>
        <w:t>Čl. II</w:t>
      </w:r>
    </w:p>
    <w:p w:rsidR="00536EC9" w:rsidRPr="00536EC9" w:rsidP="00536EC9">
      <w:pPr>
        <w:bidi w:val="0"/>
        <w:spacing w:after="0"/>
        <w:ind w:left="426" w:hanging="426"/>
        <w:jc w:val="center"/>
        <w:rPr>
          <w:rFonts w:ascii="Times New Roman" w:hAnsi="Times New Roman" w:cs="Times New Roman"/>
          <w:b/>
          <w:bCs/>
          <w:color w:val="000000"/>
          <w:sz w:val="24"/>
          <w:szCs w:val="24"/>
        </w:rPr>
      </w:pPr>
    </w:p>
    <w:p w:rsidR="00536EC9" w:rsidRPr="00536EC9" w:rsidP="00536EC9">
      <w:pPr>
        <w:pStyle w:val="Default"/>
        <w:bidi w:val="0"/>
        <w:jc w:val="both"/>
        <w:rPr>
          <w:rFonts w:ascii="Times New Roman" w:hAnsi="Times New Roman" w:cs="Times New Roman"/>
          <w:bCs/>
          <w:kern w:val="28"/>
        </w:rPr>
      </w:pPr>
      <w:r w:rsidRPr="00536EC9">
        <w:rPr>
          <w:rFonts w:ascii="Times New Roman" w:hAnsi="Times New Roman" w:cs="Times New Roman"/>
          <w:bCs/>
          <w:kern w:val="28"/>
        </w:rPr>
        <w:t xml:space="preserve">Zákon č. </w:t>
      </w:r>
      <w:hyperlink r:id="rId4" w:tooltip="Odkaz na predpis alebo ustanovenie" w:history="1">
        <w:r w:rsidRPr="00536EC9">
          <w:rPr>
            <w:rFonts w:ascii="Times New Roman" w:hAnsi="Times New Roman" w:cs="Times New Roman"/>
            <w:bCs/>
            <w:kern w:val="28"/>
          </w:rPr>
          <w:t>483/2001 Z. z.</w:t>
        </w:r>
      </w:hyperlink>
      <w:r w:rsidRPr="00536EC9">
        <w:rPr>
          <w:rFonts w:ascii="Times New Roman" w:hAnsi="Times New Roman" w:cs="Times New Roman"/>
          <w:bCs/>
          <w:kern w:val="28"/>
        </w:rPr>
        <w:t xml:space="preserve"> o bankách a o zmene a doplnení niektorých zákonov v znení zákona </w:t>
        <w:br/>
        <w:t>č. 430/2002 Z. z., zákona č. 510/2002 Z. z., zákona č. 165/2003 Z. z., zákona č. 603/2003 Z. z., zákona č. 215/2004 Z. z., zákona č. 554/2004 Z. z., zákona č. 747/2004 Z. z., zákona č. 69/2005 Z. z., zákona č. 340/2005 Z. z., zákona č. 341/2005 Z. z., zákona č. 214/2006 Z. z., zákona č. 644/2006 Z. z., zákona č. 209/2007 Z. z., zákona č. 659/2007 Z. z., zákona č. 297/2008 Z. z., zákona č. 552/2008 Z. z., zákona č. 66/2009 Z. z., zákona č. 186/2009 Z. z., zákona č. 276/2009 Z. z., zákona č. 492/2009 Z. z., zákona č. 129/2010 Z. z., zákona č. 46/2011 Z. z., zákona č. 130/2011 Z. z., zákona č. 314/2011 Z. z., zákona č. 394/2011 Z. z., zákona č. 520/2011 Z. z., zákona č. 547/2011 Z. z., zákona č. 234/2012 Z. z., zákona č. 352/2012 Z. z., zákona č. 132/2013 Z. z., zákona č. 352/2013 Z. z., zákona č. 213/2014 Z. z., zákona č. 371/2014 Z. z., zákona č. 374/2014 Z. z., zákona č. 35/2015 Z. z., zákona č. 252/2015 Z. z., zákona č. 359/2015 Z. z., zákona č. 392/2015 Z. z., zákona č. 405/2015 Z. z., zákona č. 437/2015 Z. z., zákona č. 90/2016 Z. z., zákona č. 91/2016 Z. z. a zákona č. 125/2016 Z. z. sa mení takto:</w:t>
      </w:r>
    </w:p>
    <w:p w:rsidR="00536EC9" w:rsidRPr="00536EC9" w:rsidP="00536EC9">
      <w:pPr>
        <w:pStyle w:val="Default"/>
        <w:bidi w:val="0"/>
        <w:jc w:val="both"/>
        <w:rPr>
          <w:rFonts w:ascii="Times New Roman" w:hAnsi="Times New Roman" w:cs="Times New Roman"/>
          <w:bCs/>
          <w:kern w:val="28"/>
        </w:rPr>
      </w:pPr>
    </w:p>
    <w:p w:rsidR="00536EC9" w:rsidRPr="00536EC9" w:rsidP="00536EC9">
      <w:pPr>
        <w:pStyle w:val="ListParagraph"/>
        <w:numPr>
          <w:numId w:val="19"/>
        </w:numPr>
        <w:bidi w:val="0"/>
        <w:spacing w:after="0" w:line="240" w:lineRule="auto"/>
        <w:contextualSpacing/>
        <w:jc w:val="both"/>
        <w:rPr>
          <w:rFonts w:ascii="Times New Roman" w:hAnsi="Times New Roman" w:cs="Times New Roman"/>
          <w:bCs/>
          <w:color w:val="000000"/>
          <w:sz w:val="24"/>
          <w:szCs w:val="24"/>
        </w:rPr>
      </w:pPr>
      <w:r w:rsidRPr="00536EC9">
        <w:rPr>
          <w:rFonts w:ascii="Times New Roman" w:hAnsi="Times New Roman" w:cs="Times New Roman"/>
          <w:bCs/>
          <w:color w:val="000000"/>
          <w:sz w:val="24"/>
          <w:szCs w:val="24"/>
        </w:rPr>
        <w:t>V § 52 sa vypúšťa odsek 2.</w:t>
      </w:r>
    </w:p>
    <w:p w:rsidR="00536EC9" w:rsidRPr="00536EC9" w:rsidP="00536EC9">
      <w:pPr>
        <w:bidi w:val="0"/>
        <w:spacing w:after="0"/>
        <w:jc w:val="both"/>
        <w:rPr>
          <w:rFonts w:ascii="Times New Roman" w:hAnsi="Times New Roman" w:cs="Times New Roman"/>
          <w:bCs/>
          <w:color w:val="000000"/>
          <w:sz w:val="24"/>
          <w:szCs w:val="24"/>
        </w:rPr>
      </w:pPr>
    </w:p>
    <w:p w:rsidR="00536EC9" w:rsidRPr="00536EC9" w:rsidP="00536EC9">
      <w:pPr>
        <w:bidi w:val="0"/>
        <w:spacing w:after="0"/>
        <w:jc w:val="both"/>
        <w:rPr>
          <w:rFonts w:ascii="Times New Roman" w:hAnsi="Times New Roman" w:cs="Times New Roman"/>
          <w:bCs/>
          <w:color w:val="000000"/>
          <w:sz w:val="24"/>
          <w:szCs w:val="24"/>
        </w:rPr>
      </w:pPr>
      <w:r w:rsidRPr="00536EC9">
        <w:rPr>
          <w:rFonts w:ascii="Times New Roman" w:hAnsi="Times New Roman" w:cs="Times New Roman"/>
          <w:bCs/>
          <w:color w:val="000000"/>
          <w:sz w:val="24"/>
          <w:szCs w:val="24"/>
        </w:rPr>
        <w:t>Doterajšie odseky 3 až 9 sa označujú ako odseky 2 až 8.</w:t>
      </w:r>
    </w:p>
    <w:p w:rsidR="00536EC9" w:rsidRPr="00536EC9" w:rsidP="00536EC9">
      <w:pPr>
        <w:bidi w:val="0"/>
        <w:spacing w:after="0"/>
        <w:jc w:val="both"/>
        <w:rPr>
          <w:rFonts w:ascii="Times New Roman" w:hAnsi="Times New Roman" w:cs="Times New Roman"/>
          <w:bCs/>
          <w:color w:val="000000"/>
          <w:sz w:val="24"/>
          <w:szCs w:val="24"/>
        </w:rPr>
      </w:pPr>
    </w:p>
    <w:p w:rsidR="00536EC9" w:rsidRPr="00536EC9" w:rsidP="00536EC9">
      <w:pPr>
        <w:pStyle w:val="ListParagraph"/>
        <w:numPr>
          <w:numId w:val="19"/>
        </w:numPr>
        <w:bidi w:val="0"/>
        <w:spacing w:after="0" w:line="240" w:lineRule="auto"/>
        <w:contextualSpacing/>
        <w:jc w:val="both"/>
        <w:rPr>
          <w:rFonts w:ascii="Times New Roman" w:hAnsi="Times New Roman" w:cs="Times New Roman"/>
          <w:bCs/>
          <w:color w:val="000000"/>
          <w:sz w:val="24"/>
          <w:szCs w:val="24"/>
        </w:rPr>
      </w:pPr>
      <w:r w:rsidRPr="00536EC9">
        <w:rPr>
          <w:rFonts w:ascii="Times New Roman" w:hAnsi="Times New Roman" w:cs="Times New Roman"/>
          <w:bCs/>
          <w:color w:val="000000"/>
          <w:sz w:val="24"/>
          <w:szCs w:val="24"/>
        </w:rPr>
        <w:t>V § 52 odsek 2 znie:</w:t>
      </w:r>
    </w:p>
    <w:p w:rsidR="00536EC9" w:rsidRPr="00536EC9" w:rsidP="00536EC9">
      <w:pPr>
        <w:bidi w:val="0"/>
        <w:spacing w:after="0"/>
        <w:jc w:val="both"/>
        <w:rPr>
          <w:rFonts w:ascii="Times New Roman" w:hAnsi="Times New Roman" w:cs="Times New Roman"/>
          <w:sz w:val="24"/>
          <w:szCs w:val="24"/>
        </w:rPr>
      </w:pPr>
      <w:r w:rsidRPr="00536EC9">
        <w:rPr>
          <w:rFonts w:ascii="Times New Roman" w:hAnsi="Times New Roman" w:cs="Times New Roman"/>
          <w:bCs/>
          <w:color w:val="000000"/>
          <w:sz w:val="24"/>
          <w:szCs w:val="24"/>
        </w:rPr>
        <w:t>„(2) Banka</w:t>
      </w:r>
      <w:r w:rsidRPr="00536EC9">
        <w:rPr>
          <w:rFonts w:ascii="Times New Roman" w:hAnsi="Times New Roman" w:cs="Times New Roman"/>
          <w:sz w:val="24"/>
          <w:szCs w:val="24"/>
        </w:rPr>
        <w:t xml:space="preserve"> je povinná predložiť Národnej banke Slovenska výpis z jej registra emitenta a z jej zoznamu akcionárov vyhotovený k rozhodujúcemu dňu,</w:t>
      </w:r>
      <w:r w:rsidRPr="00536EC9">
        <w:rPr>
          <w:rFonts w:ascii="Times New Roman" w:hAnsi="Times New Roman" w:cs="Times New Roman"/>
          <w:sz w:val="24"/>
          <w:szCs w:val="24"/>
          <w:vertAlign w:val="superscript"/>
        </w:rPr>
        <w:t>49a</w:t>
      </w:r>
      <w:r w:rsidRPr="00536EC9">
        <w:rPr>
          <w:rFonts w:ascii="Times New Roman" w:hAnsi="Times New Roman" w:cs="Times New Roman"/>
          <w:sz w:val="24"/>
          <w:szCs w:val="24"/>
        </w:rPr>
        <w:t>) ktorý je určený najmenej päť pracovných dní pred dňom valného zhromaždenia. Tento výpis je banka povinná doručiť Národnej banke Slovenska v deň jeho vyhotovenia. Národná banka Slovenska bezodkladne na tomto výpise písomne označí osobu, ktorej pozastavila výkon práv uvedených v odseku 1, a doručí ho banke najneskôr v deň predchádzajúci konaniu valného zhromaždenia banky.“.</w:t>
      </w:r>
    </w:p>
    <w:p w:rsidR="00536EC9" w:rsidRPr="00536EC9" w:rsidP="00536EC9">
      <w:pPr>
        <w:bidi w:val="0"/>
        <w:spacing w:after="0"/>
        <w:jc w:val="both"/>
        <w:rPr>
          <w:rFonts w:ascii="Times New Roman" w:hAnsi="Times New Roman" w:cs="Times New Roman"/>
          <w:sz w:val="24"/>
          <w:szCs w:val="24"/>
        </w:rPr>
      </w:pPr>
    </w:p>
    <w:p w:rsidR="00536EC9" w:rsidRPr="00536EC9" w:rsidP="00536EC9">
      <w:pPr>
        <w:bidi w:val="0"/>
        <w:spacing w:after="0"/>
        <w:jc w:val="both"/>
        <w:rPr>
          <w:rFonts w:ascii="Times New Roman" w:hAnsi="Times New Roman" w:cs="Times New Roman"/>
          <w:sz w:val="24"/>
          <w:szCs w:val="24"/>
        </w:rPr>
      </w:pPr>
      <w:r w:rsidRPr="00536EC9">
        <w:rPr>
          <w:rFonts w:ascii="Times New Roman" w:hAnsi="Times New Roman" w:cs="Times New Roman"/>
          <w:sz w:val="24"/>
          <w:szCs w:val="24"/>
        </w:rPr>
        <w:t>Poznámka pod čiarou k odkazu 49a znie:</w:t>
      </w:r>
    </w:p>
    <w:p w:rsidR="00536EC9" w:rsidRPr="00536EC9" w:rsidP="00536EC9">
      <w:pPr>
        <w:bidi w:val="0"/>
        <w:spacing w:after="0"/>
        <w:jc w:val="both"/>
        <w:rPr>
          <w:rFonts w:ascii="Times New Roman" w:hAnsi="Times New Roman" w:cs="Times New Roman"/>
          <w:sz w:val="24"/>
          <w:szCs w:val="24"/>
        </w:rPr>
      </w:pPr>
      <w:r w:rsidRPr="00536EC9">
        <w:rPr>
          <w:rFonts w:ascii="Times New Roman" w:hAnsi="Times New Roman" w:cs="Times New Roman"/>
          <w:sz w:val="24"/>
          <w:szCs w:val="24"/>
        </w:rPr>
        <w:t>„</w:t>
      </w:r>
      <w:r w:rsidRPr="00536EC9">
        <w:rPr>
          <w:rFonts w:ascii="Times New Roman" w:hAnsi="Times New Roman" w:cs="Times New Roman"/>
          <w:sz w:val="24"/>
          <w:szCs w:val="24"/>
          <w:vertAlign w:val="superscript"/>
        </w:rPr>
        <w:t>49a</w:t>
      </w:r>
      <w:r w:rsidRPr="00536EC9">
        <w:rPr>
          <w:rFonts w:ascii="Times New Roman" w:hAnsi="Times New Roman" w:cs="Times New Roman"/>
          <w:sz w:val="24"/>
          <w:szCs w:val="24"/>
        </w:rPr>
        <w:t>) § 156a Obchodného zákonníka v znení neskorších predpisov.“.</w:t>
      </w:r>
    </w:p>
    <w:p w:rsidR="00536EC9" w:rsidRPr="00536EC9" w:rsidP="00536EC9">
      <w:pPr>
        <w:bidi w:val="0"/>
        <w:spacing w:after="0"/>
        <w:rPr>
          <w:rFonts w:ascii="Times New Roman" w:hAnsi="Times New Roman" w:cs="Times New Roman"/>
          <w:b/>
          <w:bCs/>
          <w:color w:val="000000"/>
          <w:sz w:val="24"/>
          <w:szCs w:val="24"/>
        </w:rPr>
      </w:pPr>
    </w:p>
    <w:p w:rsidR="00536EC9" w:rsidRPr="00536EC9" w:rsidP="00536EC9">
      <w:pPr>
        <w:bidi w:val="0"/>
        <w:spacing w:after="0"/>
        <w:ind w:left="426" w:hanging="426"/>
        <w:jc w:val="center"/>
        <w:rPr>
          <w:rFonts w:ascii="Times New Roman" w:hAnsi="Times New Roman" w:cs="Times New Roman"/>
          <w:b/>
          <w:bCs/>
          <w:color w:val="000000"/>
          <w:sz w:val="24"/>
          <w:szCs w:val="24"/>
        </w:rPr>
      </w:pPr>
      <w:r w:rsidRPr="00536EC9">
        <w:rPr>
          <w:rFonts w:ascii="Times New Roman" w:hAnsi="Times New Roman" w:cs="Times New Roman"/>
          <w:b/>
          <w:bCs/>
          <w:color w:val="000000"/>
          <w:sz w:val="24"/>
          <w:szCs w:val="24"/>
        </w:rPr>
        <w:t>Čl. III</w:t>
      </w:r>
    </w:p>
    <w:p w:rsidR="00536EC9" w:rsidRPr="00536EC9" w:rsidP="00536EC9">
      <w:pPr>
        <w:bidi w:val="0"/>
        <w:spacing w:after="0"/>
        <w:ind w:left="426" w:hanging="426"/>
        <w:jc w:val="center"/>
        <w:rPr>
          <w:rFonts w:ascii="Times New Roman" w:hAnsi="Times New Roman" w:cs="Times New Roman"/>
          <w:b/>
          <w:bCs/>
          <w:color w:val="000000"/>
          <w:sz w:val="24"/>
          <w:szCs w:val="24"/>
        </w:rPr>
      </w:pPr>
    </w:p>
    <w:p w:rsidR="00536EC9" w:rsidRPr="00536EC9" w:rsidP="00536EC9">
      <w:pPr>
        <w:bidi w:val="0"/>
        <w:spacing w:after="0"/>
        <w:jc w:val="both"/>
        <w:rPr>
          <w:rFonts w:ascii="Times New Roman" w:hAnsi="Times New Roman" w:cs="Times New Roman"/>
          <w:sz w:val="24"/>
          <w:szCs w:val="24"/>
        </w:rPr>
      </w:pPr>
      <w:r w:rsidRPr="00536EC9">
        <w:rPr>
          <w:rFonts w:ascii="Times New Roman" w:hAnsi="Times New Roman" w:cs="Times New Roman"/>
          <w:bCs/>
          <w:sz w:val="24"/>
          <w:szCs w:val="24"/>
        </w:rPr>
        <w:t xml:space="preserve">Zákon č. 429/2002 Z. z. o burze cenných papierov v znení zákona č. </w:t>
      </w:r>
      <w:hyperlink r:id="rId5" w:history="1">
        <w:r w:rsidRPr="00536EC9">
          <w:rPr>
            <w:rStyle w:val="Hyperlink"/>
            <w:rFonts w:ascii="Times New Roman" w:hAnsi="Times New Roman"/>
            <w:color w:val="auto"/>
            <w:sz w:val="24"/>
            <w:szCs w:val="24"/>
            <w:u w:val="none"/>
            <w:effect w:val="none"/>
          </w:rPr>
          <w:t>594/2003 Z. z.</w:t>
        </w:r>
      </w:hyperlink>
      <w:r w:rsidRPr="00536EC9">
        <w:rPr>
          <w:rFonts w:ascii="Times New Roman" w:hAnsi="Times New Roman" w:cs="Times New Roman"/>
          <w:sz w:val="24"/>
          <w:szCs w:val="24"/>
        </w:rPr>
        <w:t>, zákona</w:t>
      </w:r>
    </w:p>
    <w:p w:rsidR="00536EC9" w:rsidRPr="00536EC9" w:rsidP="00536EC9">
      <w:pPr>
        <w:bidi w:val="0"/>
        <w:spacing w:after="0"/>
        <w:jc w:val="both"/>
        <w:rPr>
          <w:rFonts w:ascii="Times New Roman" w:hAnsi="Times New Roman" w:cs="Times New Roman"/>
          <w:sz w:val="24"/>
          <w:szCs w:val="24"/>
        </w:rPr>
      </w:pPr>
      <w:r w:rsidRPr="00536EC9">
        <w:rPr>
          <w:rFonts w:ascii="Times New Roman" w:hAnsi="Times New Roman" w:cs="Times New Roman"/>
          <w:sz w:val="24"/>
          <w:szCs w:val="24"/>
        </w:rPr>
        <w:t xml:space="preserve">č. </w:t>
      </w:r>
      <w:hyperlink r:id="rId6" w:history="1">
        <w:r w:rsidRPr="00536EC9">
          <w:rPr>
            <w:rStyle w:val="Hyperlink"/>
            <w:rFonts w:ascii="Times New Roman" w:hAnsi="Times New Roman"/>
            <w:color w:val="auto"/>
            <w:sz w:val="24"/>
            <w:szCs w:val="24"/>
            <w:u w:val="none"/>
            <w:effect w:val="none"/>
          </w:rPr>
          <w:t>43/2004 Z. z.</w:t>
        </w:r>
      </w:hyperlink>
      <w:r w:rsidRPr="00536EC9">
        <w:rPr>
          <w:rFonts w:ascii="Times New Roman" w:hAnsi="Times New Roman" w:cs="Times New Roman"/>
          <w:sz w:val="24"/>
          <w:szCs w:val="24"/>
        </w:rPr>
        <w:t xml:space="preserve">, zákona č. </w:t>
      </w:r>
      <w:hyperlink r:id="rId7" w:history="1">
        <w:r w:rsidRPr="00536EC9">
          <w:rPr>
            <w:rStyle w:val="Hyperlink"/>
            <w:rFonts w:ascii="Times New Roman" w:hAnsi="Times New Roman"/>
            <w:color w:val="auto"/>
            <w:sz w:val="24"/>
            <w:szCs w:val="24"/>
            <w:u w:val="none"/>
            <w:effect w:val="none"/>
          </w:rPr>
          <w:t>635/2004 Z. z.</w:t>
        </w:r>
      </w:hyperlink>
      <w:r w:rsidRPr="00536EC9">
        <w:rPr>
          <w:rFonts w:ascii="Times New Roman" w:hAnsi="Times New Roman" w:cs="Times New Roman"/>
          <w:sz w:val="24"/>
          <w:szCs w:val="24"/>
        </w:rPr>
        <w:t xml:space="preserve">, zákona č. </w:t>
      </w:r>
      <w:hyperlink r:id="rId8" w:history="1">
        <w:r w:rsidRPr="00536EC9">
          <w:rPr>
            <w:rStyle w:val="Hyperlink"/>
            <w:rFonts w:ascii="Times New Roman" w:hAnsi="Times New Roman"/>
            <w:color w:val="auto"/>
            <w:sz w:val="24"/>
            <w:szCs w:val="24"/>
            <w:u w:val="none"/>
            <w:effect w:val="none"/>
          </w:rPr>
          <w:t>747/2004 Z. z.</w:t>
        </w:r>
      </w:hyperlink>
      <w:r w:rsidRPr="00536EC9">
        <w:rPr>
          <w:rFonts w:ascii="Times New Roman" w:hAnsi="Times New Roman" w:cs="Times New Roman"/>
          <w:sz w:val="24"/>
          <w:szCs w:val="24"/>
        </w:rPr>
        <w:t xml:space="preserve">, zákona č. </w:t>
      </w:r>
      <w:hyperlink r:id="rId9" w:history="1">
        <w:r w:rsidRPr="00536EC9">
          <w:rPr>
            <w:rStyle w:val="Hyperlink"/>
            <w:rFonts w:ascii="Times New Roman" w:hAnsi="Times New Roman"/>
            <w:color w:val="auto"/>
            <w:sz w:val="24"/>
            <w:szCs w:val="24"/>
            <w:u w:val="none"/>
            <w:effect w:val="none"/>
          </w:rPr>
          <w:t>336/2005 Z. z.</w:t>
        </w:r>
      </w:hyperlink>
      <w:r w:rsidRPr="00536EC9">
        <w:rPr>
          <w:rFonts w:ascii="Times New Roman" w:hAnsi="Times New Roman" w:cs="Times New Roman"/>
          <w:sz w:val="24"/>
          <w:szCs w:val="24"/>
        </w:rPr>
        <w:t xml:space="preserve">, zákona č. </w:t>
      </w:r>
      <w:hyperlink r:id="rId10" w:history="1">
        <w:r w:rsidRPr="00536EC9">
          <w:rPr>
            <w:rStyle w:val="Hyperlink"/>
            <w:rFonts w:ascii="Times New Roman" w:hAnsi="Times New Roman"/>
            <w:color w:val="auto"/>
            <w:sz w:val="24"/>
            <w:szCs w:val="24"/>
            <w:u w:val="none"/>
            <w:effect w:val="none"/>
          </w:rPr>
          <w:t>209/2007 Z. z.</w:t>
        </w:r>
      </w:hyperlink>
      <w:r w:rsidRPr="00536EC9">
        <w:rPr>
          <w:rFonts w:ascii="Times New Roman" w:hAnsi="Times New Roman" w:cs="Times New Roman"/>
          <w:sz w:val="24"/>
          <w:szCs w:val="24"/>
        </w:rPr>
        <w:t xml:space="preserve">, zákona č. </w:t>
      </w:r>
      <w:hyperlink r:id="rId11" w:history="1">
        <w:r w:rsidRPr="00536EC9">
          <w:rPr>
            <w:rStyle w:val="Hyperlink"/>
            <w:rFonts w:ascii="Times New Roman" w:hAnsi="Times New Roman"/>
            <w:color w:val="auto"/>
            <w:sz w:val="24"/>
            <w:szCs w:val="24"/>
            <w:u w:val="none"/>
            <w:effect w:val="none"/>
          </w:rPr>
          <w:t>8/2008 Z. z.</w:t>
        </w:r>
      </w:hyperlink>
      <w:r w:rsidRPr="00536EC9">
        <w:rPr>
          <w:rFonts w:ascii="Times New Roman" w:hAnsi="Times New Roman" w:cs="Times New Roman"/>
          <w:sz w:val="24"/>
          <w:szCs w:val="24"/>
        </w:rPr>
        <w:t xml:space="preserve">, zákona č. </w:t>
      </w:r>
      <w:hyperlink r:id="rId12" w:history="1">
        <w:r w:rsidRPr="00536EC9">
          <w:rPr>
            <w:rStyle w:val="Hyperlink"/>
            <w:rFonts w:ascii="Times New Roman" w:hAnsi="Times New Roman"/>
            <w:color w:val="auto"/>
            <w:sz w:val="24"/>
            <w:szCs w:val="24"/>
            <w:u w:val="none"/>
            <w:effect w:val="none"/>
          </w:rPr>
          <w:t>297/2008 Z. z.</w:t>
        </w:r>
      </w:hyperlink>
      <w:r w:rsidRPr="00536EC9">
        <w:rPr>
          <w:rFonts w:ascii="Times New Roman" w:hAnsi="Times New Roman" w:cs="Times New Roman"/>
          <w:sz w:val="24"/>
          <w:szCs w:val="24"/>
        </w:rPr>
        <w:t xml:space="preserve">, zákona č. </w:t>
      </w:r>
      <w:hyperlink r:id="rId13" w:history="1">
        <w:r w:rsidRPr="00536EC9">
          <w:rPr>
            <w:rStyle w:val="Hyperlink"/>
            <w:rFonts w:ascii="Times New Roman" w:hAnsi="Times New Roman"/>
            <w:color w:val="auto"/>
            <w:sz w:val="24"/>
            <w:szCs w:val="24"/>
            <w:u w:val="none"/>
            <w:effect w:val="none"/>
          </w:rPr>
          <w:t>552/2008 Z. z.</w:t>
        </w:r>
      </w:hyperlink>
      <w:r w:rsidRPr="00536EC9">
        <w:rPr>
          <w:rFonts w:ascii="Times New Roman" w:hAnsi="Times New Roman" w:cs="Times New Roman"/>
          <w:sz w:val="24"/>
          <w:szCs w:val="24"/>
        </w:rPr>
        <w:t xml:space="preserve">, zákona č. </w:t>
      </w:r>
      <w:hyperlink r:id="rId14" w:history="1">
        <w:r w:rsidRPr="00536EC9">
          <w:rPr>
            <w:rStyle w:val="Hyperlink"/>
            <w:rFonts w:ascii="Times New Roman" w:hAnsi="Times New Roman"/>
            <w:color w:val="auto"/>
            <w:sz w:val="24"/>
            <w:szCs w:val="24"/>
            <w:u w:val="none"/>
            <w:effect w:val="none"/>
          </w:rPr>
          <w:t>487/2009 Z. z.</w:t>
        </w:r>
      </w:hyperlink>
      <w:r w:rsidRPr="00536EC9">
        <w:rPr>
          <w:rFonts w:ascii="Times New Roman" w:hAnsi="Times New Roman" w:cs="Times New Roman"/>
          <w:sz w:val="24"/>
          <w:szCs w:val="24"/>
        </w:rPr>
        <w:t xml:space="preserve">, zákona č. </w:t>
      </w:r>
      <w:hyperlink r:id="rId15" w:history="1">
        <w:r w:rsidRPr="00536EC9">
          <w:rPr>
            <w:rStyle w:val="Hyperlink"/>
            <w:rFonts w:ascii="Times New Roman" w:hAnsi="Times New Roman"/>
            <w:color w:val="auto"/>
            <w:sz w:val="24"/>
            <w:szCs w:val="24"/>
            <w:u w:val="none"/>
            <w:effect w:val="none"/>
          </w:rPr>
          <w:t>520/2011 Z. z.</w:t>
        </w:r>
      </w:hyperlink>
      <w:r w:rsidRPr="00536EC9">
        <w:rPr>
          <w:rFonts w:ascii="Times New Roman" w:hAnsi="Times New Roman" w:cs="Times New Roman"/>
          <w:sz w:val="24"/>
          <w:szCs w:val="24"/>
        </w:rPr>
        <w:t xml:space="preserve">, zákona č. </w:t>
      </w:r>
      <w:hyperlink r:id="rId16" w:history="1">
        <w:r w:rsidRPr="00536EC9">
          <w:rPr>
            <w:rStyle w:val="Hyperlink"/>
            <w:rFonts w:ascii="Times New Roman" w:hAnsi="Times New Roman"/>
            <w:color w:val="auto"/>
            <w:sz w:val="24"/>
            <w:szCs w:val="24"/>
            <w:u w:val="none"/>
            <w:effect w:val="none"/>
          </w:rPr>
          <w:t>547/2011 Z. z.</w:t>
        </w:r>
      </w:hyperlink>
      <w:r w:rsidRPr="00536EC9">
        <w:rPr>
          <w:rFonts w:ascii="Times New Roman" w:hAnsi="Times New Roman" w:cs="Times New Roman"/>
          <w:sz w:val="24"/>
          <w:szCs w:val="24"/>
        </w:rPr>
        <w:t xml:space="preserve">, zákona č. </w:t>
      </w:r>
      <w:hyperlink r:id="rId17" w:history="1">
        <w:r w:rsidRPr="00536EC9">
          <w:rPr>
            <w:rStyle w:val="Hyperlink"/>
            <w:rFonts w:ascii="Times New Roman" w:hAnsi="Times New Roman"/>
            <w:color w:val="auto"/>
            <w:sz w:val="24"/>
            <w:szCs w:val="24"/>
            <w:u w:val="none"/>
            <w:effect w:val="none"/>
          </w:rPr>
          <w:t>352/2013 Z. z.</w:t>
        </w:r>
      </w:hyperlink>
      <w:r w:rsidRPr="00536EC9">
        <w:rPr>
          <w:rFonts w:ascii="Times New Roman" w:hAnsi="Times New Roman" w:cs="Times New Roman"/>
          <w:sz w:val="24"/>
          <w:szCs w:val="24"/>
        </w:rPr>
        <w:t xml:space="preserve">, zákona č. 206/2014 Z. z., zákona č. </w:t>
      </w:r>
      <w:hyperlink r:id="rId18" w:history="1">
        <w:r w:rsidRPr="00536EC9">
          <w:rPr>
            <w:rStyle w:val="Hyperlink"/>
            <w:rFonts w:ascii="Times New Roman" w:hAnsi="Times New Roman"/>
            <w:color w:val="auto"/>
            <w:sz w:val="24"/>
            <w:szCs w:val="24"/>
            <w:u w:val="none"/>
            <w:effect w:val="none"/>
          </w:rPr>
          <w:t>388/2015 Z. z.</w:t>
        </w:r>
      </w:hyperlink>
      <w:r w:rsidRPr="00536EC9">
        <w:rPr>
          <w:rFonts w:ascii="Times New Roman" w:hAnsi="Times New Roman" w:cs="Times New Roman"/>
          <w:sz w:val="24"/>
          <w:szCs w:val="24"/>
        </w:rPr>
        <w:t>, zákona č. 91/2016 Z. z. a zákona č. 125/2016 Z. z. sa mení a dopĺňa takto:</w:t>
      </w:r>
    </w:p>
    <w:p w:rsidR="00536EC9" w:rsidRPr="00536EC9" w:rsidP="00536EC9">
      <w:pPr>
        <w:bidi w:val="0"/>
        <w:spacing w:after="0"/>
        <w:jc w:val="both"/>
        <w:rPr>
          <w:rFonts w:ascii="Times New Roman" w:hAnsi="Times New Roman" w:cs="Times New Roman"/>
          <w:sz w:val="24"/>
          <w:szCs w:val="24"/>
        </w:rPr>
      </w:pPr>
    </w:p>
    <w:p w:rsidR="00536EC9" w:rsidRPr="00536EC9" w:rsidP="00536EC9">
      <w:pPr>
        <w:pStyle w:val="ListParagraph"/>
        <w:numPr>
          <w:numId w:val="20"/>
        </w:numPr>
        <w:bidi w:val="0"/>
        <w:spacing w:after="0" w:line="240" w:lineRule="auto"/>
        <w:contextualSpacing/>
        <w:jc w:val="both"/>
        <w:rPr>
          <w:rFonts w:ascii="Times New Roman" w:hAnsi="Times New Roman" w:cs="Times New Roman"/>
          <w:sz w:val="24"/>
          <w:szCs w:val="24"/>
        </w:rPr>
      </w:pPr>
      <w:r w:rsidRPr="00536EC9">
        <w:rPr>
          <w:rFonts w:ascii="Times New Roman" w:hAnsi="Times New Roman" w:cs="Times New Roman"/>
          <w:sz w:val="24"/>
          <w:szCs w:val="24"/>
        </w:rPr>
        <w:t>V § 25 ods. 2 prvej vete sa slovo „obchodované“ nahrádza slovom „prijaté“.</w:t>
      </w:r>
    </w:p>
    <w:p w:rsidR="00536EC9" w:rsidRPr="00536EC9" w:rsidP="00536EC9">
      <w:pPr>
        <w:bidi w:val="0"/>
        <w:spacing w:after="0"/>
        <w:jc w:val="both"/>
        <w:rPr>
          <w:rFonts w:ascii="Times New Roman" w:hAnsi="Times New Roman" w:cs="Times New Roman"/>
          <w:sz w:val="24"/>
          <w:szCs w:val="24"/>
        </w:rPr>
      </w:pPr>
    </w:p>
    <w:p w:rsidR="00536EC9" w:rsidRPr="00536EC9" w:rsidP="00536EC9">
      <w:pPr>
        <w:pStyle w:val="ListParagraph"/>
        <w:numPr>
          <w:numId w:val="20"/>
        </w:numPr>
        <w:bidi w:val="0"/>
        <w:spacing w:after="0" w:line="240" w:lineRule="auto"/>
        <w:contextualSpacing/>
        <w:jc w:val="both"/>
        <w:rPr>
          <w:rFonts w:ascii="Times New Roman" w:hAnsi="Times New Roman" w:cs="Times New Roman"/>
          <w:sz w:val="24"/>
          <w:szCs w:val="24"/>
        </w:rPr>
      </w:pPr>
      <w:r w:rsidRPr="00536EC9">
        <w:rPr>
          <w:rFonts w:ascii="Times New Roman" w:hAnsi="Times New Roman" w:cs="Times New Roman"/>
          <w:sz w:val="24"/>
          <w:szCs w:val="24"/>
        </w:rPr>
        <w:t>V § 26 ods. 5 sa vypúšťajú slová „za podmienok stanovených burzovými pravidlami“.</w:t>
      </w:r>
    </w:p>
    <w:p w:rsidR="00536EC9" w:rsidRPr="00536EC9" w:rsidP="00536EC9">
      <w:pPr>
        <w:bidi w:val="0"/>
        <w:spacing w:after="0"/>
        <w:jc w:val="both"/>
        <w:rPr>
          <w:rFonts w:ascii="Times New Roman" w:hAnsi="Times New Roman" w:cs="Times New Roman"/>
          <w:sz w:val="24"/>
          <w:szCs w:val="24"/>
        </w:rPr>
      </w:pPr>
    </w:p>
    <w:p w:rsidR="00536EC9" w:rsidRPr="00536EC9" w:rsidP="00536EC9">
      <w:pPr>
        <w:pStyle w:val="ListParagraph"/>
        <w:numPr>
          <w:numId w:val="20"/>
        </w:numPr>
        <w:bidi w:val="0"/>
        <w:spacing w:after="0" w:line="240" w:lineRule="auto"/>
        <w:contextualSpacing/>
        <w:jc w:val="both"/>
        <w:rPr>
          <w:rFonts w:ascii="Times New Roman" w:hAnsi="Times New Roman" w:cs="Times New Roman"/>
          <w:sz w:val="24"/>
          <w:szCs w:val="24"/>
        </w:rPr>
      </w:pPr>
      <w:r w:rsidRPr="00536EC9">
        <w:rPr>
          <w:rFonts w:ascii="Times New Roman" w:hAnsi="Times New Roman" w:cs="Times New Roman"/>
          <w:sz w:val="24"/>
          <w:szCs w:val="24"/>
        </w:rPr>
        <w:t>V § 30 ods. 5 písm. a) sa na konci pripája toto slovo: „alebo“.</w:t>
      </w:r>
    </w:p>
    <w:p w:rsidR="00536EC9" w:rsidRPr="00536EC9" w:rsidP="00536EC9">
      <w:pPr>
        <w:bidi w:val="0"/>
        <w:spacing w:after="0"/>
        <w:jc w:val="both"/>
        <w:rPr>
          <w:rFonts w:ascii="Times New Roman" w:hAnsi="Times New Roman" w:cs="Times New Roman"/>
          <w:sz w:val="24"/>
          <w:szCs w:val="24"/>
        </w:rPr>
      </w:pPr>
    </w:p>
    <w:p w:rsidR="00536EC9" w:rsidRPr="00536EC9" w:rsidP="00536EC9">
      <w:pPr>
        <w:pStyle w:val="ListParagraph"/>
        <w:numPr>
          <w:numId w:val="20"/>
        </w:numPr>
        <w:bidi w:val="0"/>
        <w:spacing w:after="0" w:line="240" w:lineRule="auto"/>
        <w:contextualSpacing/>
        <w:jc w:val="both"/>
        <w:rPr>
          <w:rFonts w:ascii="Times New Roman" w:hAnsi="Times New Roman" w:cs="Times New Roman"/>
          <w:sz w:val="24"/>
          <w:szCs w:val="24"/>
        </w:rPr>
      </w:pPr>
      <w:r w:rsidRPr="00536EC9">
        <w:rPr>
          <w:rFonts w:ascii="Times New Roman" w:hAnsi="Times New Roman" w:cs="Times New Roman"/>
          <w:sz w:val="24"/>
          <w:szCs w:val="24"/>
        </w:rPr>
        <w:t>V § 38 ods. 2 sa vypúšťa písmeno c).</w:t>
      </w:r>
    </w:p>
    <w:p w:rsidR="00536EC9" w:rsidRPr="00536EC9" w:rsidP="00536EC9">
      <w:pPr>
        <w:pStyle w:val="ListParagraph"/>
        <w:bidi w:val="0"/>
        <w:spacing w:after="0"/>
        <w:rPr>
          <w:rFonts w:ascii="Times New Roman" w:hAnsi="Times New Roman" w:cs="Times New Roman"/>
          <w:sz w:val="24"/>
          <w:szCs w:val="24"/>
        </w:rPr>
      </w:pPr>
    </w:p>
    <w:p w:rsidR="00536EC9" w:rsidRPr="00536EC9" w:rsidP="00536EC9">
      <w:pPr>
        <w:bidi w:val="0"/>
        <w:spacing w:after="0"/>
        <w:jc w:val="both"/>
        <w:rPr>
          <w:rFonts w:ascii="Times New Roman" w:hAnsi="Times New Roman" w:cs="Times New Roman"/>
          <w:sz w:val="24"/>
          <w:szCs w:val="24"/>
        </w:rPr>
      </w:pPr>
      <w:r w:rsidRPr="00536EC9">
        <w:rPr>
          <w:rFonts w:ascii="Times New Roman" w:hAnsi="Times New Roman" w:cs="Times New Roman"/>
          <w:sz w:val="24"/>
          <w:szCs w:val="24"/>
        </w:rPr>
        <w:t>Doterajšie písmeno d) sa označuje ako písmeno c).</w:t>
      </w:r>
    </w:p>
    <w:p w:rsidR="00536EC9" w:rsidRPr="00536EC9" w:rsidP="00536EC9">
      <w:pPr>
        <w:pStyle w:val="ListParagraph"/>
        <w:bidi w:val="0"/>
        <w:spacing w:after="0"/>
        <w:rPr>
          <w:rFonts w:ascii="Times New Roman" w:hAnsi="Times New Roman" w:cs="Times New Roman"/>
          <w:sz w:val="24"/>
          <w:szCs w:val="24"/>
        </w:rPr>
      </w:pPr>
    </w:p>
    <w:p w:rsidR="00536EC9" w:rsidRPr="00536EC9" w:rsidP="00536EC9">
      <w:pPr>
        <w:pStyle w:val="ListParagraph"/>
        <w:numPr>
          <w:numId w:val="20"/>
        </w:numPr>
        <w:bidi w:val="0"/>
        <w:spacing w:after="0" w:line="240" w:lineRule="auto"/>
        <w:contextualSpacing/>
        <w:jc w:val="both"/>
        <w:rPr>
          <w:rFonts w:ascii="Times New Roman" w:hAnsi="Times New Roman" w:cs="Times New Roman"/>
          <w:sz w:val="24"/>
          <w:szCs w:val="24"/>
        </w:rPr>
      </w:pPr>
      <w:r w:rsidRPr="00536EC9">
        <w:rPr>
          <w:rFonts w:ascii="Times New Roman" w:hAnsi="Times New Roman" w:cs="Times New Roman"/>
          <w:sz w:val="24"/>
          <w:szCs w:val="24"/>
        </w:rPr>
        <w:t>V § 40 ods. 6 sa vypúšťajú slová „ods. 13“.</w:t>
      </w:r>
    </w:p>
    <w:p w:rsidR="00536EC9" w:rsidRPr="00536EC9" w:rsidP="00536EC9">
      <w:pPr>
        <w:bidi w:val="0"/>
        <w:spacing w:after="0"/>
        <w:jc w:val="both"/>
        <w:rPr>
          <w:rFonts w:ascii="Times New Roman" w:hAnsi="Times New Roman" w:cs="Times New Roman"/>
          <w:sz w:val="24"/>
          <w:szCs w:val="24"/>
        </w:rPr>
      </w:pPr>
    </w:p>
    <w:p w:rsidR="00536EC9" w:rsidRPr="00536EC9" w:rsidP="00536EC9">
      <w:pPr>
        <w:pStyle w:val="ListParagraph"/>
        <w:numPr>
          <w:numId w:val="20"/>
        </w:numPr>
        <w:bidi w:val="0"/>
        <w:spacing w:after="0" w:line="240" w:lineRule="auto"/>
        <w:contextualSpacing/>
        <w:jc w:val="both"/>
        <w:rPr>
          <w:rFonts w:ascii="Times New Roman" w:hAnsi="Times New Roman" w:cs="Times New Roman"/>
          <w:sz w:val="24"/>
          <w:szCs w:val="24"/>
        </w:rPr>
      </w:pPr>
      <w:r w:rsidRPr="00536EC9">
        <w:rPr>
          <w:rFonts w:ascii="Times New Roman" w:hAnsi="Times New Roman" w:cs="Times New Roman"/>
          <w:sz w:val="24"/>
          <w:szCs w:val="24"/>
        </w:rPr>
        <w:t>V § 62 sa vypúšťa odsek 2.</w:t>
      </w:r>
    </w:p>
    <w:p w:rsidR="00536EC9" w:rsidRPr="00536EC9" w:rsidP="00536EC9">
      <w:pPr>
        <w:bidi w:val="0"/>
        <w:spacing w:after="0"/>
        <w:jc w:val="both"/>
        <w:rPr>
          <w:rFonts w:ascii="Times New Roman" w:hAnsi="Times New Roman" w:cs="Times New Roman"/>
          <w:sz w:val="24"/>
          <w:szCs w:val="24"/>
        </w:rPr>
      </w:pPr>
    </w:p>
    <w:p w:rsidR="00536EC9" w:rsidRPr="00536EC9" w:rsidP="00536EC9">
      <w:pPr>
        <w:bidi w:val="0"/>
        <w:spacing w:after="0"/>
        <w:jc w:val="both"/>
        <w:rPr>
          <w:rFonts w:ascii="Times New Roman" w:hAnsi="Times New Roman" w:cs="Times New Roman"/>
          <w:sz w:val="24"/>
          <w:szCs w:val="24"/>
        </w:rPr>
      </w:pPr>
      <w:r w:rsidRPr="00536EC9">
        <w:rPr>
          <w:rFonts w:ascii="Times New Roman" w:hAnsi="Times New Roman" w:cs="Times New Roman"/>
          <w:sz w:val="24"/>
          <w:szCs w:val="24"/>
        </w:rPr>
        <w:t>Doterajšie odseky 3 až 9 sa označujú ako odseky 2 až 8.</w:t>
      </w:r>
    </w:p>
    <w:p w:rsidR="00536EC9" w:rsidRPr="00536EC9" w:rsidP="00536EC9">
      <w:pPr>
        <w:bidi w:val="0"/>
        <w:spacing w:after="0"/>
        <w:jc w:val="both"/>
        <w:rPr>
          <w:rFonts w:ascii="Times New Roman" w:hAnsi="Times New Roman" w:cs="Times New Roman"/>
          <w:sz w:val="24"/>
          <w:szCs w:val="24"/>
        </w:rPr>
      </w:pPr>
    </w:p>
    <w:p w:rsidR="00536EC9" w:rsidRPr="00536EC9" w:rsidP="00536EC9">
      <w:pPr>
        <w:pStyle w:val="ListParagraph"/>
        <w:numPr>
          <w:numId w:val="20"/>
        </w:numPr>
        <w:bidi w:val="0"/>
        <w:spacing w:after="0" w:line="240" w:lineRule="auto"/>
        <w:contextualSpacing/>
        <w:jc w:val="both"/>
        <w:rPr>
          <w:rFonts w:ascii="Times New Roman" w:hAnsi="Times New Roman" w:cs="Times New Roman"/>
          <w:sz w:val="24"/>
          <w:szCs w:val="24"/>
        </w:rPr>
      </w:pPr>
      <w:r w:rsidRPr="00536EC9">
        <w:rPr>
          <w:rFonts w:ascii="Times New Roman" w:hAnsi="Times New Roman" w:cs="Times New Roman"/>
          <w:sz w:val="24"/>
          <w:szCs w:val="24"/>
        </w:rPr>
        <w:t>V § 62 odsek 2 znie:</w:t>
      </w:r>
    </w:p>
    <w:p w:rsidR="00536EC9" w:rsidRPr="00536EC9" w:rsidP="00536EC9">
      <w:pPr>
        <w:bidi w:val="0"/>
        <w:spacing w:after="0"/>
        <w:jc w:val="both"/>
        <w:rPr>
          <w:rFonts w:ascii="Times New Roman" w:hAnsi="Times New Roman" w:cs="Times New Roman"/>
          <w:sz w:val="24"/>
          <w:szCs w:val="24"/>
        </w:rPr>
      </w:pPr>
      <w:r w:rsidRPr="00536EC9">
        <w:rPr>
          <w:rFonts w:ascii="Times New Roman" w:hAnsi="Times New Roman" w:cs="Times New Roman"/>
          <w:bCs/>
          <w:color w:val="000000"/>
          <w:sz w:val="24"/>
          <w:szCs w:val="24"/>
        </w:rPr>
        <w:t>„(2) Burza</w:t>
      </w:r>
      <w:r w:rsidRPr="00536EC9">
        <w:rPr>
          <w:rFonts w:ascii="Times New Roman" w:hAnsi="Times New Roman" w:cs="Times New Roman"/>
          <w:sz w:val="24"/>
          <w:szCs w:val="24"/>
        </w:rPr>
        <w:t xml:space="preserve"> je povinná predložiť Národnej banke Slovenska výpis z jej registra emitenta a z jej zoznamu akcionárov vyhotovený k rozhodujúcemu dňu,</w:t>
      </w:r>
      <w:r w:rsidRPr="00536EC9">
        <w:rPr>
          <w:rFonts w:ascii="Times New Roman" w:hAnsi="Times New Roman" w:cs="Times New Roman"/>
          <w:sz w:val="24"/>
          <w:szCs w:val="24"/>
          <w:vertAlign w:val="superscript"/>
        </w:rPr>
        <w:t>70a</w:t>
      </w:r>
      <w:r w:rsidRPr="00536EC9">
        <w:rPr>
          <w:rFonts w:ascii="Times New Roman" w:hAnsi="Times New Roman" w:cs="Times New Roman"/>
          <w:sz w:val="24"/>
          <w:szCs w:val="24"/>
        </w:rPr>
        <w:t>) ktorý je určený najmenej päť pracovných dní pred dňom konania valného zhromaždenia. Tento výpis je burza povinná doručiť Národnej banke Slovenska v  deň jeho vyhotovenia. Národná banka Slovenska bezodkladne na tomto výpise písomne označí osobu, ktorej pozastavila výkon práv uvedených v odseku 1, a doručí ho burze najneskôr v deň predchádzajúci konaniu valného zhromaždenia burzy.“.</w:t>
      </w:r>
    </w:p>
    <w:p w:rsidR="00536EC9" w:rsidRPr="00536EC9" w:rsidP="00536EC9">
      <w:pPr>
        <w:bidi w:val="0"/>
        <w:spacing w:after="0"/>
        <w:jc w:val="both"/>
        <w:rPr>
          <w:rFonts w:ascii="Times New Roman" w:hAnsi="Times New Roman" w:cs="Times New Roman"/>
          <w:sz w:val="24"/>
          <w:szCs w:val="24"/>
        </w:rPr>
      </w:pPr>
    </w:p>
    <w:p w:rsidR="00536EC9" w:rsidRPr="00536EC9" w:rsidP="00536EC9">
      <w:pPr>
        <w:bidi w:val="0"/>
        <w:spacing w:after="0"/>
        <w:jc w:val="both"/>
        <w:rPr>
          <w:rFonts w:ascii="Times New Roman" w:hAnsi="Times New Roman" w:cs="Times New Roman"/>
          <w:sz w:val="24"/>
          <w:szCs w:val="24"/>
        </w:rPr>
      </w:pPr>
      <w:r w:rsidRPr="00536EC9">
        <w:rPr>
          <w:rFonts w:ascii="Times New Roman" w:hAnsi="Times New Roman" w:cs="Times New Roman"/>
          <w:sz w:val="24"/>
          <w:szCs w:val="24"/>
        </w:rPr>
        <w:t>Poznámka pod čiarou k odkazu 70a znie:</w:t>
      </w:r>
    </w:p>
    <w:p w:rsidR="00536EC9" w:rsidRPr="00536EC9" w:rsidP="00536EC9">
      <w:pPr>
        <w:bidi w:val="0"/>
        <w:spacing w:after="0"/>
        <w:jc w:val="both"/>
        <w:rPr>
          <w:rFonts w:ascii="Times New Roman" w:hAnsi="Times New Roman" w:cs="Times New Roman"/>
          <w:sz w:val="24"/>
          <w:szCs w:val="24"/>
        </w:rPr>
      </w:pPr>
      <w:r w:rsidRPr="00536EC9">
        <w:rPr>
          <w:rFonts w:ascii="Times New Roman" w:hAnsi="Times New Roman" w:cs="Times New Roman"/>
          <w:sz w:val="24"/>
          <w:szCs w:val="24"/>
        </w:rPr>
        <w:t>„</w:t>
      </w:r>
      <w:r w:rsidRPr="00536EC9">
        <w:rPr>
          <w:rFonts w:ascii="Times New Roman" w:hAnsi="Times New Roman" w:cs="Times New Roman"/>
          <w:sz w:val="24"/>
          <w:szCs w:val="24"/>
          <w:vertAlign w:val="superscript"/>
        </w:rPr>
        <w:t>70a</w:t>
      </w:r>
      <w:r w:rsidRPr="00536EC9">
        <w:rPr>
          <w:rFonts w:ascii="Times New Roman" w:hAnsi="Times New Roman" w:cs="Times New Roman"/>
          <w:sz w:val="24"/>
          <w:szCs w:val="24"/>
        </w:rPr>
        <w:t>) § 156a Obchodného zákonníka v znení neskorších predpisov.“.</w:t>
      </w:r>
    </w:p>
    <w:p w:rsidR="00536EC9" w:rsidRPr="00536EC9" w:rsidP="00536EC9">
      <w:pPr>
        <w:bidi w:val="0"/>
        <w:spacing w:after="0"/>
        <w:jc w:val="both"/>
        <w:rPr>
          <w:rFonts w:ascii="Times New Roman" w:hAnsi="Times New Roman" w:cs="Times New Roman"/>
          <w:sz w:val="24"/>
          <w:szCs w:val="24"/>
        </w:rPr>
      </w:pPr>
    </w:p>
    <w:p w:rsidR="00536EC9" w:rsidRPr="00536EC9" w:rsidP="00536EC9">
      <w:pPr>
        <w:pStyle w:val="ListParagraph"/>
        <w:numPr>
          <w:numId w:val="20"/>
        </w:numPr>
        <w:bidi w:val="0"/>
        <w:spacing w:after="0" w:line="240" w:lineRule="auto"/>
        <w:contextualSpacing/>
        <w:jc w:val="both"/>
        <w:rPr>
          <w:rFonts w:ascii="Times New Roman" w:hAnsi="Times New Roman" w:cs="Times New Roman"/>
          <w:bCs/>
          <w:color w:val="000000"/>
          <w:sz w:val="24"/>
          <w:szCs w:val="24"/>
        </w:rPr>
      </w:pPr>
      <w:r w:rsidRPr="00536EC9">
        <w:rPr>
          <w:rFonts w:ascii="Times New Roman" w:hAnsi="Times New Roman" w:cs="Times New Roman"/>
          <w:bCs/>
          <w:color w:val="000000"/>
          <w:sz w:val="24"/>
          <w:szCs w:val="24"/>
        </w:rPr>
        <w:t>Za § 65 sa vkladá § 65a, ktorý znie:</w:t>
      </w:r>
    </w:p>
    <w:p w:rsidR="00536EC9" w:rsidRPr="00536EC9" w:rsidP="00536EC9">
      <w:pPr>
        <w:bidi w:val="0"/>
        <w:spacing w:after="0"/>
        <w:jc w:val="both"/>
        <w:rPr>
          <w:rFonts w:ascii="Times New Roman" w:hAnsi="Times New Roman" w:cs="Times New Roman"/>
          <w:bCs/>
          <w:color w:val="000000"/>
          <w:sz w:val="24"/>
          <w:szCs w:val="24"/>
        </w:rPr>
      </w:pPr>
    </w:p>
    <w:p w:rsidR="00536EC9" w:rsidRPr="00536EC9" w:rsidP="00536EC9">
      <w:pPr>
        <w:bidi w:val="0"/>
        <w:spacing w:after="0"/>
        <w:jc w:val="center"/>
        <w:rPr>
          <w:rFonts w:ascii="Times New Roman" w:hAnsi="Times New Roman" w:cs="Times New Roman"/>
          <w:bCs/>
          <w:color w:val="000000"/>
          <w:sz w:val="24"/>
          <w:szCs w:val="24"/>
        </w:rPr>
      </w:pPr>
      <w:r w:rsidRPr="00536EC9">
        <w:rPr>
          <w:rFonts w:ascii="Times New Roman" w:hAnsi="Times New Roman" w:cs="Times New Roman"/>
          <w:bCs/>
          <w:color w:val="000000"/>
          <w:sz w:val="24"/>
          <w:szCs w:val="24"/>
        </w:rPr>
        <w:t>„§ 65a</w:t>
      </w:r>
    </w:p>
    <w:p w:rsidR="00536EC9" w:rsidRPr="00536EC9" w:rsidP="00536EC9">
      <w:pPr>
        <w:bidi w:val="0"/>
        <w:spacing w:after="0"/>
        <w:jc w:val="both"/>
        <w:rPr>
          <w:rFonts w:ascii="Times New Roman" w:hAnsi="Times New Roman" w:cs="Times New Roman"/>
          <w:bCs/>
          <w:color w:val="000000"/>
          <w:sz w:val="24"/>
          <w:szCs w:val="24"/>
        </w:rPr>
      </w:pPr>
      <w:r w:rsidRPr="00536EC9">
        <w:rPr>
          <w:rFonts w:ascii="Times New Roman" w:hAnsi="Times New Roman" w:cs="Times New Roman"/>
          <w:bCs/>
          <w:color w:val="000000"/>
          <w:sz w:val="24"/>
          <w:szCs w:val="24"/>
        </w:rPr>
        <w:t>Na rozhodovanie podľa tohto zákona okrem § 65 sa použijú ustanovenia tohto zákona a ustanovenia burzových pravidiel.“.</w:t>
      </w:r>
    </w:p>
    <w:p w:rsidR="00536EC9" w:rsidRPr="00536EC9" w:rsidP="00536EC9">
      <w:pPr>
        <w:bidi w:val="0"/>
        <w:spacing w:after="0"/>
        <w:rPr>
          <w:rFonts w:ascii="Times New Roman" w:hAnsi="Times New Roman" w:cs="Times New Roman"/>
          <w:b/>
          <w:sz w:val="24"/>
          <w:szCs w:val="24"/>
        </w:rPr>
      </w:pPr>
    </w:p>
    <w:p w:rsidR="00536EC9" w:rsidRPr="00536EC9" w:rsidP="00536EC9">
      <w:pPr>
        <w:bidi w:val="0"/>
        <w:spacing w:after="0"/>
        <w:jc w:val="center"/>
        <w:rPr>
          <w:rFonts w:ascii="Times New Roman" w:hAnsi="Times New Roman" w:cs="Times New Roman"/>
          <w:b/>
          <w:sz w:val="24"/>
          <w:szCs w:val="24"/>
        </w:rPr>
      </w:pPr>
      <w:r w:rsidRPr="00536EC9">
        <w:rPr>
          <w:rFonts w:ascii="Times New Roman" w:hAnsi="Times New Roman" w:cs="Times New Roman"/>
          <w:b/>
          <w:sz w:val="24"/>
          <w:szCs w:val="24"/>
        </w:rPr>
        <w:t>Čl. IV</w:t>
      </w:r>
    </w:p>
    <w:p w:rsidR="00536EC9" w:rsidRPr="00536EC9" w:rsidP="00536EC9">
      <w:pPr>
        <w:bidi w:val="0"/>
        <w:spacing w:after="0"/>
        <w:ind w:left="426" w:hanging="426"/>
        <w:jc w:val="center"/>
        <w:rPr>
          <w:rFonts w:ascii="Times New Roman" w:hAnsi="Times New Roman" w:cs="Times New Roman"/>
          <w:b/>
          <w:bCs/>
          <w:sz w:val="24"/>
          <w:szCs w:val="24"/>
        </w:rPr>
      </w:pPr>
    </w:p>
    <w:p w:rsidR="00536EC9" w:rsidRPr="00536EC9" w:rsidP="00536EC9">
      <w:pPr>
        <w:autoSpaceDE w:val="0"/>
        <w:autoSpaceDN w:val="0"/>
        <w:bidi w:val="0"/>
        <w:adjustRightInd w:val="0"/>
        <w:spacing w:after="0"/>
        <w:jc w:val="both"/>
        <w:rPr>
          <w:rFonts w:ascii="Times New Roman" w:hAnsi="Times New Roman" w:cs="Times New Roman"/>
          <w:sz w:val="24"/>
          <w:szCs w:val="24"/>
        </w:rPr>
      </w:pPr>
      <w:r w:rsidRPr="00536EC9">
        <w:rPr>
          <w:rFonts w:ascii="Times New Roman" w:hAnsi="Times New Roman" w:cs="Times New Roman"/>
          <w:sz w:val="24"/>
          <w:szCs w:val="24"/>
        </w:rPr>
        <w:t xml:space="preserve">Zákon č. </w:t>
      </w:r>
      <w:hyperlink r:id="rId19" w:tooltip="Odkaz na predpis alebo ustanovenie" w:history="1">
        <w:r w:rsidRPr="00536EC9">
          <w:rPr>
            <w:rFonts w:ascii="Times New Roman" w:hAnsi="Times New Roman" w:cs="Times New Roman"/>
            <w:bCs/>
            <w:sz w:val="24"/>
            <w:szCs w:val="24"/>
          </w:rPr>
          <w:t>43/2004 Z. z.</w:t>
        </w:r>
      </w:hyperlink>
      <w:r w:rsidRPr="00536EC9">
        <w:rPr>
          <w:rFonts w:ascii="Times New Roman" w:hAnsi="Times New Roman" w:cs="Times New Roman"/>
          <w:sz w:val="24"/>
          <w:szCs w:val="24"/>
        </w:rPr>
        <w:t xml:space="preserve"> o starobnom dôchodkovom sporení a o zmene a doplnení niektorých zákonov v znení zákona č. 186/2004 Z. z., zákona č. 439/2004 Z. z., zákona č. 721/2004 Z. z., zákona č. 747/2004 Z. z., zákona č. 310/2006 Z. z., zákona č. 644/2006 Z. z., zákona č. 677/2006 Z. z., zákona č. 519/2007 Z. z., zákona č. 555/2007 Z. z., zákona č. 659/2007 Z. z., zákona č. 62/2008 Z. z., zákona č. 434/2008 Z. z., zákona č. 449/2008 Z. z., zákona č. 137/2009 Z. z., zákona č. 572/2009 Z. z., zákona č. 105/2010 Z. z., nálezu Ústavného súdu Slovenskej republiky č. 355/2010 Z. z., zákona č. 543/2010 Z. z., zákona č. 334/2011 Z. z., zákona č. 546/2011 Z. z., zákona č. 547/2011 Z. z., zákona č. 252/2012 Z. z., zákona č. 413/2012 Z. z., zákona č. 132/2013 Z. z., zákona č. 352/2013 Z. z., zákona č. 183/2014 Z. z., zákona č. 301/2014 Z. z., zákona č. 25/2015 Z. z., zákona č. 140/2015 Z. z., zákona č. 91/2016 Z. z. a zákona č. 125/2016 Z. z. sa mení takto:</w:t>
      </w:r>
    </w:p>
    <w:p w:rsidR="00536EC9" w:rsidRPr="00536EC9" w:rsidP="00536EC9">
      <w:pPr>
        <w:autoSpaceDE w:val="0"/>
        <w:autoSpaceDN w:val="0"/>
        <w:bidi w:val="0"/>
        <w:adjustRightInd w:val="0"/>
        <w:spacing w:after="0"/>
        <w:jc w:val="both"/>
        <w:rPr>
          <w:rFonts w:ascii="Times New Roman" w:hAnsi="Times New Roman" w:cs="Times New Roman"/>
          <w:sz w:val="24"/>
          <w:szCs w:val="24"/>
        </w:rPr>
      </w:pPr>
    </w:p>
    <w:p w:rsidR="00536EC9" w:rsidRPr="00536EC9" w:rsidP="00536EC9">
      <w:pPr>
        <w:pStyle w:val="ListParagraph"/>
        <w:numPr>
          <w:numId w:val="21"/>
        </w:numPr>
        <w:autoSpaceDE w:val="0"/>
        <w:autoSpaceDN w:val="0"/>
        <w:bidi w:val="0"/>
        <w:adjustRightInd w:val="0"/>
        <w:spacing w:after="0" w:line="240" w:lineRule="auto"/>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V § 117 sa vypúšťa odsek 2.</w:t>
      </w:r>
    </w:p>
    <w:p w:rsidR="00536EC9" w:rsidRPr="00536EC9" w:rsidP="00536EC9">
      <w:pPr>
        <w:autoSpaceDE w:val="0"/>
        <w:autoSpaceDN w:val="0"/>
        <w:bidi w:val="0"/>
        <w:adjustRightInd w:val="0"/>
        <w:spacing w:after="0"/>
        <w:jc w:val="both"/>
        <w:rPr>
          <w:rFonts w:ascii="Times New Roman" w:hAnsi="Times New Roman" w:cs="Times New Roman"/>
          <w:color w:val="000000"/>
          <w:sz w:val="24"/>
          <w:szCs w:val="24"/>
        </w:rPr>
      </w:pPr>
    </w:p>
    <w:p w:rsidR="00536EC9" w:rsidRPr="00536EC9" w:rsidP="00536EC9">
      <w:pPr>
        <w:autoSpaceDE w:val="0"/>
        <w:autoSpaceDN w:val="0"/>
        <w:bidi w:val="0"/>
        <w:adjustRightInd w:val="0"/>
        <w:spacing w:after="0"/>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Doterajšie odseky 3 až 9 sa označujú ako odseky 2 až 8.</w:t>
      </w:r>
    </w:p>
    <w:p w:rsidR="00536EC9" w:rsidRPr="00536EC9" w:rsidP="00536EC9">
      <w:pPr>
        <w:autoSpaceDE w:val="0"/>
        <w:autoSpaceDN w:val="0"/>
        <w:bidi w:val="0"/>
        <w:adjustRightInd w:val="0"/>
        <w:spacing w:after="0"/>
        <w:jc w:val="both"/>
        <w:rPr>
          <w:rFonts w:ascii="Times New Roman" w:hAnsi="Times New Roman" w:cs="Times New Roman"/>
          <w:color w:val="000000"/>
          <w:sz w:val="24"/>
          <w:szCs w:val="24"/>
        </w:rPr>
      </w:pPr>
    </w:p>
    <w:p w:rsidR="00536EC9" w:rsidRPr="00536EC9" w:rsidP="00536EC9">
      <w:pPr>
        <w:pStyle w:val="ListParagraph"/>
        <w:numPr>
          <w:numId w:val="21"/>
        </w:numPr>
        <w:autoSpaceDE w:val="0"/>
        <w:autoSpaceDN w:val="0"/>
        <w:bidi w:val="0"/>
        <w:adjustRightInd w:val="0"/>
        <w:spacing w:after="0" w:line="240" w:lineRule="auto"/>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V § 117 odsek 2 znie:</w:t>
      </w:r>
    </w:p>
    <w:p w:rsidR="00536EC9" w:rsidRPr="00536EC9" w:rsidP="00536EC9">
      <w:pPr>
        <w:bidi w:val="0"/>
        <w:spacing w:after="0"/>
        <w:jc w:val="both"/>
        <w:rPr>
          <w:rFonts w:ascii="Times New Roman" w:hAnsi="Times New Roman" w:cs="Times New Roman"/>
          <w:sz w:val="24"/>
          <w:szCs w:val="24"/>
        </w:rPr>
      </w:pPr>
      <w:r w:rsidRPr="00536EC9">
        <w:rPr>
          <w:rFonts w:ascii="Times New Roman" w:hAnsi="Times New Roman" w:cs="Times New Roman"/>
          <w:bCs/>
          <w:color w:val="000000"/>
          <w:sz w:val="24"/>
          <w:szCs w:val="24"/>
        </w:rPr>
        <w:t>„(2) Dôchodková správcovská spoločnosť</w:t>
      </w:r>
      <w:r w:rsidRPr="00536EC9">
        <w:rPr>
          <w:rFonts w:ascii="Times New Roman" w:hAnsi="Times New Roman" w:cs="Times New Roman"/>
          <w:sz w:val="24"/>
          <w:szCs w:val="24"/>
        </w:rPr>
        <w:t xml:space="preserve"> je povinná predložiť Národnej banke Slovenska výpis z jej registra emitenta a z jej zoznamu akcionárov vyhotovený k rozhodujúcemu dňu,</w:t>
      </w:r>
      <w:r w:rsidRPr="00536EC9">
        <w:rPr>
          <w:rFonts w:ascii="Times New Roman" w:hAnsi="Times New Roman" w:cs="Times New Roman"/>
          <w:sz w:val="24"/>
          <w:szCs w:val="24"/>
          <w:vertAlign w:val="superscript"/>
        </w:rPr>
        <w:t>97</w:t>
      </w:r>
      <w:r w:rsidRPr="00536EC9">
        <w:rPr>
          <w:rFonts w:ascii="Times New Roman" w:hAnsi="Times New Roman" w:cs="Times New Roman"/>
          <w:sz w:val="24"/>
          <w:szCs w:val="24"/>
        </w:rPr>
        <w:t>) ktorý je určený najmenej päť pracovných dní pred dňom konania valného zhromaždenia. Tento výpis je dôchodková správcovská spoločnosť povinná doručiť Národnej banke Slovenska v deň jeho vyhotovenia. Národná banka Slovenska bezodkladne na tomto výpise písomne označí osobu, ktorej pozastavila výkon práv uvedených v odseku 1, a doručí ho dôchodkovej správcovskej spoločnosti najneskôr v deň predchádzajúci konaniu valného zhromaždenia dôchodkovej správcovskej spoločnosti.“.</w:t>
      </w:r>
    </w:p>
    <w:p w:rsidR="00536EC9" w:rsidRPr="00536EC9" w:rsidP="00536EC9">
      <w:pPr>
        <w:bidi w:val="0"/>
        <w:spacing w:after="0"/>
        <w:jc w:val="both"/>
        <w:rPr>
          <w:rFonts w:ascii="Times New Roman" w:hAnsi="Times New Roman" w:cs="Times New Roman"/>
          <w:sz w:val="24"/>
          <w:szCs w:val="24"/>
        </w:rPr>
      </w:pPr>
    </w:p>
    <w:p w:rsidR="00536EC9" w:rsidRPr="00536EC9" w:rsidP="00536EC9">
      <w:pPr>
        <w:bidi w:val="0"/>
        <w:spacing w:after="0"/>
        <w:jc w:val="both"/>
        <w:rPr>
          <w:rFonts w:ascii="Times New Roman" w:hAnsi="Times New Roman" w:cs="Times New Roman"/>
          <w:sz w:val="24"/>
          <w:szCs w:val="24"/>
        </w:rPr>
      </w:pPr>
      <w:r w:rsidRPr="00536EC9">
        <w:rPr>
          <w:rFonts w:ascii="Times New Roman" w:hAnsi="Times New Roman" w:cs="Times New Roman"/>
          <w:sz w:val="24"/>
          <w:szCs w:val="24"/>
        </w:rPr>
        <w:t>Poznámka pod čiarou k odkazu 97 znie:</w:t>
      </w:r>
    </w:p>
    <w:p w:rsidR="00536EC9" w:rsidRPr="00536EC9" w:rsidP="00536EC9">
      <w:pPr>
        <w:bidi w:val="0"/>
        <w:spacing w:after="0"/>
        <w:jc w:val="both"/>
        <w:rPr>
          <w:rFonts w:ascii="Times New Roman" w:hAnsi="Times New Roman" w:cs="Times New Roman"/>
          <w:sz w:val="24"/>
          <w:szCs w:val="24"/>
        </w:rPr>
      </w:pPr>
      <w:r w:rsidRPr="00536EC9">
        <w:rPr>
          <w:rFonts w:ascii="Times New Roman" w:hAnsi="Times New Roman" w:cs="Times New Roman"/>
          <w:sz w:val="24"/>
          <w:szCs w:val="24"/>
        </w:rPr>
        <w:t>„</w:t>
      </w:r>
      <w:r w:rsidRPr="00536EC9">
        <w:rPr>
          <w:rFonts w:ascii="Times New Roman" w:hAnsi="Times New Roman" w:cs="Times New Roman"/>
          <w:sz w:val="24"/>
          <w:szCs w:val="24"/>
          <w:vertAlign w:val="superscript"/>
        </w:rPr>
        <w:t>97</w:t>
      </w:r>
      <w:r w:rsidRPr="00536EC9">
        <w:rPr>
          <w:rFonts w:ascii="Times New Roman" w:hAnsi="Times New Roman" w:cs="Times New Roman"/>
          <w:sz w:val="24"/>
          <w:szCs w:val="24"/>
        </w:rPr>
        <w:t>) § 156a Obchodného zákonníka v znení neskorších predpisov.“.</w:t>
      </w:r>
    </w:p>
    <w:p w:rsidR="00536EC9" w:rsidRPr="00536EC9" w:rsidP="00536EC9">
      <w:pPr>
        <w:bidi w:val="0"/>
        <w:spacing w:after="0"/>
        <w:jc w:val="both"/>
        <w:rPr>
          <w:rFonts w:ascii="Times New Roman" w:hAnsi="Times New Roman" w:cs="Times New Roman"/>
          <w:sz w:val="24"/>
          <w:szCs w:val="24"/>
        </w:rPr>
      </w:pPr>
    </w:p>
    <w:p w:rsidR="00536EC9" w:rsidRPr="00536EC9" w:rsidP="00536EC9">
      <w:pPr>
        <w:pStyle w:val="ListParagraph"/>
        <w:numPr>
          <w:numId w:val="21"/>
        </w:numPr>
        <w:bidi w:val="0"/>
        <w:spacing w:after="0" w:line="240" w:lineRule="auto"/>
        <w:contextualSpacing/>
        <w:jc w:val="both"/>
        <w:rPr>
          <w:rFonts w:ascii="Times New Roman" w:hAnsi="Times New Roman" w:cs="Times New Roman"/>
          <w:sz w:val="24"/>
          <w:szCs w:val="24"/>
        </w:rPr>
      </w:pPr>
      <w:r w:rsidRPr="00536EC9">
        <w:rPr>
          <w:rFonts w:ascii="Times New Roman" w:hAnsi="Times New Roman" w:cs="Times New Roman"/>
          <w:sz w:val="24"/>
          <w:szCs w:val="24"/>
        </w:rPr>
        <w:t>V § 117 ods. 3 a 6 sa slová „odseku 3“ nahrádzajú slovami „odseku 2“.</w:t>
      </w:r>
    </w:p>
    <w:p w:rsidR="00536EC9" w:rsidRPr="00536EC9" w:rsidP="00536EC9">
      <w:pPr>
        <w:bidi w:val="0"/>
        <w:spacing w:after="0"/>
        <w:jc w:val="both"/>
        <w:rPr>
          <w:rFonts w:ascii="Times New Roman" w:hAnsi="Times New Roman" w:cs="Times New Roman"/>
          <w:sz w:val="24"/>
          <w:szCs w:val="24"/>
        </w:rPr>
      </w:pPr>
    </w:p>
    <w:p w:rsidR="00536EC9" w:rsidRPr="00536EC9" w:rsidP="00536EC9">
      <w:pPr>
        <w:pStyle w:val="ListParagraph"/>
        <w:numPr>
          <w:numId w:val="21"/>
        </w:numPr>
        <w:bidi w:val="0"/>
        <w:spacing w:after="0" w:line="240" w:lineRule="auto"/>
        <w:contextualSpacing/>
        <w:jc w:val="both"/>
        <w:rPr>
          <w:rFonts w:ascii="Times New Roman" w:hAnsi="Times New Roman" w:cs="Times New Roman"/>
          <w:sz w:val="24"/>
          <w:szCs w:val="24"/>
        </w:rPr>
      </w:pPr>
      <w:r w:rsidRPr="00536EC9">
        <w:rPr>
          <w:rFonts w:ascii="Times New Roman" w:hAnsi="Times New Roman" w:cs="Times New Roman"/>
          <w:sz w:val="24"/>
          <w:szCs w:val="24"/>
        </w:rPr>
        <w:t>V § 117 ods. 5 sa slová „odseku 3 alebo odseku 4“ nahrádzajú slovami „odseku 2 alebo odseku 3“.</w:t>
      </w:r>
    </w:p>
    <w:p w:rsidR="00536EC9" w:rsidRPr="00536EC9" w:rsidP="00536EC9">
      <w:pPr>
        <w:autoSpaceDE w:val="0"/>
        <w:autoSpaceDN w:val="0"/>
        <w:bidi w:val="0"/>
        <w:adjustRightInd w:val="0"/>
        <w:spacing w:after="0"/>
        <w:jc w:val="both"/>
        <w:rPr>
          <w:rFonts w:ascii="Times New Roman" w:hAnsi="Times New Roman" w:cs="Times New Roman"/>
          <w:color w:val="000000"/>
          <w:sz w:val="24"/>
          <w:szCs w:val="24"/>
        </w:rPr>
      </w:pPr>
    </w:p>
    <w:p w:rsidR="00536EC9" w:rsidRPr="00536EC9" w:rsidP="00536EC9">
      <w:pPr>
        <w:bidi w:val="0"/>
        <w:spacing w:after="0"/>
        <w:ind w:left="426" w:hanging="426"/>
        <w:jc w:val="center"/>
        <w:rPr>
          <w:rFonts w:ascii="Times New Roman" w:hAnsi="Times New Roman" w:cs="Times New Roman"/>
          <w:b/>
          <w:bCs/>
          <w:color w:val="000000"/>
          <w:sz w:val="24"/>
          <w:szCs w:val="24"/>
        </w:rPr>
      </w:pPr>
      <w:r w:rsidRPr="00536EC9">
        <w:rPr>
          <w:rFonts w:ascii="Times New Roman" w:hAnsi="Times New Roman" w:cs="Times New Roman"/>
          <w:b/>
          <w:bCs/>
          <w:color w:val="000000"/>
          <w:sz w:val="24"/>
          <w:szCs w:val="24"/>
        </w:rPr>
        <w:t>Čl. V</w:t>
      </w:r>
    </w:p>
    <w:p w:rsidR="00536EC9" w:rsidRPr="00536EC9" w:rsidP="00536EC9">
      <w:pPr>
        <w:bidi w:val="0"/>
        <w:spacing w:after="0"/>
        <w:ind w:left="426" w:hanging="426"/>
        <w:jc w:val="center"/>
        <w:rPr>
          <w:rFonts w:ascii="Times New Roman" w:hAnsi="Times New Roman" w:cs="Times New Roman"/>
          <w:bCs/>
          <w:color w:val="000000"/>
          <w:sz w:val="24"/>
          <w:szCs w:val="24"/>
        </w:rPr>
      </w:pPr>
    </w:p>
    <w:p w:rsidR="00536EC9" w:rsidRPr="00536EC9" w:rsidP="00536EC9">
      <w:pPr>
        <w:bidi w:val="0"/>
        <w:spacing w:after="0"/>
        <w:jc w:val="both"/>
        <w:rPr>
          <w:rFonts w:ascii="Times New Roman" w:hAnsi="Times New Roman" w:cs="Times New Roman"/>
          <w:sz w:val="24"/>
          <w:szCs w:val="24"/>
        </w:rPr>
      </w:pPr>
      <w:r w:rsidRPr="00536EC9">
        <w:rPr>
          <w:rFonts w:ascii="Times New Roman" w:hAnsi="Times New Roman" w:cs="Times New Roman"/>
          <w:sz w:val="24"/>
          <w:szCs w:val="24"/>
        </w:rPr>
        <w:t xml:space="preserve">Zákon č. </w:t>
      </w:r>
      <w:hyperlink r:id="rId20" w:tooltip="Odkaz na predpis alebo ustanovenie" w:history="1">
        <w:r w:rsidRPr="00536EC9">
          <w:rPr>
            <w:rFonts w:ascii="Times New Roman" w:hAnsi="Times New Roman" w:cs="Times New Roman"/>
            <w:bCs/>
            <w:sz w:val="24"/>
            <w:szCs w:val="24"/>
          </w:rPr>
          <w:t>650/2004 Z. z.</w:t>
        </w:r>
      </w:hyperlink>
      <w:r w:rsidRPr="00536EC9">
        <w:rPr>
          <w:rFonts w:ascii="Times New Roman" w:hAnsi="Times New Roman" w:cs="Times New Roman"/>
          <w:sz w:val="24"/>
          <w:szCs w:val="24"/>
        </w:rPr>
        <w:t xml:space="preserve"> o doplnkovom dôchodkovom sporení a o zmene a doplnení niektorých zákonov v znení zákona č. 747/2004 Z. z., zákona č. 584/2005 Z. z., zákona č. 310/2006 Z. z., zákona č. 209/2007 Z. z., zákona č. 555/2007 Z. z., zákona č. 659/2007 Z. z., zákona č. 449/2008 Z. z., zákona č. 186/2009 Z. z., zákona č. 557/2009 Z. z., zákona č. 520/2011 Z. z., zákona č. 318/2013 Z. z., zákona č. 352/2013 Z. z., zákona č. 301/2014 Z. z., zákona č. 375/2015 Z. z., zákona č. 91/2016 Z. z. a zákona č. 125/2016 Z. z. sa mení takto:</w:t>
      </w:r>
    </w:p>
    <w:p w:rsidR="00536EC9" w:rsidRPr="00536EC9" w:rsidP="00536EC9">
      <w:pPr>
        <w:bidi w:val="0"/>
        <w:spacing w:after="0"/>
        <w:jc w:val="both"/>
        <w:rPr>
          <w:rFonts w:ascii="Times New Roman" w:hAnsi="Times New Roman" w:cs="Times New Roman"/>
          <w:sz w:val="24"/>
          <w:szCs w:val="24"/>
        </w:rPr>
      </w:pPr>
    </w:p>
    <w:p w:rsidR="00536EC9" w:rsidRPr="00536EC9" w:rsidP="00536EC9">
      <w:pPr>
        <w:pStyle w:val="ListParagraph"/>
        <w:numPr>
          <w:numId w:val="22"/>
        </w:numPr>
        <w:bidi w:val="0"/>
        <w:spacing w:after="0" w:line="240" w:lineRule="auto"/>
        <w:contextualSpacing/>
        <w:jc w:val="both"/>
        <w:rPr>
          <w:rFonts w:ascii="Times New Roman" w:hAnsi="Times New Roman" w:cs="Times New Roman"/>
          <w:sz w:val="24"/>
          <w:szCs w:val="24"/>
        </w:rPr>
      </w:pPr>
      <w:r w:rsidRPr="00536EC9">
        <w:rPr>
          <w:rFonts w:ascii="Times New Roman" w:hAnsi="Times New Roman" w:cs="Times New Roman"/>
          <w:sz w:val="24"/>
          <w:szCs w:val="24"/>
        </w:rPr>
        <w:t>V § 73 sa vypúšťa odsek 2.</w:t>
      </w:r>
    </w:p>
    <w:p w:rsidR="00536EC9" w:rsidRPr="00536EC9" w:rsidP="00536EC9">
      <w:pPr>
        <w:bidi w:val="0"/>
        <w:spacing w:after="0"/>
        <w:jc w:val="both"/>
        <w:rPr>
          <w:rFonts w:ascii="Times New Roman" w:hAnsi="Times New Roman" w:cs="Times New Roman"/>
          <w:sz w:val="24"/>
          <w:szCs w:val="24"/>
        </w:rPr>
      </w:pPr>
    </w:p>
    <w:p w:rsidR="00536EC9" w:rsidRPr="00536EC9" w:rsidP="00536EC9">
      <w:pPr>
        <w:bidi w:val="0"/>
        <w:spacing w:after="0"/>
        <w:jc w:val="both"/>
        <w:rPr>
          <w:rFonts w:ascii="Times New Roman" w:hAnsi="Times New Roman" w:cs="Times New Roman"/>
          <w:sz w:val="24"/>
          <w:szCs w:val="24"/>
        </w:rPr>
      </w:pPr>
      <w:r w:rsidRPr="00536EC9">
        <w:rPr>
          <w:rFonts w:ascii="Times New Roman" w:hAnsi="Times New Roman" w:cs="Times New Roman"/>
          <w:sz w:val="24"/>
          <w:szCs w:val="24"/>
        </w:rPr>
        <w:t>Doterajšie odseky 3 až 9 sa označujú ako odseky 2 až 8.</w:t>
      </w:r>
    </w:p>
    <w:p w:rsidR="00536EC9" w:rsidRPr="00536EC9" w:rsidP="00536EC9">
      <w:pPr>
        <w:bidi w:val="0"/>
        <w:spacing w:after="0"/>
        <w:jc w:val="both"/>
        <w:rPr>
          <w:rFonts w:ascii="Times New Roman" w:hAnsi="Times New Roman" w:cs="Times New Roman"/>
          <w:sz w:val="24"/>
          <w:szCs w:val="24"/>
        </w:rPr>
      </w:pPr>
    </w:p>
    <w:p w:rsidR="00536EC9" w:rsidRPr="00536EC9" w:rsidP="00536EC9">
      <w:pPr>
        <w:bidi w:val="0"/>
        <w:spacing w:after="0"/>
        <w:jc w:val="both"/>
        <w:rPr>
          <w:rFonts w:ascii="Times New Roman" w:hAnsi="Times New Roman" w:cs="Times New Roman"/>
          <w:sz w:val="24"/>
          <w:szCs w:val="24"/>
        </w:rPr>
      </w:pPr>
      <w:r w:rsidRPr="00536EC9">
        <w:rPr>
          <w:rFonts w:ascii="Times New Roman" w:hAnsi="Times New Roman" w:cs="Times New Roman"/>
          <w:sz w:val="24"/>
          <w:szCs w:val="24"/>
        </w:rPr>
        <w:t>Poznámka pod čiarou k odkazu 48 sa vypúšťa.</w:t>
      </w:r>
    </w:p>
    <w:p w:rsidR="00536EC9" w:rsidRPr="00536EC9" w:rsidP="00536EC9">
      <w:pPr>
        <w:bidi w:val="0"/>
        <w:spacing w:after="0"/>
        <w:jc w:val="both"/>
        <w:rPr>
          <w:rFonts w:ascii="Times New Roman" w:hAnsi="Times New Roman" w:cs="Times New Roman"/>
          <w:sz w:val="24"/>
          <w:szCs w:val="24"/>
        </w:rPr>
      </w:pPr>
    </w:p>
    <w:p w:rsidR="00536EC9" w:rsidRPr="00536EC9" w:rsidP="00536EC9">
      <w:pPr>
        <w:pStyle w:val="ListParagraph"/>
        <w:numPr>
          <w:numId w:val="22"/>
        </w:numPr>
        <w:bidi w:val="0"/>
        <w:spacing w:after="0" w:line="240" w:lineRule="auto"/>
        <w:contextualSpacing/>
        <w:jc w:val="both"/>
        <w:rPr>
          <w:rFonts w:ascii="Times New Roman" w:hAnsi="Times New Roman" w:cs="Times New Roman"/>
          <w:sz w:val="24"/>
          <w:szCs w:val="24"/>
        </w:rPr>
      </w:pPr>
      <w:r w:rsidRPr="00536EC9">
        <w:rPr>
          <w:rFonts w:ascii="Times New Roman" w:hAnsi="Times New Roman" w:cs="Times New Roman"/>
          <w:sz w:val="24"/>
          <w:szCs w:val="24"/>
        </w:rPr>
        <w:t>V § 73 odsek 2 znie:</w:t>
      </w:r>
    </w:p>
    <w:p w:rsidR="00536EC9" w:rsidRPr="00536EC9" w:rsidP="00536EC9">
      <w:pPr>
        <w:bidi w:val="0"/>
        <w:spacing w:after="0"/>
        <w:jc w:val="both"/>
        <w:rPr>
          <w:rFonts w:ascii="Times New Roman" w:hAnsi="Times New Roman" w:cs="Times New Roman"/>
          <w:sz w:val="24"/>
          <w:szCs w:val="24"/>
        </w:rPr>
      </w:pPr>
      <w:r w:rsidRPr="00536EC9">
        <w:rPr>
          <w:rFonts w:ascii="Times New Roman" w:hAnsi="Times New Roman" w:cs="Times New Roman"/>
          <w:bCs/>
          <w:color w:val="000000"/>
          <w:sz w:val="24"/>
          <w:szCs w:val="24"/>
        </w:rPr>
        <w:t>„(2) Doplnková dôchodková spoločnosť</w:t>
      </w:r>
      <w:r w:rsidRPr="00536EC9">
        <w:rPr>
          <w:rFonts w:ascii="Times New Roman" w:hAnsi="Times New Roman" w:cs="Times New Roman"/>
          <w:sz w:val="24"/>
          <w:szCs w:val="24"/>
        </w:rPr>
        <w:t xml:space="preserve"> je povinná predložiť Národnej banke Slovenska výpis z jej registra emitenta a z jej zoznamu akcionárov vyhotovený k rozhodujúcemu dňu, ktorý je určený najmenej päť pracovných dní pred dňom konania valného zhromaždenia. Tento výpis je doplnková dôchodková spoločnosť povinná doručiť Národnej banke Slovenska v deň jeho vyhotovenia. Národná banka Slovenska bezodkladne na tomto výpise písomne označí osobu, ktorej pozastavila výkon práv uvedených v odseku 1, a doručí ho doplnkovej dôchodkovej spoločnosti najneskôr v deň predchádzajúci konaniu valného zhromaždenia doplnkovej dôchodkovej spoločnosti.“.</w:t>
      </w:r>
    </w:p>
    <w:p w:rsidR="00536EC9" w:rsidRPr="00536EC9" w:rsidP="00536EC9">
      <w:pPr>
        <w:bidi w:val="0"/>
        <w:spacing w:after="0"/>
        <w:jc w:val="both"/>
        <w:rPr>
          <w:rFonts w:ascii="Times New Roman" w:hAnsi="Times New Roman" w:cs="Times New Roman"/>
          <w:sz w:val="24"/>
          <w:szCs w:val="24"/>
        </w:rPr>
      </w:pPr>
    </w:p>
    <w:p w:rsidR="00536EC9" w:rsidRPr="00536EC9" w:rsidP="00536EC9">
      <w:pPr>
        <w:pStyle w:val="ListParagraph"/>
        <w:numPr>
          <w:numId w:val="22"/>
        </w:numPr>
        <w:bidi w:val="0"/>
        <w:spacing w:after="0" w:line="240" w:lineRule="auto"/>
        <w:contextualSpacing/>
        <w:jc w:val="both"/>
        <w:rPr>
          <w:rFonts w:ascii="Times New Roman" w:hAnsi="Times New Roman" w:cs="Times New Roman"/>
          <w:bCs/>
          <w:color w:val="000000"/>
          <w:sz w:val="24"/>
          <w:szCs w:val="24"/>
        </w:rPr>
      </w:pPr>
      <w:r w:rsidRPr="00536EC9">
        <w:rPr>
          <w:rFonts w:ascii="Times New Roman" w:hAnsi="Times New Roman" w:cs="Times New Roman"/>
          <w:bCs/>
          <w:color w:val="000000"/>
          <w:sz w:val="24"/>
          <w:szCs w:val="24"/>
        </w:rPr>
        <w:t>V § 73 ods. 3 a 6 sa slová „odseku 3“ nahrádzajú slovami „odseku 2“.</w:t>
      </w:r>
    </w:p>
    <w:p w:rsidR="00536EC9" w:rsidRPr="00536EC9" w:rsidP="00536EC9">
      <w:pPr>
        <w:bidi w:val="0"/>
        <w:spacing w:after="0"/>
        <w:jc w:val="both"/>
        <w:rPr>
          <w:rFonts w:ascii="Times New Roman" w:hAnsi="Times New Roman" w:cs="Times New Roman"/>
          <w:bCs/>
          <w:color w:val="000000"/>
          <w:sz w:val="24"/>
          <w:szCs w:val="24"/>
        </w:rPr>
      </w:pPr>
    </w:p>
    <w:p w:rsidR="00536EC9" w:rsidRPr="00536EC9" w:rsidP="00536EC9">
      <w:pPr>
        <w:pStyle w:val="ListParagraph"/>
        <w:numPr>
          <w:numId w:val="22"/>
        </w:numPr>
        <w:bidi w:val="0"/>
        <w:spacing w:after="0" w:line="240" w:lineRule="auto"/>
        <w:contextualSpacing/>
        <w:jc w:val="both"/>
        <w:rPr>
          <w:rFonts w:ascii="Times New Roman" w:hAnsi="Times New Roman" w:cs="Times New Roman"/>
          <w:bCs/>
          <w:color w:val="000000"/>
          <w:sz w:val="24"/>
          <w:szCs w:val="24"/>
        </w:rPr>
      </w:pPr>
      <w:r w:rsidRPr="00536EC9">
        <w:rPr>
          <w:rFonts w:ascii="Times New Roman" w:hAnsi="Times New Roman" w:cs="Times New Roman"/>
          <w:bCs/>
          <w:color w:val="000000"/>
          <w:sz w:val="24"/>
          <w:szCs w:val="24"/>
        </w:rPr>
        <w:t>V § 73 ods. 5 sa slová „odseku 3 alebo 4“ nahrádzajú slovami „odseku 2 alebo odseku 3“.</w:t>
      </w:r>
    </w:p>
    <w:p w:rsidR="00536EC9" w:rsidRPr="00536EC9" w:rsidP="00536EC9">
      <w:pPr>
        <w:pStyle w:val="ListParagraph"/>
        <w:bidi w:val="0"/>
        <w:spacing w:after="0"/>
        <w:rPr>
          <w:rFonts w:ascii="Times New Roman" w:hAnsi="Times New Roman" w:cs="Times New Roman"/>
          <w:bCs/>
          <w:color w:val="000000"/>
          <w:sz w:val="24"/>
          <w:szCs w:val="24"/>
        </w:rPr>
      </w:pPr>
    </w:p>
    <w:p w:rsidR="00536EC9" w:rsidRPr="00536EC9" w:rsidP="00536EC9">
      <w:pPr>
        <w:bidi w:val="0"/>
        <w:spacing w:after="0"/>
        <w:ind w:left="426" w:hanging="426"/>
        <w:jc w:val="center"/>
        <w:rPr>
          <w:rFonts w:ascii="Times New Roman" w:hAnsi="Times New Roman" w:cs="Times New Roman"/>
          <w:b/>
          <w:bCs/>
          <w:color w:val="000000"/>
          <w:sz w:val="24"/>
          <w:szCs w:val="24"/>
        </w:rPr>
      </w:pPr>
      <w:r w:rsidRPr="00536EC9">
        <w:rPr>
          <w:rFonts w:ascii="Times New Roman" w:hAnsi="Times New Roman" w:cs="Times New Roman"/>
          <w:b/>
          <w:bCs/>
          <w:color w:val="000000"/>
          <w:sz w:val="24"/>
          <w:szCs w:val="24"/>
        </w:rPr>
        <w:t>Čl. VI</w:t>
      </w:r>
    </w:p>
    <w:p w:rsidR="00536EC9" w:rsidRPr="00536EC9" w:rsidP="00536EC9">
      <w:pPr>
        <w:bidi w:val="0"/>
        <w:spacing w:after="0"/>
        <w:jc w:val="both"/>
        <w:rPr>
          <w:rFonts w:ascii="Times New Roman" w:hAnsi="Times New Roman" w:cs="Times New Roman"/>
          <w:bCs/>
          <w:color w:val="000000"/>
          <w:sz w:val="24"/>
          <w:szCs w:val="24"/>
        </w:rPr>
      </w:pPr>
    </w:p>
    <w:p w:rsidR="00536EC9" w:rsidRPr="00536EC9" w:rsidP="00536EC9">
      <w:pPr>
        <w:autoSpaceDE w:val="0"/>
        <w:autoSpaceDN w:val="0"/>
        <w:bidi w:val="0"/>
        <w:adjustRightInd w:val="0"/>
        <w:spacing w:after="0"/>
        <w:jc w:val="both"/>
        <w:rPr>
          <w:rFonts w:ascii="Times New Roman" w:hAnsi="Times New Roman" w:cs="Times New Roman"/>
          <w:color w:val="000000"/>
          <w:sz w:val="24"/>
          <w:szCs w:val="24"/>
        </w:rPr>
      </w:pPr>
      <w:r w:rsidRPr="00536EC9">
        <w:rPr>
          <w:rFonts w:ascii="Times New Roman" w:hAnsi="Times New Roman" w:cs="Times New Roman"/>
          <w:bCs/>
          <w:color w:val="000000"/>
          <w:sz w:val="24"/>
          <w:szCs w:val="24"/>
        </w:rPr>
        <w:t xml:space="preserve">Zákon č. 747/2004 Z. z. </w:t>
      </w:r>
      <w:r w:rsidRPr="00536EC9">
        <w:rPr>
          <w:rFonts w:ascii="Times New Roman" w:hAnsi="Times New Roman" w:cs="Times New Roman"/>
          <w:color w:val="000000"/>
          <w:sz w:val="24"/>
          <w:szCs w:val="24"/>
        </w:rPr>
        <w:t xml:space="preserve">o dohľade nad finančným trhom a o zmene a doplnení niektorých zákonov v znení zákona č. 340/2005 Z. z., zákona č. 519/2005 Z. z., zákona č. 214/2006 Z. z., zákona č. 644/2006 Z. z., zákona č. 659/2007 Z. z., zákona č. 552/2008 Z. z., zákona č. 186/2009 Z. z.,  zákona č. 276/2009 Z. z., zákona  č. 492/2009 Z. z.  </w:t>
      </w:r>
      <w:r w:rsidRPr="00536EC9">
        <w:rPr>
          <w:rFonts w:ascii="Times New Roman" w:hAnsi="Times New Roman" w:cs="Times New Roman"/>
          <w:bCs/>
          <w:sz w:val="24"/>
          <w:szCs w:val="24"/>
        </w:rPr>
        <w:t xml:space="preserve">zákona č. 129/2010 Z. z., zákona č. 394/2011 Z. z., zákona č. 547/2011 Z. z., zákona č. 132/2013 Z. z., zákona č. 352/2013 Z. z., zákona č. 213/2014 Z. z., zákona č. 373/2014 Z. z., zákona č. 374/2014 Z. z. a zákona č. 90/2016 Z. z. </w:t>
      </w:r>
      <w:r w:rsidRPr="00536EC9">
        <w:rPr>
          <w:rFonts w:ascii="Times New Roman" w:hAnsi="Times New Roman" w:cs="Times New Roman"/>
          <w:color w:val="000000"/>
          <w:sz w:val="24"/>
          <w:szCs w:val="24"/>
        </w:rPr>
        <w:t>sa mení a dopĺňa takto:</w:t>
      </w:r>
    </w:p>
    <w:p w:rsidR="00536EC9" w:rsidRPr="00536EC9" w:rsidP="00536EC9">
      <w:pPr>
        <w:bidi w:val="0"/>
        <w:spacing w:after="0"/>
        <w:jc w:val="both"/>
        <w:rPr>
          <w:rFonts w:ascii="Times New Roman" w:hAnsi="Times New Roman" w:cs="Times New Roman"/>
          <w:color w:val="000000"/>
          <w:sz w:val="24"/>
          <w:szCs w:val="24"/>
        </w:rPr>
      </w:pPr>
    </w:p>
    <w:p w:rsidR="00536EC9" w:rsidRPr="00536EC9" w:rsidP="00536EC9">
      <w:pPr>
        <w:pStyle w:val="ListParagraph"/>
        <w:numPr>
          <w:numId w:val="7"/>
        </w:numPr>
        <w:bidi w:val="0"/>
        <w:spacing w:after="0" w:line="240" w:lineRule="auto"/>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V poznámke pod čiarou k odkazu 1 sa na konci pripájajú tieto citácie :</w:t>
      </w:r>
    </w:p>
    <w:p w:rsidR="00536EC9" w:rsidRPr="00536EC9" w:rsidP="00536EC9">
      <w:pPr>
        <w:bidi w:val="0"/>
        <w:spacing w:after="0"/>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„nariadenie Európskeho parlamentu a Rady (EÚ) č. 596/2014 zo 16. apríla 2014 o zneužívaní trhu (nariadenie o zneužívaní trhu) a o zrušení smernice Európskeho parlamentu a Rady 2003/6/ES a smerníc Komisie 2003/124/ES, 2003/125/ES a 2004/72/ES (Ú. v. EÚ L 173, 12.6.2014),</w:t>
      </w:r>
    </w:p>
    <w:p w:rsidR="00536EC9" w:rsidRPr="00536EC9" w:rsidP="00536EC9">
      <w:pPr>
        <w:bidi w:val="0"/>
        <w:spacing w:after="0"/>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nariadenie Európskeho parlamentu a Rady (EÚ) č. 1286/2014 z 26. novembra 2014 o dokumentoch s kľúčovými informáciami pre štrukturalizované retailové investičné produkty založené na poistení (PRIIP) (</w:t>
      </w:r>
      <w:r w:rsidRPr="00536EC9">
        <w:rPr>
          <w:rFonts w:ascii="Times New Roman" w:hAnsi="Times New Roman" w:cs="Times New Roman"/>
          <w:iCs/>
          <w:sz w:val="24"/>
          <w:szCs w:val="24"/>
        </w:rPr>
        <w:t>Ú. v. EÚ L 352, 9.12.2014</w:t>
      </w:r>
      <w:r w:rsidRPr="00536EC9">
        <w:rPr>
          <w:rFonts w:ascii="Times New Roman" w:hAnsi="Times New Roman" w:cs="Times New Roman"/>
          <w:color w:val="000000"/>
          <w:sz w:val="24"/>
          <w:szCs w:val="24"/>
        </w:rPr>
        <w:t>).“.</w:t>
      </w:r>
    </w:p>
    <w:p w:rsidR="00536EC9" w:rsidRPr="00536EC9" w:rsidP="00536EC9">
      <w:pPr>
        <w:bidi w:val="0"/>
        <w:spacing w:after="0"/>
        <w:jc w:val="both"/>
        <w:rPr>
          <w:rFonts w:ascii="Times New Roman" w:hAnsi="Times New Roman" w:cs="Times New Roman"/>
          <w:color w:val="000000"/>
          <w:sz w:val="24"/>
          <w:szCs w:val="24"/>
        </w:rPr>
      </w:pPr>
    </w:p>
    <w:p w:rsidR="00536EC9" w:rsidRPr="00536EC9" w:rsidP="00536EC9">
      <w:pPr>
        <w:pStyle w:val="ListParagraph"/>
        <w:numPr>
          <w:numId w:val="7"/>
        </w:numPr>
        <w:bidi w:val="0"/>
        <w:spacing w:after="0" w:line="240" w:lineRule="auto"/>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V § 1 ods. 3 písm. a) sa za slová „podielovými fondmi“ vkladajú slová „investičnými fondmi s premenlivým základným imaním,“.</w:t>
      </w:r>
    </w:p>
    <w:p w:rsidR="00536EC9" w:rsidRPr="00536EC9" w:rsidP="00536EC9">
      <w:pPr>
        <w:bidi w:val="0"/>
        <w:spacing w:after="0"/>
        <w:jc w:val="both"/>
        <w:rPr>
          <w:rFonts w:ascii="Times New Roman" w:hAnsi="Times New Roman" w:cs="Times New Roman"/>
          <w:color w:val="000000"/>
          <w:sz w:val="24"/>
          <w:szCs w:val="24"/>
        </w:rPr>
      </w:pPr>
    </w:p>
    <w:p w:rsidR="00536EC9" w:rsidRPr="00536EC9" w:rsidP="00536EC9">
      <w:pPr>
        <w:pStyle w:val="ListParagraph"/>
        <w:numPr>
          <w:numId w:val="7"/>
        </w:numPr>
        <w:bidi w:val="0"/>
        <w:spacing w:after="0" w:line="240" w:lineRule="auto"/>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V § 25 ods. 2 sa za slovom „opatrenie“ bodkočiarka nahrádza čiarkou a vkladajú sa slová „ak osobitný predpis neustanovuje inak;</w:t>
      </w:r>
      <w:r w:rsidRPr="00536EC9">
        <w:rPr>
          <w:rFonts w:ascii="Times New Roman" w:hAnsi="Times New Roman" w:cs="Times New Roman"/>
          <w:color w:val="000000"/>
          <w:sz w:val="24"/>
          <w:szCs w:val="24"/>
          <w:vertAlign w:val="superscript"/>
        </w:rPr>
        <w:t>36a</w:t>
      </w:r>
      <w:r w:rsidRPr="00536EC9">
        <w:rPr>
          <w:rFonts w:ascii="Times New Roman" w:hAnsi="Times New Roman" w:cs="Times New Roman"/>
          <w:color w:val="000000"/>
          <w:sz w:val="24"/>
          <w:szCs w:val="24"/>
        </w:rPr>
        <w:t>)“.</w:t>
      </w:r>
    </w:p>
    <w:p w:rsidR="00536EC9" w:rsidRPr="00536EC9" w:rsidP="00536EC9">
      <w:pPr>
        <w:bidi w:val="0"/>
        <w:spacing w:after="0"/>
        <w:jc w:val="both"/>
        <w:rPr>
          <w:rFonts w:ascii="Times New Roman" w:hAnsi="Times New Roman" w:cs="Times New Roman"/>
          <w:color w:val="000000"/>
          <w:sz w:val="24"/>
          <w:szCs w:val="24"/>
        </w:rPr>
      </w:pPr>
    </w:p>
    <w:p w:rsidR="00536EC9" w:rsidRPr="00536EC9" w:rsidP="00536EC9">
      <w:pPr>
        <w:bidi w:val="0"/>
        <w:spacing w:after="0"/>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Poznámka pod čiarou k odkazu 36a znie:</w:t>
      </w:r>
    </w:p>
    <w:p w:rsidR="00536EC9" w:rsidRPr="00536EC9" w:rsidP="00536EC9">
      <w:pPr>
        <w:bidi w:val="0"/>
        <w:spacing w:after="0"/>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w:t>
      </w:r>
      <w:r w:rsidRPr="00536EC9">
        <w:rPr>
          <w:rFonts w:ascii="Times New Roman" w:hAnsi="Times New Roman" w:cs="Times New Roman"/>
          <w:color w:val="000000"/>
          <w:sz w:val="24"/>
          <w:szCs w:val="24"/>
          <w:vertAlign w:val="superscript"/>
        </w:rPr>
        <w:t>36a</w:t>
      </w:r>
      <w:r w:rsidRPr="00536EC9">
        <w:rPr>
          <w:rFonts w:ascii="Times New Roman" w:hAnsi="Times New Roman" w:cs="Times New Roman"/>
          <w:color w:val="000000"/>
          <w:sz w:val="24"/>
          <w:szCs w:val="24"/>
        </w:rPr>
        <w:t>) Zákon č. 483/2001 Z. z. v znení neskorších predpisov.</w:t>
      </w:r>
    </w:p>
    <w:p w:rsidR="00536EC9" w:rsidRPr="00536EC9" w:rsidP="00536EC9">
      <w:pPr>
        <w:bidi w:val="0"/>
        <w:spacing w:after="0"/>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Zákon č. 566/2001 Z. z. v znení neskorších predpisov.</w:t>
      </w:r>
    </w:p>
    <w:p w:rsidR="00536EC9" w:rsidRPr="00536EC9" w:rsidP="00536EC9">
      <w:pPr>
        <w:bidi w:val="0"/>
        <w:spacing w:after="0"/>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Zákon č. 429/2002 Z. z. v znení neskorších predpisov.</w:t>
      </w:r>
    </w:p>
    <w:p w:rsidR="00536EC9" w:rsidRPr="00536EC9" w:rsidP="00536EC9">
      <w:pPr>
        <w:bidi w:val="0"/>
        <w:spacing w:after="0"/>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Zákon č. 43/2004 Z. z. v znení neskorších predpisov.</w:t>
      </w:r>
    </w:p>
    <w:p w:rsidR="00536EC9" w:rsidRPr="00536EC9" w:rsidP="00536EC9">
      <w:pPr>
        <w:bidi w:val="0"/>
        <w:spacing w:after="0"/>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Zákon č. 650/2004 Z. z. v znení neskorších predpisov.</w:t>
      </w:r>
    </w:p>
    <w:p w:rsidR="00536EC9" w:rsidRPr="00536EC9" w:rsidP="00536EC9">
      <w:pPr>
        <w:bidi w:val="0"/>
        <w:spacing w:after="0"/>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Zákon č. 203/2011 Z. z v znení neskorších predpisov.</w:t>
      </w:r>
    </w:p>
    <w:p w:rsidR="00536EC9" w:rsidRPr="00536EC9" w:rsidP="00536EC9">
      <w:pPr>
        <w:bidi w:val="0"/>
        <w:spacing w:after="0"/>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Zákon č. 39/2015 Z. z. o poisťovníctve a o zmene a doplnení niektorých zákonov v znení neskorších predpisov.“.</w:t>
      </w:r>
    </w:p>
    <w:p w:rsidR="00536EC9" w:rsidRPr="00536EC9" w:rsidP="00536EC9">
      <w:pPr>
        <w:bidi w:val="0"/>
        <w:spacing w:after="0"/>
        <w:jc w:val="both"/>
        <w:rPr>
          <w:rFonts w:ascii="Times New Roman" w:hAnsi="Times New Roman" w:cs="Times New Roman"/>
          <w:color w:val="000000"/>
          <w:sz w:val="24"/>
          <w:szCs w:val="24"/>
        </w:rPr>
      </w:pPr>
    </w:p>
    <w:p w:rsidR="00536EC9" w:rsidRPr="00536EC9" w:rsidP="00536EC9">
      <w:pPr>
        <w:pStyle w:val="ListParagraph"/>
        <w:numPr>
          <w:numId w:val="7"/>
        </w:numPr>
        <w:bidi w:val="0"/>
        <w:spacing w:after="0" w:line="240" w:lineRule="auto"/>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V § 37 ods. 2 písm. e) sa slová „v podielovom fonde</w:t>
      </w:r>
      <w:r w:rsidRPr="00536EC9">
        <w:rPr>
          <w:rFonts w:ascii="Times New Roman" w:hAnsi="Times New Roman" w:cs="Times New Roman"/>
          <w:color w:val="000000"/>
          <w:sz w:val="24"/>
          <w:szCs w:val="24"/>
          <w:vertAlign w:val="superscript"/>
        </w:rPr>
        <w:t>46</w:t>
      </w:r>
      <w:r w:rsidRPr="00536EC9">
        <w:rPr>
          <w:rFonts w:ascii="Times New Roman" w:hAnsi="Times New Roman" w:cs="Times New Roman"/>
          <w:color w:val="000000"/>
          <w:sz w:val="24"/>
          <w:szCs w:val="24"/>
        </w:rPr>
        <w:t>)“ nahrádzajú slovami „vo fonde</w:t>
      </w:r>
      <w:r w:rsidRPr="00536EC9">
        <w:rPr>
          <w:rFonts w:ascii="Times New Roman" w:hAnsi="Times New Roman" w:cs="Times New Roman"/>
          <w:color w:val="000000"/>
          <w:sz w:val="24"/>
          <w:szCs w:val="24"/>
          <w:vertAlign w:val="superscript"/>
        </w:rPr>
        <w:t>46</w:t>
      </w:r>
      <w:r w:rsidRPr="00536EC9">
        <w:rPr>
          <w:rFonts w:ascii="Times New Roman" w:hAnsi="Times New Roman" w:cs="Times New Roman"/>
          <w:color w:val="000000"/>
          <w:sz w:val="24"/>
          <w:szCs w:val="24"/>
        </w:rPr>
        <w:t>),“.</w:t>
      </w:r>
    </w:p>
    <w:p w:rsidR="00536EC9" w:rsidRPr="00536EC9" w:rsidP="00536EC9">
      <w:pPr>
        <w:bidi w:val="0"/>
        <w:spacing w:after="0"/>
        <w:jc w:val="both"/>
        <w:rPr>
          <w:rFonts w:ascii="Times New Roman" w:hAnsi="Times New Roman" w:cs="Times New Roman"/>
          <w:color w:val="000000"/>
          <w:sz w:val="24"/>
          <w:szCs w:val="24"/>
        </w:rPr>
      </w:pPr>
    </w:p>
    <w:p w:rsidR="00536EC9" w:rsidRPr="00536EC9" w:rsidP="00536EC9">
      <w:pPr>
        <w:numPr>
          <w:numId w:val="7"/>
        </w:numPr>
        <w:tabs>
          <w:tab w:val="left" w:pos="0"/>
        </w:tabs>
        <w:bidi w:val="0"/>
        <w:spacing w:after="0" w:line="240" w:lineRule="auto"/>
        <w:rPr>
          <w:rFonts w:ascii="Times New Roman" w:hAnsi="Times New Roman" w:cs="Times New Roman"/>
          <w:bCs/>
          <w:color w:val="000000"/>
          <w:sz w:val="24"/>
          <w:szCs w:val="24"/>
        </w:rPr>
      </w:pPr>
      <w:r w:rsidRPr="00536EC9">
        <w:rPr>
          <w:rFonts w:ascii="Times New Roman" w:hAnsi="Times New Roman" w:cs="Times New Roman"/>
          <w:bCs/>
          <w:color w:val="000000"/>
          <w:sz w:val="24"/>
          <w:szCs w:val="24"/>
        </w:rPr>
        <w:t>§ 37 sa dopĺňa odsekmi 4 až 7, ktoré znejú:</w:t>
      </w:r>
    </w:p>
    <w:p w:rsidR="00536EC9" w:rsidRPr="00536EC9" w:rsidP="00536EC9">
      <w:pPr>
        <w:tabs>
          <w:tab w:val="left" w:pos="0"/>
        </w:tabs>
        <w:bidi w:val="0"/>
        <w:spacing w:after="0"/>
        <w:ind w:firstLine="360"/>
        <w:jc w:val="both"/>
        <w:rPr>
          <w:rFonts w:ascii="Times New Roman" w:hAnsi="Times New Roman" w:cs="Times New Roman"/>
          <w:bCs/>
          <w:color w:val="000000"/>
          <w:sz w:val="24"/>
          <w:szCs w:val="24"/>
        </w:rPr>
      </w:pPr>
      <w:r w:rsidRPr="00536EC9">
        <w:rPr>
          <w:rFonts w:ascii="Times New Roman" w:hAnsi="Times New Roman" w:cs="Times New Roman"/>
          <w:bCs/>
          <w:color w:val="000000"/>
          <w:sz w:val="24"/>
          <w:szCs w:val="24"/>
        </w:rPr>
        <w:t xml:space="preserve">„(4)   Národná banka Slovenska na svojom webovom sídle zverejňuje v osobitnej a užívateľsky ľahko prístupnej časti informácie týkajúce sa prijímania správ o porušeniach, a to najmenej v rozsahu: </w:t>
      </w:r>
    </w:p>
    <w:p w:rsidR="00536EC9" w:rsidRPr="00536EC9" w:rsidP="00536EC9">
      <w:pPr>
        <w:pStyle w:val="ListParagraph"/>
        <w:numPr>
          <w:numId w:val="18"/>
        </w:numPr>
        <w:bidi w:val="0"/>
        <w:spacing w:after="0" w:line="240" w:lineRule="auto"/>
        <w:contextualSpacing/>
        <w:jc w:val="both"/>
        <w:rPr>
          <w:rFonts w:ascii="Times New Roman" w:hAnsi="Times New Roman" w:cs="Times New Roman"/>
          <w:bCs/>
          <w:color w:val="000000"/>
          <w:sz w:val="24"/>
          <w:szCs w:val="24"/>
        </w:rPr>
      </w:pPr>
      <w:r w:rsidRPr="00536EC9">
        <w:rPr>
          <w:rFonts w:ascii="Times New Roman" w:hAnsi="Times New Roman" w:cs="Times New Roman"/>
          <w:bCs/>
          <w:color w:val="000000"/>
          <w:sz w:val="24"/>
          <w:szCs w:val="24"/>
        </w:rPr>
        <w:t>informácií o osobitných prostriedkoch komunikácie určených na prijímanie a skúmanie správ o porušeniach,</w:t>
      </w:r>
    </w:p>
    <w:p w:rsidR="00536EC9" w:rsidRPr="00536EC9" w:rsidP="00536EC9">
      <w:pPr>
        <w:pStyle w:val="ListParagraph"/>
        <w:numPr>
          <w:numId w:val="18"/>
        </w:numPr>
        <w:bidi w:val="0"/>
        <w:spacing w:after="0" w:line="240" w:lineRule="auto"/>
        <w:contextualSpacing/>
        <w:jc w:val="both"/>
        <w:rPr>
          <w:rFonts w:ascii="Times New Roman" w:hAnsi="Times New Roman" w:cs="Times New Roman"/>
          <w:bCs/>
          <w:color w:val="000000"/>
          <w:sz w:val="24"/>
          <w:szCs w:val="24"/>
        </w:rPr>
      </w:pPr>
      <w:r w:rsidRPr="00536EC9">
        <w:rPr>
          <w:rFonts w:ascii="Times New Roman" w:hAnsi="Times New Roman" w:cs="Times New Roman"/>
          <w:bCs/>
          <w:color w:val="000000"/>
          <w:sz w:val="24"/>
          <w:szCs w:val="24"/>
        </w:rPr>
        <w:t xml:space="preserve"> kontaktu na špecializovaného zamestnanca na spracovanie správ o porušeniach (ďalej len „špecializovaný zamestnanec“), vrátane uvedenia </w:t>
      </w:r>
    </w:p>
    <w:p w:rsidR="00536EC9" w:rsidRPr="00536EC9" w:rsidP="00536EC9">
      <w:pPr>
        <w:bidi w:val="0"/>
        <w:spacing w:after="0"/>
        <w:ind w:left="993" w:hanging="284"/>
        <w:jc w:val="both"/>
        <w:rPr>
          <w:rFonts w:ascii="Times New Roman" w:hAnsi="Times New Roman" w:cs="Times New Roman"/>
          <w:bCs/>
          <w:color w:val="000000"/>
          <w:sz w:val="24"/>
          <w:szCs w:val="24"/>
        </w:rPr>
      </w:pPr>
      <w:r w:rsidRPr="00536EC9">
        <w:rPr>
          <w:rFonts w:ascii="Times New Roman" w:hAnsi="Times New Roman" w:cs="Times New Roman"/>
          <w:bCs/>
          <w:color w:val="000000"/>
          <w:sz w:val="24"/>
          <w:szCs w:val="24"/>
        </w:rPr>
        <w:t>1. telefónneho čísla, pričom sa uvedie, či sa pri použití tejto telefónnej linky rozhovor zaznamenáva alebo nezaznamenáva,</w:t>
      </w:r>
    </w:p>
    <w:p w:rsidR="00536EC9" w:rsidRPr="00536EC9" w:rsidP="00536EC9">
      <w:pPr>
        <w:bidi w:val="0"/>
        <w:spacing w:after="0"/>
        <w:ind w:left="851" w:hanging="567"/>
        <w:jc w:val="both"/>
        <w:rPr>
          <w:rFonts w:ascii="Times New Roman" w:hAnsi="Times New Roman" w:cs="Times New Roman"/>
          <w:bCs/>
          <w:color w:val="000000"/>
          <w:sz w:val="24"/>
          <w:szCs w:val="24"/>
        </w:rPr>
      </w:pPr>
      <w:r w:rsidRPr="00536EC9">
        <w:rPr>
          <w:rFonts w:ascii="Times New Roman" w:hAnsi="Times New Roman" w:cs="Times New Roman"/>
          <w:bCs/>
          <w:color w:val="000000"/>
          <w:sz w:val="24"/>
          <w:szCs w:val="24"/>
        </w:rPr>
        <w:t xml:space="preserve">       2. osobitných prostriedkov komunikácie podľa § 38b a poštových adries, ktoré sú bezpečné a zaručujú dôvernosť údajov,   </w:t>
      </w:r>
    </w:p>
    <w:p w:rsidR="00536EC9" w:rsidRPr="00536EC9" w:rsidP="00536EC9">
      <w:pPr>
        <w:tabs>
          <w:tab w:val="left" w:pos="-709"/>
        </w:tabs>
        <w:bidi w:val="0"/>
        <w:spacing w:after="0"/>
        <w:ind w:left="709" w:hanging="283"/>
        <w:rPr>
          <w:rFonts w:ascii="Times New Roman" w:hAnsi="Times New Roman" w:cs="Times New Roman"/>
          <w:bCs/>
          <w:color w:val="000000"/>
          <w:sz w:val="24"/>
          <w:szCs w:val="24"/>
        </w:rPr>
      </w:pPr>
      <w:r w:rsidRPr="00536EC9">
        <w:rPr>
          <w:rFonts w:ascii="Times New Roman" w:hAnsi="Times New Roman" w:cs="Times New Roman"/>
          <w:bCs/>
          <w:color w:val="000000"/>
          <w:sz w:val="24"/>
          <w:szCs w:val="24"/>
        </w:rPr>
        <w:t>c)  postupov pri podávaní správ o porušeniach, vrátane informácie, že správu možno podať aj anonymne,</w:t>
      </w:r>
    </w:p>
    <w:p w:rsidR="00536EC9" w:rsidRPr="00536EC9" w:rsidP="00536EC9">
      <w:pPr>
        <w:tabs>
          <w:tab w:val="left" w:pos="709"/>
        </w:tabs>
        <w:bidi w:val="0"/>
        <w:spacing w:after="0"/>
        <w:ind w:left="709" w:hanging="349"/>
        <w:jc w:val="both"/>
        <w:rPr>
          <w:rFonts w:ascii="Times New Roman" w:hAnsi="Times New Roman" w:cs="Times New Roman"/>
          <w:bCs/>
          <w:color w:val="000000"/>
          <w:sz w:val="24"/>
          <w:szCs w:val="24"/>
        </w:rPr>
      </w:pPr>
      <w:r w:rsidRPr="00536EC9">
        <w:rPr>
          <w:rFonts w:ascii="Times New Roman" w:hAnsi="Times New Roman" w:cs="Times New Roman"/>
          <w:bCs/>
          <w:color w:val="000000"/>
          <w:sz w:val="24"/>
          <w:szCs w:val="24"/>
        </w:rPr>
        <w:t xml:space="preserve"> d)  režimu dôvernosti údajov, ktorý sa vzťahuje na správy o porušeniach, </w:t>
      </w:r>
    </w:p>
    <w:p w:rsidR="00536EC9" w:rsidRPr="00536EC9" w:rsidP="00536EC9">
      <w:pPr>
        <w:tabs>
          <w:tab w:val="left" w:pos="0"/>
        </w:tabs>
        <w:bidi w:val="0"/>
        <w:spacing w:after="0"/>
        <w:ind w:firstLine="360"/>
        <w:jc w:val="both"/>
        <w:rPr>
          <w:rFonts w:ascii="Times New Roman" w:hAnsi="Times New Roman" w:cs="Times New Roman"/>
          <w:bCs/>
          <w:color w:val="000000"/>
          <w:sz w:val="24"/>
          <w:szCs w:val="24"/>
        </w:rPr>
      </w:pPr>
      <w:r w:rsidRPr="00536EC9">
        <w:rPr>
          <w:rFonts w:ascii="Times New Roman" w:hAnsi="Times New Roman" w:cs="Times New Roman"/>
          <w:bCs/>
          <w:color w:val="000000"/>
          <w:sz w:val="24"/>
          <w:szCs w:val="24"/>
        </w:rPr>
        <w:t xml:space="preserve"> e)  postupov na ochranu osôb pracujúcich na základe pracovnej zmluvy,</w:t>
      </w:r>
    </w:p>
    <w:p w:rsidR="00536EC9" w:rsidRPr="00536EC9" w:rsidP="00536EC9">
      <w:pPr>
        <w:tabs>
          <w:tab w:val="left" w:pos="709"/>
        </w:tabs>
        <w:bidi w:val="0"/>
        <w:spacing w:after="0"/>
        <w:ind w:left="709" w:hanging="283"/>
        <w:jc w:val="both"/>
        <w:rPr>
          <w:rFonts w:ascii="Times New Roman" w:hAnsi="Times New Roman" w:cs="Times New Roman"/>
          <w:bCs/>
          <w:color w:val="000000"/>
          <w:sz w:val="24"/>
          <w:szCs w:val="24"/>
        </w:rPr>
      </w:pPr>
      <w:r w:rsidRPr="00536EC9">
        <w:rPr>
          <w:rFonts w:ascii="Times New Roman" w:hAnsi="Times New Roman" w:cs="Times New Roman"/>
          <w:bCs/>
          <w:color w:val="000000"/>
          <w:sz w:val="24"/>
          <w:szCs w:val="24"/>
        </w:rPr>
        <w:t>f)  vyhlásenia o tom, že osoby, ktoré sprístupnia informácie Národnej banke Slovenska v súlade s týmto zákonom a osobitnými predpismi</w:t>
      </w:r>
      <w:r w:rsidRPr="00536EC9">
        <w:rPr>
          <w:rFonts w:ascii="Times New Roman" w:hAnsi="Times New Roman" w:cs="Times New Roman"/>
          <w:bCs/>
          <w:color w:val="000000"/>
          <w:sz w:val="24"/>
          <w:szCs w:val="24"/>
          <w:vertAlign w:val="superscript"/>
        </w:rPr>
        <w:t>1</w:t>
      </w:r>
      <w:r w:rsidRPr="00536EC9">
        <w:rPr>
          <w:rFonts w:ascii="Times New Roman" w:hAnsi="Times New Roman" w:cs="Times New Roman"/>
          <w:bCs/>
          <w:color w:val="000000"/>
          <w:sz w:val="24"/>
          <w:szCs w:val="24"/>
        </w:rPr>
        <w:t>), ktoré sa vzťahujú na dohliadané subjekty, sa nepovažujú za osoby porušujúce obmedzenia týkajúce sa zverejňovania informácií uložené zmluvou alebo všeobecne záväznými právnymi predpismi a nenesú žiadnu zodpovednosť spojenú s takýmto oznámením.</w:t>
      </w:r>
    </w:p>
    <w:p w:rsidR="00536EC9" w:rsidRPr="00536EC9" w:rsidP="00536EC9">
      <w:pPr>
        <w:tabs>
          <w:tab w:val="left" w:pos="709"/>
        </w:tabs>
        <w:bidi w:val="0"/>
        <w:spacing w:after="0"/>
        <w:ind w:left="709" w:hanging="283"/>
        <w:jc w:val="both"/>
        <w:rPr>
          <w:rFonts w:ascii="Times New Roman" w:hAnsi="Times New Roman" w:cs="Times New Roman"/>
          <w:bCs/>
          <w:color w:val="000000"/>
          <w:sz w:val="24"/>
          <w:szCs w:val="24"/>
        </w:rPr>
      </w:pPr>
    </w:p>
    <w:p w:rsidR="00536EC9" w:rsidRPr="00536EC9" w:rsidP="00536EC9">
      <w:pPr>
        <w:pStyle w:val="ListParagraph"/>
        <w:tabs>
          <w:tab w:val="left" w:pos="0"/>
        </w:tabs>
        <w:bidi w:val="0"/>
        <w:spacing w:after="0"/>
        <w:ind w:left="360"/>
        <w:jc w:val="both"/>
        <w:rPr>
          <w:rFonts w:ascii="Times New Roman" w:hAnsi="Times New Roman" w:cs="Times New Roman"/>
          <w:bCs/>
          <w:color w:val="000000"/>
          <w:sz w:val="24"/>
          <w:szCs w:val="24"/>
        </w:rPr>
      </w:pPr>
      <w:r w:rsidRPr="00536EC9">
        <w:rPr>
          <w:rFonts w:ascii="Times New Roman" w:hAnsi="Times New Roman" w:cs="Times New Roman"/>
          <w:bCs/>
          <w:color w:val="000000"/>
          <w:sz w:val="24"/>
          <w:szCs w:val="24"/>
        </w:rPr>
        <w:t>(5) Nahlasujúcou osobou sa rozumie fyzická osoba alebo právnická osoba, ktorá nahlasuje porušenie alebo možné porušenie osobitných predpisov.</w:t>
      </w:r>
      <w:r w:rsidRPr="00536EC9">
        <w:rPr>
          <w:rFonts w:ascii="Times New Roman" w:hAnsi="Times New Roman" w:cs="Times New Roman"/>
          <w:bCs/>
          <w:color w:val="000000"/>
          <w:sz w:val="24"/>
          <w:szCs w:val="24"/>
          <w:vertAlign w:val="superscript"/>
        </w:rPr>
        <w:t>1</w:t>
      </w:r>
      <w:r w:rsidRPr="00536EC9">
        <w:rPr>
          <w:rFonts w:ascii="Times New Roman" w:hAnsi="Times New Roman" w:cs="Times New Roman"/>
          <w:bCs/>
          <w:color w:val="000000"/>
          <w:sz w:val="24"/>
          <w:szCs w:val="24"/>
        </w:rPr>
        <w:t xml:space="preserve">)   </w:t>
      </w:r>
    </w:p>
    <w:p w:rsidR="00536EC9" w:rsidRPr="00536EC9" w:rsidP="00536EC9">
      <w:pPr>
        <w:pStyle w:val="ListParagraph"/>
        <w:tabs>
          <w:tab w:val="left" w:pos="0"/>
        </w:tabs>
        <w:bidi w:val="0"/>
        <w:spacing w:after="0"/>
        <w:ind w:left="360"/>
        <w:jc w:val="both"/>
        <w:rPr>
          <w:rFonts w:ascii="Times New Roman" w:hAnsi="Times New Roman" w:cs="Times New Roman"/>
          <w:bCs/>
          <w:color w:val="000000"/>
          <w:sz w:val="24"/>
          <w:szCs w:val="24"/>
        </w:rPr>
      </w:pPr>
    </w:p>
    <w:p w:rsidR="00536EC9" w:rsidRPr="00536EC9" w:rsidP="00536EC9">
      <w:pPr>
        <w:pStyle w:val="ListParagraph"/>
        <w:tabs>
          <w:tab w:val="left" w:pos="0"/>
        </w:tabs>
        <w:bidi w:val="0"/>
        <w:spacing w:after="0"/>
        <w:ind w:left="360"/>
        <w:jc w:val="both"/>
        <w:rPr>
          <w:rFonts w:ascii="Times New Roman" w:hAnsi="Times New Roman" w:cs="Times New Roman"/>
          <w:bCs/>
          <w:color w:val="000000"/>
          <w:sz w:val="24"/>
          <w:szCs w:val="24"/>
        </w:rPr>
      </w:pPr>
      <w:r w:rsidRPr="00536EC9">
        <w:rPr>
          <w:rFonts w:ascii="Times New Roman" w:hAnsi="Times New Roman" w:cs="Times New Roman"/>
          <w:bCs/>
          <w:color w:val="000000"/>
          <w:sz w:val="24"/>
          <w:szCs w:val="24"/>
        </w:rPr>
        <w:t>(6) Nahlásenou osobou sa rozumie dohliadaný subjekt a osoba, na ktorú sa vzťahuje osobitný predpis,</w:t>
      </w:r>
      <w:r w:rsidRPr="00536EC9">
        <w:rPr>
          <w:rFonts w:ascii="Times New Roman" w:hAnsi="Times New Roman" w:cs="Times New Roman"/>
          <w:bCs/>
          <w:color w:val="000000"/>
          <w:sz w:val="24"/>
          <w:szCs w:val="24"/>
          <w:vertAlign w:val="superscript"/>
        </w:rPr>
        <w:t>47a</w:t>
      </w:r>
      <w:r w:rsidRPr="00536EC9">
        <w:rPr>
          <w:rFonts w:ascii="Times New Roman" w:hAnsi="Times New Roman" w:cs="Times New Roman"/>
          <w:bCs/>
          <w:color w:val="000000"/>
          <w:sz w:val="24"/>
          <w:szCs w:val="24"/>
        </w:rPr>
        <w:t>) o ktorom podala správu  o porušení nahlasujúca osoba, že sa tento subjekt dopustil alebo má úmysel dopustiť porušenia osobitných predpisov</w:t>
      </w:r>
      <w:r w:rsidRPr="00536EC9">
        <w:rPr>
          <w:rFonts w:ascii="Times New Roman" w:hAnsi="Times New Roman" w:cs="Times New Roman"/>
          <w:bCs/>
          <w:color w:val="000000"/>
          <w:sz w:val="24"/>
          <w:szCs w:val="24"/>
          <w:vertAlign w:val="superscript"/>
        </w:rPr>
        <w:t>1</w:t>
      </w:r>
      <w:r w:rsidRPr="00536EC9">
        <w:rPr>
          <w:rFonts w:ascii="Times New Roman" w:hAnsi="Times New Roman" w:cs="Times New Roman"/>
          <w:bCs/>
          <w:color w:val="000000"/>
          <w:sz w:val="24"/>
          <w:szCs w:val="24"/>
        </w:rPr>
        <w:t xml:space="preserve">) alebo osobitných predpisov, ktoré sa vzťahujú na dohliadané subjekty alebo na ich činnosti.  </w:t>
      </w:r>
    </w:p>
    <w:p w:rsidR="00536EC9" w:rsidRPr="00536EC9" w:rsidP="00536EC9">
      <w:pPr>
        <w:pStyle w:val="ListParagraph"/>
        <w:tabs>
          <w:tab w:val="left" w:pos="0"/>
        </w:tabs>
        <w:bidi w:val="0"/>
        <w:spacing w:after="0"/>
        <w:ind w:left="360"/>
        <w:jc w:val="both"/>
        <w:rPr>
          <w:rFonts w:ascii="Times New Roman" w:hAnsi="Times New Roman" w:cs="Times New Roman"/>
          <w:bCs/>
          <w:color w:val="000000"/>
          <w:sz w:val="24"/>
          <w:szCs w:val="24"/>
        </w:rPr>
      </w:pPr>
    </w:p>
    <w:p w:rsidR="00536EC9" w:rsidRPr="00536EC9" w:rsidP="00536EC9">
      <w:pPr>
        <w:pStyle w:val="ListParagraph"/>
        <w:tabs>
          <w:tab w:val="left" w:pos="0"/>
        </w:tabs>
        <w:bidi w:val="0"/>
        <w:spacing w:after="0"/>
        <w:ind w:left="360"/>
        <w:jc w:val="both"/>
        <w:rPr>
          <w:rFonts w:ascii="Times New Roman" w:hAnsi="Times New Roman" w:cs="Times New Roman"/>
          <w:bCs/>
          <w:color w:val="000000"/>
          <w:sz w:val="24"/>
          <w:szCs w:val="24"/>
        </w:rPr>
      </w:pPr>
      <w:r w:rsidRPr="00536EC9">
        <w:rPr>
          <w:rFonts w:ascii="Times New Roman" w:hAnsi="Times New Roman" w:cs="Times New Roman"/>
          <w:bCs/>
          <w:color w:val="000000"/>
          <w:sz w:val="24"/>
          <w:szCs w:val="24"/>
        </w:rPr>
        <w:t>(7) Správou o porušení sa rozumie správa o porušení povinností dohliadaných subjektov týkajúca sa skutočného alebo možného porušenia osobitných predpisov</w:t>
      </w:r>
      <w:r w:rsidRPr="00536EC9">
        <w:rPr>
          <w:rFonts w:ascii="Times New Roman" w:hAnsi="Times New Roman" w:cs="Times New Roman"/>
          <w:bCs/>
          <w:color w:val="000000"/>
          <w:sz w:val="24"/>
          <w:szCs w:val="24"/>
          <w:vertAlign w:val="superscript"/>
        </w:rPr>
        <w:t>1</w:t>
      </w:r>
      <w:r w:rsidRPr="00536EC9">
        <w:rPr>
          <w:rFonts w:ascii="Times New Roman" w:hAnsi="Times New Roman" w:cs="Times New Roman"/>
          <w:bCs/>
          <w:color w:val="000000"/>
          <w:sz w:val="24"/>
          <w:szCs w:val="24"/>
        </w:rPr>
        <w:t xml:space="preserve">) alebo osobitných predpisov, ktoré sa vzťahujú na dohliadané subjekty alebo na ich činnosti predložená Národnej banke Slovenska nahlasujúcou osobou.“. </w:t>
      </w:r>
    </w:p>
    <w:p w:rsidR="00536EC9" w:rsidRPr="00536EC9" w:rsidP="00536EC9">
      <w:pPr>
        <w:tabs>
          <w:tab w:val="left" w:pos="0"/>
        </w:tabs>
        <w:bidi w:val="0"/>
        <w:spacing w:after="0"/>
        <w:rPr>
          <w:rFonts w:ascii="Times New Roman" w:hAnsi="Times New Roman" w:cs="Times New Roman"/>
          <w:bCs/>
          <w:color w:val="000000"/>
          <w:sz w:val="24"/>
          <w:szCs w:val="24"/>
        </w:rPr>
      </w:pPr>
    </w:p>
    <w:p w:rsidR="00536EC9" w:rsidRPr="00536EC9" w:rsidP="00536EC9">
      <w:pPr>
        <w:numPr>
          <w:numId w:val="7"/>
        </w:numPr>
        <w:tabs>
          <w:tab w:val="left" w:pos="0"/>
        </w:tabs>
        <w:bidi w:val="0"/>
        <w:spacing w:after="0" w:line="240" w:lineRule="auto"/>
        <w:rPr>
          <w:rFonts w:ascii="Times New Roman" w:hAnsi="Times New Roman" w:cs="Times New Roman"/>
          <w:bCs/>
          <w:color w:val="000000"/>
          <w:sz w:val="24"/>
          <w:szCs w:val="24"/>
        </w:rPr>
      </w:pPr>
      <w:r w:rsidRPr="00536EC9">
        <w:rPr>
          <w:rFonts w:ascii="Times New Roman" w:hAnsi="Times New Roman" w:cs="Times New Roman"/>
          <w:bCs/>
          <w:color w:val="000000"/>
          <w:sz w:val="24"/>
          <w:szCs w:val="24"/>
        </w:rPr>
        <w:t xml:space="preserve">Za § 38 sa vkladajú § 38a až 38f, ktoré vrátane nadpisov znejú: </w:t>
      </w:r>
    </w:p>
    <w:p w:rsidR="00536EC9" w:rsidRPr="00536EC9" w:rsidP="00536EC9">
      <w:pPr>
        <w:tabs>
          <w:tab w:val="left" w:pos="0"/>
          <w:tab w:val="left" w:pos="1140"/>
        </w:tabs>
        <w:bidi w:val="0"/>
        <w:spacing w:after="0"/>
        <w:rPr>
          <w:rFonts w:ascii="Times New Roman" w:hAnsi="Times New Roman" w:cs="Times New Roman"/>
          <w:bCs/>
          <w:color w:val="000000"/>
          <w:sz w:val="24"/>
          <w:szCs w:val="24"/>
        </w:rPr>
      </w:pPr>
      <w:r w:rsidRPr="00536EC9">
        <w:rPr>
          <w:rFonts w:ascii="Times New Roman" w:hAnsi="Times New Roman" w:cs="Times New Roman"/>
          <w:bCs/>
          <w:color w:val="000000"/>
          <w:sz w:val="24"/>
          <w:szCs w:val="24"/>
        </w:rPr>
        <w:tab/>
      </w:r>
    </w:p>
    <w:p w:rsidR="00536EC9" w:rsidRPr="00536EC9" w:rsidP="00536EC9">
      <w:pPr>
        <w:tabs>
          <w:tab w:val="left" w:pos="0"/>
        </w:tabs>
        <w:bidi w:val="0"/>
        <w:spacing w:after="0"/>
        <w:jc w:val="center"/>
        <w:rPr>
          <w:rFonts w:ascii="Times New Roman" w:hAnsi="Times New Roman" w:cs="Times New Roman"/>
          <w:b/>
          <w:bCs/>
          <w:color w:val="000000"/>
          <w:sz w:val="24"/>
          <w:szCs w:val="24"/>
        </w:rPr>
      </w:pPr>
      <w:r w:rsidRPr="00536EC9">
        <w:rPr>
          <w:rFonts w:ascii="Times New Roman" w:hAnsi="Times New Roman" w:cs="Times New Roman"/>
          <w:b/>
          <w:bCs/>
          <w:color w:val="000000"/>
          <w:sz w:val="24"/>
          <w:szCs w:val="24"/>
        </w:rPr>
        <w:t>„§ 38a</w:t>
      </w:r>
    </w:p>
    <w:p w:rsidR="00536EC9" w:rsidRPr="00536EC9" w:rsidP="00536EC9">
      <w:pPr>
        <w:tabs>
          <w:tab w:val="left" w:pos="0"/>
        </w:tabs>
        <w:bidi w:val="0"/>
        <w:spacing w:after="0"/>
        <w:jc w:val="center"/>
        <w:rPr>
          <w:rFonts w:ascii="Times New Roman" w:hAnsi="Times New Roman" w:cs="Times New Roman"/>
          <w:b/>
          <w:bCs/>
          <w:color w:val="000000"/>
          <w:sz w:val="24"/>
          <w:szCs w:val="24"/>
        </w:rPr>
      </w:pPr>
      <w:r w:rsidRPr="00536EC9">
        <w:rPr>
          <w:rFonts w:ascii="Times New Roman" w:hAnsi="Times New Roman" w:cs="Times New Roman"/>
          <w:b/>
          <w:bCs/>
          <w:color w:val="000000"/>
          <w:sz w:val="24"/>
          <w:szCs w:val="24"/>
        </w:rPr>
        <w:t>Postupy prijímania správ o porušeniach</w:t>
      </w:r>
    </w:p>
    <w:p w:rsidR="00536EC9" w:rsidRPr="00536EC9" w:rsidP="00536EC9">
      <w:pPr>
        <w:tabs>
          <w:tab w:val="left" w:pos="0"/>
        </w:tabs>
        <w:bidi w:val="0"/>
        <w:spacing w:after="0"/>
        <w:rPr>
          <w:rFonts w:ascii="Times New Roman" w:hAnsi="Times New Roman" w:cs="Times New Roman"/>
          <w:bCs/>
          <w:color w:val="000000"/>
          <w:sz w:val="24"/>
          <w:szCs w:val="24"/>
        </w:rPr>
      </w:pPr>
    </w:p>
    <w:p w:rsidR="00536EC9" w:rsidRPr="00536EC9" w:rsidP="00536EC9">
      <w:pPr>
        <w:tabs>
          <w:tab w:val="left" w:pos="0"/>
        </w:tabs>
        <w:bidi w:val="0"/>
        <w:spacing w:after="0"/>
        <w:jc w:val="both"/>
        <w:rPr>
          <w:rFonts w:ascii="Times New Roman" w:hAnsi="Times New Roman" w:cs="Times New Roman"/>
          <w:bCs/>
          <w:color w:val="000000"/>
          <w:sz w:val="24"/>
          <w:szCs w:val="24"/>
        </w:rPr>
      </w:pPr>
      <w:r w:rsidRPr="00536EC9">
        <w:rPr>
          <w:rFonts w:ascii="Times New Roman" w:hAnsi="Times New Roman" w:cs="Times New Roman"/>
          <w:bCs/>
          <w:color w:val="000000"/>
          <w:sz w:val="24"/>
          <w:szCs w:val="24"/>
        </w:rPr>
        <w:t xml:space="preserve">            (1) Národná banka Slovenska zavedie postupy na umožnenie nahlasovania správ o porušeniach, ktoré upravia</w:t>
      </w:r>
    </w:p>
    <w:p w:rsidR="00536EC9" w:rsidRPr="00536EC9" w:rsidP="00536EC9">
      <w:pPr>
        <w:tabs>
          <w:tab w:val="left" w:pos="-709"/>
        </w:tabs>
        <w:bidi w:val="0"/>
        <w:spacing w:after="0"/>
        <w:ind w:left="-567" w:firstLine="567"/>
        <w:rPr>
          <w:rFonts w:ascii="Times New Roman" w:hAnsi="Times New Roman" w:cs="Times New Roman"/>
          <w:bCs/>
          <w:color w:val="000000"/>
          <w:sz w:val="24"/>
          <w:szCs w:val="24"/>
        </w:rPr>
      </w:pPr>
      <w:r w:rsidRPr="00536EC9">
        <w:rPr>
          <w:rFonts w:ascii="Times New Roman" w:hAnsi="Times New Roman" w:cs="Times New Roman"/>
          <w:bCs/>
          <w:color w:val="000000"/>
          <w:sz w:val="24"/>
          <w:szCs w:val="24"/>
        </w:rPr>
        <w:t xml:space="preserve">            a)  spôsob podávania správ o porušeniach, vrátane možnosti podať ich aj anonymne,</w:t>
      </w:r>
    </w:p>
    <w:p w:rsidR="00536EC9" w:rsidRPr="00536EC9" w:rsidP="00536EC9">
      <w:pPr>
        <w:tabs>
          <w:tab w:val="left" w:pos="993"/>
        </w:tabs>
        <w:bidi w:val="0"/>
        <w:spacing w:after="0"/>
        <w:ind w:left="993" w:hanging="851"/>
        <w:jc w:val="both"/>
        <w:rPr>
          <w:rFonts w:ascii="Times New Roman" w:hAnsi="Times New Roman" w:cs="Times New Roman"/>
          <w:bCs/>
          <w:color w:val="000000"/>
          <w:sz w:val="24"/>
          <w:szCs w:val="24"/>
        </w:rPr>
      </w:pPr>
      <w:r w:rsidRPr="00536EC9">
        <w:rPr>
          <w:rFonts w:ascii="Times New Roman" w:hAnsi="Times New Roman" w:cs="Times New Roman"/>
          <w:bCs/>
          <w:color w:val="000000"/>
          <w:sz w:val="24"/>
          <w:szCs w:val="24"/>
        </w:rPr>
        <w:t xml:space="preserve">          b) spôsob, akým môže Národná banka Slovenska požadovať od nahlasujúcej osoby, aby objasnila nahlásené informácie alebo poskytla doplňujúce informácie, ktoré má nahlasujúca osoba k dispozícii,</w:t>
      </w:r>
    </w:p>
    <w:p w:rsidR="00536EC9" w:rsidRPr="00536EC9" w:rsidP="00536EC9">
      <w:pPr>
        <w:tabs>
          <w:tab w:val="left" w:pos="993"/>
        </w:tabs>
        <w:bidi w:val="0"/>
        <w:spacing w:after="0"/>
        <w:ind w:left="993" w:hanging="993"/>
        <w:jc w:val="both"/>
        <w:rPr>
          <w:rFonts w:ascii="Times New Roman" w:hAnsi="Times New Roman" w:cs="Times New Roman"/>
          <w:bCs/>
          <w:color w:val="000000"/>
          <w:sz w:val="24"/>
          <w:szCs w:val="24"/>
        </w:rPr>
      </w:pPr>
      <w:r w:rsidRPr="00536EC9">
        <w:rPr>
          <w:rFonts w:ascii="Times New Roman" w:hAnsi="Times New Roman" w:cs="Times New Roman"/>
          <w:bCs/>
          <w:color w:val="000000"/>
          <w:sz w:val="24"/>
          <w:szCs w:val="24"/>
        </w:rPr>
        <w:t xml:space="preserve">            c) druh, obsah a časový harmonogram spätnej väzby týkajúcej sa výsledku správy o porušeniach, ktorú môže nahlasujúca osoba očakávať po nahlásení, </w:t>
      </w:r>
    </w:p>
    <w:p w:rsidR="00536EC9" w:rsidRPr="00536EC9" w:rsidP="00536EC9">
      <w:pPr>
        <w:tabs>
          <w:tab w:val="left" w:pos="1134"/>
        </w:tabs>
        <w:bidi w:val="0"/>
        <w:spacing w:after="0"/>
        <w:ind w:left="993" w:hanging="567"/>
        <w:jc w:val="both"/>
        <w:rPr>
          <w:rFonts w:ascii="Times New Roman" w:hAnsi="Times New Roman" w:cs="Times New Roman"/>
          <w:bCs/>
          <w:color w:val="000000"/>
          <w:sz w:val="24"/>
          <w:szCs w:val="24"/>
        </w:rPr>
      </w:pPr>
      <w:r w:rsidRPr="00536EC9">
        <w:rPr>
          <w:rFonts w:ascii="Times New Roman" w:hAnsi="Times New Roman" w:cs="Times New Roman"/>
          <w:bCs/>
          <w:color w:val="000000"/>
          <w:sz w:val="24"/>
          <w:szCs w:val="24"/>
        </w:rPr>
        <w:t xml:space="preserve">     d) režim dôvernosti údajov a ochrany osobných údajov,</w:t>
      </w:r>
      <w:r w:rsidRPr="00536EC9">
        <w:rPr>
          <w:rFonts w:ascii="Times New Roman" w:hAnsi="Times New Roman" w:cs="Times New Roman"/>
          <w:bCs/>
          <w:color w:val="000000"/>
          <w:sz w:val="24"/>
          <w:szCs w:val="24"/>
          <w:vertAlign w:val="superscript"/>
        </w:rPr>
        <w:t>47c</w:t>
      </w:r>
      <w:r w:rsidRPr="00536EC9">
        <w:rPr>
          <w:rFonts w:ascii="Times New Roman" w:hAnsi="Times New Roman" w:cs="Times New Roman"/>
          <w:bCs/>
          <w:color w:val="000000"/>
          <w:sz w:val="24"/>
          <w:szCs w:val="24"/>
        </w:rPr>
        <w:t>) ktorý sa vzťahuje na správy o porušeniach, vrátane podrobného opisu okolností, za ktorých sa môžu dôverné údaje nahlasujúcej osoby sprístupniť podľa osobitného predpisu</w:t>
      </w:r>
      <w:r w:rsidRPr="00536EC9">
        <w:rPr>
          <w:rFonts w:ascii="Times New Roman" w:hAnsi="Times New Roman" w:cs="Times New Roman"/>
          <w:bCs/>
          <w:color w:val="000000"/>
          <w:sz w:val="24"/>
          <w:szCs w:val="24"/>
          <w:vertAlign w:val="superscript"/>
        </w:rPr>
        <w:t>47b</w:t>
      </w:r>
      <w:r w:rsidRPr="00536EC9">
        <w:rPr>
          <w:rFonts w:ascii="Times New Roman" w:hAnsi="Times New Roman" w:cs="Times New Roman"/>
          <w:bCs/>
          <w:color w:val="000000"/>
          <w:sz w:val="24"/>
          <w:szCs w:val="24"/>
        </w:rPr>
        <w:t xml:space="preserve">) a informovanie nahlasujúcej osoby o výnimočných okolnostiach, pri ktorých nemôže byť zabezpečená dôvernosť údajov vrátane okolností, keď je zverejnenie údajov nevyhnutnou a primeranou povinnosťou, ktorá sa vyžaduje podľa osobitných predpisov v súvislosti s vyšetrovaním, konaním pred súdom alebo v záujme ochrany slobôd iných vrátane práva na obhajobu nahlásenej osoby, pričom sa uplatňujú ochranné opatrenia podľa týchto osobitných predpisov. </w:t>
      </w:r>
    </w:p>
    <w:p w:rsidR="00536EC9" w:rsidRPr="00536EC9" w:rsidP="00536EC9">
      <w:pPr>
        <w:tabs>
          <w:tab w:val="left" w:pos="0"/>
        </w:tabs>
        <w:bidi w:val="0"/>
        <w:spacing w:after="0"/>
        <w:rPr>
          <w:rFonts w:ascii="Times New Roman" w:hAnsi="Times New Roman" w:cs="Times New Roman"/>
          <w:bCs/>
          <w:color w:val="000000"/>
          <w:sz w:val="24"/>
          <w:szCs w:val="24"/>
        </w:rPr>
      </w:pPr>
    </w:p>
    <w:p w:rsidR="00536EC9" w:rsidRPr="00536EC9" w:rsidP="00536EC9">
      <w:pPr>
        <w:tabs>
          <w:tab w:val="left" w:pos="0"/>
        </w:tabs>
        <w:bidi w:val="0"/>
        <w:spacing w:after="0"/>
        <w:jc w:val="both"/>
        <w:rPr>
          <w:rFonts w:ascii="Times New Roman" w:hAnsi="Times New Roman" w:cs="Times New Roman"/>
          <w:bCs/>
          <w:color w:val="000000"/>
          <w:sz w:val="24"/>
          <w:szCs w:val="24"/>
        </w:rPr>
      </w:pPr>
      <w:r w:rsidRPr="00536EC9">
        <w:rPr>
          <w:rFonts w:ascii="Times New Roman" w:hAnsi="Times New Roman" w:cs="Times New Roman"/>
          <w:bCs/>
          <w:color w:val="000000"/>
          <w:sz w:val="24"/>
          <w:szCs w:val="24"/>
        </w:rPr>
        <w:t xml:space="preserve">           (2) Národná banka Slovenska určí jedného špecializovaného zamestnanca alebo viacerých špecializovaných zamestnancov. Špecializovaný zamestnanec absolvuje odbornú prípravu na účely spracovania správ o porušeniach. </w:t>
      </w:r>
    </w:p>
    <w:p w:rsidR="00536EC9" w:rsidRPr="00536EC9" w:rsidP="00536EC9">
      <w:pPr>
        <w:tabs>
          <w:tab w:val="left" w:pos="0"/>
        </w:tabs>
        <w:bidi w:val="0"/>
        <w:spacing w:after="0"/>
        <w:jc w:val="both"/>
        <w:rPr>
          <w:rFonts w:ascii="Times New Roman" w:hAnsi="Times New Roman" w:cs="Times New Roman"/>
          <w:bCs/>
          <w:color w:val="000000"/>
          <w:sz w:val="24"/>
          <w:szCs w:val="24"/>
        </w:rPr>
      </w:pPr>
    </w:p>
    <w:p w:rsidR="00536EC9" w:rsidRPr="00536EC9" w:rsidP="00536EC9">
      <w:pPr>
        <w:tabs>
          <w:tab w:val="left" w:pos="0"/>
        </w:tabs>
        <w:bidi w:val="0"/>
        <w:spacing w:after="0"/>
        <w:jc w:val="both"/>
        <w:rPr>
          <w:rFonts w:ascii="Times New Roman" w:hAnsi="Times New Roman" w:cs="Times New Roman"/>
          <w:bCs/>
          <w:color w:val="000000"/>
          <w:sz w:val="24"/>
          <w:szCs w:val="24"/>
        </w:rPr>
      </w:pPr>
      <w:r w:rsidRPr="00536EC9">
        <w:rPr>
          <w:rFonts w:ascii="Times New Roman" w:hAnsi="Times New Roman" w:cs="Times New Roman"/>
          <w:bCs/>
          <w:color w:val="000000"/>
          <w:sz w:val="24"/>
          <w:szCs w:val="24"/>
        </w:rPr>
        <w:tab/>
        <w:t xml:space="preserve">(3) Špecializovaný zamestnanec </w:t>
      </w:r>
    </w:p>
    <w:p w:rsidR="00536EC9" w:rsidRPr="00536EC9" w:rsidP="00536EC9">
      <w:pPr>
        <w:tabs>
          <w:tab w:val="left" w:pos="284"/>
        </w:tabs>
        <w:bidi w:val="0"/>
        <w:spacing w:after="0"/>
        <w:ind w:left="284" w:hanging="284"/>
        <w:jc w:val="both"/>
        <w:rPr>
          <w:rFonts w:ascii="Times New Roman" w:hAnsi="Times New Roman" w:cs="Times New Roman"/>
          <w:bCs/>
          <w:color w:val="000000"/>
          <w:sz w:val="24"/>
          <w:szCs w:val="24"/>
        </w:rPr>
      </w:pPr>
      <w:r w:rsidRPr="00536EC9">
        <w:rPr>
          <w:rFonts w:ascii="Times New Roman" w:hAnsi="Times New Roman" w:cs="Times New Roman"/>
          <w:bCs/>
          <w:color w:val="000000"/>
          <w:sz w:val="24"/>
          <w:szCs w:val="24"/>
        </w:rPr>
        <w:t>a) poskytuje všetkým zainteresovaným osobám informácie o postupoch na nahlasovanie porušení,</w:t>
      </w:r>
    </w:p>
    <w:p w:rsidR="00536EC9" w:rsidRPr="00536EC9" w:rsidP="00536EC9">
      <w:pPr>
        <w:tabs>
          <w:tab w:val="left" w:pos="0"/>
        </w:tabs>
        <w:bidi w:val="0"/>
        <w:spacing w:after="0"/>
        <w:jc w:val="both"/>
        <w:rPr>
          <w:rFonts w:ascii="Times New Roman" w:hAnsi="Times New Roman" w:cs="Times New Roman"/>
          <w:bCs/>
          <w:color w:val="000000"/>
          <w:sz w:val="24"/>
          <w:szCs w:val="24"/>
        </w:rPr>
      </w:pPr>
      <w:r w:rsidRPr="00536EC9">
        <w:rPr>
          <w:rFonts w:ascii="Times New Roman" w:hAnsi="Times New Roman" w:cs="Times New Roman"/>
          <w:bCs/>
          <w:color w:val="000000"/>
          <w:sz w:val="24"/>
          <w:szCs w:val="24"/>
        </w:rPr>
        <w:t>b) prijíma a preskúmava správy o porušeniach,</w:t>
      </w:r>
    </w:p>
    <w:p w:rsidR="00536EC9" w:rsidRPr="00536EC9" w:rsidP="00536EC9">
      <w:pPr>
        <w:tabs>
          <w:tab w:val="left" w:pos="0"/>
        </w:tabs>
        <w:bidi w:val="0"/>
        <w:spacing w:after="0"/>
        <w:jc w:val="both"/>
        <w:rPr>
          <w:rFonts w:ascii="Times New Roman" w:hAnsi="Times New Roman" w:cs="Times New Roman"/>
          <w:bCs/>
          <w:color w:val="000000"/>
          <w:sz w:val="24"/>
          <w:szCs w:val="24"/>
        </w:rPr>
      </w:pPr>
      <w:r w:rsidRPr="00536EC9">
        <w:rPr>
          <w:rFonts w:ascii="Times New Roman" w:hAnsi="Times New Roman" w:cs="Times New Roman"/>
          <w:bCs/>
          <w:color w:val="000000"/>
          <w:sz w:val="24"/>
          <w:szCs w:val="24"/>
        </w:rPr>
        <w:t xml:space="preserve">c) udržiava kontakt s nahlasujúcou osobou, ak sa táto osoba identifikovala. </w:t>
      </w:r>
    </w:p>
    <w:p w:rsidR="00536EC9" w:rsidRPr="00536EC9" w:rsidP="00536EC9">
      <w:pPr>
        <w:tabs>
          <w:tab w:val="left" w:pos="0"/>
        </w:tabs>
        <w:bidi w:val="0"/>
        <w:spacing w:after="0"/>
        <w:rPr>
          <w:rFonts w:ascii="Times New Roman" w:hAnsi="Times New Roman" w:cs="Times New Roman"/>
          <w:bCs/>
          <w:color w:val="000000"/>
          <w:sz w:val="24"/>
          <w:szCs w:val="24"/>
        </w:rPr>
      </w:pPr>
    </w:p>
    <w:p w:rsidR="00536EC9" w:rsidRPr="00536EC9" w:rsidP="00536EC9">
      <w:pPr>
        <w:tabs>
          <w:tab w:val="left" w:pos="0"/>
        </w:tabs>
        <w:bidi w:val="0"/>
        <w:spacing w:after="0"/>
        <w:jc w:val="center"/>
        <w:rPr>
          <w:rFonts w:ascii="Times New Roman" w:hAnsi="Times New Roman" w:cs="Times New Roman"/>
          <w:b/>
          <w:bCs/>
          <w:color w:val="000000"/>
          <w:sz w:val="24"/>
          <w:szCs w:val="24"/>
        </w:rPr>
      </w:pPr>
      <w:r w:rsidRPr="00536EC9">
        <w:rPr>
          <w:rFonts w:ascii="Times New Roman" w:hAnsi="Times New Roman" w:cs="Times New Roman"/>
          <w:b/>
          <w:bCs/>
          <w:color w:val="000000"/>
          <w:sz w:val="24"/>
          <w:szCs w:val="24"/>
        </w:rPr>
        <w:t>§ 38b</w:t>
      </w:r>
    </w:p>
    <w:p w:rsidR="00536EC9" w:rsidRPr="00536EC9" w:rsidP="00536EC9">
      <w:pPr>
        <w:tabs>
          <w:tab w:val="left" w:pos="709"/>
        </w:tabs>
        <w:bidi w:val="0"/>
        <w:spacing w:after="0"/>
        <w:ind w:left="709" w:hanging="283"/>
        <w:jc w:val="center"/>
        <w:rPr>
          <w:rFonts w:ascii="Times New Roman" w:hAnsi="Times New Roman" w:cs="Times New Roman"/>
          <w:b/>
          <w:bCs/>
          <w:color w:val="000000"/>
          <w:sz w:val="24"/>
          <w:szCs w:val="24"/>
        </w:rPr>
      </w:pPr>
      <w:r w:rsidRPr="00536EC9">
        <w:rPr>
          <w:rFonts w:ascii="Times New Roman" w:hAnsi="Times New Roman" w:cs="Times New Roman"/>
          <w:b/>
          <w:bCs/>
          <w:color w:val="000000"/>
          <w:sz w:val="24"/>
          <w:szCs w:val="24"/>
        </w:rPr>
        <w:t>Osobitné prostriedky komunikácie</w:t>
      </w:r>
    </w:p>
    <w:p w:rsidR="00536EC9" w:rsidRPr="00536EC9" w:rsidP="00536EC9">
      <w:pPr>
        <w:tabs>
          <w:tab w:val="left" w:pos="0"/>
        </w:tabs>
        <w:bidi w:val="0"/>
        <w:spacing w:after="0"/>
        <w:jc w:val="both"/>
        <w:rPr>
          <w:rFonts w:ascii="Times New Roman" w:hAnsi="Times New Roman" w:cs="Times New Roman"/>
          <w:bCs/>
          <w:color w:val="000000"/>
          <w:sz w:val="24"/>
          <w:szCs w:val="24"/>
        </w:rPr>
      </w:pPr>
    </w:p>
    <w:p w:rsidR="00536EC9" w:rsidRPr="00536EC9" w:rsidP="00536EC9">
      <w:pPr>
        <w:tabs>
          <w:tab w:val="left" w:pos="0"/>
        </w:tabs>
        <w:bidi w:val="0"/>
        <w:spacing w:after="0"/>
        <w:jc w:val="both"/>
        <w:rPr>
          <w:rFonts w:ascii="Times New Roman" w:hAnsi="Times New Roman" w:cs="Times New Roman"/>
          <w:bCs/>
          <w:color w:val="000000"/>
          <w:sz w:val="24"/>
          <w:szCs w:val="24"/>
        </w:rPr>
      </w:pPr>
      <w:r w:rsidRPr="00536EC9">
        <w:rPr>
          <w:rFonts w:ascii="Times New Roman" w:hAnsi="Times New Roman" w:cs="Times New Roman"/>
          <w:bCs/>
          <w:color w:val="000000"/>
          <w:sz w:val="24"/>
          <w:szCs w:val="24"/>
        </w:rPr>
        <w:tab/>
        <w:t>(1) Národná banka Slovenska určí na prijímanie a skúmanie správ o porušeniach osobitné</w:t>
      </w:r>
      <w:r w:rsidRPr="00536EC9">
        <w:rPr>
          <w:rFonts w:ascii="Times New Roman" w:hAnsi="Times New Roman" w:cs="Times New Roman"/>
          <w:b/>
          <w:bCs/>
          <w:color w:val="000000"/>
          <w:sz w:val="24"/>
          <w:szCs w:val="24"/>
        </w:rPr>
        <w:t xml:space="preserve"> </w:t>
      </w:r>
      <w:r w:rsidRPr="00536EC9">
        <w:rPr>
          <w:rFonts w:ascii="Times New Roman" w:hAnsi="Times New Roman" w:cs="Times New Roman"/>
          <w:bCs/>
          <w:color w:val="000000"/>
          <w:sz w:val="24"/>
          <w:szCs w:val="24"/>
        </w:rPr>
        <w:t xml:space="preserve">prostriedky komunikácie, ktoré sú nezávislé, autonómne,  bezpečné a zaručia dôvernosť nimi prenášaných údajov. </w:t>
      </w:r>
    </w:p>
    <w:p w:rsidR="00536EC9" w:rsidRPr="00536EC9" w:rsidP="00536EC9">
      <w:pPr>
        <w:tabs>
          <w:tab w:val="left" w:pos="0"/>
        </w:tabs>
        <w:bidi w:val="0"/>
        <w:spacing w:after="0"/>
        <w:jc w:val="both"/>
        <w:rPr>
          <w:rFonts w:ascii="Times New Roman" w:hAnsi="Times New Roman" w:cs="Times New Roman"/>
          <w:bCs/>
          <w:color w:val="000000"/>
          <w:sz w:val="24"/>
          <w:szCs w:val="24"/>
        </w:rPr>
      </w:pPr>
    </w:p>
    <w:p w:rsidR="00536EC9" w:rsidRPr="00536EC9" w:rsidP="00536EC9">
      <w:pPr>
        <w:tabs>
          <w:tab w:val="left" w:pos="0"/>
        </w:tabs>
        <w:bidi w:val="0"/>
        <w:spacing w:after="0"/>
        <w:jc w:val="both"/>
        <w:rPr>
          <w:rFonts w:ascii="Times New Roman" w:hAnsi="Times New Roman" w:cs="Times New Roman"/>
          <w:bCs/>
          <w:color w:val="000000"/>
          <w:sz w:val="24"/>
          <w:szCs w:val="24"/>
        </w:rPr>
      </w:pPr>
      <w:r w:rsidRPr="00536EC9">
        <w:rPr>
          <w:rFonts w:ascii="Times New Roman" w:hAnsi="Times New Roman" w:cs="Times New Roman"/>
          <w:bCs/>
          <w:color w:val="000000"/>
          <w:sz w:val="24"/>
          <w:szCs w:val="24"/>
        </w:rPr>
        <w:tab/>
        <w:t>(2) Osobitné prostriedky komunikácie sa považujú za nezávislé a autonómne, ak spĺňajú tieto podmienky:</w:t>
      </w:r>
    </w:p>
    <w:p w:rsidR="00536EC9" w:rsidRPr="00536EC9" w:rsidP="00536EC9">
      <w:pPr>
        <w:tabs>
          <w:tab w:val="left" w:pos="284"/>
        </w:tabs>
        <w:bidi w:val="0"/>
        <w:spacing w:after="0"/>
        <w:ind w:left="284" w:hanging="284"/>
        <w:jc w:val="both"/>
        <w:rPr>
          <w:rFonts w:ascii="Times New Roman" w:hAnsi="Times New Roman" w:cs="Times New Roman"/>
          <w:bCs/>
          <w:color w:val="000000"/>
          <w:sz w:val="24"/>
          <w:szCs w:val="24"/>
        </w:rPr>
      </w:pPr>
      <w:r w:rsidRPr="00536EC9">
        <w:rPr>
          <w:rFonts w:ascii="Times New Roman" w:hAnsi="Times New Roman" w:cs="Times New Roman"/>
          <w:bCs/>
          <w:color w:val="000000"/>
          <w:sz w:val="24"/>
          <w:szCs w:val="24"/>
        </w:rPr>
        <w:t>a) sú oddelené od bežných prostriedkov komunikácie Národnej banky Slovenska vrátane tých, prostredníctvom ktorých Národná banka Slovenska komunikuje interne a s tretími stranami pri svojej bežnej činnosti,</w:t>
      </w:r>
    </w:p>
    <w:p w:rsidR="00536EC9" w:rsidRPr="00536EC9" w:rsidP="00536EC9">
      <w:pPr>
        <w:tabs>
          <w:tab w:val="left" w:pos="284"/>
        </w:tabs>
        <w:bidi w:val="0"/>
        <w:spacing w:after="0"/>
        <w:ind w:left="284" w:hanging="284"/>
        <w:jc w:val="both"/>
        <w:rPr>
          <w:rFonts w:ascii="Times New Roman" w:hAnsi="Times New Roman" w:cs="Times New Roman"/>
          <w:bCs/>
          <w:color w:val="000000"/>
          <w:sz w:val="24"/>
          <w:szCs w:val="24"/>
        </w:rPr>
      </w:pPr>
      <w:r w:rsidRPr="00536EC9">
        <w:rPr>
          <w:rFonts w:ascii="Times New Roman" w:hAnsi="Times New Roman" w:cs="Times New Roman"/>
          <w:bCs/>
          <w:color w:val="000000"/>
          <w:sz w:val="24"/>
          <w:szCs w:val="24"/>
        </w:rPr>
        <w:t>b) sú navrhnuté, zriadené a prevádzkované takým spôsobom, ktorý zabezpečí úplnosť, integritu a dôvernosť informácií a bráni v prístupe neoprávnených zamestnancov Národnej banky Slovenska,</w:t>
      </w:r>
    </w:p>
    <w:p w:rsidR="00536EC9" w:rsidRPr="00536EC9" w:rsidP="00536EC9">
      <w:pPr>
        <w:tabs>
          <w:tab w:val="left" w:pos="0"/>
        </w:tabs>
        <w:bidi w:val="0"/>
        <w:spacing w:after="0"/>
        <w:jc w:val="both"/>
        <w:rPr>
          <w:rFonts w:ascii="Times New Roman" w:hAnsi="Times New Roman" w:cs="Times New Roman"/>
          <w:bCs/>
          <w:color w:val="000000"/>
          <w:sz w:val="24"/>
          <w:szCs w:val="24"/>
        </w:rPr>
      </w:pPr>
      <w:r w:rsidRPr="00536EC9">
        <w:rPr>
          <w:rFonts w:ascii="Times New Roman" w:hAnsi="Times New Roman" w:cs="Times New Roman"/>
          <w:bCs/>
          <w:color w:val="000000"/>
          <w:sz w:val="24"/>
          <w:szCs w:val="24"/>
        </w:rPr>
        <w:t xml:space="preserve">c) umožňujú uchovávanie informácií podľa § 38c a ich ďalšie využitie pre výkon dohľadu. </w:t>
      </w:r>
    </w:p>
    <w:p w:rsidR="00536EC9" w:rsidRPr="00536EC9" w:rsidP="00536EC9">
      <w:pPr>
        <w:tabs>
          <w:tab w:val="left" w:pos="0"/>
        </w:tabs>
        <w:bidi w:val="0"/>
        <w:spacing w:after="0"/>
        <w:jc w:val="both"/>
        <w:rPr>
          <w:rFonts w:ascii="Times New Roman" w:hAnsi="Times New Roman" w:cs="Times New Roman"/>
          <w:bCs/>
          <w:color w:val="000000"/>
          <w:sz w:val="24"/>
          <w:szCs w:val="24"/>
        </w:rPr>
      </w:pPr>
    </w:p>
    <w:p w:rsidR="00536EC9" w:rsidRPr="00536EC9" w:rsidP="00536EC9">
      <w:pPr>
        <w:tabs>
          <w:tab w:val="left" w:pos="0"/>
        </w:tabs>
        <w:bidi w:val="0"/>
        <w:spacing w:after="0"/>
        <w:jc w:val="both"/>
        <w:rPr>
          <w:rFonts w:ascii="Times New Roman" w:hAnsi="Times New Roman" w:cs="Times New Roman"/>
          <w:bCs/>
          <w:color w:val="000000"/>
          <w:sz w:val="24"/>
          <w:szCs w:val="24"/>
        </w:rPr>
      </w:pPr>
      <w:r w:rsidRPr="00536EC9">
        <w:rPr>
          <w:rFonts w:ascii="Times New Roman" w:hAnsi="Times New Roman" w:cs="Times New Roman"/>
          <w:bCs/>
          <w:color w:val="000000"/>
          <w:sz w:val="24"/>
          <w:szCs w:val="24"/>
        </w:rPr>
        <w:tab/>
        <w:t xml:space="preserve">(3) Osobitné prostriedky komunikácie musia umožniť nahlasovanie skutočných  porušení povinností alebo možných porušení povinností dohliadaných subjektov najmenej týmito spôsobmi: </w:t>
      </w:r>
    </w:p>
    <w:p w:rsidR="00536EC9" w:rsidRPr="00536EC9" w:rsidP="00536EC9">
      <w:pPr>
        <w:tabs>
          <w:tab w:val="left" w:pos="0"/>
        </w:tabs>
        <w:bidi w:val="0"/>
        <w:spacing w:after="0"/>
        <w:jc w:val="both"/>
        <w:rPr>
          <w:rFonts w:ascii="Times New Roman" w:hAnsi="Times New Roman" w:cs="Times New Roman"/>
          <w:bCs/>
          <w:color w:val="000000"/>
          <w:sz w:val="24"/>
          <w:szCs w:val="24"/>
        </w:rPr>
      </w:pPr>
      <w:r w:rsidRPr="00536EC9">
        <w:rPr>
          <w:rFonts w:ascii="Times New Roman" w:hAnsi="Times New Roman" w:cs="Times New Roman"/>
          <w:bCs/>
          <w:color w:val="000000"/>
          <w:sz w:val="24"/>
          <w:szCs w:val="24"/>
        </w:rPr>
        <w:t>a) písomnou správou o porušení v elektronickej podobe alebo v listinnej podobe,</w:t>
      </w:r>
    </w:p>
    <w:p w:rsidR="00536EC9" w:rsidRPr="00536EC9" w:rsidP="00536EC9">
      <w:pPr>
        <w:bidi w:val="0"/>
        <w:spacing w:after="0"/>
        <w:ind w:left="284" w:hanging="284"/>
        <w:jc w:val="both"/>
        <w:rPr>
          <w:rFonts w:ascii="Times New Roman" w:hAnsi="Times New Roman" w:cs="Times New Roman"/>
          <w:bCs/>
          <w:color w:val="000000"/>
          <w:sz w:val="24"/>
          <w:szCs w:val="24"/>
        </w:rPr>
      </w:pPr>
      <w:r w:rsidRPr="00536EC9">
        <w:rPr>
          <w:rFonts w:ascii="Times New Roman" w:hAnsi="Times New Roman" w:cs="Times New Roman"/>
          <w:bCs/>
          <w:color w:val="000000"/>
          <w:sz w:val="24"/>
          <w:szCs w:val="24"/>
        </w:rPr>
        <w:t>b) ústnou správou o porušení prostredníctvom telefónnych liniek, či už zaznamenanou alebo nezaznamenanou,</w:t>
      </w:r>
    </w:p>
    <w:p w:rsidR="00536EC9" w:rsidRPr="00536EC9" w:rsidP="00536EC9">
      <w:pPr>
        <w:tabs>
          <w:tab w:val="left" w:pos="0"/>
        </w:tabs>
        <w:bidi w:val="0"/>
        <w:spacing w:after="0"/>
        <w:jc w:val="both"/>
        <w:rPr>
          <w:rFonts w:ascii="Times New Roman" w:hAnsi="Times New Roman" w:cs="Times New Roman"/>
          <w:bCs/>
          <w:color w:val="000000"/>
          <w:sz w:val="24"/>
          <w:szCs w:val="24"/>
        </w:rPr>
      </w:pPr>
      <w:r w:rsidRPr="00536EC9">
        <w:rPr>
          <w:rFonts w:ascii="Times New Roman" w:hAnsi="Times New Roman" w:cs="Times New Roman"/>
          <w:bCs/>
          <w:color w:val="000000"/>
          <w:sz w:val="24"/>
          <w:szCs w:val="24"/>
        </w:rPr>
        <w:t>c) osobným stretnutím so špecializovaným zamestnancom.</w:t>
      </w:r>
    </w:p>
    <w:p w:rsidR="00536EC9" w:rsidRPr="00536EC9" w:rsidP="00536EC9">
      <w:pPr>
        <w:tabs>
          <w:tab w:val="left" w:pos="0"/>
        </w:tabs>
        <w:bidi w:val="0"/>
        <w:spacing w:after="0"/>
        <w:jc w:val="both"/>
        <w:rPr>
          <w:rFonts w:ascii="Times New Roman" w:hAnsi="Times New Roman" w:cs="Times New Roman"/>
          <w:bCs/>
          <w:color w:val="000000"/>
          <w:sz w:val="24"/>
          <w:szCs w:val="24"/>
        </w:rPr>
      </w:pPr>
    </w:p>
    <w:p w:rsidR="00536EC9" w:rsidRPr="00536EC9" w:rsidP="00536EC9">
      <w:pPr>
        <w:tabs>
          <w:tab w:val="left" w:pos="0"/>
        </w:tabs>
        <w:bidi w:val="0"/>
        <w:spacing w:after="0"/>
        <w:jc w:val="both"/>
        <w:rPr>
          <w:rFonts w:ascii="Times New Roman" w:hAnsi="Times New Roman" w:cs="Times New Roman"/>
          <w:bCs/>
          <w:color w:val="000000"/>
          <w:sz w:val="24"/>
          <w:szCs w:val="24"/>
        </w:rPr>
      </w:pPr>
      <w:r w:rsidRPr="00536EC9">
        <w:rPr>
          <w:rFonts w:ascii="Times New Roman" w:hAnsi="Times New Roman" w:cs="Times New Roman"/>
          <w:bCs/>
          <w:color w:val="000000"/>
          <w:sz w:val="24"/>
          <w:szCs w:val="24"/>
        </w:rPr>
        <w:tab/>
        <w:t xml:space="preserve">(4) Národná banka Slovenska poskytne informácie podľa § 37 ods. 4 nahlasujúcej osobe pred prijatím správy o porušeniach alebo najneskôr v čase jej prijatia. </w:t>
      </w:r>
    </w:p>
    <w:p w:rsidR="00536EC9" w:rsidRPr="00536EC9" w:rsidP="00536EC9">
      <w:pPr>
        <w:tabs>
          <w:tab w:val="left" w:pos="0"/>
        </w:tabs>
        <w:bidi w:val="0"/>
        <w:spacing w:after="0"/>
        <w:jc w:val="both"/>
        <w:rPr>
          <w:rFonts w:ascii="Times New Roman" w:hAnsi="Times New Roman" w:cs="Times New Roman"/>
          <w:bCs/>
          <w:color w:val="000000"/>
          <w:sz w:val="24"/>
          <w:szCs w:val="24"/>
        </w:rPr>
      </w:pPr>
    </w:p>
    <w:p w:rsidR="00536EC9" w:rsidRPr="00536EC9" w:rsidP="00536EC9">
      <w:pPr>
        <w:tabs>
          <w:tab w:val="left" w:pos="0"/>
        </w:tabs>
        <w:bidi w:val="0"/>
        <w:spacing w:after="0"/>
        <w:jc w:val="both"/>
        <w:rPr>
          <w:rFonts w:ascii="Times New Roman" w:hAnsi="Times New Roman" w:cs="Times New Roman"/>
          <w:bCs/>
          <w:color w:val="000000"/>
          <w:sz w:val="24"/>
          <w:szCs w:val="24"/>
        </w:rPr>
      </w:pPr>
      <w:r w:rsidRPr="00536EC9">
        <w:rPr>
          <w:rFonts w:ascii="Times New Roman" w:hAnsi="Times New Roman" w:cs="Times New Roman"/>
          <w:bCs/>
          <w:color w:val="000000"/>
          <w:sz w:val="24"/>
          <w:szCs w:val="24"/>
        </w:rPr>
        <w:tab/>
        <w:t xml:space="preserve">(5) Národná banka Slovenska zabezpečí, aby sa správa o porušení prijatá inak ako prostredníctvom osobitných prostriedkov komunikácie bezodkladne a bez zmeny zaslala prostredníctvom osobitných prostriedkov komunikácie špecializovanému zamestnancovi. </w:t>
      </w:r>
    </w:p>
    <w:p w:rsidR="00536EC9" w:rsidRPr="00536EC9" w:rsidP="00536EC9">
      <w:pPr>
        <w:tabs>
          <w:tab w:val="left" w:pos="0"/>
        </w:tabs>
        <w:bidi w:val="0"/>
        <w:spacing w:after="0"/>
        <w:jc w:val="both"/>
        <w:rPr>
          <w:rFonts w:ascii="Times New Roman" w:hAnsi="Times New Roman" w:cs="Times New Roman"/>
          <w:bCs/>
          <w:color w:val="000000"/>
          <w:sz w:val="24"/>
          <w:szCs w:val="24"/>
        </w:rPr>
      </w:pPr>
    </w:p>
    <w:p w:rsidR="00536EC9" w:rsidRPr="00536EC9" w:rsidP="00536EC9">
      <w:pPr>
        <w:tabs>
          <w:tab w:val="left" w:pos="0"/>
        </w:tabs>
        <w:bidi w:val="0"/>
        <w:spacing w:after="0"/>
        <w:jc w:val="center"/>
        <w:rPr>
          <w:rFonts w:ascii="Times New Roman" w:hAnsi="Times New Roman" w:cs="Times New Roman"/>
          <w:b/>
          <w:bCs/>
          <w:color w:val="000000"/>
          <w:sz w:val="24"/>
          <w:szCs w:val="24"/>
        </w:rPr>
      </w:pPr>
      <w:r w:rsidRPr="00536EC9">
        <w:rPr>
          <w:rFonts w:ascii="Times New Roman" w:hAnsi="Times New Roman" w:cs="Times New Roman"/>
          <w:b/>
          <w:bCs/>
          <w:color w:val="000000"/>
          <w:sz w:val="24"/>
          <w:szCs w:val="24"/>
        </w:rPr>
        <w:t>§ 38c</w:t>
      </w:r>
    </w:p>
    <w:p w:rsidR="00536EC9" w:rsidRPr="00536EC9" w:rsidP="00536EC9">
      <w:pPr>
        <w:tabs>
          <w:tab w:val="left" w:pos="0"/>
        </w:tabs>
        <w:bidi w:val="0"/>
        <w:spacing w:after="0"/>
        <w:jc w:val="center"/>
        <w:rPr>
          <w:rFonts w:ascii="Times New Roman" w:hAnsi="Times New Roman" w:cs="Times New Roman"/>
          <w:b/>
          <w:bCs/>
          <w:color w:val="000000"/>
          <w:sz w:val="24"/>
          <w:szCs w:val="24"/>
        </w:rPr>
      </w:pPr>
      <w:r w:rsidRPr="00536EC9">
        <w:rPr>
          <w:rFonts w:ascii="Times New Roman" w:hAnsi="Times New Roman" w:cs="Times New Roman"/>
          <w:b/>
          <w:bCs/>
          <w:color w:val="000000"/>
          <w:sz w:val="24"/>
          <w:szCs w:val="24"/>
        </w:rPr>
        <w:t>Uchovávanie záznamov o prijatých správach</w:t>
      </w:r>
    </w:p>
    <w:p w:rsidR="00536EC9" w:rsidRPr="00536EC9" w:rsidP="00536EC9">
      <w:pPr>
        <w:tabs>
          <w:tab w:val="left" w:pos="0"/>
        </w:tabs>
        <w:bidi w:val="0"/>
        <w:spacing w:after="0"/>
        <w:jc w:val="both"/>
        <w:rPr>
          <w:rFonts w:ascii="Times New Roman" w:hAnsi="Times New Roman" w:cs="Times New Roman"/>
          <w:b/>
          <w:bCs/>
          <w:color w:val="000000"/>
          <w:sz w:val="24"/>
          <w:szCs w:val="24"/>
        </w:rPr>
      </w:pPr>
    </w:p>
    <w:p w:rsidR="00536EC9" w:rsidRPr="00536EC9" w:rsidP="00536EC9">
      <w:pPr>
        <w:tabs>
          <w:tab w:val="left" w:pos="0"/>
        </w:tabs>
        <w:bidi w:val="0"/>
        <w:spacing w:after="0"/>
        <w:jc w:val="both"/>
        <w:rPr>
          <w:rFonts w:ascii="Times New Roman" w:hAnsi="Times New Roman" w:cs="Times New Roman"/>
          <w:bCs/>
          <w:color w:val="000000"/>
          <w:sz w:val="24"/>
          <w:szCs w:val="24"/>
        </w:rPr>
      </w:pPr>
      <w:r w:rsidRPr="00536EC9">
        <w:rPr>
          <w:rFonts w:ascii="Times New Roman" w:hAnsi="Times New Roman" w:cs="Times New Roman"/>
          <w:bCs/>
          <w:color w:val="000000"/>
          <w:sz w:val="24"/>
          <w:szCs w:val="24"/>
        </w:rPr>
        <w:tab/>
        <w:t>(1) Národná banka Slovenska zabezpečí uchovávanie záznamov</w:t>
      </w:r>
      <w:r w:rsidRPr="00536EC9">
        <w:rPr>
          <w:rFonts w:ascii="Times New Roman" w:hAnsi="Times New Roman" w:cs="Times New Roman"/>
          <w:bCs/>
          <w:color w:val="000000"/>
          <w:sz w:val="24"/>
          <w:szCs w:val="24"/>
          <w:vertAlign w:val="superscript"/>
        </w:rPr>
        <w:t>47d</w:t>
      </w:r>
      <w:r w:rsidRPr="00536EC9">
        <w:rPr>
          <w:rFonts w:ascii="Times New Roman" w:hAnsi="Times New Roman" w:cs="Times New Roman"/>
          <w:bCs/>
          <w:color w:val="000000"/>
          <w:sz w:val="24"/>
          <w:szCs w:val="24"/>
        </w:rPr>
        <w:t>) o prijatých správach o porušeniach.</w:t>
      </w:r>
    </w:p>
    <w:p w:rsidR="00536EC9" w:rsidRPr="00536EC9" w:rsidP="00536EC9">
      <w:pPr>
        <w:tabs>
          <w:tab w:val="left" w:pos="0"/>
        </w:tabs>
        <w:bidi w:val="0"/>
        <w:spacing w:after="0"/>
        <w:jc w:val="both"/>
        <w:rPr>
          <w:rFonts w:ascii="Times New Roman" w:hAnsi="Times New Roman" w:cs="Times New Roman"/>
          <w:bCs/>
          <w:color w:val="000000"/>
          <w:sz w:val="24"/>
          <w:szCs w:val="24"/>
        </w:rPr>
      </w:pPr>
    </w:p>
    <w:p w:rsidR="00536EC9" w:rsidRPr="00536EC9" w:rsidP="00536EC9">
      <w:pPr>
        <w:tabs>
          <w:tab w:val="left" w:pos="0"/>
        </w:tabs>
        <w:bidi w:val="0"/>
        <w:spacing w:after="0"/>
        <w:jc w:val="both"/>
        <w:rPr>
          <w:rFonts w:ascii="Times New Roman" w:hAnsi="Times New Roman" w:cs="Times New Roman"/>
          <w:bCs/>
          <w:color w:val="000000"/>
          <w:sz w:val="24"/>
          <w:szCs w:val="24"/>
        </w:rPr>
      </w:pPr>
      <w:r w:rsidRPr="00536EC9">
        <w:rPr>
          <w:rFonts w:ascii="Times New Roman" w:hAnsi="Times New Roman" w:cs="Times New Roman"/>
          <w:bCs/>
          <w:color w:val="000000"/>
          <w:sz w:val="24"/>
          <w:szCs w:val="24"/>
        </w:rPr>
        <w:tab/>
        <w:t>(2) Národná banka Slovenska bezodkladne potvrdí prijatie písomnej správy o porušení na poštovú adresu alebo na elektronickú adresu uvedenú nahlasujúcou osobou; to neplatí, ak  nahlasujúca osoba výslovne požiadala o iný postup alebo ak sa Národná banka Slovenska odôvodnene domnieva, že potvrdenie prijatia písomnej správy by ohrozilo ochranu totožnosti nahlasujúcej osoby.</w:t>
      </w:r>
    </w:p>
    <w:p w:rsidR="00536EC9" w:rsidRPr="00536EC9" w:rsidP="00536EC9">
      <w:pPr>
        <w:tabs>
          <w:tab w:val="left" w:pos="0"/>
        </w:tabs>
        <w:bidi w:val="0"/>
        <w:spacing w:after="0"/>
        <w:jc w:val="both"/>
        <w:rPr>
          <w:rFonts w:ascii="Times New Roman" w:hAnsi="Times New Roman" w:cs="Times New Roman"/>
          <w:bCs/>
          <w:color w:val="000000"/>
          <w:sz w:val="24"/>
          <w:szCs w:val="24"/>
        </w:rPr>
      </w:pPr>
    </w:p>
    <w:p w:rsidR="00536EC9" w:rsidRPr="00536EC9" w:rsidP="00536EC9">
      <w:pPr>
        <w:tabs>
          <w:tab w:val="left" w:pos="0"/>
        </w:tabs>
        <w:bidi w:val="0"/>
        <w:spacing w:after="0"/>
        <w:jc w:val="both"/>
        <w:rPr>
          <w:rFonts w:ascii="Times New Roman" w:hAnsi="Times New Roman" w:cs="Times New Roman"/>
          <w:bCs/>
          <w:color w:val="000000"/>
          <w:sz w:val="24"/>
          <w:szCs w:val="24"/>
        </w:rPr>
      </w:pPr>
      <w:r w:rsidRPr="00536EC9">
        <w:rPr>
          <w:rFonts w:ascii="Times New Roman" w:hAnsi="Times New Roman" w:cs="Times New Roman"/>
          <w:bCs/>
          <w:color w:val="000000"/>
          <w:sz w:val="24"/>
          <w:szCs w:val="24"/>
        </w:rPr>
        <w:tab/>
        <w:t>(3) Ak sa na nahlasovanie porušení používa zaznamenávaná telefónna linka, Národná banka Slovenska je oprávnená zdokumentovať ústne podanú správu o porušení vo forme</w:t>
      </w:r>
    </w:p>
    <w:p w:rsidR="00536EC9" w:rsidRPr="00536EC9" w:rsidP="00536EC9">
      <w:pPr>
        <w:tabs>
          <w:tab w:val="left" w:pos="0"/>
        </w:tabs>
        <w:bidi w:val="0"/>
        <w:spacing w:after="0"/>
        <w:jc w:val="both"/>
        <w:rPr>
          <w:rFonts w:ascii="Times New Roman" w:hAnsi="Times New Roman" w:cs="Times New Roman"/>
          <w:bCs/>
          <w:color w:val="000000"/>
          <w:sz w:val="24"/>
          <w:szCs w:val="24"/>
        </w:rPr>
      </w:pPr>
      <w:r w:rsidRPr="00536EC9">
        <w:rPr>
          <w:rFonts w:ascii="Times New Roman" w:hAnsi="Times New Roman" w:cs="Times New Roman"/>
          <w:bCs/>
          <w:color w:val="000000"/>
          <w:sz w:val="24"/>
          <w:szCs w:val="24"/>
        </w:rPr>
        <w:t xml:space="preserve">a) zvukovej nahrávky rozhovoru v trvalom a vyhľadateľnom formáte alebo </w:t>
      </w:r>
    </w:p>
    <w:p w:rsidR="00536EC9" w:rsidRPr="00536EC9" w:rsidP="00536EC9">
      <w:pPr>
        <w:tabs>
          <w:tab w:val="left" w:pos="0"/>
        </w:tabs>
        <w:bidi w:val="0"/>
        <w:spacing w:after="0"/>
        <w:jc w:val="both"/>
        <w:rPr>
          <w:rFonts w:ascii="Times New Roman" w:hAnsi="Times New Roman" w:cs="Times New Roman"/>
          <w:bCs/>
          <w:color w:val="000000"/>
          <w:sz w:val="24"/>
          <w:szCs w:val="24"/>
        </w:rPr>
      </w:pPr>
      <w:r w:rsidRPr="00536EC9">
        <w:rPr>
          <w:rFonts w:ascii="Times New Roman" w:hAnsi="Times New Roman" w:cs="Times New Roman"/>
          <w:bCs/>
          <w:color w:val="000000"/>
          <w:sz w:val="24"/>
          <w:szCs w:val="24"/>
        </w:rPr>
        <w:t xml:space="preserve">b) úplného a presného prepisu rozhovoru vypracovaného špecializovanými zamestnancami; ak nahlasujúca osoba odhalila svoju totožnosť, Národná banka Slovenska ponúkne nahlasujúcej osobe možnosť skontrolovať a opraviť prepis hovoru a potvrdiť ho svojím podpisom. </w:t>
      </w:r>
    </w:p>
    <w:p w:rsidR="00536EC9" w:rsidRPr="00536EC9" w:rsidP="00536EC9">
      <w:pPr>
        <w:tabs>
          <w:tab w:val="left" w:pos="0"/>
        </w:tabs>
        <w:bidi w:val="0"/>
        <w:spacing w:after="0"/>
        <w:jc w:val="both"/>
        <w:rPr>
          <w:rFonts w:ascii="Times New Roman" w:hAnsi="Times New Roman" w:cs="Times New Roman"/>
          <w:bCs/>
          <w:color w:val="000000"/>
          <w:sz w:val="24"/>
          <w:szCs w:val="24"/>
        </w:rPr>
      </w:pPr>
    </w:p>
    <w:p w:rsidR="00536EC9" w:rsidRPr="00536EC9" w:rsidP="00536EC9">
      <w:pPr>
        <w:tabs>
          <w:tab w:val="left" w:pos="0"/>
        </w:tabs>
        <w:bidi w:val="0"/>
        <w:spacing w:after="0"/>
        <w:jc w:val="both"/>
        <w:rPr>
          <w:rFonts w:ascii="Times New Roman" w:hAnsi="Times New Roman" w:cs="Times New Roman"/>
          <w:bCs/>
          <w:color w:val="000000"/>
          <w:sz w:val="24"/>
          <w:szCs w:val="24"/>
        </w:rPr>
      </w:pPr>
      <w:r w:rsidRPr="00536EC9">
        <w:rPr>
          <w:rFonts w:ascii="Times New Roman" w:hAnsi="Times New Roman" w:cs="Times New Roman"/>
          <w:bCs/>
          <w:color w:val="000000"/>
          <w:sz w:val="24"/>
          <w:szCs w:val="24"/>
        </w:rPr>
        <w:tab/>
        <w:t xml:space="preserve">(4) Ak sa na nahlasovanie porušení používa nezaznamenávaná telefónna linka, Národná banka Slovenska je oprávnená zdokumentovať ústne podanú správu o porušení vo forme presnej zápisnice z rozhovoru vypracovanej špecializovaným zamestnancom. Ak nahlasujúca osoba odhalila svoju totožnosť, Národná banka Slovenska ponúkne nahlasujúcej osobe možnosť skontrolovať a opraviť zápisnicu z rozhovoru a potvrdiť ju svojím podpisom. </w:t>
      </w:r>
    </w:p>
    <w:p w:rsidR="00536EC9" w:rsidRPr="00536EC9" w:rsidP="00536EC9">
      <w:pPr>
        <w:tabs>
          <w:tab w:val="left" w:pos="0"/>
        </w:tabs>
        <w:bidi w:val="0"/>
        <w:spacing w:after="0"/>
        <w:jc w:val="both"/>
        <w:rPr>
          <w:rFonts w:ascii="Times New Roman" w:hAnsi="Times New Roman" w:cs="Times New Roman"/>
          <w:bCs/>
          <w:color w:val="000000"/>
          <w:sz w:val="24"/>
          <w:szCs w:val="24"/>
        </w:rPr>
      </w:pPr>
    </w:p>
    <w:p w:rsidR="00536EC9" w:rsidRPr="00536EC9" w:rsidP="00536EC9">
      <w:pPr>
        <w:tabs>
          <w:tab w:val="left" w:pos="0"/>
        </w:tabs>
        <w:bidi w:val="0"/>
        <w:spacing w:after="0"/>
        <w:jc w:val="both"/>
        <w:rPr>
          <w:rFonts w:ascii="Times New Roman" w:hAnsi="Times New Roman" w:cs="Times New Roman"/>
          <w:bCs/>
          <w:color w:val="000000"/>
          <w:sz w:val="24"/>
          <w:szCs w:val="24"/>
        </w:rPr>
      </w:pPr>
      <w:r w:rsidRPr="00536EC9">
        <w:rPr>
          <w:rFonts w:ascii="Times New Roman" w:hAnsi="Times New Roman" w:cs="Times New Roman"/>
          <w:bCs/>
          <w:color w:val="000000"/>
          <w:sz w:val="24"/>
          <w:szCs w:val="24"/>
        </w:rPr>
        <w:tab/>
        <w:t xml:space="preserve">(5) Ak nahlasujúca osoba požaduje osobné stretnutie so špecializovaným zamestnancom, aby nahlásila porušenie spôsobom podľa § 38b ods. 3 písm. c), Národná banka Slovenska zabezpečí, aby sa uchovali úplné a presné záznamy zo stretnutia v trvalom a vyhľadateľnom formáte. Národná banka Slovenska je oprávnená zdokumentovať záznamy o osobnom stretnutí vo forme </w:t>
      </w:r>
    </w:p>
    <w:p w:rsidR="00536EC9" w:rsidRPr="00536EC9" w:rsidP="00536EC9">
      <w:pPr>
        <w:tabs>
          <w:tab w:val="left" w:pos="0"/>
        </w:tabs>
        <w:bidi w:val="0"/>
        <w:spacing w:after="0"/>
        <w:jc w:val="both"/>
        <w:rPr>
          <w:rFonts w:ascii="Times New Roman" w:hAnsi="Times New Roman" w:cs="Times New Roman"/>
          <w:bCs/>
          <w:color w:val="000000"/>
          <w:sz w:val="24"/>
          <w:szCs w:val="24"/>
        </w:rPr>
      </w:pPr>
      <w:r w:rsidRPr="00536EC9">
        <w:rPr>
          <w:rFonts w:ascii="Times New Roman" w:hAnsi="Times New Roman" w:cs="Times New Roman"/>
          <w:bCs/>
          <w:color w:val="000000"/>
          <w:sz w:val="24"/>
          <w:szCs w:val="24"/>
        </w:rPr>
        <w:t xml:space="preserve">a) zvukovej nahrávky rozhovoru v trvalom a vyhľadateľnom formáte alebo </w:t>
      </w:r>
    </w:p>
    <w:p w:rsidR="00536EC9" w:rsidRPr="00536EC9" w:rsidP="00536EC9">
      <w:pPr>
        <w:tabs>
          <w:tab w:val="left" w:pos="0"/>
        </w:tabs>
        <w:bidi w:val="0"/>
        <w:spacing w:after="0"/>
        <w:jc w:val="both"/>
        <w:rPr>
          <w:rFonts w:ascii="Times New Roman" w:hAnsi="Times New Roman" w:cs="Times New Roman"/>
          <w:bCs/>
          <w:color w:val="000000"/>
          <w:sz w:val="24"/>
          <w:szCs w:val="24"/>
        </w:rPr>
      </w:pPr>
      <w:r w:rsidRPr="00536EC9">
        <w:rPr>
          <w:rFonts w:ascii="Times New Roman" w:hAnsi="Times New Roman" w:cs="Times New Roman"/>
          <w:bCs/>
          <w:color w:val="000000"/>
          <w:sz w:val="24"/>
          <w:szCs w:val="24"/>
        </w:rPr>
        <w:t xml:space="preserve">b) úplnej zápisnice zo stretnutia vypracovanej špecializovaným zamestnancom; ak nahlasujúca osoba odhalila svoju totožnosť, Národná banka Slovenska ponúkne nahlasujúcej osobe možnosť skontrolovať a opraviť zápisnicu zo stretnutia a potvrdiť ju svojím podpisom. </w:t>
      </w:r>
    </w:p>
    <w:p w:rsidR="00536EC9" w:rsidRPr="00536EC9" w:rsidP="00536EC9">
      <w:pPr>
        <w:tabs>
          <w:tab w:val="left" w:pos="0"/>
        </w:tabs>
        <w:bidi w:val="0"/>
        <w:spacing w:after="0"/>
        <w:jc w:val="both"/>
        <w:rPr>
          <w:rFonts w:ascii="Times New Roman" w:hAnsi="Times New Roman" w:cs="Times New Roman"/>
          <w:bCs/>
          <w:color w:val="000000"/>
          <w:sz w:val="24"/>
          <w:szCs w:val="24"/>
        </w:rPr>
      </w:pPr>
    </w:p>
    <w:p w:rsidR="00536EC9" w:rsidRPr="00536EC9" w:rsidP="00536EC9">
      <w:pPr>
        <w:bidi w:val="0"/>
        <w:spacing w:after="0"/>
        <w:ind w:hanging="142"/>
        <w:jc w:val="both"/>
        <w:rPr>
          <w:rFonts w:ascii="Times New Roman" w:hAnsi="Times New Roman" w:cs="Times New Roman"/>
          <w:bCs/>
          <w:color w:val="000000"/>
          <w:sz w:val="24"/>
          <w:szCs w:val="24"/>
        </w:rPr>
      </w:pPr>
      <w:r w:rsidRPr="00536EC9">
        <w:rPr>
          <w:rFonts w:ascii="Times New Roman" w:hAnsi="Times New Roman" w:cs="Times New Roman"/>
          <w:bCs/>
          <w:color w:val="000000"/>
          <w:sz w:val="24"/>
          <w:szCs w:val="24"/>
        </w:rPr>
        <w:tab/>
        <w:t xml:space="preserve">         (6)  Národná banka Slovenska uchováva záznamy podľa odsekov 1 až 5 prostredníctvom dôverného a zabezpečeného systému, ktorý zaručí, že údaje v ňom uložené sú dostupné len zamestnancom Národnej banky Slovenska, pre ktorých je prístup k týmto údajom nevyhnutný na plnenie služobných povinností.</w:t>
      </w:r>
    </w:p>
    <w:p w:rsidR="00536EC9" w:rsidRPr="00536EC9" w:rsidP="00536EC9">
      <w:pPr>
        <w:tabs>
          <w:tab w:val="left" w:pos="0"/>
        </w:tabs>
        <w:bidi w:val="0"/>
        <w:spacing w:after="0"/>
        <w:ind w:firstLine="709"/>
        <w:jc w:val="both"/>
        <w:rPr>
          <w:rFonts w:ascii="Times New Roman" w:hAnsi="Times New Roman" w:cs="Times New Roman"/>
          <w:bCs/>
          <w:color w:val="000000"/>
          <w:sz w:val="24"/>
          <w:szCs w:val="24"/>
        </w:rPr>
      </w:pPr>
    </w:p>
    <w:p w:rsidR="00536EC9" w:rsidRPr="00536EC9" w:rsidP="00536EC9">
      <w:pPr>
        <w:bidi w:val="0"/>
        <w:spacing w:after="0"/>
        <w:ind w:hanging="142"/>
        <w:jc w:val="both"/>
        <w:rPr>
          <w:rFonts w:ascii="Times New Roman" w:hAnsi="Times New Roman" w:cs="Times New Roman"/>
          <w:bCs/>
          <w:color w:val="000000"/>
          <w:sz w:val="24"/>
          <w:szCs w:val="24"/>
        </w:rPr>
      </w:pPr>
      <w:r w:rsidRPr="00536EC9">
        <w:rPr>
          <w:rFonts w:ascii="Times New Roman" w:hAnsi="Times New Roman" w:cs="Times New Roman"/>
          <w:bCs/>
          <w:color w:val="000000"/>
          <w:sz w:val="24"/>
          <w:szCs w:val="24"/>
        </w:rPr>
        <w:t xml:space="preserve">           (7)  Národná banka Slovenska zavedie primerané bezpečnostné postupy na prenos osobných údajov nahlasujúcej osoby a nahlásenej osoby v rámci Národnej banky Slovenska aj mimo nej tak, aby bola zabezpečená anonymizácia osobných údajov</w:t>
      </w:r>
      <w:r w:rsidRPr="00536EC9">
        <w:rPr>
          <w:rFonts w:ascii="Times New Roman" w:hAnsi="Times New Roman" w:cs="Times New Roman"/>
          <w:bCs/>
          <w:color w:val="000000"/>
          <w:sz w:val="24"/>
          <w:szCs w:val="24"/>
          <w:vertAlign w:val="superscript"/>
        </w:rPr>
        <w:t>47e</w:t>
      </w:r>
      <w:r w:rsidRPr="00536EC9">
        <w:rPr>
          <w:rFonts w:ascii="Times New Roman" w:hAnsi="Times New Roman" w:cs="Times New Roman"/>
          <w:bCs/>
          <w:color w:val="000000"/>
          <w:sz w:val="24"/>
          <w:szCs w:val="24"/>
        </w:rPr>
        <w:t xml:space="preserve">) obsiahnutých v správe o porušení, ak takýto prenos nezodpovedá režimu dôvernosti údajov podľa § 38a ods. 1 písm. d).  </w:t>
      </w:r>
    </w:p>
    <w:p w:rsidR="00536EC9" w:rsidRPr="00536EC9" w:rsidP="00536EC9">
      <w:pPr>
        <w:tabs>
          <w:tab w:val="left" w:pos="0"/>
        </w:tabs>
        <w:bidi w:val="0"/>
        <w:spacing w:after="0"/>
        <w:jc w:val="both"/>
        <w:rPr>
          <w:rFonts w:ascii="Times New Roman" w:hAnsi="Times New Roman" w:cs="Times New Roman"/>
          <w:bCs/>
          <w:color w:val="000000"/>
          <w:sz w:val="24"/>
          <w:szCs w:val="24"/>
        </w:rPr>
      </w:pPr>
    </w:p>
    <w:p w:rsidR="00536EC9" w:rsidRPr="00536EC9" w:rsidP="00536EC9">
      <w:pPr>
        <w:tabs>
          <w:tab w:val="left" w:pos="0"/>
        </w:tabs>
        <w:bidi w:val="0"/>
        <w:spacing w:after="0"/>
        <w:jc w:val="center"/>
        <w:rPr>
          <w:rFonts w:ascii="Times New Roman" w:hAnsi="Times New Roman" w:cs="Times New Roman"/>
          <w:b/>
          <w:bCs/>
          <w:color w:val="000000"/>
          <w:sz w:val="24"/>
          <w:szCs w:val="24"/>
        </w:rPr>
      </w:pPr>
      <w:r w:rsidRPr="00536EC9">
        <w:rPr>
          <w:rFonts w:ascii="Times New Roman" w:hAnsi="Times New Roman" w:cs="Times New Roman"/>
          <w:b/>
          <w:bCs/>
          <w:color w:val="000000"/>
          <w:sz w:val="24"/>
          <w:szCs w:val="24"/>
        </w:rPr>
        <w:t>§ 38d</w:t>
      </w:r>
    </w:p>
    <w:p w:rsidR="00536EC9" w:rsidRPr="00536EC9" w:rsidP="00536EC9">
      <w:pPr>
        <w:tabs>
          <w:tab w:val="left" w:pos="0"/>
        </w:tabs>
        <w:bidi w:val="0"/>
        <w:spacing w:after="0"/>
        <w:jc w:val="center"/>
        <w:rPr>
          <w:rFonts w:ascii="Times New Roman" w:hAnsi="Times New Roman" w:cs="Times New Roman"/>
          <w:b/>
          <w:bCs/>
          <w:color w:val="000000"/>
          <w:sz w:val="24"/>
          <w:szCs w:val="24"/>
        </w:rPr>
      </w:pPr>
      <w:r w:rsidRPr="00536EC9">
        <w:rPr>
          <w:rFonts w:ascii="Times New Roman" w:hAnsi="Times New Roman" w:cs="Times New Roman"/>
          <w:b/>
          <w:bCs/>
          <w:color w:val="000000"/>
          <w:sz w:val="24"/>
          <w:szCs w:val="24"/>
        </w:rPr>
        <w:t>Ochrana nahlasujúcich osôb</w:t>
      </w:r>
    </w:p>
    <w:p w:rsidR="00536EC9" w:rsidRPr="00536EC9" w:rsidP="00536EC9">
      <w:pPr>
        <w:tabs>
          <w:tab w:val="left" w:pos="0"/>
        </w:tabs>
        <w:bidi w:val="0"/>
        <w:spacing w:after="0"/>
        <w:jc w:val="both"/>
        <w:rPr>
          <w:rFonts w:ascii="Times New Roman" w:hAnsi="Times New Roman" w:cs="Times New Roman"/>
          <w:b/>
          <w:bCs/>
          <w:color w:val="000000"/>
          <w:sz w:val="24"/>
          <w:szCs w:val="24"/>
        </w:rPr>
      </w:pPr>
    </w:p>
    <w:p w:rsidR="00536EC9" w:rsidRPr="00536EC9" w:rsidP="00536EC9">
      <w:pPr>
        <w:tabs>
          <w:tab w:val="left" w:pos="0"/>
        </w:tabs>
        <w:bidi w:val="0"/>
        <w:spacing w:after="0"/>
        <w:jc w:val="both"/>
        <w:rPr>
          <w:rFonts w:ascii="Times New Roman" w:hAnsi="Times New Roman" w:cs="Times New Roman"/>
          <w:color w:val="000000"/>
          <w:sz w:val="24"/>
          <w:szCs w:val="24"/>
        </w:rPr>
      </w:pPr>
      <w:r w:rsidRPr="00536EC9">
        <w:rPr>
          <w:rFonts w:ascii="Times New Roman" w:hAnsi="Times New Roman" w:cs="Times New Roman"/>
          <w:bCs/>
          <w:color w:val="000000"/>
          <w:sz w:val="24"/>
          <w:szCs w:val="24"/>
        </w:rPr>
        <w:t xml:space="preserve">        (1)  </w:t>
      </w:r>
      <w:r w:rsidRPr="00536EC9">
        <w:rPr>
          <w:rFonts w:ascii="Times New Roman" w:hAnsi="Times New Roman" w:cs="Times New Roman"/>
          <w:color w:val="000000"/>
          <w:sz w:val="24"/>
          <w:szCs w:val="24"/>
        </w:rPr>
        <w:t>Dohliadaný subjekt nesmie uplatňovať voči svojmu zamestnancovi, ktorý nahlásil  Národnej banke Slovenska správu o porušeniach žiadne postihy za nahlásenie správy o porušeniach a ani iným spôsobom porušovať princíp rovnakého zaobchádzania vo vzťahu k tomuto zamestnancovi.</w:t>
      </w:r>
    </w:p>
    <w:p w:rsidR="00536EC9" w:rsidRPr="00536EC9" w:rsidP="00536EC9">
      <w:pPr>
        <w:tabs>
          <w:tab w:val="left" w:pos="0"/>
        </w:tabs>
        <w:bidi w:val="0"/>
        <w:spacing w:after="0"/>
        <w:jc w:val="both"/>
        <w:rPr>
          <w:rFonts w:ascii="Times New Roman" w:hAnsi="Times New Roman" w:cs="Times New Roman"/>
          <w:bCs/>
          <w:color w:val="000000"/>
          <w:sz w:val="24"/>
          <w:szCs w:val="24"/>
        </w:rPr>
      </w:pPr>
    </w:p>
    <w:p w:rsidR="00536EC9" w:rsidRPr="00536EC9" w:rsidP="00536EC9">
      <w:pPr>
        <w:tabs>
          <w:tab w:val="left" w:pos="0"/>
        </w:tabs>
        <w:bidi w:val="0"/>
        <w:spacing w:after="0"/>
        <w:jc w:val="both"/>
        <w:rPr>
          <w:rFonts w:ascii="Times New Roman" w:hAnsi="Times New Roman" w:cs="Times New Roman"/>
          <w:color w:val="000000"/>
          <w:sz w:val="24"/>
          <w:szCs w:val="24"/>
        </w:rPr>
      </w:pPr>
      <w:r w:rsidRPr="00536EC9">
        <w:rPr>
          <w:rFonts w:ascii="Times New Roman" w:hAnsi="Times New Roman" w:cs="Times New Roman"/>
          <w:bCs/>
          <w:color w:val="000000"/>
          <w:sz w:val="24"/>
          <w:szCs w:val="24"/>
        </w:rPr>
        <w:t xml:space="preserve">      (2) Národná banka Slovenska, príslušné orgány štátnej správy a iné právnické osoby podľa osobitných predpisov</w:t>
      </w:r>
      <w:r w:rsidRPr="00536EC9">
        <w:rPr>
          <w:rFonts w:ascii="Times New Roman" w:hAnsi="Times New Roman" w:cs="Times New Roman"/>
          <w:bCs/>
          <w:sz w:val="24"/>
          <w:szCs w:val="24"/>
          <w:vertAlign w:val="superscript"/>
        </w:rPr>
        <w:t>47f</w:t>
      </w:r>
      <w:r w:rsidRPr="00536EC9">
        <w:rPr>
          <w:rFonts w:ascii="Times New Roman" w:hAnsi="Times New Roman" w:cs="Times New Roman"/>
          <w:bCs/>
          <w:sz w:val="24"/>
          <w:szCs w:val="24"/>
        </w:rPr>
        <w:t>)</w:t>
      </w:r>
      <w:r w:rsidRPr="00536EC9">
        <w:rPr>
          <w:rFonts w:ascii="Times New Roman" w:hAnsi="Times New Roman" w:cs="Times New Roman"/>
          <w:bCs/>
          <w:color w:val="000000"/>
          <w:sz w:val="24"/>
          <w:szCs w:val="24"/>
        </w:rPr>
        <w:t xml:space="preserve"> si poskytujú súčinnosť a vymieňajú si informácie na účely ochrany nahlasujúcich osôb pred </w:t>
      </w:r>
      <w:r w:rsidRPr="00536EC9">
        <w:rPr>
          <w:rFonts w:ascii="Times New Roman" w:hAnsi="Times New Roman" w:cs="Times New Roman"/>
          <w:color w:val="000000"/>
          <w:sz w:val="24"/>
          <w:szCs w:val="24"/>
        </w:rPr>
        <w:t xml:space="preserve">postihmi za nahlásenie správy o porušeniach zo strany zamestnávateľa a pred porušovaním princípu rovnakého zaobchádzania vo vzťahu k tomuto zamestnancovi. </w:t>
      </w:r>
    </w:p>
    <w:p w:rsidR="00536EC9" w:rsidRPr="00536EC9" w:rsidP="00536EC9">
      <w:pPr>
        <w:tabs>
          <w:tab w:val="left" w:pos="0"/>
        </w:tabs>
        <w:bidi w:val="0"/>
        <w:spacing w:after="0"/>
        <w:jc w:val="both"/>
        <w:rPr>
          <w:rFonts w:ascii="Times New Roman" w:hAnsi="Times New Roman" w:cs="Times New Roman"/>
          <w:color w:val="000000"/>
          <w:sz w:val="24"/>
          <w:szCs w:val="24"/>
        </w:rPr>
      </w:pPr>
    </w:p>
    <w:p w:rsidR="00536EC9" w:rsidRPr="00536EC9" w:rsidP="00536EC9">
      <w:pPr>
        <w:tabs>
          <w:tab w:val="left" w:pos="284"/>
        </w:tabs>
        <w:bidi w:val="0"/>
        <w:spacing w:after="0"/>
        <w:jc w:val="both"/>
        <w:rPr>
          <w:rFonts w:ascii="Times New Roman" w:hAnsi="Times New Roman" w:cs="Times New Roman"/>
          <w:bCs/>
          <w:color w:val="000000"/>
          <w:sz w:val="24"/>
          <w:szCs w:val="24"/>
        </w:rPr>
      </w:pPr>
      <w:r w:rsidRPr="00536EC9">
        <w:rPr>
          <w:rFonts w:ascii="Times New Roman" w:hAnsi="Times New Roman" w:cs="Times New Roman"/>
          <w:bCs/>
          <w:color w:val="000000"/>
          <w:sz w:val="24"/>
          <w:szCs w:val="24"/>
        </w:rPr>
        <w:tab/>
        <w:t>(3) Národná banka Slovenska zabezpečí v súčinnosti s príslušnými orgánmi štátnej správy a inými právnickými osobami podľa osobitných predpisov</w:t>
      </w:r>
      <w:r w:rsidRPr="00536EC9">
        <w:rPr>
          <w:rFonts w:ascii="Times New Roman" w:hAnsi="Times New Roman" w:cs="Times New Roman"/>
          <w:bCs/>
          <w:sz w:val="24"/>
          <w:szCs w:val="24"/>
          <w:vertAlign w:val="superscript"/>
        </w:rPr>
        <w:t>47f</w:t>
      </w:r>
      <w:r w:rsidRPr="00536EC9">
        <w:rPr>
          <w:rFonts w:ascii="Times New Roman" w:hAnsi="Times New Roman" w:cs="Times New Roman"/>
          <w:bCs/>
          <w:sz w:val="24"/>
          <w:szCs w:val="24"/>
        </w:rPr>
        <w:t>),</w:t>
      </w:r>
      <w:r w:rsidRPr="00536EC9">
        <w:rPr>
          <w:rFonts w:ascii="Times New Roman" w:hAnsi="Times New Roman" w:cs="Times New Roman"/>
          <w:bCs/>
          <w:color w:val="000000"/>
          <w:sz w:val="24"/>
          <w:szCs w:val="24"/>
        </w:rPr>
        <w:t xml:space="preserve"> aby nahlasujúca osoba mala prístup ku komplexným informáciám a poradenstvu o prostriedkoch nápravy a postupoch v súlade s ustanoveniami právnych predpisov s cieľom jej ochrany pred nespravodlivým zaobchádzaním, a to vrátane postupov podávania žiadosti o náhradu škody.</w:t>
      </w:r>
    </w:p>
    <w:p w:rsidR="00536EC9" w:rsidRPr="00536EC9" w:rsidP="00536EC9">
      <w:pPr>
        <w:tabs>
          <w:tab w:val="left" w:pos="284"/>
        </w:tabs>
        <w:bidi w:val="0"/>
        <w:spacing w:after="0"/>
        <w:jc w:val="both"/>
        <w:rPr>
          <w:rFonts w:ascii="Times New Roman" w:hAnsi="Times New Roman" w:cs="Times New Roman"/>
          <w:bCs/>
          <w:color w:val="000000"/>
          <w:sz w:val="24"/>
          <w:szCs w:val="24"/>
        </w:rPr>
      </w:pPr>
    </w:p>
    <w:p w:rsidR="00536EC9" w:rsidRPr="00536EC9" w:rsidP="00536EC9">
      <w:pPr>
        <w:tabs>
          <w:tab w:val="left" w:pos="284"/>
        </w:tabs>
        <w:bidi w:val="0"/>
        <w:spacing w:after="0"/>
        <w:jc w:val="both"/>
        <w:rPr>
          <w:rFonts w:ascii="Times New Roman" w:hAnsi="Times New Roman" w:cs="Times New Roman"/>
          <w:bCs/>
          <w:color w:val="000000"/>
          <w:sz w:val="24"/>
          <w:szCs w:val="24"/>
        </w:rPr>
      </w:pPr>
      <w:r w:rsidRPr="00536EC9">
        <w:rPr>
          <w:rFonts w:ascii="Times New Roman" w:hAnsi="Times New Roman" w:cs="Times New Roman"/>
          <w:bCs/>
          <w:color w:val="000000"/>
          <w:sz w:val="24"/>
          <w:szCs w:val="24"/>
        </w:rPr>
        <w:t xml:space="preserve">     (4)  Národná banka Slovenska ponúkne nahlasujúcej osobe pomoc alebo poradenstvo v konaní pred orgánmi podieľajúcimi sa na jej ochrane proti nespravodlivému zaobchádzaniu, a to aj pri potvrdení postavenia nahlasujúcej osoby ako informátora v zamestnaneckých sporoch.</w:t>
      </w:r>
    </w:p>
    <w:p w:rsidR="00536EC9" w:rsidRPr="00536EC9" w:rsidP="00536EC9">
      <w:pPr>
        <w:tabs>
          <w:tab w:val="left" w:pos="0"/>
        </w:tabs>
        <w:bidi w:val="0"/>
        <w:spacing w:after="0"/>
        <w:jc w:val="both"/>
        <w:rPr>
          <w:rFonts w:ascii="Times New Roman" w:hAnsi="Times New Roman" w:cs="Times New Roman"/>
          <w:bCs/>
          <w:color w:val="000000"/>
          <w:sz w:val="24"/>
          <w:szCs w:val="24"/>
        </w:rPr>
      </w:pPr>
    </w:p>
    <w:p w:rsidR="00536EC9" w:rsidRPr="00536EC9" w:rsidP="00536EC9">
      <w:pPr>
        <w:tabs>
          <w:tab w:val="left" w:pos="0"/>
        </w:tabs>
        <w:bidi w:val="0"/>
        <w:spacing w:after="0"/>
        <w:jc w:val="center"/>
        <w:rPr>
          <w:rFonts w:ascii="Times New Roman" w:hAnsi="Times New Roman" w:cs="Times New Roman"/>
          <w:b/>
          <w:bCs/>
          <w:color w:val="000000"/>
          <w:sz w:val="24"/>
          <w:szCs w:val="24"/>
        </w:rPr>
      </w:pPr>
      <w:r w:rsidRPr="00536EC9">
        <w:rPr>
          <w:rFonts w:ascii="Times New Roman" w:hAnsi="Times New Roman" w:cs="Times New Roman"/>
          <w:b/>
          <w:bCs/>
          <w:color w:val="000000"/>
          <w:sz w:val="24"/>
          <w:szCs w:val="24"/>
        </w:rPr>
        <w:t>§ 38e</w:t>
      </w:r>
    </w:p>
    <w:p w:rsidR="00536EC9" w:rsidRPr="00536EC9" w:rsidP="00536EC9">
      <w:pPr>
        <w:tabs>
          <w:tab w:val="left" w:pos="0"/>
        </w:tabs>
        <w:bidi w:val="0"/>
        <w:spacing w:after="0"/>
        <w:jc w:val="center"/>
        <w:rPr>
          <w:rFonts w:ascii="Times New Roman" w:hAnsi="Times New Roman" w:cs="Times New Roman"/>
          <w:b/>
          <w:bCs/>
          <w:color w:val="000000"/>
          <w:sz w:val="24"/>
          <w:szCs w:val="24"/>
        </w:rPr>
      </w:pPr>
      <w:r w:rsidRPr="00536EC9">
        <w:rPr>
          <w:rFonts w:ascii="Times New Roman" w:hAnsi="Times New Roman" w:cs="Times New Roman"/>
          <w:b/>
          <w:bCs/>
          <w:color w:val="000000"/>
          <w:sz w:val="24"/>
          <w:szCs w:val="24"/>
        </w:rPr>
        <w:t>Ochrana nahlásených osôb</w:t>
      </w:r>
    </w:p>
    <w:p w:rsidR="00536EC9" w:rsidRPr="00536EC9" w:rsidP="00536EC9">
      <w:pPr>
        <w:tabs>
          <w:tab w:val="left" w:pos="0"/>
        </w:tabs>
        <w:bidi w:val="0"/>
        <w:spacing w:after="0"/>
        <w:jc w:val="both"/>
        <w:rPr>
          <w:rFonts w:ascii="Times New Roman" w:hAnsi="Times New Roman" w:cs="Times New Roman"/>
          <w:bCs/>
          <w:color w:val="000000"/>
          <w:sz w:val="24"/>
          <w:szCs w:val="24"/>
        </w:rPr>
      </w:pPr>
    </w:p>
    <w:p w:rsidR="00536EC9" w:rsidP="00536EC9">
      <w:pPr>
        <w:tabs>
          <w:tab w:val="left" w:pos="0"/>
        </w:tabs>
        <w:bidi w:val="0"/>
        <w:spacing w:after="0"/>
        <w:jc w:val="both"/>
        <w:rPr>
          <w:rFonts w:ascii="Times New Roman" w:hAnsi="Times New Roman" w:cs="Times New Roman"/>
          <w:bCs/>
          <w:color w:val="000000"/>
          <w:sz w:val="24"/>
          <w:szCs w:val="24"/>
        </w:rPr>
      </w:pPr>
      <w:r w:rsidRPr="00536EC9">
        <w:rPr>
          <w:rFonts w:ascii="Times New Roman" w:hAnsi="Times New Roman" w:cs="Times New Roman"/>
          <w:bCs/>
          <w:color w:val="000000"/>
          <w:sz w:val="24"/>
          <w:szCs w:val="24"/>
        </w:rPr>
        <w:tab/>
        <w:t xml:space="preserve">Ak nie je verejne známa totožnosť nahlásených osôb, Národná banka Slovenska chráni ich totožnosť rovnakým spôsobom, ako pri osobách, u ktorých Národná banka Slovenska vykonáva dohľad. Na ochranu totožnosti nahlásených osôb sa použijú ustanovenia § 38c ods. 6. </w:t>
      </w:r>
    </w:p>
    <w:p w:rsidR="00536EC9" w:rsidRPr="00536EC9" w:rsidP="00536EC9">
      <w:pPr>
        <w:tabs>
          <w:tab w:val="left" w:pos="0"/>
        </w:tabs>
        <w:bidi w:val="0"/>
        <w:spacing w:after="0"/>
        <w:jc w:val="both"/>
        <w:rPr>
          <w:rFonts w:ascii="Times New Roman" w:hAnsi="Times New Roman" w:cs="Times New Roman"/>
          <w:bCs/>
          <w:color w:val="000000"/>
          <w:sz w:val="24"/>
          <w:szCs w:val="24"/>
        </w:rPr>
      </w:pPr>
    </w:p>
    <w:p w:rsidR="00536EC9" w:rsidRPr="00536EC9" w:rsidP="00536EC9">
      <w:pPr>
        <w:tabs>
          <w:tab w:val="left" w:pos="0"/>
        </w:tabs>
        <w:bidi w:val="0"/>
        <w:spacing w:after="0"/>
        <w:jc w:val="both"/>
        <w:rPr>
          <w:rFonts w:ascii="Times New Roman" w:hAnsi="Times New Roman" w:cs="Times New Roman"/>
          <w:bCs/>
          <w:color w:val="000000"/>
          <w:sz w:val="24"/>
          <w:szCs w:val="24"/>
        </w:rPr>
      </w:pPr>
    </w:p>
    <w:p w:rsidR="00536EC9" w:rsidRPr="00536EC9" w:rsidP="00536EC9">
      <w:pPr>
        <w:tabs>
          <w:tab w:val="left" w:pos="0"/>
        </w:tabs>
        <w:bidi w:val="0"/>
        <w:spacing w:after="0"/>
        <w:jc w:val="center"/>
        <w:rPr>
          <w:rFonts w:ascii="Times New Roman" w:hAnsi="Times New Roman" w:cs="Times New Roman"/>
          <w:b/>
          <w:bCs/>
          <w:color w:val="000000"/>
          <w:sz w:val="24"/>
          <w:szCs w:val="24"/>
        </w:rPr>
      </w:pPr>
      <w:r w:rsidRPr="00536EC9">
        <w:rPr>
          <w:rFonts w:ascii="Times New Roman" w:hAnsi="Times New Roman" w:cs="Times New Roman"/>
          <w:b/>
          <w:bCs/>
          <w:color w:val="000000"/>
          <w:sz w:val="24"/>
          <w:szCs w:val="24"/>
        </w:rPr>
        <w:t>§ 38f</w:t>
      </w:r>
    </w:p>
    <w:p w:rsidR="00536EC9" w:rsidRPr="00536EC9" w:rsidP="00536EC9">
      <w:pPr>
        <w:tabs>
          <w:tab w:val="left" w:pos="0"/>
        </w:tabs>
        <w:bidi w:val="0"/>
        <w:spacing w:after="0"/>
        <w:jc w:val="both"/>
        <w:rPr>
          <w:rFonts w:ascii="Times New Roman" w:hAnsi="Times New Roman" w:cs="Times New Roman"/>
          <w:bCs/>
          <w:color w:val="000000"/>
          <w:sz w:val="24"/>
          <w:szCs w:val="24"/>
        </w:rPr>
      </w:pPr>
    </w:p>
    <w:p w:rsidR="00536EC9" w:rsidRPr="00536EC9" w:rsidP="00536EC9">
      <w:pPr>
        <w:tabs>
          <w:tab w:val="left" w:pos="0"/>
        </w:tabs>
        <w:bidi w:val="0"/>
        <w:spacing w:after="0"/>
        <w:jc w:val="both"/>
        <w:rPr>
          <w:rFonts w:ascii="Times New Roman" w:hAnsi="Times New Roman" w:cs="Times New Roman"/>
          <w:bCs/>
          <w:color w:val="000000"/>
          <w:sz w:val="24"/>
          <w:szCs w:val="24"/>
        </w:rPr>
      </w:pPr>
      <w:r w:rsidRPr="00536EC9">
        <w:rPr>
          <w:rFonts w:ascii="Times New Roman" w:hAnsi="Times New Roman" w:cs="Times New Roman"/>
          <w:bCs/>
          <w:color w:val="000000"/>
          <w:sz w:val="24"/>
          <w:szCs w:val="24"/>
        </w:rPr>
        <w:tab/>
        <w:t xml:space="preserve"> Národná banka Slovenska  pravidelne, najmenej však raz za dva roky, preskúma svoje postupy na prijímanie správ o porušeniach a ich preverovanie. Pri tomto preskúmaní Národná banka Slovenska zohľadní svoje skúsenosti a aj skúsenosti iných príslušných orgánov a prispôsobí svoje postupy zodpovedajúcim spôsobom a v súlade s vývojom trhu a technologickým vývojom.“. </w:t>
      </w:r>
    </w:p>
    <w:p w:rsidR="00536EC9" w:rsidRPr="00536EC9" w:rsidP="00536EC9">
      <w:pPr>
        <w:tabs>
          <w:tab w:val="left" w:pos="0"/>
        </w:tabs>
        <w:bidi w:val="0"/>
        <w:spacing w:after="0"/>
        <w:jc w:val="both"/>
        <w:rPr>
          <w:rFonts w:ascii="Times New Roman" w:hAnsi="Times New Roman" w:cs="Times New Roman"/>
          <w:bCs/>
          <w:color w:val="000000"/>
          <w:sz w:val="24"/>
          <w:szCs w:val="24"/>
        </w:rPr>
      </w:pPr>
    </w:p>
    <w:p w:rsidR="00536EC9" w:rsidRPr="00536EC9" w:rsidP="00536EC9">
      <w:pPr>
        <w:autoSpaceDE w:val="0"/>
        <w:autoSpaceDN w:val="0"/>
        <w:bidi w:val="0"/>
        <w:adjustRightInd w:val="0"/>
        <w:spacing w:after="0"/>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 xml:space="preserve">Poznámky pod čiarou k odkazom 47a až 47f znejú:  </w:t>
      </w:r>
    </w:p>
    <w:p w:rsidR="00536EC9" w:rsidRPr="00536EC9" w:rsidP="00536EC9">
      <w:pPr>
        <w:autoSpaceDE w:val="0"/>
        <w:autoSpaceDN w:val="0"/>
        <w:bidi w:val="0"/>
        <w:adjustRightInd w:val="0"/>
        <w:spacing w:after="0"/>
        <w:jc w:val="both"/>
        <w:rPr>
          <w:rFonts w:ascii="Times New Roman" w:hAnsi="Times New Roman" w:cs="Times New Roman"/>
          <w:bCs/>
          <w:sz w:val="24"/>
          <w:szCs w:val="24"/>
        </w:rPr>
      </w:pPr>
      <w:r w:rsidRPr="00536EC9">
        <w:rPr>
          <w:rFonts w:ascii="Times New Roman" w:hAnsi="Times New Roman" w:cs="Times New Roman"/>
          <w:bCs/>
          <w:color w:val="000000"/>
          <w:sz w:val="24"/>
          <w:szCs w:val="24"/>
        </w:rPr>
        <w:t>„</w:t>
      </w:r>
      <w:r w:rsidRPr="00536EC9">
        <w:rPr>
          <w:rFonts w:ascii="Times New Roman" w:hAnsi="Times New Roman" w:cs="Times New Roman"/>
          <w:bCs/>
          <w:color w:val="000000"/>
          <w:sz w:val="24"/>
          <w:szCs w:val="24"/>
          <w:vertAlign w:val="superscript"/>
        </w:rPr>
        <w:t>47a</w:t>
      </w:r>
      <w:r w:rsidRPr="00536EC9">
        <w:rPr>
          <w:rFonts w:ascii="Times New Roman" w:hAnsi="Times New Roman" w:cs="Times New Roman"/>
          <w:bCs/>
          <w:color w:val="000000"/>
          <w:sz w:val="24"/>
          <w:szCs w:val="24"/>
        </w:rPr>
        <w:t>) Nariadenie (EÚ) č. 596/2014</w:t>
      </w:r>
      <w:r w:rsidRPr="00536EC9">
        <w:rPr>
          <w:rFonts w:ascii="Times New Roman" w:hAnsi="Times New Roman" w:cs="Times New Roman"/>
          <w:iCs/>
          <w:sz w:val="24"/>
          <w:szCs w:val="24"/>
        </w:rPr>
        <w:t>.</w:t>
      </w:r>
    </w:p>
    <w:p w:rsidR="00536EC9" w:rsidRPr="00536EC9" w:rsidP="00536EC9">
      <w:pPr>
        <w:autoSpaceDE w:val="0"/>
        <w:autoSpaceDN w:val="0"/>
        <w:bidi w:val="0"/>
        <w:adjustRightInd w:val="0"/>
        <w:spacing w:after="0"/>
        <w:jc w:val="both"/>
        <w:rPr>
          <w:rFonts w:ascii="Times New Roman" w:hAnsi="Times New Roman" w:cs="Times New Roman"/>
          <w:bCs/>
          <w:color w:val="000000"/>
          <w:sz w:val="24"/>
          <w:szCs w:val="24"/>
        </w:rPr>
      </w:pPr>
      <w:r w:rsidRPr="00536EC9">
        <w:rPr>
          <w:rFonts w:ascii="Times New Roman" w:hAnsi="Times New Roman" w:cs="Times New Roman"/>
          <w:bCs/>
          <w:color w:val="000000"/>
          <w:sz w:val="24"/>
          <w:szCs w:val="24"/>
          <w:vertAlign w:val="superscript"/>
        </w:rPr>
        <w:t>47b</w:t>
      </w:r>
      <w:r w:rsidRPr="00536EC9">
        <w:rPr>
          <w:rFonts w:ascii="Times New Roman" w:hAnsi="Times New Roman" w:cs="Times New Roman"/>
          <w:bCs/>
          <w:color w:val="000000"/>
          <w:sz w:val="24"/>
          <w:szCs w:val="24"/>
        </w:rPr>
        <w:t xml:space="preserve">) Čl. 27 až 29 nariadenia  (EÚ) č. 596/2014. </w:t>
      </w:r>
    </w:p>
    <w:p w:rsidR="00536EC9" w:rsidRPr="00536EC9" w:rsidP="00536EC9">
      <w:pPr>
        <w:tabs>
          <w:tab w:val="left" w:pos="0"/>
        </w:tabs>
        <w:bidi w:val="0"/>
        <w:spacing w:after="0"/>
        <w:jc w:val="both"/>
        <w:rPr>
          <w:rFonts w:ascii="Times New Roman" w:hAnsi="Times New Roman" w:cs="Times New Roman"/>
          <w:bCs/>
          <w:color w:val="000000"/>
          <w:sz w:val="24"/>
          <w:szCs w:val="24"/>
        </w:rPr>
      </w:pPr>
      <w:r w:rsidRPr="00536EC9">
        <w:rPr>
          <w:rFonts w:ascii="Times New Roman" w:hAnsi="Times New Roman" w:cs="Times New Roman"/>
          <w:bCs/>
          <w:color w:val="000000"/>
          <w:sz w:val="24"/>
          <w:szCs w:val="24"/>
          <w:vertAlign w:val="superscript"/>
        </w:rPr>
        <w:t>47c</w:t>
      </w:r>
      <w:r w:rsidRPr="00536EC9">
        <w:rPr>
          <w:rFonts w:ascii="Times New Roman" w:hAnsi="Times New Roman" w:cs="Times New Roman"/>
          <w:bCs/>
          <w:color w:val="000000"/>
          <w:sz w:val="24"/>
          <w:szCs w:val="24"/>
        </w:rPr>
        <w:t>) Zákon č. 122/2013 Z. z. o ochrane osobných údajov a o zmene a doplnení niektorých zákonov v znení zákona č. 84/2014 Z. z.</w:t>
      </w:r>
    </w:p>
    <w:p w:rsidR="00536EC9" w:rsidRPr="00536EC9" w:rsidP="00536EC9">
      <w:pPr>
        <w:tabs>
          <w:tab w:val="left" w:pos="0"/>
        </w:tabs>
        <w:bidi w:val="0"/>
        <w:spacing w:after="0"/>
        <w:jc w:val="both"/>
        <w:rPr>
          <w:rFonts w:ascii="Times New Roman" w:hAnsi="Times New Roman" w:cs="Times New Roman"/>
          <w:bCs/>
          <w:color w:val="000000"/>
          <w:sz w:val="24"/>
          <w:szCs w:val="24"/>
        </w:rPr>
      </w:pPr>
      <w:r w:rsidRPr="00536EC9">
        <w:rPr>
          <w:rFonts w:ascii="Times New Roman" w:hAnsi="Times New Roman" w:cs="Times New Roman"/>
          <w:bCs/>
          <w:color w:val="000000"/>
          <w:sz w:val="24"/>
          <w:szCs w:val="24"/>
          <w:vertAlign w:val="superscript"/>
        </w:rPr>
        <w:t>47d</w:t>
      </w:r>
      <w:r w:rsidRPr="00536EC9">
        <w:rPr>
          <w:rFonts w:ascii="Times New Roman" w:hAnsi="Times New Roman" w:cs="Times New Roman"/>
          <w:bCs/>
          <w:color w:val="000000"/>
          <w:sz w:val="24"/>
          <w:szCs w:val="24"/>
        </w:rPr>
        <w:t>) Zákon č. 395/2002 Z. z. v znení neskorších predpisov.</w:t>
      </w:r>
    </w:p>
    <w:p w:rsidR="00536EC9" w:rsidRPr="00536EC9" w:rsidP="00536EC9">
      <w:pPr>
        <w:tabs>
          <w:tab w:val="left" w:pos="0"/>
        </w:tabs>
        <w:bidi w:val="0"/>
        <w:spacing w:after="0"/>
        <w:jc w:val="both"/>
        <w:rPr>
          <w:rFonts w:ascii="Times New Roman" w:hAnsi="Times New Roman" w:cs="Times New Roman"/>
          <w:bCs/>
          <w:color w:val="000000"/>
          <w:sz w:val="24"/>
          <w:szCs w:val="24"/>
        </w:rPr>
      </w:pPr>
      <w:r w:rsidRPr="00536EC9">
        <w:rPr>
          <w:rFonts w:ascii="Times New Roman" w:hAnsi="Times New Roman" w:cs="Times New Roman"/>
          <w:bCs/>
          <w:color w:val="000000"/>
          <w:sz w:val="24"/>
          <w:szCs w:val="24"/>
        </w:rPr>
        <w:t xml:space="preserve">Zákon č. 122/2013 Z. z. v znení zákona č. 84/2014 Z. z. </w:t>
      </w:r>
    </w:p>
    <w:p w:rsidR="00536EC9" w:rsidRPr="00536EC9" w:rsidP="00536EC9">
      <w:pPr>
        <w:tabs>
          <w:tab w:val="left" w:pos="0"/>
        </w:tabs>
        <w:bidi w:val="0"/>
        <w:spacing w:after="0"/>
        <w:jc w:val="both"/>
        <w:rPr>
          <w:rFonts w:ascii="Times New Roman" w:hAnsi="Times New Roman" w:cs="Times New Roman"/>
          <w:bCs/>
          <w:color w:val="000000"/>
          <w:sz w:val="24"/>
          <w:szCs w:val="24"/>
        </w:rPr>
      </w:pPr>
      <w:r w:rsidRPr="00536EC9">
        <w:rPr>
          <w:rFonts w:ascii="Times New Roman" w:hAnsi="Times New Roman" w:cs="Times New Roman"/>
          <w:bCs/>
          <w:color w:val="000000"/>
          <w:sz w:val="24"/>
          <w:szCs w:val="24"/>
          <w:vertAlign w:val="superscript"/>
        </w:rPr>
        <w:t>47e</w:t>
      </w:r>
      <w:r w:rsidRPr="00536EC9">
        <w:rPr>
          <w:rFonts w:ascii="Times New Roman" w:hAnsi="Times New Roman" w:cs="Times New Roman"/>
          <w:bCs/>
          <w:color w:val="000000"/>
          <w:sz w:val="24"/>
          <w:szCs w:val="24"/>
        </w:rPr>
        <w:t>) § 4 ods. 3 písm. i) a § 6 ods. 2 písm. b) a d) zákona č. 122/2013 Z. z.</w:t>
      </w:r>
    </w:p>
    <w:p w:rsidR="00536EC9" w:rsidRPr="00536EC9" w:rsidP="00536EC9">
      <w:pPr>
        <w:tabs>
          <w:tab w:val="left" w:pos="0"/>
        </w:tabs>
        <w:bidi w:val="0"/>
        <w:spacing w:after="0"/>
        <w:jc w:val="both"/>
        <w:rPr>
          <w:rFonts w:ascii="Times New Roman" w:hAnsi="Times New Roman" w:cs="Times New Roman"/>
          <w:bCs/>
          <w:color w:val="000000"/>
          <w:sz w:val="24"/>
          <w:szCs w:val="24"/>
        </w:rPr>
      </w:pPr>
      <w:r w:rsidRPr="00536EC9">
        <w:rPr>
          <w:rFonts w:ascii="Times New Roman" w:hAnsi="Times New Roman" w:cs="Times New Roman"/>
          <w:bCs/>
          <w:color w:val="000000"/>
          <w:sz w:val="24"/>
          <w:szCs w:val="24"/>
          <w:vertAlign w:val="superscript"/>
        </w:rPr>
        <w:t>47f</w:t>
      </w:r>
      <w:r w:rsidRPr="00536EC9">
        <w:rPr>
          <w:rFonts w:ascii="Times New Roman" w:hAnsi="Times New Roman" w:cs="Times New Roman"/>
          <w:bCs/>
          <w:color w:val="000000"/>
          <w:sz w:val="24"/>
          <w:szCs w:val="24"/>
        </w:rPr>
        <w:t>) Napríklad zákon Národnej rady Slovenskej republiky č. 308/1993 Z. z. o zriadení Slovenského národného strediska pre ľudské práva v znení neskorších predpisov, zákon č. 125/2006 Z. z. o inšpekcii práce a o zmene a doplnení zákona č. 82/2005 Z. z. o nelegálnej práci a o nelegálnom zamestnávaní a o zmene a doplnení niektorých zákonov v znení neskorších predpisov.“.</w:t>
      </w:r>
    </w:p>
    <w:p w:rsidR="00536EC9" w:rsidRPr="00536EC9" w:rsidP="00536EC9">
      <w:pPr>
        <w:tabs>
          <w:tab w:val="left" w:pos="0"/>
        </w:tabs>
        <w:bidi w:val="0"/>
        <w:spacing w:after="0"/>
        <w:jc w:val="both"/>
        <w:rPr>
          <w:rFonts w:ascii="Times New Roman" w:hAnsi="Times New Roman" w:cs="Times New Roman"/>
          <w:bCs/>
          <w:color w:val="000000"/>
          <w:sz w:val="24"/>
          <w:szCs w:val="24"/>
        </w:rPr>
      </w:pPr>
    </w:p>
    <w:p w:rsidR="00536EC9" w:rsidRPr="00536EC9" w:rsidP="00536EC9">
      <w:pPr>
        <w:pStyle w:val="ListParagraph"/>
        <w:numPr>
          <w:numId w:val="7"/>
        </w:numPr>
        <w:tabs>
          <w:tab w:val="left" w:pos="0"/>
        </w:tabs>
        <w:bidi w:val="0"/>
        <w:spacing w:after="0" w:line="240" w:lineRule="auto"/>
        <w:contextualSpacing/>
        <w:jc w:val="both"/>
        <w:rPr>
          <w:rFonts w:ascii="Times New Roman" w:hAnsi="Times New Roman" w:cs="Times New Roman"/>
          <w:bCs/>
          <w:color w:val="000000"/>
          <w:sz w:val="24"/>
          <w:szCs w:val="24"/>
        </w:rPr>
      </w:pPr>
      <w:r w:rsidRPr="00536EC9">
        <w:rPr>
          <w:rFonts w:ascii="Times New Roman" w:hAnsi="Times New Roman" w:cs="Times New Roman"/>
          <w:bCs/>
          <w:color w:val="000000"/>
          <w:sz w:val="24"/>
          <w:szCs w:val="24"/>
        </w:rPr>
        <w:t>Príloha sa dopĺňa bodom 15, ktorý znie:</w:t>
      </w:r>
    </w:p>
    <w:p w:rsidR="00536EC9" w:rsidRPr="00536EC9" w:rsidP="00536EC9">
      <w:pPr>
        <w:pStyle w:val="ListParagraph"/>
        <w:tabs>
          <w:tab w:val="left" w:pos="0"/>
        </w:tabs>
        <w:bidi w:val="0"/>
        <w:spacing w:after="0"/>
        <w:ind w:left="360"/>
        <w:jc w:val="both"/>
        <w:rPr>
          <w:rFonts w:ascii="Times New Roman" w:hAnsi="Times New Roman" w:cs="Times New Roman"/>
          <w:iCs/>
          <w:color w:val="444444"/>
          <w:sz w:val="24"/>
          <w:szCs w:val="24"/>
        </w:rPr>
      </w:pPr>
      <w:r w:rsidRPr="00536EC9">
        <w:rPr>
          <w:rFonts w:ascii="Times New Roman" w:hAnsi="Times New Roman" w:cs="Times New Roman"/>
          <w:bCs/>
          <w:color w:val="000000"/>
          <w:sz w:val="24"/>
          <w:szCs w:val="24"/>
        </w:rPr>
        <w:t>„15. Vykonávacia smernica Komisie (EÚ) 2015/2392 zo 17. decembra 2015 o nariadení Európskeho parlamentu a Rady (EÚ) č. 596/2014, pokiaľ ide o nahlasovanie skutočných alebo možných porušení daného nariadenia príslušným orgánom (</w:t>
      </w:r>
      <w:r w:rsidRPr="00536EC9">
        <w:rPr>
          <w:rFonts w:ascii="Times New Roman" w:hAnsi="Times New Roman" w:cs="Times New Roman"/>
          <w:iCs/>
          <w:color w:val="444444"/>
          <w:sz w:val="24"/>
          <w:szCs w:val="24"/>
        </w:rPr>
        <w:t>Ú. v. EÚ L 332, 18.12.2015).“.</w:t>
      </w:r>
    </w:p>
    <w:p w:rsidR="00536EC9" w:rsidRPr="00536EC9" w:rsidP="00536EC9">
      <w:pPr>
        <w:bidi w:val="0"/>
        <w:spacing w:after="0"/>
        <w:jc w:val="center"/>
        <w:rPr>
          <w:rFonts w:ascii="Times New Roman" w:hAnsi="Times New Roman" w:cs="Times New Roman"/>
          <w:b/>
          <w:bCs/>
          <w:sz w:val="24"/>
          <w:szCs w:val="24"/>
        </w:rPr>
      </w:pPr>
    </w:p>
    <w:p w:rsidR="00536EC9" w:rsidRPr="00536EC9" w:rsidP="00536EC9">
      <w:pPr>
        <w:bidi w:val="0"/>
        <w:spacing w:after="0"/>
        <w:jc w:val="center"/>
        <w:rPr>
          <w:rFonts w:ascii="Times New Roman" w:hAnsi="Times New Roman" w:cs="Times New Roman"/>
          <w:b/>
          <w:bCs/>
          <w:sz w:val="24"/>
          <w:szCs w:val="24"/>
        </w:rPr>
      </w:pPr>
      <w:r w:rsidRPr="00536EC9">
        <w:rPr>
          <w:rFonts w:ascii="Times New Roman" w:hAnsi="Times New Roman" w:cs="Times New Roman"/>
          <w:b/>
          <w:bCs/>
          <w:sz w:val="24"/>
          <w:szCs w:val="24"/>
        </w:rPr>
        <w:t>Čl. VII</w:t>
      </w:r>
    </w:p>
    <w:p w:rsidR="00536EC9" w:rsidRPr="00536EC9" w:rsidP="00536EC9">
      <w:pPr>
        <w:bidi w:val="0"/>
        <w:spacing w:after="0"/>
        <w:jc w:val="center"/>
        <w:rPr>
          <w:rFonts w:ascii="Times New Roman" w:hAnsi="Times New Roman" w:cs="Times New Roman"/>
          <w:b/>
          <w:bCs/>
          <w:sz w:val="24"/>
          <w:szCs w:val="24"/>
        </w:rPr>
      </w:pPr>
    </w:p>
    <w:p w:rsidR="00536EC9" w:rsidRPr="00536EC9" w:rsidP="00536EC9">
      <w:pPr>
        <w:bidi w:val="0"/>
        <w:spacing w:after="0"/>
        <w:jc w:val="both"/>
        <w:rPr>
          <w:rFonts w:ascii="Times New Roman" w:hAnsi="Times New Roman" w:cs="Times New Roman"/>
          <w:sz w:val="24"/>
          <w:szCs w:val="24"/>
        </w:rPr>
      </w:pPr>
      <w:r w:rsidRPr="00536EC9">
        <w:rPr>
          <w:rFonts w:ascii="Times New Roman" w:hAnsi="Times New Roman" w:cs="Times New Roman"/>
          <w:sz w:val="24"/>
          <w:szCs w:val="24"/>
        </w:rPr>
        <w:t>Zákon č. 203/2011 Z. z. o kolektívnom investovaní v znení zákona  č. 547/2011 Z. z.,  zákona č. 206/2013 Z. z., zákona  č. 352/2013 Z. z.,  zákona  č. 213/2014 Z. z., zákona č. 323/2015 Z. z., zákona č. 359/2015 Z. z., zákona č. 361/2015 Z. z., zákona č. 91/2016 Z. z. a zákona č. 125/2016 Z. z. sa mení a dopĺňa takto:</w:t>
      </w:r>
    </w:p>
    <w:p w:rsidR="00536EC9" w:rsidRPr="00536EC9" w:rsidP="00536EC9">
      <w:pPr>
        <w:widowControl w:val="0"/>
        <w:overflowPunct w:val="0"/>
        <w:bidi w:val="0"/>
        <w:adjustRightInd w:val="0"/>
        <w:spacing w:after="0"/>
        <w:jc w:val="both"/>
        <w:rPr>
          <w:rFonts w:ascii="Times New Roman" w:hAnsi="Times New Roman" w:cs="Times New Roman"/>
          <w:color w:val="000000"/>
          <w:sz w:val="24"/>
          <w:szCs w:val="24"/>
        </w:rPr>
      </w:pPr>
    </w:p>
    <w:p w:rsidR="00536EC9" w:rsidRPr="00536EC9" w:rsidP="00536EC9">
      <w:pPr>
        <w:pStyle w:val="ListParagraph"/>
        <w:widowControl w:val="0"/>
        <w:numPr>
          <w:numId w:val="8"/>
        </w:numPr>
        <w:overflowPunct w:val="0"/>
        <w:bidi w:val="0"/>
        <w:adjustRightInd w:val="0"/>
        <w:spacing w:after="0" w:line="240" w:lineRule="auto"/>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V § 31a odsek 4 znie:</w:t>
      </w:r>
    </w:p>
    <w:p w:rsidR="00536EC9" w:rsidRPr="00536EC9" w:rsidP="00536EC9">
      <w:pPr>
        <w:widowControl w:val="0"/>
        <w:overflowPunct w:val="0"/>
        <w:bidi w:val="0"/>
        <w:adjustRightInd w:val="0"/>
        <w:spacing w:after="0"/>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„(4) Odsek 1 sa nevzťahuje na spravovanie verejných špeciálnych fondov a špeciálnych podielových fondov kvalifikovaných investorov vytvorených podľa tohto zákona.“.</w:t>
      </w:r>
    </w:p>
    <w:p w:rsidR="00536EC9" w:rsidRPr="00536EC9" w:rsidP="00536EC9">
      <w:pPr>
        <w:widowControl w:val="0"/>
        <w:overflowPunct w:val="0"/>
        <w:bidi w:val="0"/>
        <w:adjustRightInd w:val="0"/>
        <w:spacing w:after="0"/>
        <w:jc w:val="both"/>
        <w:rPr>
          <w:rFonts w:ascii="Times New Roman" w:hAnsi="Times New Roman" w:cs="Times New Roman"/>
          <w:color w:val="000000"/>
          <w:sz w:val="24"/>
          <w:szCs w:val="24"/>
        </w:rPr>
      </w:pPr>
    </w:p>
    <w:p w:rsidR="00536EC9" w:rsidRPr="00536EC9" w:rsidP="00536EC9">
      <w:pPr>
        <w:pStyle w:val="ListParagraph"/>
        <w:widowControl w:val="0"/>
        <w:numPr>
          <w:numId w:val="8"/>
        </w:numPr>
        <w:overflowPunct w:val="0"/>
        <w:bidi w:val="0"/>
        <w:adjustRightInd w:val="0"/>
        <w:spacing w:after="0" w:line="240" w:lineRule="auto"/>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V § 31a odsek 6 znie:</w:t>
      </w:r>
    </w:p>
    <w:p w:rsidR="00536EC9" w:rsidRPr="00536EC9" w:rsidP="00536EC9">
      <w:pPr>
        <w:widowControl w:val="0"/>
        <w:overflowPunct w:val="0"/>
        <w:bidi w:val="0"/>
        <w:adjustRightInd w:val="0"/>
        <w:spacing w:after="0"/>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„(6) Na osoby spravujúce alternatívne investičné fondy a na subjekty kolektívneho investovania, ktoré spĺňajú podmienky podľa odseku 1, sa vzťahujú ustanovenia § 31b a 189a.“.</w:t>
      </w:r>
    </w:p>
    <w:p w:rsidR="00536EC9" w:rsidRPr="00536EC9" w:rsidP="00536EC9">
      <w:pPr>
        <w:pStyle w:val="ListParagraph"/>
        <w:widowControl w:val="0"/>
        <w:overflowPunct w:val="0"/>
        <w:bidi w:val="0"/>
        <w:adjustRightInd w:val="0"/>
        <w:spacing w:after="0"/>
        <w:jc w:val="both"/>
        <w:rPr>
          <w:rFonts w:ascii="Times New Roman" w:hAnsi="Times New Roman" w:cs="Times New Roman"/>
          <w:color w:val="000000"/>
          <w:sz w:val="24"/>
          <w:szCs w:val="24"/>
        </w:rPr>
      </w:pPr>
    </w:p>
    <w:p w:rsidR="00536EC9" w:rsidRPr="00536EC9" w:rsidP="00536EC9">
      <w:pPr>
        <w:pStyle w:val="ListParagraph"/>
        <w:widowControl w:val="0"/>
        <w:numPr>
          <w:numId w:val="8"/>
        </w:numPr>
        <w:overflowPunct w:val="0"/>
        <w:bidi w:val="0"/>
        <w:adjustRightInd w:val="0"/>
        <w:spacing w:after="0" w:line="240" w:lineRule="auto"/>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 xml:space="preserve">V § 33 ods. 8 sa slová „alternatívnych investičných fondov a zahraničných alternatívnych investičných“ nahrádzajú slovom „spravovaných“. </w:t>
      </w:r>
    </w:p>
    <w:p w:rsidR="00536EC9" w:rsidRPr="00536EC9" w:rsidP="00536EC9">
      <w:pPr>
        <w:pStyle w:val="ListParagraph"/>
        <w:bidi w:val="0"/>
        <w:spacing w:after="0"/>
        <w:rPr>
          <w:rFonts w:ascii="Times New Roman" w:hAnsi="Times New Roman" w:cs="Times New Roman"/>
          <w:color w:val="000000"/>
          <w:sz w:val="24"/>
          <w:szCs w:val="24"/>
        </w:rPr>
      </w:pPr>
    </w:p>
    <w:p w:rsidR="00536EC9" w:rsidRPr="00536EC9" w:rsidP="00536EC9">
      <w:pPr>
        <w:pStyle w:val="ListParagraph"/>
        <w:widowControl w:val="0"/>
        <w:numPr>
          <w:numId w:val="8"/>
        </w:numPr>
        <w:overflowPunct w:val="0"/>
        <w:bidi w:val="0"/>
        <w:adjustRightInd w:val="0"/>
        <w:spacing w:after="0" w:line="240" w:lineRule="auto"/>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V § 82 ods. 10 druhá veta znie:</w:t>
      </w:r>
    </w:p>
    <w:p w:rsidR="00536EC9" w:rsidRPr="00536EC9" w:rsidP="00536EC9">
      <w:pPr>
        <w:pStyle w:val="ListParagraph"/>
        <w:bidi w:val="0"/>
        <w:spacing w:after="0"/>
        <w:rPr>
          <w:rFonts w:ascii="Times New Roman" w:hAnsi="Times New Roman" w:cs="Times New Roman"/>
          <w:color w:val="000000"/>
          <w:sz w:val="24"/>
          <w:szCs w:val="24"/>
        </w:rPr>
      </w:pPr>
    </w:p>
    <w:p w:rsidR="00536EC9" w:rsidRPr="00536EC9" w:rsidP="00536EC9">
      <w:pPr>
        <w:widowControl w:val="0"/>
        <w:overflowPunct w:val="0"/>
        <w:bidi w:val="0"/>
        <w:adjustRightInd w:val="0"/>
        <w:spacing w:after="0"/>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„Každé ustanovenie zmluvy, ktoré je v rozpore s prvou vetou, je neplatné.“.</w:t>
      </w:r>
    </w:p>
    <w:p w:rsidR="00536EC9" w:rsidRPr="00536EC9" w:rsidP="00536EC9">
      <w:pPr>
        <w:widowControl w:val="0"/>
        <w:overflowPunct w:val="0"/>
        <w:bidi w:val="0"/>
        <w:adjustRightInd w:val="0"/>
        <w:spacing w:after="0"/>
        <w:jc w:val="both"/>
        <w:rPr>
          <w:rFonts w:ascii="Times New Roman" w:hAnsi="Times New Roman" w:cs="Times New Roman"/>
          <w:color w:val="000000"/>
          <w:sz w:val="24"/>
          <w:szCs w:val="24"/>
        </w:rPr>
      </w:pPr>
    </w:p>
    <w:p w:rsidR="00536EC9" w:rsidRPr="00536EC9" w:rsidP="00536EC9">
      <w:pPr>
        <w:pStyle w:val="ListParagraph"/>
        <w:widowControl w:val="0"/>
        <w:numPr>
          <w:numId w:val="8"/>
        </w:numPr>
        <w:overflowPunct w:val="0"/>
        <w:bidi w:val="0"/>
        <w:adjustRightInd w:val="0"/>
        <w:spacing w:after="0" w:line="240" w:lineRule="auto"/>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V § 153 ods. 10 sa slovo „ich“ nahrádza slovom „im“.</w:t>
      </w:r>
    </w:p>
    <w:p w:rsidR="00536EC9" w:rsidRPr="00536EC9" w:rsidP="00536EC9">
      <w:pPr>
        <w:widowControl w:val="0"/>
        <w:overflowPunct w:val="0"/>
        <w:bidi w:val="0"/>
        <w:adjustRightInd w:val="0"/>
        <w:spacing w:after="0"/>
        <w:jc w:val="both"/>
        <w:rPr>
          <w:rFonts w:ascii="Times New Roman" w:hAnsi="Times New Roman" w:cs="Times New Roman"/>
          <w:color w:val="000000"/>
          <w:sz w:val="24"/>
          <w:szCs w:val="24"/>
        </w:rPr>
      </w:pPr>
    </w:p>
    <w:p w:rsidR="00536EC9" w:rsidRPr="00536EC9" w:rsidP="00536EC9">
      <w:pPr>
        <w:pStyle w:val="ListParagraph"/>
        <w:widowControl w:val="0"/>
        <w:numPr>
          <w:numId w:val="8"/>
        </w:numPr>
        <w:overflowPunct w:val="0"/>
        <w:bidi w:val="0"/>
        <w:adjustRightInd w:val="0"/>
        <w:spacing w:after="0" w:line="240" w:lineRule="auto"/>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V § 179 sa za odsek 2 vkladá nový odsek 3, ktorý znie:</w:t>
      </w:r>
    </w:p>
    <w:p w:rsidR="00536EC9" w:rsidRPr="00536EC9" w:rsidP="00536EC9">
      <w:pPr>
        <w:pStyle w:val="ListParagraph"/>
        <w:bidi w:val="0"/>
        <w:spacing w:after="0"/>
        <w:rPr>
          <w:rFonts w:ascii="Times New Roman" w:hAnsi="Times New Roman" w:cs="Times New Roman"/>
          <w:color w:val="000000"/>
          <w:sz w:val="24"/>
          <w:szCs w:val="24"/>
        </w:rPr>
      </w:pPr>
    </w:p>
    <w:p w:rsidR="00536EC9" w:rsidRPr="00536EC9" w:rsidP="00536EC9">
      <w:pPr>
        <w:widowControl w:val="0"/>
        <w:overflowPunct w:val="0"/>
        <w:bidi w:val="0"/>
        <w:adjustRightInd w:val="0"/>
        <w:spacing w:after="0"/>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„(3) Súčasťou rozhodnutia, ktorým sa udeľuje predchádzajúci súhlas podľa § 163 ods. 1 písm. p), je aj schválenie zmeny štatútu špeciálneho podielového fondu.“.</w:t>
      </w:r>
    </w:p>
    <w:p w:rsidR="00536EC9" w:rsidRPr="00536EC9" w:rsidP="00536EC9">
      <w:pPr>
        <w:widowControl w:val="0"/>
        <w:overflowPunct w:val="0"/>
        <w:bidi w:val="0"/>
        <w:adjustRightInd w:val="0"/>
        <w:spacing w:after="0"/>
        <w:jc w:val="both"/>
        <w:rPr>
          <w:rFonts w:ascii="Times New Roman" w:hAnsi="Times New Roman" w:cs="Times New Roman"/>
          <w:color w:val="000000"/>
          <w:sz w:val="24"/>
          <w:szCs w:val="24"/>
        </w:rPr>
      </w:pPr>
    </w:p>
    <w:p w:rsidR="00536EC9" w:rsidRPr="00536EC9" w:rsidP="00536EC9">
      <w:pPr>
        <w:widowControl w:val="0"/>
        <w:overflowPunct w:val="0"/>
        <w:bidi w:val="0"/>
        <w:adjustRightInd w:val="0"/>
        <w:spacing w:after="0"/>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Doterajší odsek 3 sa označuje ako odsek 4.</w:t>
      </w:r>
    </w:p>
    <w:p w:rsidR="00536EC9" w:rsidRPr="00536EC9" w:rsidP="00536EC9">
      <w:pPr>
        <w:widowControl w:val="0"/>
        <w:overflowPunct w:val="0"/>
        <w:bidi w:val="0"/>
        <w:adjustRightInd w:val="0"/>
        <w:spacing w:after="0"/>
        <w:jc w:val="both"/>
        <w:rPr>
          <w:rFonts w:ascii="Times New Roman" w:hAnsi="Times New Roman" w:cs="Times New Roman"/>
          <w:color w:val="000000"/>
          <w:sz w:val="24"/>
          <w:szCs w:val="24"/>
        </w:rPr>
      </w:pPr>
    </w:p>
    <w:p w:rsidR="00536EC9" w:rsidRPr="00536EC9" w:rsidP="00536EC9">
      <w:pPr>
        <w:pStyle w:val="ListParagraph"/>
        <w:widowControl w:val="0"/>
        <w:numPr>
          <w:numId w:val="8"/>
        </w:numPr>
        <w:overflowPunct w:val="0"/>
        <w:bidi w:val="0"/>
        <w:adjustRightInd w:val="0"/>
        <w:spacing w:after="0" w:line="240" w:lineRule="auto"/>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V § 180 ods. 7 písm. c) sa za slovo „verejné“ vkladá slovo „špeciálne“</w:t>
      </w:r>
    </w:p>
    <w:p w:rsidR="00536EC9" w:rsidRPr="00536EC9" w:rsidP="00536EC9">
      <w:pPr>
        <w:pStyle w:val="ListParagraph"/>
        <w:bidi w:val="0"/>
        <w:spacing w:after="0"/>
        <w:rPr>
          <w:rFonts w:ascii="Times New Roman" w:hAnsi="Times New Roman" w:cs="Times New Roman"/>
          <w:color w:val="000000"/>
          <w:sz w:val="24"/>
          <w:szCs w:val="24"/>
        </w:rPr>
      </w:pPr>
    </w:p>
    <w:p w:rsidR="00536EC9" w:rsidRPr="00536EC9" w:rsidP="00536EC9">
      <w:pPr>
        <w:pStyle w:val="ListParagraph"/>
        <w:widowControl w:val="0"/>
        <w:numPr>
          <w:numId w:val="8"/>
        </w:numPr>
        <w:overflowPunct w:val="0"/>
        <w:bidi w:val="0"/>
        <w:adjustRightInd w:val="0"/>
        <w:spacing w:after="0" w:line="240" w:lineRule="auto"/>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V § 202a sa vypúšťa odsek 2.</w:t>
      </w:r>
    </w:p>
    <w:p w:rsidR="00536EC9" w:rsidRPr="00536EC9" w:rsidP="00536EC9">
      <w:pPr>
        <w:widowControl w:val="0"/>
        <w:overflowPunct w:val="0"/>
        <w:bidi w:val="0"/>
        <w:adjustRightInd w:val="0"/>
        <w:spacing w:after="0"/>
        <w:jc w:val="both"/>
        <w:rPr>
          <w:rFonts w:ascii="Times New Roman" w:hAnsi="Times New Roman" w:cs="Times New Roman"/>
          <w:color w:val="000000"/>
          <w:sz w:val="24"/>
          <w:szCs w:val="24"/>
        </w:rPr>
      </w:pPr>
    </w:p>
    <w:p w:rsidR="00536EC9" w:rsidRPr="00536EC9" w:rsidP="00536EC9">
      <w:pPr>
        <w:pStyle w:val="ListParagraph"/>
        <w:bidi w:val="0"/>
        <w:spacing w:after="0"/>
        <w:rPr>
          <w:rFonts w:ascii="Times New Roman" w:hAnsi="Times New Roman" w:cs="Times New Roman"/>
          <w:color w:val="000000"/>
          <w:sz w:val="24"/>
          <w:szCs w:val="24"/>
        </w:rPr>
      </w:pPr>
      <w:r w:rsidRPr="00536EC9">
        <w:rPr>
          <w:rFonts w:ascii="Times New Roman" w:hAnsi="Times New Roman" w:cs="Times New Roman"/>
          <w:color w:val="000000"/>
          <w:sz w:val="24"/>
          <w:szCs w:val="24"/>
        </w:rPr>
        <w:t>Doterajší odsek 3 sa označuje ako odsek 2.</w:t>
      </w:r>
    </w:p>
    <w:p w:rsidR="00536EC9" w:rsidRPr="00536EC9" w:rsidP="00536EC9">
      <w:pPr>
        <w:pStyle w:val="ListParagraph"/>
        <w:bidi w:val="0"/>
        <w:spacing w:after="0"/>
        <w:rPr>
          <w:rFonts w:ascii="Times New Roman" w:hAnsi="Times New Roman" w:cs="Times New Roman"/>
          <w:color w:val="000000"/>
          <w:sz w:val="24"/>
          <w:szCs w:val="24"/>
        </w:rPr>
      </w:pPr>
    </w:p>
    <w:p w:rsidR="00536EC9" w:rsidRPr="00536EC9" w:rsidP="00536EC9">
      <w:pPr>
        <w:pStyle w:val="ListParagraph"/>
        <w:numPr>
          <w:numId w:val="8"/>
        </w:numPr>
        <w:bidi w:val="0"/>
        <w:spacing w:after="0" w:line="240" w:lineRule="auto"/>
        <w:contextualSpacing/>
        <w:rPr>
          <w:rFonts w:ascii="Times New Roman" w:hAnsi="Times New Roman" w:cs="Times New Roman"/>
          <w:color w:val="000000"/>
          <w:sz w:val="24"/>
          <w:szCs w:val="24"/>
        </w:rPr>
      </w:pPr>
      <w:r w:rsidRPr="00536EC9">
        <w:rPr>
          <w:rFonts w:ascii="Times New Roman" w:hAnsi="Times New Roman" w:cs="Times New Roman"/>
          <w:color w:val="000000"/>
          <w:sz w:val="24"/>
          <w:szCs w:val="24"/>
        </w:rPr>
        <w:t>V § 204 sa vypúšťa odsek 2.</w:t>
      </w:r>
    </w:p>
    <w:p w:rsidR="00536EC9" w:rsidRPr="00536EC9" w:rsidP="00536EC9">
      <w:pPr>
        <w:bidi w:val="0"/>
        <w:spacing w:after="0"/>
        <w:rPr>
          <w:rFonts w:ascii="Times New Roman" w:hAnsi="Times New Roman" w:cs="Times New Roman"/>
          <w:color w:val="000000"/>
          <w:sz w:val="24"/>
          <w:szCs w:val="24"/>
        </w:rPr>
      </w:pPr>
    </w:p>
    <w:p w:rsidR="00536EC9" w:rsidRPr="00536EC9" w:rsidP="00536EC9">
      <w:pPr>
        <w:bidi w:val="0"/>
        <w:spacing w:after="0"/>
        <w:rPr>
          <w:rFonts w:ascii="Times New Roman" w:hAnsi="Times New Roman" w:cs="Times New Roman"/>
          <w:color w:val="000000"/>
          <w:sz w:val="24"/>
          <w:szCs w:val="24"/>
        </w:rPr>
      </w:pPr>
      <w:r w:rsidRPr="00536EC9">
        <w:rPr>
          <w:rFonts w:ascii="Times New Roman" w:hAnsi="Times New Roman" w:cs="Times New Roman"/>
          <w:color w:val="000000"/>
          <w:sz w:val="24"/>
          <w:szCs w:val="24"/>
        </w:rPr>
        <w:t>Doterajšie odseky 3 až 9 sa označujú ako odseky 2 až 8.</w:t>
      </w:r>
    </w:p>
    <w:p w:rsidR="00536EC9" w:rsidRPr="00536EC9" w:rsidP="00536EC9">
      <w:pPr>
        <w:bidi w:val="0"/>
        <w:spacing w:after="0"/>
        <w:rPr>
          <w:rFonts w:ascii="Times New Roman" w:hAnsi="Times New Roman" w:cs="Times New Roman"/>
          <w:color w:val="000000"/>
          <w:sz w:val="24"/>
          <w:szCs w:val="24"/>
        </w:rPr>
      </w:pPr>
    </w:p>
    <w:p w:rsidR="00536EC9" w:rsidRPr="00536EC9" w:rsidP="00536EC9">
      <w:pPr>
        <w:pStyle w:val="ListParagraph"/>
        <w:numPr>
          <w:numId w:val="8"/>
        </w:numPr>
        <w:bidi w:val="0"/>
        <w:spacing w:after="0" w:line="240" w:lineRule="auto"/>
        <w:contextualSpacing/>
        <w:rPr>
          <w:rFonts w:ascii="Times New Roman" w:hAnsi="Times New Roman" w:cs="Times New Roman"/>
          <w:color w:val="000000"/>
          <w:sz w:val="24"/>
          <w:szCs w:val="24"/>
        </w:rPr>
      </w:pPr>
      <w:r w:rsidRPr="00536EC9">
        <w:rPr>
          <w:rFonts w:ascii="Times New Roman" w:hAnsi="Times New Roman" w:cs="Times New Roman"/>
          <w:color w:val="000000"/>
          <w:sz w:val="24"/>
          <w:szCs w:val="24"/>
        </w:rPr>
        <w:t>V § 204 odsek 2 znie:</w:t>
      </w:r>
    </w:p>
    <w:p w:rsidR="00536EC9" w:rsidRPr="00536EC9" w:rsidP="00536EC9">
      <w:pPr>
        <w:bidi w:val="0"/>
        <w:spacing w:after="0"/>
        <w:jc w:val="both"/>
        <w:rPr>
          <w:rFonts w:ascii="Times New Roman" w:hAnsi="Times New Roman" w:cs="Times New Roman"/>
          <w:sz w:val="24"/>
          <w:szCs w:val="24"/>
        </w:rPr>
      </w:pPr>
      <w:r w:rsidRPr="00536EC9">
        <w:rPr>
          <w:rFonts w:ascii="Times New Roman" w:hAnsi="Times New Roman" w:cs="Times New Roman"/>
          <w:bCs/>
          <w:color w:val="000000"/>
          <w:sz w:val="24"/>
          <w:szCs w:val="24"/>
        </w:rPr>
        <w:t>„(2) Správcovská spoločnosť</w:t>
      </w:r>
      <w:r w:rsidRPr="00536EC9">
        <w:rPr>
          <w:rFonts w:ascii="Times New Roman" w:hAnsi="Times New Roman" w:cs="Times New Roman"/>
          <w:sz w:val="24"/>
          <w:szCs w:val="24"/>
        </w:rPr>
        <w:t xml:space="preserve"> je povinná predložiť Národnej banke Slovenska výpis z jej registra emitenta a z jej zoznamu akcionárov vyhotovený k rozhodujúcemu dňu,</w:t>
      </w:r>
      <w:r w:rsidRPr="00536EC9">
        <w:rPr>
          <w:rFonts w:ascii="Times New Roman" w:hAnsi="Times New Roman" w:cs="Times New Roman"/>
          <w:sz w:val="24"/>
          <w:szCs w:val="24"/>
          <w:vertAlign w:val="superscript"/>
        </w:rPr>
        <w:t>90b</w:t>
      </w:r>
      <w:r w:rsidRPr="00536EC9">
        <w:rPr>
          <w:rFonts w:ascii="Times New Roman" w:hAnsi="Times New Roman" w:cs="Times New Roman"/>
          <w:sz w:val="24"/>
          <w:szCs w:val="24"/>
        </w:rPr>
        <w:t>) ktorý je určený najmenej päť pracovných dní pred dňom konania valného zhromaždenia. Tento výpis je správcovská spoločnosť povinná doručiť Národnej banke Slovenska v deň jeho vyhotovenia. Národná banka Slovenska bezodkladne na tomto výpise písomne označí osobu, ktorej pozastavila výkon práv uvedených v odseku 1, a doručí ho správcovskej spoločnosti najneskôr v deň predchádzajúci konaniu valného zhromaždenia správcovskej spoločnosti.“.</w:t>
      </w:r>
    </w:p>
    <w:p w:rsidR="00536EC9" w:rsidRPr="00536EC9" w:rsidP="00536EC9">
      <w:pPr>
        <w:bidi w:val="0"/>
        <w:spacing w:after="0"/>
        <w:jc w:val="both"/>
        <w:rPr>
          <w:rFonts w:ascii="Times New Roman" w:hAnsi="Times New Roman" w:cs="Times New Roman"/>
          <w:sz w:val="24"/>
          <w:szCs w:val="24"/>
        </w:rPr>
      </w:pPr>
    </w:p>
    <w:p w:rsidR="00536EC9" w:rsidRPr="00536EC9" w:rsidP="00536EC9">
      <w:pPr>
        <w:bidi w:val="0"/>
        <w:spacing w:after="0"/>
        <w:jc w:val="both"/>
        <w:rPr>
          <w:rFonts w:ascii="Times New Roman" w:hAnsi="Times New Roman" w:cs="Times New Roman"/>
          <w:sz w:val="24"/>
          <w:szCs w:val="24"/>
        </w:rPr>
      </w:pPr>
      <w:r w:rsidRPr="00536EC9">
        <w:rPr>
          <w:rFonts w:ascii="Times New Roman" w:hAnsi="Times New Roman" w:cs="Times New Roman"/>
          <w:sz w:val="24"/>
          <w:szCs w:val="24"/>
        </w:rPr>
        <w:t>Poznámka pod čiarou k odkazu 90b znie:</w:t>
      </w:r>
    </w:p>
    <w:p w:rsidR="00536EC9" w:rsidRPr="00536EC9" w:rsidP="00536EC9">
      <w:pPr>
        <w:bidi w:val="0"/>
        <w:spacing w:after="0"/>
        <w:jc w:val="both"/>
        <w:rPr>
          <w:rFonts w:ascii="Times New Roman" w:hAnsi="Times New Roman" w:cs="Times New Roman"/>
          <w:bCs/>
          <w:color w:val="000000"/>
          <w:sz w:val="24"/>
          <w:szCs w:val="24"/>
        </w:rPr>
      </w:pPr>
      <w:r w:rsidRPr="00536EC9">
        <w:rPr>
          <w:rFonts w:ascii="Times New Roman" w:hAnsi="Times New Roman" w:cs="Times New Roman"/>
          <w:sz w:val="24"/>
          <w:szCs w:val="24"/>
        </w:rPr>
        <w:t>„</w:t>
      </w:r>
      <w:r w:rsidRPr="00536EC9">
        <w:rPr>
          <w:rFonts w:ascii="Times New Roman" w:hAnsi="Times New Roman" w:cs="Times New Roman"/>
          <w:sz w:val="24"/>
          <w:szCs w:val="24"/>
          <w:vertAlign w:val="superscript"/>
        </w:rPr>
        <w:t>90b</w:t>
      </w:r>
      <w:r w:rsidRPr="00536EC9">
        <w:rPr>
          <w:rFonts w:ascii="Times New Roman" w:hAnsi="Times New Roman" w:cs="Times New Roman"/>
          <w:sz w:val="24"/>
          <w:szCs w:val="24"/>
        </w:rPr>
        <w:t>) § 156a Obchodného zákonníka v znení neskorších predpisov.“.</w:t>
      </w:r>
    </w:p>
    <w:p w:rsidR="00536EC9" w:rsidRPr="00536EC9" w:rsidP="00536EC9">
      <w:pPr>
        <w:bidi w:val="0"/>
        <w:spacing w:after="0"/>
        <w:rPr>
          <w:rFonts w:ascii="Times New Roman" w:hAnsi="Times New Roman" w:cs="Times New Roman"/>
          <w:color w:val="000000"/>
          <w:sz w:val="24"/>
          <w:szCs w:val="24"/>
        </w:rPr>
      </w:pPr>
    </w:p>
    <w:p w:rsidR="00536EC9" w:rsidRPr="00536EC9" w:rsidP="00536EC9">
      <w:pPr>
        <w:pStyle w:val="ListParagraph"/>
        <w:widowControl w:val="0"/>
        <w:numPr>
          <w:numId w:val="8"/>
        </w:numPr>
        <w:overflowPunct w:val="0"/>
        <w:bidi w:val="0"/>
        <w:adjustRightInd w:val="0"/>
        <w:spacing w:after="0" w:line="240" w:lineRule="auto"/>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V prílohe č. 2 bode 3.2. sa slová „§ 81“ nahrádzajú slovami „§ 80a“.</w:t>
      </w:r>
    </w:p>
    <w:p w:rsidR="00536EC9" w:rsidRPr="00536EC9" w:rsidP="00536EC9">
      <w:pPr>
        <w:widowControl w:val="0"/>
        <w:overflowPunct w:val="0"/>
        <w:bidi w:val="0"/>
        <w:adjustRightInd w:val="0"/>
        <w:spacing w:after="0"/>
        <w:jc w:val="both"/>
        <w:rPr>
          <w:rFonts w:ascii="Times New Roman" w:hAnsi="Times New Roman" w:cs="Times New Roman"/>
          <w:color w:val="000000"/>
          <w:sz w:val="24"/>
          <w:szCs w:val="24"/>
        </w:rPr>
      </w:pPr>
    </w:p>
    <w:p w:rsidR="00536EC9" w:rsidRPr="00536EC9" w:rsidP="00536EC9">
      <w:pPr>
        <w:widowControl w:val="0"/>
        <w:overflowPunct w:val="0"/>
        <w:bidi w:val="0"/>
        <w:adjustRightInd w:val="0"/>
        <w:spacing w:after="0"/>
        <w:jc w:val="center"/>
        <w:rPr>
          <w:rFonts w:ascii="Times New Roman" w:hAnsi="Times New Roman" w:cs="Times New Roman"/>
          <w:b/>
          <w:color w:val="000000"/>
          <w:sz w:val="24"/>
          <w:szCs w:val="24"/>
        </w:rPr>
      </w:pPr>
      <w:r w:rsidRPr="00536EC9">
        <w:rPr>
          <w:rFonts w:ascii="Times New Roman" w:hAnsi="Times New Roman" w:cs="Times New Roman"/>
          <w:b/>
          <w:color w:val="000000"/>
          <w:sz w:val="24"/>
          <w:szCs w:val="24"/>
        </w:rPr>
        <w:t>Čl. VIII</w:t>
      </w:r>
    </w:p>
    <w:p w:rsidR="00536EC9" w:rsidRPr="00536EC9" w:rsidP="00536EC9">
      <w:pPr>
        <w:widowControl w:val="0"/>
        <w:overflowPunct w:val="0"/>
        <w:bidi w:val="0"/>
        <w:adjustRightInd w:val="0"/>
        <w:spacing w:after="0"/>
        <w:jc w:val="center"/>
        <w:rPr>
          <w:rFonts w:ascii="Times New Roman" w:hAnsi="Times New Roman" w:cs="Times New Roman"/>
          <w:b/>
          <w:color w:val="000000"/>
          <w:sz w:val="24"/>
          <w:szCs w:val="24"/>
        </w:rPr>
      </w:pPr>
    </w:p>
    <w:p w:rsidR="00536EC9" w:rsidRPr="00536EC9" w:rsidP="00536EC9">
      <w:pPr>
        <w:widowControl w:val="0"/>
        <w:overflowPunct w:val="0"/>
        <w:bidi w:val="0"/>
        <w:adjustRightInd w:val="0"/>
        <w:spacing w:after="0"/>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Zákon č. 39/2015 Z. z. o poisťovníctve a o zmene a doplnení niektorých zákonov v znení zákona č. 359/2015 Z. z., zákona č. 437/2015 Z. z. a zákona č. 125/2016 Z. z. sa mení a dopĺňa takto:</w:t>
      </w:r>
    </w:p>
    <w:p w:rsidR="00536EC9" w:rsidRPr="00536EC9" w:rsidP="00536EC9">
      <w:pPr>
        <w:widowControl w:val="0"/>
        <w:overflowPunct w:val="0"/>
        <w:bidi w:val="0"/>
        <w:adjustRightInd w:val="0"/>
        <w:spacing w:after="0"/>
        <w:jc w:val="both"/>
        <w:rPr>
          <w:rFonts w:ascii="Times New Roman" w:hAnsi="Times New Roman" w:cs="Times New Roman"/>
          <w:color w:val="000000"/>
          <w:sz w:val="24"/>
          <w:szCs w:val="24"/>
        </w:rPr>
      </w:pPr>
    </w:p>
    <w:p w:rsidR="00536EC9" w:rsidRPr="00536EC9" w:rsidP="00536EC9">
      <w:pPr>
        <w:pStyle w:val="ListParagraph"/>
        <w:widowControl w:val="0"/>
        <w:numPr>
          <w:numId w:val="23"/>
        </w:numPr>
        <w:overflowPunct w:val="0"/>
        <w:bidi w:val="0"/>
        <w:adjustRightInd w:val="0"/>
        <w:spacing w:after="0" w:line="240" w:lineRule="auto"/>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V § 163 sa vypúšťajú odseky 8 a 9.</w:t>
      </w:r>
    </w:p>
    <w:p w:rsidR="00536EC9" w:rsidRPr="00536EC9" w:rsidP="00536EC9">
      <w:pPr>
        <w:widowControl w:val="0"/>
        <w:overflowPunct w:val="0"/>
        <w:bidi w:val="0"/>
        <w:adjustRightInd w:val="0"/>
        <w:spacing w:after="0"/>
        <w:jc w:val="both"/>
        <w:rPr>
          <w:rFonts w:ascii="Times New Roman" w:hAnsi="Times New Roman" w:cs="Times New Roman"/>
          <w:color w:val="000000"/>
          <w:sz w:val="24"/>
          <w:szCs w:val="24"/>
        </w:rPr>
      </w:pPr>
    </w:p>
    <w:p w:rsidR="00536EC9" w:rsidRPr="00536EC9" w:rsidP="00536EC9">
      <w:pPr>
        <w:widowControl w:val="0"/>
        <w:overflowPunct w:val="0"/>
        <w:bidi w:val="0"/>
        <w:adjustRightInd w:val="0"/>
        <w:spacing w:after="0"/>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Doterajší odsek 10 sa označuje ako odsek 8.</w:t>
      </w:r>
    </w:p>
    <w:p w:rsidR="00536EC9" w:rsidRPr="00536EC9" w:rsidP="00536EC9">
      <w:pPr>
        <w:widowControl w:val="0"/>
        <w:overflowPunct w:val="0"/>
        <w:bidi w:val="0"/>
        <w:adjustRightInd w:val="0"/>
        <w:spacing w:after="0"/>
        <w:jc w:val="both"/>
        <w:rPr>
          <w:rFonts w:ascii="Times New Roman" w:hAnsi="Times New Roman" w:cs="Times New Roman"/>
          <w:color w:val="000000"/>
          <w:sz w:val="24"/>
          <w:szCs w:val="24"/>
        </w:rPr>
      </w:pPr>
    </w:p>
    <w:p w:rsidR="00536EC9" w:rsidRPr="00536EC9" w:rsidP="00536EC9">
      <w:pPr>
        <w:pStyle w:val="ListParagraph"/>
        <w:widowControl w:val="0"/>
        <w:numPr>
          <w:numId w:val="23"/>
        </w:numPr>
        <w:overflowPunct w:val="0"/>
        <w:bidi w:val="0"/>
        <w:adjustRightInd w:val="0"/>
        <w:spacing w:after="0" w:line="240" w:lineRule="auto"/>
        <w:contextualSpacing/>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V § 163 odsek 8 znie:</w:t>
      </w:r>
    </w:p>
    <w:p w:rsidR="00536EC9" w:rsidRPr="00536EC9" w:rsidP="00536EC9">
      <w:pPr>
        <w:bidi w:val="0"/>
        <w:spacing w:after="0"/>
        <w:jc w:val="both"/>
        <w:rPr>
          <w:rFonts w:ascii="Times New Roman" w:hAnsi="Times New Roman" w:cs="Times New Roman"/>
          <w:sz w:val="24"/>
          <w:szCs w:val="24"/>
        </w:rPr>
      </w:pPr>
      <w:r w:rsidRPr="00536EC9">
        <w:rPr>
          <w:rFonts w:ascii="Times New Roman" w:hAnsi="Times New Roman" w:cs="Times New Roman"/>
          <w:bCs/>
          <w:color w:val="000000"/>
          <w:sz w:val="24"/>
          <w:szCs w:val="24"/>
        </w:rPr>
        <w:t>„(8) Poisťovňa alebo zaisťovňa</w:t>
      </w:r>
      <w:r w:rsidRPr="00536EC9">
        <w:rPr>
          <w:rFonts w:ascii="Times New Roman" w:hAnsi="Times New Roman" w:cs="Times New Roman"/>
          <w:sz w:val="24"/>
          <w:szCs w:val="24"/>
        </w:rPr>
        <w:t xml:space="preserve"> je povinná predložiť Národnej banke Slovenska výpis z jej registra emitenta a z jej zoznamu akcionárov vyhotovený k rozhodujúcemu dňu,</w:t>
      </w:r>
      <w:r w:rsidRPr="00536EC9">
        <w:rPr>
          <w:rFonts w:ascii="Times New Roman" w:hAnsi="Times New Roman" w:cs="Times New Roman"/>
          <w:sz w:val="24"/>
          <w:szCs w:val="24"/>
          <w:vertAlign w:val="superscript"/>
        </w:rPr>
        <w:t>84</w:t>
      </w:r>
      <w:r w:rsidRPr="00536EC9">
        <w:rPr>
          <w:rFonts w:ascii="Times New Roman" w:hAnsi="Times New Roman" w:cs="Times New Roman"/>
          <w:sz w:val="24"/>
          <w:szCs w:val="24"/>
        </w:rPr>
        <w:t>) ktorý je určený najmenej päť pracovných dní pred dňom konania valného zhromaždenia. Tento výpis je poisťovňa alebo zaisťovňa povinná doručiť Národnej banke Slovenska v deň jeho vyhotovenia. Národná banka Slovenska bezodkladne na tomto výpise písomne označí osobu, ktorej pozastavila výkon práv uvedených v odseku 1, a doručí ho poisťovni alebo zaisťovni najneskôr v deň predchádzajúci konaniu valného zhromaždenia poisťovne alebo zaisťovne.“.</w:t>
      </w:r>
    </w:p>
    <w:p w:rsidR="00536EC9" w:rsidRPr="00536EC9" w:rsidP="00536EC9">
      <w:pPr>
        <w:bidi w:val="0"/>
        <w:spacing w:after="0"/>
        <w:jc w:val="both"/>
        <w:rPr>
          <w:rFonts w:ascii="Times New Roman" w:hAnsi="Times New Roman" w:cs="Times New Roman"/>
          <w:sz w:val="24"/>
          <w:szCs w:val="24"/>
        </w:rPr>
      </w:pPr>
    </w:p>
    <w:p w:rsidR="00536EC9" w:rsidRPr="00536EC9" w:rsidP="00536EC9">
      <w:pPr>
        <w:bidi w:val="0"/>
        <w:spacing w:after="0"/>
        <w:jc w:val="both"/>
        <w:rPr>
          <w:rFonts w:ascii="Times New Roman" w:hAnsi="Times New Roman" w:cs="Times New Roman"/>
          <w:sz w:val="24"/>
          <w:szCs w:val="24"/>
        </w:rPr>
      </w:pPr>
      <w:r w:rsidRPr="00536EC9">
        <w:rPr>
          <w:rFonts w:ascii="Times New Roman" w:hAnsi="Times New Roman" w:cs="Times New Roman"/>
          <w:sz w:val="24"/>
          <w:szCs w:val="24"/>
        </w:rPr>
        <w:t>Poznámka pod čiarou k odkazu 84 znie:</w:t>
      </w:r>
    </w:p>
    <w:p w:rsidR="00536EC9" w:rsidRPr="00536EC9" w:rsidP="00536EC9">
      <w:pPr>
        <w:bidi w:val="0"/>
        <w:spacing w:after="0"/>
        <w:jc w:val="both"/>
        <w:rPr>
          <w:rFonts w:ascii="Times New Roman" w:hAnsi="Times New Roman" w:cs="Times New Roman"/>
          <w:sz w:val="24"/>
          <w:szCs w:val="24"/>
        </w:rPr>
      </w:pPr>
      <w:r w:rsidRPr="00536EC9">
        <w:rPr>
          <w:rFonts w:ascii="Times New Roman" w:hAnsi="Times New Roman" w:cs="Times New Roman"/>
          <w:sz w:val="24"/>
          <w:szCs w:val="24"/>
        </w:rPr>
        <w:t>„</w:t>
      </w:r>
      <w:r w:rsidRPr="00536EC9">
        <w:rPr>
          <w:rFonts w:ascii="Times New Roman" w:hAnsi="Times New Roman" w:cs="Times New Roman"/>
          <w:sz w:val="24"/>
          <w:szCs w:val="24"/>
          <w:vertAlign w:val="superscript"/>
        </w:rPr>
        <w:t>84</w:t>
      </w:r>
      <w:r w:rsidRPr="00536EC9">
        <w:rPr>
          <w:rFonts w:ascii="Times New Roman" w:hAnsi="Times New Roman" w:cs="Times New Roman"/>
          <w:sz w:val="24"/>
          <w:szCs w:val="24"/>
        </w:rPr>
        <w:t>) § 156a Obchodného zákonníka v znení neskorších predpisov.“.</w:t>
      </w:r>
    </w:p>
    <w:p w:rsidR="00536EC9" w:rsidRPr="00536EC9" w:rsidP="00536EC9">
      <w:pPr>
        <w:bidi w:val="0"/>
        <w:spacing w:after="0"/>
        <w:jc w:val="both"/>
        <w:rPr>
          <w:rFonts w:ascii="Times New Roman" w:hAnsi="Times New Roman" w:cs="Times New Roman"/>
          <w:sz w:val="24"/>
          <w:szCs w:val="24"/>
        </w:rPr>
      </w:pPr>
    </w:p>
    <w:p w:rsidR="00536EC9" w:rsidRPr="00536EC9" w:rsidP="00536EC9">
      <w:pPr>
        <w:pStyle w:val="ListParagraph"/>
        <w:numPr>
          <w:numId w:val="23"/>
        </w:numPr>
        <w:bidi w:val="0"/>
        <w:spacing w:after="0" w:line="240" w:lineRule="auto"/>
        <w:contextualSpacing/>
        <w:jc w:val="both"/>
        <w:rPr>
          <w:rFonts w:ascii="Times New Roman" w:hAnsi="Times New Roman" w:cs="Times New Roman"/>
          <w:bCs/>
          <w:color w:val="000000"/>
          <w:sz w:val="24"/>
          <w:szCs w:val="24"/>
        </w:rPr>
      </w:pPr>
      <w:r w:rsidRPr="00536EC9">
        <w:rPr>
          <w:rFonts w:ascii="Times New Roman" w:hAnsi="Times New Roman" w:cs="Times New Roman"/>
          <w:bCs/>
          <w:color w:val="000000"/>
          <w:sz w:val="24"/>
          <w:szCs w:val="24"/>
        </w:rPr>
        <w:t>§ 163 sa dopĺňa odsekom 9, ktorý znie:</w:t>
      </w:r>
    </w:p>
    <w:p w:rsidR="00536EC9" w:rsidRPr="00536EC9" w:rsidP="00536EC9">
      <w:pPr>
        <w:bidi w:val="0"/>
        <w:spacing w:after="0"/>
        <w:jc w:val="both"/>
        <w:rPr>
          <w:rFonts w:ascii="Times New Roman" w:hAnsi="Times New Roman" w:cs="Times New Roman"/>
          <w:bCs/>
          <w:color w:val="000000"/>
          <w:sz w:val="24"/>
          <w:szCs w:val="24"/>
        </w:rPr>
      </w:pPr>
      <w:r w:rsidRPr="00536EC9">
        <w:rPr>
          <w:rFonts w:ascii="Times New Roman" w:hAnsi="Times New Roman" w:cs="Times New Roman"/>
          <w:bCs/>
          <w:color w:val="000000"/>
          <w:sz w:val="24"/>
          <w:szCs w:val="24"/>
        </w:rPr>
        <w:t>„(9) Konanie o pozastavení výkonu práv uvedených v odseku 1 je začaté aj, ak Národná banka Slovenska na výpise podľa odseku 1 písomne označí osobu, u ktorej nanovo zistila dôvody na pozastavenie výkonu práv uvedených v odseku 1.“.</w:t>
      </w:r>
    </w:p>
    <w:p w:rsidR="00536EC9" w:rsidRPr="00536EC9" w:rsidP="00536EC9">
      <w:pPr>
        <w:widowControl w:val="0"/>
        <w:overflowPunct w:val="0"/>
        <w:bidi w:val="0"/>
        <w:adjustRightInd w:val="0"/>
        <w:spacing w:after="0"/>
        <w:jc w:val="center"/>
        <w:rPr>
          <w:rFonts w:ascii="Times New Roman" w:hAnsi="Times New Roman" w:cs="Times New Roman"/>
          <w:color w:val="000000"/>
          <w:sz w:val="24"/>
          <w:szCs w:val="24"/>
        </w:rPr>
      </w:pPr>
    </w:p>
    <w:p w:rsidR="00536EC9" w:rsidRPr="00536EC9" w:rsidP="00536EC9">
      <w:pPr>
        <w:widowControl w:val="0"/>
        <w:overflowPunct w:val="0"/>
        <w:bidi w:val="0"/>
        <w:adjustRightInd w:val="0"/>
        <w:spacing w:after="0"/>
        <w:jc w:val="center"/>
        <w:rPr>
          <w:rFonts w:ascii="Times New Roman" w:hAnsi="Times New Roman" w:cs="Times New Roman"/>
          <w:b/>
          <w:color w:val="000000"/>
          <w:sz w:val="24"/>
          <w:szCs w:val="24"/>
        </w:rPr>
      </w:pPr>
      <w:r w:rsidRPr="00536EC9">
        <w:rPr>
          <w:rFonts w:ascii="Times New Roman" w:hAnsi="Times New Roman" w:cs="Times New Roman"/>
          <w:b/>
          <w:color w:val="000000"/>
          <w:sz w:val="24"/>
          <w:szCs w:val="24"/>
        </w:rPr>
        <w:t>Čl. IX</w:t>
      </w:r>
    </w:p>
    <w:p w:rsidR="00536EC9" w:rsidRPr="00536EC9" w:rsidP="00536EC9">
      <w:pPr>
        <w:widowControl w:val="0"/>
        <w:overflowPunct w:val="0"/>
        <w:bidi w:val="0"/>
        <w:adjustRightInd w:val="0"/>
        <w:spacing w:after="0"/>
        <w:jc w:val="both"/>
        <w:rPr>
          <w:rFonts w:ascii="Times New Roman" w:hAnsi="Times New Roman" w:cs="Times New Roman"/>
          <w:b/>
          <w:color w:val="000000"/>
          <w:sz w:val="24"/>
          <w:szCs w:val="24"/>
        </w:rPr>
      </w:pPr>
    </w:p>
    <w:p w:rsidR="00536EC9" w:rsidRPr="00536EC9" w:rsidP="00536EC9">
      <w:pPr>
        <w:widowControl w:val="0"/>
        <w:overflowPunct w:val="0"/>
        <w:bidi w:val="0"/>
        <w:adjustRightInd w:val="0"/>
        <w:spacing w:after="0"/>
        <w:jc w:val="both"/>
        <w:rPr>
          <w:rFonts w:ascii="Times New Roman" w:hAnsi="Times New Roman" w:cs="Times New Roman"/>
          <w:color w:val="000000"/>
          <w:sz w:val="24"/>
          <w:szCs w:val="24"/>
        </w:rPr>
      </w:pPr>
      <w:r w:rsidRPr="00536EC9">
        <w:rPr>
          <w:rFonts w:ascii="Times New Roman" w:hAnsi="Times New Roman" w:cs="Times New Roman"/>
          <w:color w:val="000000"/>
          <w:sz w:val="24"/>
          <w:szCs w:val="24"/>
        </w:rPr>
        <w:t xml:space="preserve">Tento zákon nadobúda účinnosť 1. decembra 2016 </w:t>
      </w:r>
      <w:r w:rsidRPr="00536EC9">
        <w:rPr>
          <w:rFonts w:ascii="Times New Roman" w:hAnsi="Times New Roman" w:cs="Times New Roman"/>
          <w:sz w:val="24"/>
          <w:szCs w:val="24"/>
        </w:rPr>
        <w:t>okrem čl. I bodov 10, 11,</w:t>
      </w:r>
      <w:r w:rsidRPr="00536EC9">
        <w:rPr>
          <w:rFonts w:ascii="Times New Roman" w:hAnsi="Times New Roman" w:cs="Times New Roman"/>
          <w:color w:val="FF0000"/>
          <w:sz w:val="24"/>
          <w:szCs w:val="24"/>
        </w:rPr>
        <w:t xml:space="preserve"> </w:t>
      </w:r>
      <w:r w:rsidRPr="00536EC9">
        <w:rPr>
          <w:rFonts w:ascii="Times New Roman" w:hAnsi="Times New Roman" w:cs="Times New Roman"/>
          <w:sz w:val="24"/>
          <w:szCs w:val="24"/>
        </w:rPr>
        <w:t>21 a 22,</w:t>
      </w:r>
      <w:r w:rsidRPr="00536EC9">
        <w:rPr>
          <w:rFonts w:ascii="Times New Roman" w:hAnsi="Times New Roman" w:cs="Times New Roman"/>
          <w:color w:val="000000"/>
          <w:sz w:val="24"/>
          <w:szCs w:val="24"/>
        </w:rPr>
        <w:t xml:space="preserve"> ktoré  nadobúdajú účinnosť 6. februára 2017.</w:t>
      </w:r>
    </w:p>
    <w:p w:rsidR="00D80C5C" w:rsidRPr="000537B8" w:rsidP="00536EC9">
      <w:pPr>
        <w:bidi w:val="0"/>
        <w:spacing w:after="0"/>
        <w:ind w:left="426" w:hanging="426"/>
        <w:jc w:val="center"/>
        <w:rPr>
          <w:rFonts w:ascii="Times New Roman" w:hAnsi="Times New Roman" w:cs="Times New Roman"/>
          <w:sz w:val="24"/>
          <w:szCs w:val="24"/>
        </w:rPr>
      </w:pPr>
    </w:p>
    <w:sectPr w:rsidSect="00D3362A">
      <w:headerReference w:type="default" r:id="rId21"/>
      <w:footerReference w:type="default" r:id="rId22"/>
      <w:pgSz w:w="11906" w:h="16838"/>
      <w:pgMar w:top="1417" w:right="1417" w:bottom="1417" w:left="1417"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Arial Narrow">
    <w:altName w:val="Century Gothic"/>
    <w:panose1 w:val="00000000000000000000"/>
    <w:charset w:val="EE"/>
    <w:family w:val="swiss"/>
    <w:pitch w:val="variable"/>
    <w:sig w:usb0="00000000" w:usb1="00000000" w:usb2="00000000" w:usb3="00000000" w:csb0="0000009F" w:csb1="00000000"/>
  </w:font>
  <w:font w:name="Tahoma">
    <w:altName w:val="Tahoma"/>
    <w:panose1 w:val="00000000000000000000"/>
    <w:charset w:val="EE"/>
    <w:family w:val="swiss"/>
    <w:pitch w:val="variable"/>
    <w:sig w:usb0="00000000" w:usb1="00000000" w:usb2="00000000" w:usb3="00000000" w:csb0="000101FF" w:csb1="00000000"/>
  </w:font>
  <w:font w:name="EUAlbertina">
    <w:altName w:val="Times New Roman"/>
    <w:panose1 w:val="00000000000000000000"/>
    <w:charset w:val="00"/>
    <w:family w:val="roman"/>
    <w:pitch w:val="default"/>
    <w:sig w:usb0="00000000" w:usb1="00000000" w:usb2="00000000" w:usb3="00000000" w:csb0="00000001" w:csb1="00000000"/>
  </w:font>
  <w:font w:name="Cambria">
    <w:panose1 w:val="00000000000000000000"/>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8E6">
    <w:pPr>
      <w:pStyle w:val="Footer"/>
      <w:bidi w:val="0"/>
      <w:jc w:val="center"/>
    </w:pPr>
    <w:r>
      <w:fldChar w:fldCharType="begin"/>
    </w:r>
    <w:r>
      <w:instrText>PAGE   \* MERGEFORMAT</w:instrText>
    </w:r>
    <w:r>
      <w:fldChar w:fldCharType="separate"/>
    </w:r>
    <w:r w:rsidR="00D51E02">
      <w:rPr>
        <w:noProof/>
      </w:rPr>
      <w:t>22</w:t>
    </w:r>
    <w:r>
      <w:fldChar w:fldCharType="end"/>
    </w:r>
  </w:p>
  <w:p w:rsidR="00F468E6">
    <w:pPr>
      <w:pStyle w:val="Footer"/>
      <w:bidi w:val="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8E6">
    <w:pPr>
      <w:pStyle w:val="Header"/>
      <w:bidi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76B3"/>
    <w:multiLevelType w:val="hybridMultilevel"/>
    <w:tmpl w:val="5A280FF8"/>
    <w:lvl w:ilvl="0">
      <w:start w:val="1"/>
      <w:numFmt w:val="decimal"/>
      <w:lvlText w:val="%1."/>
      <w:lvlJc w:val="left"/>
      <w:pPr>
        <w:ind w:left="786"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5413FA7"/>
    <w:multiLevelType w:val="hybridMultilevel"/>
    <w:tmpl w:val="1352AFA8"/>
    <w:lvl w:ilvl="0">
      <w:start w:val="1"/>
      <w:numFmt w:val="decimal"/>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C427AF6"/>
    <w:multiLevelType w:val="hybridMultilevel"/>
    <w:tmpl w:val="BB84719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1326954"/>
    <w:multiLevelType w:val="hybridMultilevel"/>
    <w:tmpl w:val="DAD6D750"/>
    <w:lvl w:ilvl="0">
      <w:start w:val="1"/>
      <w:numFmt w:val="decimal"/>
      <w:lvlText w:val="(%1)"/>
      <w:lvlJc w:val="left"/>
      <w:pPr>
        <w:ind w:left="3677" w:hanging="705"/>
      </w:pPr>
      <w:rPr>
        <w:rFonts w:cs="Times New Roman" w:hint="default"/>
        <w:rtl w:val="0"/>
        <w:cs w:val="0"/>
      </w:rPr>
    </w:lvl>
    <w:lvl w:ilvl="1">
      <w:start w:val="1"/>
      <w:numFmt w:val="lowerLetter"/>
      <w:lvlText w:val="%2."/>
      <w:lvlJc w:val="left"/>
      <w:pPr>
        <w:ind w:left="4052" w:hanging="360"/>
      </w:pPr>
      <w:rPr>
        <w:rFonts w:cs="Times New Roman"/>
        <w:rtl w:val="0"/>
        <w:cs w:val="0"/>
      </w:rPr>
    </w:lvl>
    <w:lvl w:ilvl="2">
      <w:start w:val="1"/>
      <w:numFmt w:val="lowerRoman"/>
      <w:lvlText w:val="%3."/>
      <w:lvlJc w:val="right"/>
      <w:pPr>
        <w:ind w:left="4772" w:hanging="180"/>
      </w:pPr>
      <w:rPr>
        <w:rFonts w:cs="Times New Roman"/>
        <w:rtl w:val="0"/>
        <w:cs w:val="0"/>
      </w:rPr>
    </w:lvl>
    <w:lvl w:ilvl="3">
      <w:start w:val="1"/>
      <w:numFmt w:val="decimal"/>
      <w:lvlText w:val="%4."/>
      <w:lvlJc w:val="left"/>
      <w:pPr>
        <w:ind w:left="5492" w:hanging="360"/>
      </w:pPr>
      <w:rPr>
        <w:rFonts w:cs="Times New Roman"/>
        <w:rtl w:val="0"/>
        <w:cs w:val="0"/>
      </w:rPr>
    </w:lvl>
    <w:lvl w:ilvl="4">
      <w:start w:val="1"/>
      <w:numFmt w:val="lowerLetter"/>
      <w:lvlText w:val="%5."/>
      <w:lvlJc w:val="left"/>
      <w:pPr>
        <w:ind w:left="6212" w:hanging="360"/>
      </w:pPr>
      <w:rPr>
        <w:rFonts w:cs="Times New Roman"/>
        <w:rtl w:val="0"/>
        <w:cs w:val="0"/>
      </w:rPr>
    </w:lvl>
    <w:lvl w:ilvl="5">
      <w:start w:val="1"/>
      <w:numFmt w:val="lowerRoman"/>
      <w:lvlText w:val="%6."/>
      <w:lvlJc w:val="right"/>
      <w:pPr>
        <w:ind w:left="6932" w:hanging="180"/>
      </w:pPr>
      <w:rPr>
        <w:rFonts w:cs="Times New Roman"/>
        <w:rtl w:val="0"/>
        <w:cs w:val="0"/>
      </w:rPr>
    </w:lvl>
    <w:lvl w:ilvl="6">
      <w:start w:val="1"/>
      <w:numFmt w:val="decimal"/>
      <w:lvlText w:val="%7."/>
      <w:lvlJc w:val="left"/>
      <w:pPr>
        <w:ind w:left="7652" w:hanging="360"/>
      </w:pPr>
      <w:rPr>
        <w:rFonts w:cs="Times New Roman"/>
        <w:rtl w:val="0"/>
        <w:cs w:val="0"/>
      </w:rPr>
    </w:lvl>
    <w:lvl w:ilvl="7">
      <w:start w:val="1"/>
      <w:numFmt w:val="lowerLetter"/>
      <w:lvlText w:val="%8."/>
      <w:lvlJc w:val="left"/>
      <w:pPr>
        <w:ind w:left="8372" w:hanging="360"/>
      </w:pPr>
      <w:rPr>
        <w:rFonts w:cs="Times New Roman"/>
        <w:rtl w:val="0"/>
        <w:cs w:val="0"/>
      </w:rPr>
    </w:lvl>
    <w:lvl w:ilvl="8">
      <w:start w:val="1"/>
      <w:numFmt w:val="lowerRoman"/>
      <w:lvlText w:val="%9."/>
      <w:lvlJc w:val="right"/>
      <w:pPr>
        <w:ind w:left="9092" w:hanging="180"/>
      </w:pPr>
      <w:rPr>
        <w:rFonts w:cs="Times New Roman"/>
        <w:rtl w:val="0"/>
        <w:cs w:val="0"/>
      </w:rPr>
    </w:lvl>
  </w:abstractNum>
  <w:abstractNum w:abstractNumId="4">
    <w:nsid w:val="13E32066"/>
    <w:multiLevelType w:val="hybridMultilevel"/>
    <w:tmpl w:val="83FAA02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5307E05"/>
    <w:multiLevelType w:val="hybridMultilevel"/>
    <w:tmpl w:val="D08C464A"/>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abstractNum w:abstractNumId="6">
    <w:nsid w:val="1C1C0ABD"/>
    <w:multiLevelType w:val="hybridMultilevel"/>
    <w:tmpl w:val="ED185D20"/>
    <w:lvl w:ilvl="0">
      <w:start w:val="1"/>
      <w:numFmt w:val="lowerLetter"/>
      <w:lvlText w:val="%1)"/>
      <w:lvlJc w:val="left"/>
      <w:pPr>
        <w:ind w:left="1680" w:hanging="360"/>
      </w:pPr>
      <w:rPr>
        <w:rFonts w:cs="Times New Roman" w:hint="default"/>
        <w:rtl w:val="0"/>
        <w:cs w:val="0"/>
      </w:rPr>
    </w:lvl>
    <w:lvl w:ilvl="1">
      <w:start w:val="1"/>
      <w:numFmt w:val="lowerLetter"/>
      <w:lvlText w:val="%2."/>
      <w:lvlJc w:val="left"/>
      <w:pPr>
        <w:ind w:left="2400" w:hanging="360"/>
      </w:pPr>
      <w:rPr>
        <w:rFonts w:cs="Times New Roman"/>
        <w:rtl w:val="0"/>
        <w:cs w:val="0"/>
      </w:rPr>
    </w:lvl>
    <w:lvl w:ilvl="2">
      <w:start w:val="1"/>
      <w:numFmt w:val="lowerRoman"/>
      <w:lvlText w:val="%3."/>
      <w:lvlJc w:val="right"/>
      <w:pPr>
        <w:ind w:left="3120" w:hanging="180"/>
      </w:pPr>
      <w:rPr>
        <w:rFonts w:cs="Times New Roman"/>
        <w:rtl w:val="0"/>
        <w:cs w:val="0"/>
      </w:rPr>
    </w:lvl>
    <w:lvl w:ilvl="3">
      <w:start w:val="1"/>
      <w:numFmt w:val="decimal"/>
      <w:lvlText w:val="%4."/>
      <w:lvlJc w:val="left"/>
      <w:pPr>
        <w:ind w:left="3840" w:hanging="360"/>
      </w:pPr>
      <w:rPr>
        <w:rFonts w:cs="Times New Roman"/>
        <w:rtl w:val="0"/>
        <w:cs w:val="0"/>
      </w:rPr>
    </w:lvl>
    <w:lvl w:ilvl="4">
      <w:start w:val="1"/>
      <w:numFmt w:val="lowerLetter"/>
      <w:lvlText w:val="%5."/>
      <w:lvlJc w:val="left"/>
      <w:pPr>
        <w:ind w:left="4560" w:hanging="360"/>
      </w:pPr>
      <w:rPr>
        <w:rFonts w:cs="Times New Roman"/>
        <w:rtl w:val="0"/>
        <w:cs w:val="0"/>
      </w:rPr>
    </w:lvl>
    <w:lvl w:ilvl="5">
      <w:start w:val="1"/>
      <w:numFmt w:val="lowerRoman"/>
      <w:lvlText w:val="%6."/>
      <w:lvlJc w:val="right"/>
      <w:pPr>
        <w:ind w:left="5280" w:hanging="180"/>
      </w:pPr>
      <w:rPr>
        <w:rFonts w:cs="Times New Roman"/>
        <w:rtl w:val="0"/>
        <w:cs w:val="0"/>
      </w:rPr>
    </w:lvl>
    <w:lvl w:ilvl="6">
      <w:start w:val="1"/>
      <w:numFmt w:val="decimal"/>
      <w:lvlText w:val="%7."/>
      <w:lvlJc w:val="left"/>
      <w:pPr>
        <w:ind w:left="6000" w:hanging="360"/>
      </w:pPr>
      <w:rPr>
        <w:rFonts w:cs="Times New Roman"/>
        <w:rtl w:val="0"/>
        <w:cs w:val="0"/>
      </w:rPr>
    </w:lvl>
    <w:lvl w:ilvl="7">
      <w:start w:val="1"/>
      <w:numFmt w:val="lowerLetter"/>
      <w:lvlText w:val="%8."/>
      <w:lvlJc w:val="left"/>
      <w:pPr>
        <w:ind w:left="6720" w:hanging="360"/>
      </w:pPr>
      <w:rPr>
        <w:rFonts w:cs="Times New Roman"/>
        <w:rtl w:val="0"/>
        <w:cs w:val="0"/>
      </w:rPr>
    </w:lvl>
    <w:lvl w:ilvl="8">
      <w:start w:val="1"/>
      <w:numFmt w:val="lowerRoman"/>
      <w:lvlText w:val="%9."/>
      <w:lvlJc w:val="right"/>
      <w:pPr>
        <w:ind w:left="7440" w:hanging="180"/>
      </w:pPr>
      <w:rPr>
        <w:rFonts w:cs="Times New Roman"/>
        <w:rtl w:val="0"/>
        <w:cs w:val="0"/>
      </w:rPr>
    </w:lvl>
  </w:abstractNum>
  <w:abstractNum w:abstractNumId="7">
    <w:nsid w:val="244D48FC"/>
    <w:multiLevelType w:val="hybridMultilevel"/>
    <w:tmpl w:val="8F5C3AB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280F7C63"/>
    <w:multiLevelType w:val="hybridMultilevel"/>
    <w:tmpl w:val="EE06F9E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284C19EB"/>
    <w:multiLevelType w:val="hybridMultilevel"/>
    <w:tmpl w:val="B5FC279E"/>
    <w:lvl w:ilvl="0">
      <w:start w:val="1"/>
      <w:numFmt w:val="decimal"/>
      <w:lvlText w:val="(%1)"/>
      <w:lvlJc w:val="left"/>
      <w:pPr>
        <w:ind w:left="1287" w:hanging="360"/>
      </w:pPr>
      <w:rPr>
        <w:rFonts w:cs="Times New Roman" w:hint="default"/>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10">
    <w:nsid w:val="29D20DAD"/>
    <w:multiLevelType w:val="hybridMultilevel"/>
    <w:tmpl w:val="1352AFA8"/>
    <w:lvl w:ilvl="0">
      <w:start w:val="1"/>
      <w:numFmt w:val="decimal"/>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38891783"/>
    <w:multiLevelType w:val="hybridMultilevel"/>
    <w:tmpl w:val="66347400"/>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2">
    <w:nsid w:val="3FBF4049"/>
    <w:multiLevelType w:val="hybridMultilevel"/>
    <w:tmpl w:val="A5622FA6"/>
    <w:lvl w:ilvl="0">
      <w:start w:val="1"/>
      <w:numFmt w:val="decimal"/>
      <w:lvlText w:val="(%1)"/>
      <w:lvlJc w:val="left"/>
      <w:pPr>
        <w:ind w:left="502" w:hanging="360"/>
      </w:pPr>
      <w:rPr>
        <w:rFonts w:cs="Times New Roman" w:hint="default"/>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13">
    <w:nsid w:val="46E46B52"/>
    <w:multiLevelType w:val="hybridMultilevel"/>
    <w:tmpl w:val="13005D3A"/>
    <w:lvl w:ilvl="0">
      <w:start w:val="75"/>
      <w:numFmt w:val="decimal"/>
      <w:lvlText w:val="%1."/>
      <w:lvlJc w:val="left"/>
      <w:pPr>
        <w:ind w:left="502" w:hanging="360"/>
      </w:pPr>
      <w:rPr>
        <w:rFonts w:cs="Times New Roman" w:hint="default"/>
        <w:i w:val="0"/>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14">
    <w:nsid w:val="5BD96428"/>
    <w:multiLevelType w:val="hybridMultilevel"/>
    <w:tmpl w:val="2D94F7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5CAC775D"/>
    <w:multiLevelType w:val="hybridMultilevel"/>
    <w:tmpl w:val="4086CDD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64637512"/>
    <w:multiLevelType w:val="hybridMultilevel"/>
    <w:tmpl w:val="1DF8245C"/>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7">
    <w:nsid w:val="653B44AC"/>
    <w:multiLevelType w:val="hybridMultilevel"/>
    <w:tmpl w:val="93A0E074"/>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8">
    <w:nsid w:val="6A504A1F"/>
    <w:multiLevelType w:val="hybridMultilevel"/>
    <w:tmpl w:val="53345ED6"/>
    <w:lvl w:ilvl="0">
      <w:start w:val="1"/>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6C1B0A7A"/>
    <w:multiLevelType w:val="hybridMultilevel"/>
    <w:tmpl w:val="DF0EC29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707B717E"/>
    <w:multiLevelType w:val="hybridMultilevel"/>
    <w:tmpl w:val="5A280FF8"/>
    <w:lvl w:ilvl="0">
      <w:start w:val="1"/>
      <w:numFmt w:val="decimal"/>
      <w:lvlText w:val="%1."/>
      <w:lvlJc w:val="left"/>
      <w:pPr>
        <w:ind w:left="786"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76C706FC"/>
    <w:multiLevelType w:val="hybridMultilevel"/>
    <w:tmpl w:val="1644B27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778D2E09"/>
    <w:multiLevelType w:val="hybridMultilevel"/>
    <w:tmpl w:val="A824D5C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7843642B"/>
    <w:multiLevelType w:val="hybridMultilevel"/>
    <w:tmpl w:val="633443F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785057FB"/>
    <w:multiLevelType w:val="hybridMultilevel"/>
    <w:tmpl w:val="0E36AEAC"/>
    <w:lvl w:ilvl="0">
      <w:start w:val="1"/>
      <w:numFmt w:val="decimal"/>
      <w:lvlText w:val="%1."/>
      <w:lvlJc w:val="left"/>
      <w:pPr>
        <w:ind w:left="644" w:hanging="360"/>
      </w:pPr>
      <w:rPr>
        <w:rFonts w:cs="Times New Roman" w:hint="default"/>
        <w:i w:val="0"/>
        <w:iCs w:val="0"/>
        <w:vertAlign w:val="baseline"/>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25">
    <w:nsid w:val="7A4F039D"/>
    <w:multiLevelType w:val="hybridMultilevel"/>
    <w:tmpl w:val="9A1A83E4"/>
    <w:lvl w:ilvl="0">
      <w:start w:val="1"/>
      <w:numFmt w:val="lowerLetter"/>
      <w:lvlText w:val="%1)"/>
      <w:lvlJc w:val="left"/>
      <w:pPr>
        <w:ind w:left="1143" w:hanging="360"/>
      </w:pPr>
      <w:rPr>
        <w:rFonts w:cs="Times New Roman"/>
        <w:rtl w:val="0"/>
        <w:cs w:val="0"/>
      </w:rPr>
    </w:lvl>
    <w:lvl w:ilvl="1">
      <w:start w:val="1"/>
      <w:numFmt w:val="lowerLetter"/>
      <w:lvlText w:val="%2."/>
      <w:lvlJc w:val="left"/>
      <w:pPr>
        <w:ind w:left="1863" w:hanging="360"/>
      </w:pPr>
      <w:rPr>
        <w:rFonts w:cs="Times New Roman"/>
        <w:rtl w:val="0"/>
        <w:cs w:val="0"/>
      </w:rPr>
    </w:lvl>
    <w:lvl w:ilvl="2">
      <w:start w:val="1"/>
      <w:numFmt w:val="lowerRoman"/>
      <w:lvlText w:val="%3."/>
      <w:lvlJc w:val="right"/>
      <w:pPr>
        <w:ind w:left="2583" w:hanging="180"/>
      </w:pPr>
      <w:rPr>
        <w:rFonts w:cs="Times New Roman"/>
        <w:rtl w:val="0"/>
        <w:cs w:val="0"/>
      </w:rPr>
    </w:lvl>
    <w:lvl w:ilvl="3">
      <w:start w:val="1"/>
      <w:numFmt w:val="decimal"/>
      <w:lvlText w:val="%4."/>
      <w:lvlJc w:val="left"/>
      <w:pPr>
        <w:ind w:left="3303" w:hanging="360"/>
      </w:pPr>
      <w:rPr>
        <w:rFonts w:cs="Times New Roman"/>
        <w:rtl w:val="0"/>
        <w:cs w:val="0"/>
      </w:rPr>
    </w:lvl>
    <w:lvl w:ilvl="4">
      <w:start w:val="1"/>
      <w:numFmt w:val="lowerLetter"/>
      <w:lvlText w:val="%5."/>
      <w:lvlJc w:val="left"/>
      <w:pPr>
        <w:ind w:left="4023" w:hanging="360"/>
      </w:pPr>
      <w:rPr>
        <w:rFonts w:cs="Times New Roman"/>
        <w:rtl w:val="0"/>
        <w:cs w:val="0"/>
      </w:rPr>
    </w:lvl>
    <w:lvl w:ilvl="5">
      <w:start w:val="1"/>
      <w:numFmt w:val="lowerRoman"/>
      <w:lvlText w:val="%6."/>
      <w:lvlJc w:val="right"/>
      <w:pPr>
        <w:ind w:left="4743" w:hanging="180"/>
      </w:pPr>
      <w:rPr>
        <w:rFonts w:cs="Times New Roman"/>
        <w:rtl w:val="0"/>
        <w:cs w:val="0"/>
      </w:rPr>
    </w:lvl>
    <w:lvl w:ilvl="6">
      <w:start w:val="1"/>
      <w:numFmt w:val="decimal"/>
      <w:lvlText w:val="%7."/>
      <w:lvlJc w:val="left"/>
      <w:pPr>
        <w:ind w:left="5463" w:hanging="360"/>
      </w:pPr>
      <w:rPr>
        <w:rFonts w:cs="Times New Roman"/>
        <w:rtl w:val="0"/>
        <w:cs w:val="0"/>
      </w:rPr>
    </w:lvl>
    <w:lvl w:ilvl="7">
      <w:start w:val="1"/>
      <w:numFmt w:val="lowerLetter"/>
      <w:lvlText w:val="%8."/>
      <w:lvlJc w:val="left"/>
      <w:pPr>
        <w:ind w:left="6183" w:hanging="360"/>
      </w:pPr>
      <w:rPr>
        <w:rFonts w:cs="Times New Roman"/>
        <w:rtl w:val="0"/>
        <w:cs w:val="0"/>
      </w:rPr>
    </w:lvl>
    <w:lvl w:ilvl="8">
      <w:start w:val="1"/>
      <w:numFmt w:val="lowerRoman"/>
      <w:lvlText w:val="%9."/>
      <w:lvlJc w:val="right"/>
      <w:pPr>
        <w:ind w:left="6903" w:hanging="180"/>
      </w:pPr>
      <w:rPr>
        <w:rFonts w:cs="Times New Roman"/>
        <w:rtl w:val="0"/>
        <w:cs w:val="0"/>
      </w:rPr>
    </w:lvl>
  </w:abstractNum>
  <w:abstractNum w:abstractNumId="26">
    <w:nsid w:val="7D707EAF"/>
    <w:multiLevelType w:val="hybridMultilevel"/>
    <w:tmpl w:val="DE0ABBF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24"/>
  </w:num>
  <w:num w:numId="2">
    <w:abstractNumId w:val="23"/>
  </w:num>
  <w:num w:numId="3">
    <w:abstractNumId w:val="9"/>
  </w:num>
  <w:num w:numId="4">
    <w:abstractNumId w:val="13"/>
  </w:num>
  <w:num w:numId="5">
    <w:abstractNumId w:val="25"/>
  </w:num>
  <w:num w:numId="6">
    <w:abstractNumId w:val="1"/>
  </w:num>
  <w:num w:numId="7">
    <w:abstractNumId w:val="18"/>
  </w:num>
  <w:num w:numId="8">
    <w:abstractNumId w:val="22"/>
  </w:num>
  <w:num w:numId="9">
    <w:abstractNumId w:val="16"/>
  </w:num>
  <w:num w:numId="10">
    <w:abstractNumId w:val="20"/>
  </w:num>
  <w:num w:numId="11">
    <w:abstractNumId w:val="10"/>
  </w:num>
  <w:num w:numId="12">
    <w:abstractNumId w:val="14"/>
  </w:num>
  <w:num w:numId="13">
    <w:abstractNumId w:val="11"/>
  </w:num>
  <w:num w:numId="14">
    <w:abstractNumId w:val="6"/>
  </w:num>
  <w:num w:numId="15">
    <w:abstractNumId w:val="17"/>
  </w:num>
  <w:num w:numId="16">
    <w:abstractNumId w:val="5"/>
  </w:num>
  <w:num w:numId="17">
    <w:abstractNumId w:val="12"/>
  </w:num>
  <w:num w:numId="18">
    <w:abstractNumId w:val="7"/>
  </w:num>
  <w:num w:numId="19">
    <w:abstractNumId w:val="26"/>
  </w:num>
  <w:num w:numId="20">
    <w:abstractNumId w:val="15"/>
  </w:num>
  <w:num w:numId="21">
    <w:abstractNumId w:val="4"/>
  </w:num>
  <w:num w:numId="22">
    <w:abstractNumId w:val="19"/>
  </w:num>
  <w:num w:numId="23">
    <w:abstractNumId w:val="8"/>
  </w:num>
  <w:num w:numId="24">
    <w:abstractNumId w:val="21"/>
  </w:num>
  <w:num w:numId="25">
    <w:abstractNumId w:val="3"/>
  </w:num>
  <w:num w:numId="26">
    <w:abstractNumId w:val="2"/>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compat>
    <w:useWord2002TableStyleRules/>
    <w:growAutofit/>
    <w:doNotUseIndentAsNumberingTabStop/>
    <w:allowSpaceOfSameStyleInTable/>
    <w:splitPgBreakAndParaMark/>
    <w:useAnsiKerningPairs/>
  </w:compat>
  <w:rsids>
    <w:rsidRoot w:val="005A0F5A"/>
    <w:rsid w:val="000001F8"/>
    <w:rsid w:val="000014B4"/>
    <w:rsid w:val="0000164C"/>
    <w:rsid w:val="00002626"/>
    <w:rsid w:val="00002C5C"/>
    <w:rsid w:val="00004164"/>
    <w:rsid w:val="0001035F"/>
    <w:rsid w:val="00010751"/>
    <w:rsid w:val="00011E27"/>
    <w:rsid w:val="0001281C"/>
    <w:rsid w:val="00016EC9"/>
    <w:rsid w:val="000176AE"/>
    <w:rsid w:val="0002108F"/>
    <w:rsid w:val="00026FB3"/>
    <w:rsid w:val="00033EB4"/>
    <w:rsid w:val="0003407D"/>
    <w:rsid w:val="00034DA8"/>
    <w:rsid w:val="00036DAB"/>
    <w:rsid w:val="00036FA3"/>
    <w:rsid w:val="000421DD"/>
    <w:rsid w:val="00043083"/>
    <w:rsid w:val="00045C92"/>
    <w:rsid w:val="0005196F"/>
    <w:rsid w:val="000537B8"/>
    <w:rsid w:val="000546A9"/>
    <w:rsid w:val="00054DD8"/>
    <w:rsid w:val="000553DF"/>
    <w:rsid w:val="00055A83"/>
    <w:rsid w:val="00057600"/>
    <w:rsid w:val="000624E7"/>
    <w:rsid w:val="00066813"/>
    <w:rsid w:val="00067F35"/>
    <w:rsid w:val="00071006"/>
    <w:rsid w:val="00071D67"/>
    <w:rsid w:val="00072408"/>
    <w:rsid w:val="00074653"/>
    <w:rsid w:val="000758A4"/>
    <w:rsid w:val="00077499"/>
    <w:rsid w:val="0007797C"/>
    <w:rsid w:val="000813CD"/>
    <w:rsid w:val="00082A87"/>
    <w:rsid w:val="000836DC"/>
    <w:rsid w:val="00083779"/>
    <w:rsid w:val="00083ABC"/>
    <w:rsid w:val="00083FDE"/>
    <w:rsid w:val="00085328"/>
    <w:rsid w:val="00091812"/>
    <w:rsid w:val="00091B31"/>
    <w:rsid w:val="00091FC6"/>
    <w:rsid w:val="000933A0"/>
    <w:rsid w:val="00095665"/>
    <w:rsid w:val="00095D6A"/>
    <w:rsid w:val="0009752B"/>
    <w:rsid w:val="00097CDF"/>
    <w:rsid w:val="000A252B"/>
    <w:rsid w:val="000B215C"/>
    <w:rsid w:val="000B4D39"/>
    <w:rsid w:val="000B5D1E"/>
    <w:rsid w:val="000C1C30"/>
    <w:rsid w:val="000C1CA3"/>
    <w:rsid w:val="000C292C"/>
    <w:rsid w:val="000C4330"/>
    <w:rsid w:val="000C5202"/>
    <w:rsid w:val="000C56EE"/>
    <w:rsid w:val="000C6000"/>
    <w:rsid w:val="000C63C1"/>
    <w:rsid w:val="000C7D9E"/>
    <w:rsid w:val="000D0162"/>
    <w:rsid w:val="000D0412"/>
    <w:rsid w:val="000D38D5"/>
    <w:rsid w:val="000D3D16"/>
    <w:rsid w:val="000D5284"/>
    <w:rsid w:val="000D6D79"/>
    <w:rsid w:val="000E1003"/>
    <w:rsid w:val="000E2B35"/>
    <w:rsid w:val="000E5852"/>
    <w:rsid w:val="000F14D2"/>
    <w:rsid w:val="000F5B2C"/>
    <w:rsid w:val="000F6AC6"/>
    <w:rsid w:val="00101001"/>
    <w:rsid w:val="00104B18"/>
    <w:rsid w:val="00106C18"/>
    <w:rsid w:val="001121C1"/>
    <w:rsid w:val="00113D18"/>
    <w:rsid w:val="00116911"/>
    <w:rsid w:val="001175AD"/>
    <w:rsid w:val="001204AA"/>
    <w:rsid w:val="001251C2"/>
    <w:rsid w:val="0013204E"/>
    <w:rsid w:val="00133925"/>
    <w:rsid w:val="0014047F"/>
    <w:rsid w:val="00150B52"/>
    <w:rsid w:val="00151187"/>
    <w:rsid w:val="00153AC8"/>
    <w:rsid w:val="00156097"/>
    <w:rsid w:val="001565AE"/>
    <w:rsid w:val="00163D8B"/>
    <w:rsid w:val="00164F6F"/>
    <w:rsid w:val="001656E2"/>
    <w:rsid w:val="00171DFC"/>
    <w:rsid w:val="001743C2"/>
    <w:rsid w:val="00182112"/>
    <w:rsid w:val="00184657"/>
    <w:rsid w:val="00187690"/>
    <w:rsid w:val="00187F3F"/>
    <w:rsid w:val="00191438"/>
    <w:rsid w:val="00191A89"/>
    <w:rsid w:val="001935BA"/>
    <w:rsid w:val="00194A48"/>
    <w:rsid w:val="0019708A"/>
    <w:rsid w:val="00197554"/>
    <w:rsid w:val="001A07C6"/>
    <w:rsid w:val="001A1BDC"/>
    <w:rsid w:val="001A50AC"/>
    <w:rsid w:val="001A5B89"/>
    <w:rsid w:val="001A6FBB"/>
    <w:rsid w:val="001B1B33"/>
    <w:rsid w:val="001B2E5F"/>
    <w:rsid w:val="001B6B70"/>
    <w:rsid w:val="001B747C"/>
    <w:rsid w:val="001B7F7B"/>
    <w:rsid w:val="001C2761"/>
    <w:rsid w:val="001C6815"/>
    <w:rsid w:val="001D1379"/>
    <w:rsid w:val="001D180A"/>
    <w:rsid w:val="001D2C53"/>
    <w:rsid w:val="001D31C3"/>
    <w:rsid w:val="001D351D"/>
    <w:rsid w:val="001D41FD"/>
    <w:rsid w:val="001D4FF1"/>
    <w:rsid w:val="001D7F6F"/>
    <w:rsid w:val="001E30AD"/>
    <w:rsid w:val="001E3140"/>
    <w:rsid w:val="001E3F0D"/>
    <w:rsid w:val="001F6158"/>
    <w:rsid w:val="001F7419"/>
    <w:rsid w:val="00201B2A"/>
    <w:rsid w:val="0020591E"/>
    <w:rsid w:val="00211213"/>
    <w:rsid w:val="002150FF"/>
    <w:rsid w:val="00215174"/>
    <w:rsid w:val="0022120D"/>
    <w:rsid w:val="00222745"/>
    <w:rsid w:val="00223911"/>
    <w:rsid w:val="00232BAC"/>
    <w:rsid w:val="0023310D"/>
    <w:rsid w:val="0023359B"/>
    <w:rsid w:val="002412B2"/>
    <w:rsid w:val="002419BC"/>
    <w:rsid w:val="002428A0"/>
    <w:rsid w:val="002444DF"/>
    <w:rsid w:val="00244964"/>
    <w:rsid w:val="002449BA"/>
    <w:rsid w:val="0024587A"/>
    <w:rsid w:val="002469CE"/>
    <w:rsid w:val="00251F9B"/>
    <w:rsid w:val="00253224"/>
    <w:rsid w:val="002539E6"/>
    <w:rsid w:val="00255661"/>
    <w:rsid w:val="002578BA"/>
    <w:rsid w:val="00260EC7"/>
    <w:rsid w:val="002619E8"/>
    <w:rsid w:val="00261A57"/>
    <w:rsid w:val="00263058"/>
    <w:rsid w:val="0027019D"/>
    <w:rsid w:val="00270767"/>
    <w:rsid w:val="00272B40"/>
    <w:rsid w:val="00273A7B"/>
    <w:rsid w:val="00273ACE"/>
    <w:rsid w:val="002759DF"/>
    <w:rsid w:val="00276135"/>
    <w:rsid w:val="002779DD"/>
    <w:rsid w:val="002833A2"/>
    <w:rsid w:val="00283F66"/>
    <w:rsid w:val="002840FE"/>
    <w:rsid w:val="002865F5"/>
    <w:rsid w:val="00286CEB"/>
    <w:rsid w:val="00287861"/>
    <w:rsid w:val="002904C9"/>
    <w:rsid w:val="00291EED"/>
    <w:rsid w:val="00292989"/>
    <w:rsid w:val="002941B3"/>
    <w:rsid w:val="00295FFA"/>
    <w:rsid w:val="002962E9"/>
    <w:rsid w:val="002A2F94"/>
    <w:rsid w:val="002A78AA"/>
    <w:rsid w:val="002B3DA7"/>
    <w:rsid w:val="002B4950"/>
    <w:rsid w:val="002B4F6D"/>
    <w:rsid w:val="002B56A5"/>
    <w:rsid w:val="002B7A3C"/>
    <w:rsid w:val="002C112C"/>
    <w:rsid w:val="002D3116"/>
    <w:rsid w:val="002D3C1E"/>
    <w:rsid w:val="002D3C56"/>
    <w:rsid w:val="002D3F86"/>
    <w:rsid w:val="002D4304"/>
    <w:rsid w:val="002D46AD"/>
    <w:rsid w:val="002D5A13"/>
    <w:rsid w:val="002D6F80"/>
    <w:rsid w:val="002E50F9"/>
    <w:rsid w:val="002E624B"/>
    <w:rsid w:val="002E748C"/>
    <w:rsid w:val="002F0687"/>
    <w:rsid w:val="002F2399"/>
    <w:rsid w:val="002F6110"/>
    <w:rsid w:val="0030030A"/>
    <w:rsid w:val="00301EB2"/>
    <w:rsid w:val="003103C6"/>
    <w:rsid w:val="00310988"/>
    <w:rsid w:val="0031429A"/>
    <w:rsid w:val="003152AF"/>
    <w:rsid w:val="00320776"/>
    <w:rsid w:val="00322635"/>
    <w:rsid w:val="00323DF5"/>
    <w:rsid w:val="00326193"/>
    <w:rsid w:val="003273A2"/>
    <w:rsid w:val="003327E6"/>
    <w:rsid w:val="0033568E"/>
    <w:rsid w:val="00335DC6"/>
    <w:rsid w:val="00337BC2"/>
    <w:rsid w:val="003403BD"/>
    <w:rsid w:val="0034130E"/>
    <w:rsid w:val="0034330A"/>
    <w:rsid w:val="00345E65"/>
    <w:rsid w:val="00346D40"/>
    <w:rsid w:val="00352A94"/>
    <w:rsid w:val="0035542F"/>
    <w:rsid w:val="003569E4"/>
    <w:rsid w:val="00356DC7"/>
    <w:rsid w:val="00361F1C"/>
    <w:rsid w:val="003637FB"/>
    <w:rsid w:val="00363FD3"/>
    <w:rsid w:val="00367104"/>
    <w:rsid w:val="0037206D"/>
    <w:rsid w:val="0037426E"/>
    <w:rsid w:val="0037434C"/>
    <w:rsid w:val="00375851"/>
    <w:rsid w:val="00376780"/>
    <w:rsid w:val="00376C75"/>
    <w:rsid w:val="00380311"/>
    <w:rsid w:val="003815CC"/>
    <w:rsid w:val="00384AAB"/>
    <w:rsid w:val="003918A7"/>
    <w:rsid w:val="00391B69"/>
    <w:rsid w:val="00393288"/>
    <w:rsid w:val="00395BE1"/>
    <w:rsid w:val="003A600F"/>
    <w:rsid w:val="003A7472"/>
    <w:rsid w:val="003B07E1"/>
    <w:rsid w:val="003B1BC3"/>
    <w:rsid w:val="003B2A0B"/>
    <w:rsid w:val="003B3BD5"/>
    <w:rsid w:val="003C26F9"/>
    <w:rsid w:val="003C512C"/>
    <w:rsid w:val="003C533E"/>
    <w:rsid w:val="003C75FB"/>
    <w:rsid w:val="003C7995"/>
    <w:rsid w:val="003D1BAD"/>
    <w:rsid w:val="003D2B0C"/>
    <w:rsid w:val="003D4BEE"/>
    <w:rsid w:val="003D57A8"/>
    <w:rsid w:val="003E01E5"/>
    <w:rsid w:val="003E3D18"/>
    <w:rsid w:val="003E6791"/>
    <w:rsid w:val="003E6D47"/>
    <w:rsid w:val="003E6D94"/>
    <w:rsid w:val="003E7AB2"/>
    <w:rsid w:val="003F11F4"/>
    <w:rsid w:val="003F1CF9"/>
    <w:rsid w:val="003F439A"/>
    <w:rsid w:val="003F451C"/>
    <w:rsid w:val="004031EA"/>
    <w:rsid w:val="00403878"/>
    <w:rsid w:val="00406DBD"/>
    <w:rsid w:val="0040732C"/>
    <w:rsid w:val="004107EB"/>
    <w:rsid w:val="004109AF"/>
    <w:rsid w:val="00412621"/>
    <w:rsid w:val="00413529"/>
    <w:rsid w:val="0041367C"/>
    <w:rsid w:val="004154AD"/>
    <w:rsid w:val="00417D6A"/>
    <w:rsid w:val="00421141"/>
    <w:rsid w:val="00421868"/>
    <w:rsid w:val="00422526"/>
    <w:rsid w:val="004236B2"/>
    <w:rsid w:val="00423E9E"/>
    <w:rsid w:val="00432814"/>
    <w:rsid w:val="004330B6"/>
    <w:rsid w:val="0043424B"/>
    <w:rsid w:val="004344D0"/>
    <w:rsid w:val="004350B9"/>
    <w:rsid w:val="00435FA3"/>
    <w:rsid w:val="00437984"/>
    <w:rsid w:val="00437FFA"/>
    <w:rsid w:val="004401FB"/>
    <w:rsid w:val="00446306"/>
    <w:rsid w:val="00446FF6"/>
    <w:rsid w:val="00452667"/>
    <w:rsid w:val="004627BD"/>
    <w:rsid w:val="00465633"/>
    <w:rsid w:val="00467B2F"/>
    <w:rsid w:val="0047301A"/>
    <w:rsid w:val="004737EE"/>
    <w:rsid w:val="00473F70"/>
    <w:rsid w:val="00476ABE"/>
    <w:rsid w:val="004800F4"/>
    <w:rsid w:val="00481757"/>
    <w:rsid w:val="004839D0"/>
    <w:rsid w:val="00494888"/>
    <w:rsid w:val="00495323"/>
    <w:rsid w:val="0049690C"/>
    <w:rsid w:val="004A0417"/>
    <w:rsid w:val="004A7422"/>
    <w:rsid w:val="004B32CC"/>
    <w:rsid w:val="004C55C4"/>
    <w:rsid w:val="004C6F26"/>
    <w:rsid w:val="004C7A96"/>
    <w:rsid w:val="004D2DB2"/>
    <w:rsid w:val="004D41FC"/>
    <w:rsid w:val="004D4675"/>
    <w:rsid w:val="004D5486"/>
    <w:rsid w:val="004D576C"/>
    <w:rsid w:val="004D6B80"/>
    <w:rsid w:val="004D6E6A"/>
    <w:rsid w:val="004E1CA2"/>
    <w:rsid w:val="004E1E03"/>
    <w:rsid w:val="004E2E68"/>
    <w:rsid w:val="004E3745"/>
    <w:rsid w:val="004E490F"/>
    <w:rsid w:val="004E6DD2"/>
    <w:rsid w:val="004E7191"/>
    <w:rsid w:val="004F35D4"/>
    <w:rsid w:val="004F387C"/>
    <w:rsid w:val="004F62C4"/>
    <w:rsid w:val="00501114"/>
    <w:rsid w:val="00502DF2"/>
    <w:rsid w:val="005075E7"/>
    <w:rsid w:val="00510039"/>
    <w:rsid w:val="005130CB"/>
    <w:rsid w:val="0052100A"/>
    <w:rsid w:val="005236ED"/>
    <w:rsid w:val="00524614"/>
    <w:rsid w:val="00530403"/>
    <w:rsid w:val="00533357"/>
    <w:rsid w:val="005365C0"/>
    <w:rsid w:val="00536EC9"/>
    <w:rsid w:val="0053791C"/>
    <w:rsid w:val="00540B68"/>
    <w:rsid w:val="00543C8B"/>
    <w:rsid w:val="005442BC"/>
    <w:rsid w:val="00546045"/>
    <w:rsid w:val="005509F9"/>
    <w:rsid w:val="0055207D"/>
    <w:rsid w:val="00552BF6"/>
    <w:rsid w:val="00553348"/>
    <w:rsid w:val="00554F0D"/>
    <w:rsid w:val="0055748E"/>
    <w:rsid w:val="00564157"/>
    <w:rsid w:val="0056559C"/>
    <w:rsid w:val="00565B02"/>
    <w:rsid w:val="00567209"/>
    <w:rsid w:val="00573646"/>
    <w:rsid w:val="00573BC2"/>
    <w:rsid w:val="00574CAD"/>
    <w:rsid w:val="00576A19"/>
    <w:rsid w:val="00577527"/>
    <w:rsid w:val="00580C94"/>
    <w:rsid w:val="0058338B"/>
    <w:rsid w:val="00584055"/>
    <w:rsid w:val="00584126"/>
    <w:rsid w:val="005849CD"/>
    <w:rsid w:val="005853D9"/>
    <w:rsid w:val="00586311"/>
    <w:rsid w:val="005875F7"/>
    <w:rsid w:val="005876A8"/>
    <w:rsid w:val="00590B18"/>
    <w:rsid w:val="0059177C"/>
    <w:rsid w:val="0059322E"/>
    <w:rsid w:val="00593A10"/>
    <w:rsid w:val="005969F9"/>
    <w:rsid w:val="005A0F5A"/>
    <w:rsid w:val="005A1843"/>
    <w:rsid w:val="005A29CE"/>
    <w:rsid w:val="005A60F7"/>
    <w:rsid w:val="005A6A6A"/>
    <w:rsid w:val="005A726A"/>
    <w:rsid w:val="005A7AFD"/>
    <w:rsid w:val="005B00A8"/>
    <w:rsid w:val="005C07D3"/>
    <w:rsid w:val="005C256B"/>
    <w:rsid w:val="005C38E6"/>
    <w:rsid w:val="005C5D49"/>
    <w:rsid w:val="005D0418"/>
    <w:rsid w:val="005D070E"/>
    <w:rsid w:val="005D1120"/>
    <w:rsid w:val="005D1D5A"/>
    <w:rsid w:val="005D2E13"/>
    <w:rsid w:val="005E26C7"/>
    <w:rsid w:val="005F042D"/>
    <w:rsid w:val="005F10E4"/>
    <w:rsid w:val="005F15C5"/>
    <w:rsid w:val="005F47BE"/>
    <w:rsid w:val="005F4A00"/>
    <w:rsid w:val="005F4B43"/>
    <w:rsid w:val="006003B4"/>
    <w:rsid w:val="006037F0"/>
    <w:rsid w:val="00604098"/>
    <w:rsid w:val="006058C8"/>
    <w:rsid w:val="0060684D"/>
    <w:rsid w:val="00611044"/>
    <w:rsid w:val="00616323"/>
    <w:rsid w:val="00616AE7"/>
    <w:rsid w:val="006173D8"/>
    <w:rsid w:val="00623835"/>
    <w:rsid w:val="006265F8"/>
    <w:rsid w:val="0063185B"/>
    <w:rsid w:val="00632697"/>
    <w:rsid w:val="0063293F"/>
    <w:rsid w:val="00632CC1"/>
    <w:rsid w:val="006335FA"/>
    <w:rsid w:val="00636F2B"/>
    <w:rsid w:val="00640F19"/>
    <w:rsid w:val="0064169D"/>
    <w:rsid w:val="00644573"/>
    <w:rsid w:val="006448A1"/>
    <w:rsid w:val="00654B47"/>
    <w:rsid w:val="00655330"/>
    <w:rsid w:val="006558A1"/>
    <w:rsid w:val="0065594B"/>
    <w:rsid w:val="00655B33"/>
    <w:rsid w:val="0065615D"/>
    <w:rsid w:val="00660C4C"/>
    <w:rsid w:val="00661368"/>
    <w:rsid w:val="00663C7D"/>
    <w:rsid w:val="0066553A"/>
    <w:rsid w:val="00666103"/>
    <w:rsid w:val="006661CE"/>
    <w:rsid w:val="006675DB"/>
    <w:rsid w:val="00674D64"/>
    <w:rsid w:val="00681313"/>
    <w:rsid w:val="006814CA"/>
    <w:rsid w:val="00681B4D"/>
    <w:rsid w:val="00681E0B"/>
    <w:rsid w:val="00682794"/>
    <w:rsid w:val="00682F79"/>
    <w:rsid w:val="00684909"/>
    <w:rsid w:val="00685B65"/>
    <w:rsid w:val="0068751B"/>
    <w:rsid w:val="0068796E"/>
    <w:rsid w:val="00696588"/>
    <w:rsid w:val="006A373D"/>
    <w:rsid w:val="006A48FC"/>
    <w:rsid w:val="006A5206"/>
    <w:rsid w:val="006A631F"/>
    <w:rsid w:val="006B12F6"/>
    <w:rsid w:val="006B5931"/>
    <w:rsid w:val="006C22AC"/>
    <w:rsid w:val="006C25C0"/>
    <w:rsid w:val="006C584D"/>
    <w:rsid w:val="006C6CB1"/>
    <w:rsid w:val="006D17F5"/>
    <w:rsid w:val="006D18A5"/>
    <w:rsid w:val="006D1B5C"/>
    <w:rsid w:val="006D2A4B"/>
    <w:rsid w:val="006D3142"/>
    <w:rsid w:val="006D761E"/>
    <w:rsid w:val="006E0FB9"/>
    <w:rsid w:val="006E2C08"/>
    <w:rsid w:val="006E35D5"/>
    <w:rsid w:val="006E37B2"/>
    <w:rsid w:val="006E5B47"/>
    <w:rsid w:val="006E6106"/>
    <w:rsid w:val="006E630C"/>
    <w:rsid w:val="006E6B07"/>
    <w:rsid w:val="006F06C1"/>
    <w:rsid w:val="006F07E0"/>
    <w:rsid w:val="006F78CB"/>
    <w:rsid w:val="00700591"/>
    <w:rsid w:val="0070430E"/>
    <w:rsid w:val="00704F25"/>
    <w:rsid w:val="0071439C"/>
    <w:rsid w:val="00715367"/>
    <w:rsid w:val="00717F99"/>
    <w:rsid w:val="007232DC"/>
    <w:rsid w:val="0072487F"/>
    <w:rsid w:val="00726463"/>
    <w:rsid w:val="007275F8"/>
    <w:rsid w:val="007322C1"/>
    <w:rsid w:val="0073254B"/>
    <w:rsid w:val="007327A6"/>
    <w:rsid w:val="00735572"/>
    <w:rsid w:val="00742649"/>
    <w:rsid w:val="0074275B"/>
    <w:rsid w:val="00743B1D"/>
    <w:rsid w:val="0075272B"/>
    <w:rsid w:val="00756B2A"/>
    <w:rsid w:val="00760DCE"/>
    <w:rsid w:val="007674AC"/>
    <w:rsid w:val="00772C36"/>
    <w:rsid w:val="00777499"/>
    <w:rsid w:val="007812CD"/>
    <w:rsid w:val="007839A1"/>
    <w:rsid w:val="007839D2"/>
    <w:rsid w:val="007861E5"/>
    <w:rsid w:val="00791BF4"/>
    <w:rsid w:val="00796CFD"/>
    <w:rsid w:val="007A0CC7"/>
    <w:rsid w:val="007A0EAC"/>
    <w:rsid w:val="007A1D80"/>
    <w:rsid w:val="007A2AE5"/>
    <w:rsid w:val="007A36EF"/>
    <w:rsid w:val="007A38EA"/>
    <w:rsid w:val="007A596A"/>
    <w:rsid w:val="007A7FCA"/>
    <w:rsid w:val="007B223D"/>
    <w:rsid w:val="007B3306"/>
    <w:rsid w:val="007B3CB3"/>
    <w:rsid w:val="007C2474"/>
    <w:rsid w:val="007C373C"/>
    <w:rsid w:val="007C418F"/>
    <w:rsid w:val="007C42BD"/>
    <w:rsid w:val="007C7193"/>
    <w:rsid w:val="007D2A02"/>
    <w:rsid w:val="007D3535"/>
    <w:rsid w:val="007D386F"/>
    <w:rsid w:val="007D416D"/>
    <w:rsid w:val="007D6293"/>
    <w:rsid w:val="007D769B"/>
    <w:rsid w:val="007E3822"/>
    <w:rsid w:val="007E3A09"/>
    <w:rsid w:val="007E3A35"/>
    <w:rsid w:val="007E4D85"/>
    <w:rsid w:val="007F242C"/>
    <w:rsid w:val="007F46FE"/>
    <w:rsid w:val="00801479"/>
    <w:rsid w:val="00804A41"/>
    <w:rsid w:val="008061D6"/>
    <w:rsid w:val="0080710F"/>
    <w:rsid w:val="0080736C"/>
    <w:rsid w:val="008077D3"/>
    <w:rsid w:val="00810871"/>
    <w:rsid w:val="00812A61"/>
    <w:rsid w:val="00814549"/>
    <w:rsid w:val="00815C59"/>
    <w:rsid w:val="0081602E"/>
    <w:rsid w:val="00817F74"/>
    <w:rsid w:val="008305D0"/>
    <w:rsid w:val="0083071B"/>
    <w:rsid w:val="00830BCA"/>
    <w:rsid w:val="00831359"/>
    <w:rsid w:val="00832300"/>
    <w:rsid w:val="00834052"/>
    <w:rsid w:val="0084094C"/>
    <w:rsid w:val="008431B2"/>
    <w:rsid w:val="00845323"/>
    <w:rsid w:val="00847BCA"/>
    <w:rsid w:val="00850AF2"/>
    <w:rsid w:val="008510A2"/>
    <w:rsid w:val="008524D1"/>
    <w:rsid w:val="00853598"/>
    <w:rsid w:val="008552A0"/>
    <w:rsid w:val="00855398"/>
    <w:rsid w:val="008558D3"/>
    <w:rsid w:val="00856D0F"/>
    <w:rsid w:val="008600B5"/>
    <w:rsid w:val="008605F0"/>
    <w:rsid w:val="00865278"/>
    <w:rsid w:val="00871802"/>
    <w:rsid w:val="00875A2E"/>
    <w:rsid w:val="00875D50"/>
    <w:rsid w:val="008768D2"/>
    <w:rsid w:val="0088199C"/>
    <w:rsid w:val="00884411"/>
    <w:rsid w:val="008860D2"/>
    <w:rsid w:val="008877D9"/>
    <w:rsid w:val="00890920"/>
    <w:rsid w:val="00890ECF"/>
    <w:rsid w:val="008A3734"/>
    <w:rsid w:val="008A3BF5"/>
    <w:rsid w:val="008A588F"/>
    <w:rsid w:val="008A69A5"/>
    <w:rsid w:val="008A6A21"/>
    <w:rsid w:val="008A6CAC"/>
    <w:rsid w:val="008B09AA"/>
    <w:rsid w:val="008B108B"/>
    <w:rsid w:val="008B19B8"/>
    <w:rsid w:val="008B4DD7"/>
    <w:rsid w:val="008B6937"/>
    <w:rsid w:val="008B7371"/>
    <w:rsid w:val="008B786B"/>
    <w:rsid w:val="008C01C5"/>
    <w:rsid w:val="008C40BD"/>
    <w:rsid w:val="008C53F6"/>
    <w:rsid w:val="008C58ED"/>
    <w:rsid w:val="008D0BDC"/>
    <w:rsid w:val="008D59D5"/>
    <w:rsid w:val="008E079C"/>
    <w:rsid w:val="008E1BA7"/>
    <w:rsid w:val="008E6E23"/>
    <w:rsid w:val="008E7E9C"/>
    <w:rsid w:val="008F2067"/>
    <w:rsid w:val="008F4300"/>
    <w:rsid w:val="00901B40"/>
    <w:rsid w:val="00903E08"/>
    <w:rsid w:val="00904072"/>
    <w:rsid w:val="009043C8"/>
    <w:rsid w:val="0090523A"/>
    <w:rsid w:val="00907ECF"/>
    <w:rsid w:val="00912E0D"/>
    <w:rsid w:val="0092290D"/>
    <w:rsid w:val="00931555"/>
    <w:rsid w:val="00931C6B"/>
    <w:rsid w:val="009348F1"/>
    <w:rsid w:val="00940BD1"/>
    <w:rsid w:val="009457C8"/>
    <w:rsid w:val="00945C93"/>
    <w:rsid w:val="00946D33"/>
    <w:rsid w:val="00954D85"/>
    <w:rsid w:val="00960BA3"/>
    <w:rsid w:val="00962788"/>
    <w:rsid w:val="00971C3B"/>
    <w:rsid w:val="00971CCF"/>
    <w:rsid w:val="00975841"/>
    <w:rsid w:val="00975D2A"/>
    <w:rsid w:val="00976508"/>
    <w:rsid w:val="0099034D"/>
    <w:rsid w:val="009903C1"/>
    <w:rsid w:val="0099191A"/>
    <w:rsid w:val="00991D05"/>
    <w:rsid w:val="009928C8"/>
    <w:rsid w:val="00992F70"/>
    <w:rsid w:val="00994917"/>
    <w:rsid w:val="00994F1F"/>
    <w:rsid w:val="009A1A41"/>
    <w:rsid w:val="009A2496"/>
    <w:rsid w:val="009A5C1F"/>
    <w:rsid w:val="009A6FEA"/>
    <w:rsid w:val="009B04E6"/>
    <w:rsid w:val="009B2D69"/>
    <w:rsid w:val="009B2F1F"/>
    <w:rsid w:val="009C0B8E"/>
    <w:rsid w:val="009C26E5"/>
    <w:rsid w:val="009C3611"/>
    <w:rsid w:val="009C3717"/>
    <w:rsid w:val="009C49E9"/>
    <w:rsid w:val="009C6D24"/>
    <w:rsid w:val="009C7F92"/>
    <w:rsid w:val="009D1F18"/>
    <w:rsid w:val="009D2F3D"/>
    <w:rsid w:val="009D3922"/>
    <w:rsid w:val="009D7AA8"/>
    <w:rsid w:val="009E0605"/>
    <w:rsid w:val="009E1C80"/>
    <w:rsid w:val="009E1E1B"/>
    <w:rsid w:val="009E28CE"/>
    <w:rsid w:val="009E6569"/>
    <w:rsid w:val="009E7648"/>
    <w:rsid w:val="009E7965"/>
    <w:rsid w:val="009F0BEC"/>
    <w:rsid w:val="009F2286"/>
    <w:rsid w:val="009F3B5D"/>
    <w:rsid w:val="009F5CBA"/>
    <w:rsid w:val="009F6925"/>
    <w:rsid w:val="009F6F75"/>
    <w:rsid w:val="009F7012"/>
    <w:rsid w:val="009F7A83"/>
    <w:rsid w:val="00A003F4"/>
    <w:rsid w:val="00A02A87"/>
    <w:rsid w:val="00A031F5"/>
    <w:rsid w:val="00A055C3"/>
    <w:rsid w:val="00A068AD"/>
    <w:rsid w:val="00A11097"/>
    <w:rsid w:val="00A12DDF"/>
    <w:rsid w:val="00A14DA8"/>
    <w:rsid w:val="00A346FD"/>
    <w:rsid w:val="00A41805"/>
    <w:rsid w:val="00A4210E"/>
    <w:rsid w:val="00A42439"/>
    <w:rsid w:val="00A42648"/>
    <w:rsid w:val="00A440BF"/>
    <w:rsid w:val="00A456C8"/>
    <w:rsid w:val="00A46999"/>
    <w:rsid w:val="00A47806"/>
    <w:rsid w:val="00A506BD"/>
    <w:rsid w:val="00A54500"/>
    <w:rsid w:val="00A547EC"/>
    <w:rsid w:val="00A561CD"/>
    <w:rsid w:val="00A57A11"/>
    <w:rsid w:val="00A62E99"/>
    <w:rsid w:val="00A66D67"/>
    <w:rsid w:val="00A7049C"/>
    <w:rsid w:val="00A70C05"/>
    <w:rsid w:val="00A70CCF"/>
    <w:rsid w:val="00A70EC8"/>
    <w:rsid w:val="00A720DC"/>
    <w:rsid w:val="00A75CCE"/>
    <w:rsid w:val="00A8025E"/>
    <w:rsid w:val="00A818B6"/>
    <w:rsid w:val="00A82BB8"/>
    <w:rsid w:val="00A8332D"/>
    <w:rsid w:val="00A850F9"/>
    <w:rsid w:val="00A917C4"/>
    <w:rsid w:val="00A91B44"/>
    <w:rsid w:val="00A91F8A"/>
    <w:rsid w:val="00A9214F"/>
    <w:rsid w:val="00A93DAE"/>
    <w:rsid w:val="00A94F3A"/>
    <w:rsid w:val="00A9731D"/>
    <w:rsid w:val="00A97C88"/>
    <w:rsid w:val="00AA3FE2"/>
    <w:rsid w:val="00AA7551"/>
    <w:rsid w:val="00AB1CA5"/>
    <w:rsid w:val="00AB4319"/>
    <w:rsid w:val="00AB4675"/>
    <w:rsid w:val="00AB59B3"/>
    <w:rsid w:val="00AB60F9"/>
    <w:rsid w:val="00AB7E89"/>
    <w:rsid w:val="00AC1511"/>
    <w:rsid w:val="00AC23A6"/>
    <w:rsid w:val="00AC4E4C"/>
    <w:rsid w:val="00AC5835"/>
    <w:rsid w:val="00AC6645"/>
    <w:rsid w:val="00AC7A7F"/>
    <w:rsid w:val="00AD0644"/>
    <w:rsid w:val="00AD2D8C"/>
    <w:rsid w:val="00AD2DEB"/>
    <w:rsid w:val="00AD4978"/>
    <w:rsid w:val="00AD5DDC"/>
    <w:rsid w:val="00AE3C8C"/>
    <w:rsid w:val="00AF3516"/>
    <w:rsid w:val="00AF40B5"/>
    <w:rsid w:val="00AF7F82"/>
    <w:rsid w:val="00B1379F"/>
    <w:rsid w:val="00B21E18"/>
    <w:rsid w:val="00B22224"/>
    <w:rsid w:val="00B24E53"/>
    <w:rsid w:val="00B27083"/>
    <w:rsid w:val="00B33CCD"/>
    <w:rsid w:val="00B35AB7"/>
    <w:rsid w:val="00B40880"/>
    <w:rsid w:val="00B41E94"/>
    <w:rsid w:val="00B53985"/>
    <w:rsid w:val="00B54DF9"/>
    <w:rsid w:val="00B55858"/>
    <w:rsid w:val="00B55E09"/>
    <w:rsid w:val="00B576B6"/>
    <w:rsid w:val="00B65FFC"/>
    <w:rsid w:val="00B6647A"/>
    <w:rsid w:val="00B73C4A"/>
    <w:rsid w:val="00B74BA0"/>
    <w:rsid w:val="00B763C8"/>
    <w:rsid w:val="00B77386"/>
    <w:rsid w:val="00B82AA4"/>
    <w:rsid w:val="00B831E1"/>
    <w:rsid w:val="00B85BBB"/>
    <w:rsid w:val="00B904EE"/>
    <w:rsid w:val="00B91491"/>
    <w:rsid w:val="00B91EF3"/>
    <w:rsid w:val="00B928DD"/>
    <w:rsid w:val="00B93622"/>
    <w:rsid w:val="00BA421F"/>
    <w:rsid w:val="00BA4C72"/>
    <w:rsid w:val="00BA5E13"/>
    <w:rsid w:val="00BA75E5"/>
    <w:rsid w:val="00BA7D78"/>
    <w:rsid w:val="00BB0706"/>
    <w:rsid w:val="00BB1283"/>
    <w:rsid w:val="00BB1797"/>
    <w:rsid w:val="00BB3276"/>
    <w:rsid w:val="00BB4A34"/>
    <w:rsid w:val="00BB4AE2"/>
    <w:rsid w:val="00BC26C5"/>
    <w:rsid w:val="00BD0912"/>
    <w:rsid w:val="00BD4414"/>
    <w:rsid w:val="00BD5948"/>
    <w:rsid w:val="00BD798E"/>
    <w:rsid w:val="00BE010D"/>
    <w:rsid w:val="00BE4168"/>
    <w:rsid w:val="00BE4529"/>
    <w:rsid w:val="00BE5E2B"/>
    <w:rsid w:val="00BE75D3"/>
    <w:rsid w:val="00BF1A49"/>
    <w:rsid w:val="00BF3C04"/>
    <w:rsid w:val="00BF4D72"/>
    <w:rsid w:val="00BF4F07"/>
    <w:rsid w:val="00C023C3"/>
    <w:rsid w:val="00C0355E"/>
    <w:rsid w:val="00C04A47"/>
    <w:rsid w:val="00C057C6"/>
    <w:rsid w:val="00C117FA"/>
    <w:rsid w:val="00C12C42"/>
    <w:rsid w:val="00C12DE8"/>
    <w:rsid w:val="00C13C8B"/>
    <w:rsid w:val="00C14C13"/>
    <w:rsid w:val="00C1645B"/>
    <w:rsid w:val="00C20E82"/>
    <w:rsid w:val="00C21FDC"/>
    <w:rsid w:val="00C224CC"/>
    <w:rsid w:val="00C2506E"/>
    <w:rsid w:val="00C37D96"/>
    <w:rsid w:val="00C37E65"/>
    <w:rsid w:val="00C40A68"/>
    <w:rsid w:val="00C42A55"/>
    <w:rsid w:val="00C4370A"/>
    <w:rsid w:val="00C439B8"/>
    <w:rsid w:val="00C44D47"/>
    <w:rsid w:val="00C51C9B"/>
    <w:rsid w:val="00C52894"/>
    <w:rsid w:val="00C53983"/>
    <w:rsid w:val="00C53F8B"/>
    <w:rsid w:val="00C54C37"/>
    <w:rsid w:val="00C54EA3"/>
    <w:rsid w:val="00C569D1"/>
    <w:rsid w:val="00C572F8"/>
    <w:rsid w:val="00C57CE0"/>
    <w:rsid w:val="00C616EF"/>
    <w:rsid w:val="00C627F0"/>
    <w:rsid w:val="00C66D04"/>
    <w:rsid w:val="00C701A1"/>
    <w:rsid w:val="00C72AD8"/>
    <w:rsid w:val="00C74121"/>
    <w:rsid w:val="00C757DD"/>
    <w:rsid w:val="00C833F9"/>
    <w:rsid w:val="00C84F65"/>
    <w:rsid w:val="00C90316"/>
    <w:rsid w:val="00C9114E"/>
    <w:rsid w:val="00C96360"/>
    <w:rsid w:val="00C97CEF"/>
    <w:rsid w:val="00CA17A1"/>
    <w:rsid w:val="00CA2A1D"/>
    <w:rsid w:val="00CA6E23"/>
    <w:rsid w:val="00CB44FD"/>
    <w:rsid w:val="00CB4E76"/>
    <w:rsid w:val="00CB7510"/>
    <w:rsid w:val="00CC2293"/>
    <w:rsid w:val="00CC28C7"/>
    <w:rsid w:val="00CC4630"/>
    <w:rsid w:val="00CC74BB"/>
    <w:rsid w:val="00CD14B8"/>
    <w:rsid w:val="00CD1920"/>
    <w:rsid w:val="00CD4740"/>
    <w:rsid w:val="00CE2BE7"/>
    <w:rsid w:val="00CE2FA7"/>
    <w:rsid w:val="00CE480A"/>
    <w:rsid w:val="00CE4B57"/>
    <w:rsid w:val="00CE4D8B"/>
    <w:rsid w:val="00CE5C90"/>
    <w:rsid w:val="00CF5E00"/>
    <w:rsid w:val="00CF7945"/>
    <w:rsid w:val="00D03A6D"/>
    <w:rsid w:val="00D0503C"/>
    <w:rsid w:val="00D15752"/>
    <w:rsid w:val="00D16BD0"/>
    <w:rsid w:val="00D17A7F"/>
    <w:rsid w:val="00D17B63"/>
    <w:rsid w:val="00D20E8D"/>
    <w:rsid w:val="00D25B17"/>
    <w:rsid w:val="00D313FC"/>
    <w:rsid w:val="00D31EBB"/>
    <w:rsid w:val="00D322E3"/>
    <w:rsid w:val="00D3362A"/>
    <w:rsid w:val="00D33C48"/>
    <w:rsid w:val="00D37B66"/>
    <w:rsid w:val="00D41E34"/>
    <w:rsid w:val="00D503FC"/>
    <w:rsid w:val="00D50C51"/>
    <w:rsid w:val="00D51E02"/>
    <w:rsid w:val="00D52AF0"/>
    <w:rsid w:val="00D54793"/>
    <w:rsid w:val="00D55C7D"/>
    <w:rsid w:val="00D60036"/>
    <w:rsid w:val="00D62505"/>
    <w:rsid w:val="00D64CC6"/>
    <w:rsid w:val="00D6632F"/>
    <w:rsid w:val="00D70181"/>
    <w:rsid w:val="00D7227A"/>
    <w:rsid w:val="00D742A6"/>
    <w:rsid w:val="00D74FA6"/>
    <w:rsid w:val="00D75533"/>
    <w:rsid w:val="00D755F5"/>
    <w:rsid w:val="00D80115"/>
    <w:rsid w:val="00D80C5C"/>
    <w:rsid w:val="00D811CE"/>
    <w:rsid w:val="00D82416"/>
    <w:rsid w:val="00D834D5"/>
    <w:rsid w:val="00D84B30"/>
    <w:rsid w:val="00D866EA"/>
    <w:rsid w:val="00D86832"/>
    <w:rsid w:val="00D86D25"/>
    <w:rsid w:val="00DA02D7"/>
    <w:rsid w:val="00DA1538"/>
    <w:rsid w:val="00DA18E7"/>
    <w:rsid w:val="00DA4640"/>
    <w:rsid w:val="00DB0F25"/>
    <w:rsid w:val="00DB199E"/>
    <w:rsid w:val="00DB3C99"/>
    <w:rsid w:val="00DB6AE4"/>
    <w:rsid w:val="00DC136F"/>
    <w:rsid w:val="00DC2DE3"/>
    <w:rsid w:val="00DC4A83"/>
    <w:rsid w:val="00DD04EF"/>
    <w:rsid w:val="00DD39D0"/>
    <w:rsid w:val="00DD7965"/>
    <w:rsid w:val="00DE0ADA"/>
    <w:rsid w:val="00DE3CC9"/>
    <w:rsid w:val="00DE428F"/>
    <w:rsid w:val="00DE61B8"/>
    <w:rsid w:val="00DF18D8"/>
    <w:rsid w:val="00DF1A44"/>
    <w:rsid w:val="00DF2DC4"/>
    <w:rsid w:val="00DF73FD"/>
    <w:rsid w:val="00DF74BA"/>
    <w:rsid w:val="00E0141C"/>
    <w:rsid w:val="00E02CBF"/>
    <w:rsid w:val="00E05627"/>
    <w:rsid w:val="00E10B93"/>
    <w:rsid w:val="00E10C73"/>
    <w:rsid w:val="00E13A6D"/>
    <w:rsid w:val="00E16D1E"/>
    <w:rsid w:val="00E2046B"/>
    <w:rsid w:val="00E2088F"/>
    <w:rsid w:val="00E21577"/>
    <w:rsid w:val="00E21BA3"/>
    <w:rsid w:val="00E2619C"/>
    <w:rsid w:val="00E266A5"/>
    <w:rsid w:val="00E269E8"/>
    <w:rsid w:val="00E27B17"/>
    <w:rsid w:val="00E30458"/>
    <w:rsid w:val="00E3152F"/>
    <w:rsid w:val="00E3286A"/>
    <w:rsid w:val="00E35215"/>
    <w:rsid w:val="00E36E52"/>
    <w:rsid w:val="00E45C20"/>
    <w:rsid w:val="00E46148"/>
    <w:rsid w:val="00E50C09"/>
    <w:rsid w:val="00E51048"/>
    <w:rsid w:val="00E523B7"/>
    <w:rsid w:val="00E5615C"/>
    <w:rsid w:val="00E56F23"/>
    <w:rsid w:val="00E62098"/>
    <w:rsid w:val="00E640F1"/>
    <w:rsid w:val="00E65DF6"/>
    <w:rsid w:val="00E672CA"/>
    <w:rsid w:val="00E67DE3"/>
    <w:rsid w:val="00E714DF"/>
    <w:rsid w:val="00E72649"/>
    <w:rsid w:val="00E749CB"/>
    <w:rsid w:val="00E754A8"/>
    <w:rsid w:val="00E77EA1"/>
    <w:rsid w:val="00E77FEA"/>
    <w:rsid w:val="00E8050D"/>
    <w:rsid w:val="00E80708"/>
    <w:rsid w:val="00E80B11"/>
    <w:rsid w:val="00E81690"/>
    <w:rsid w:val="00E8402B"/>
    <w:rsid w:val="00E85777"/>
    <w:rsid w:val="00E93D09"/>
    <w:rsid w:val="00E96645"/>
    <w:rsid w:val="00E96A7B"/>
    <w:rsid w:val="00EA1C14"/>
    <w:rsid w:val="00EA39A3"/>
    <w:rsid w:val="00EA7173"/>
    <w:rsid w:val="00EA7740"/>
    <w:rsid w:val="00EB37D1"/>
    <w:rsid w:val="00EB5EB9"/>
    <w:rsid w:val="00EB6AF3"/>
    <w:rsid w:val="00EB719C"/>
    <w:rsid w:val="00EB77C8"/>
    <w:rsid w:val="00EC052A"/>
    <w:rsid w:val="00EC0CA3"/>
    <w:rsid w:val="00EC24BC"/>
    <w:rsid w:val="00EC2B00"/>
    <w:rsid w:val="00EC2DB4"/>
    <w:rsid w:val="00EC4646"/>
    <w:rsid w:val="00EC5FBA"/>
    <w:rsid w:val="00ED027E"/>
    <w:rsid w:val="00ED1B78"/>
    <w:rsid w:val="00ED405B"/>
    <w:rsid w:val="00EE101D"/>
    <w:rsid w:val="00EE2B4F"/>
    <w:rsid w:val="00EE2C88"/>
    <w:rsid w:val="00EE46E8"/>
    <w:rsid w:val="00EE4730"/>
    <w:rsid w:val="00EE47D9"/>
    <w:rsid w:val="00EE66F0"/>
    <w:rsid w:val="00EF0CCB"/>
    <w:rsid w:val="00EF1302"/>
    <w:rsid w:val="00EF520E"/>
    <w:rsid w:val="00EF5FE3"/>
    <w:rsid w:val="00EF66B7"/>
    <w:rsid w:val="00F0456F"/>
    <w:rsid w:val="00F102FB"/>
    <w:rsid w:val="00F10CC3"/>
    <w:rsid w:val="00F1202B"/>
    <w:rsid w:val="00F14599"/>
    <w:rsid w:val="00F159D6"/>
    <w:rsid w:val="00F24C85"/>
    <w:rsid w:val="00F272A7"/>
    <w:rsid w:val="00F3171E"/>
    <w:rsid w:val="00F36302"/>
    <w:rsid w:val="00F364B2"/>
    <w:rsid w:val="00F40A37"/>
    <w:rsid w:val="00F410DD"/>
    <w:rsid w:val="00F41746"/>
    <w:rsid w:val="00F42800"/>
    <w:rsid w:val="00F45F2A"/>
    <w:rsid w:val="00F468E6"/>
    <w:rsid w:val="00F52565"/>
    <w:rsid w:val="00F52577"/>
    <w:rsid w:val="00F60F7B"/>
    <w:rsid w:val="00F61B2C"/>
    <w:rsid w:val="00F63AD9"/>
    <w:rsid w:val="00F664F6"/>
    <w:rsid w:val="00F70C57"/>
    <w:rsid w:val="00F71B41"/>
    <w:rsid w:val="00F72B0C"/>
    <w:rsid w:val="00F75696"/>
    <w:rsid w:val="00F83670"/>
    <w:rsid w:val="00F87D32"/>
    <w:rsid w:val="00F9075E"/>
    <w:rsid w:val="00F91623"/>
    <w:rsid w:val="00F92A1F"/>
    <w:rsid w:val="00F9441E"/>
    <w:rsid w:val="00F94B80"/>
    <w:rsid w:val="00FA10D0"/>
    <w:rsid w:val="00FA2484"/>
    <w:rsid w:val="00FA658C"/>
    <w:rsid w:val="00FA65FE"/>
    <w:rsid w:val="00FA6CA6"/>
    <w:rsid w:val="00FB1DD3"/>
    <w:rsid w:val="00FB4658"/>
    <w:rsid w:val="00FB4E7C"/>
    <w:rsid w:val="00FC10CD"/>
    <w:rsid w:val="00FC2E1F"/>
    <w:rsid w:val="00FC345B"/>
    <w:rsid w:val="00FC3B18"/>
    <w:rsid w:val="00FD165E"/>
    <w:rsid w:val="00FD1C6B"/>
    <w:rsid w:val="00FD2818"/>
    <w:rsid w:val="00FD51F8"/>
    <w:rsid w:val="00FD52AE"/>
    <w:rsid w:val="00FE126D"/>
    <w:rsid w:val="00FE23CE"/>
    <w:rsid w:val="00FE3B9E"/>
    <w:rsid w:val="00FE421B"/>
    <w:rsid w:val="00FE470F"/>
    <w:rsid w:val="00FE4BD8"/>
    <w:rsid w:val="00FE7B07"/>
    <w:rsid w:val="00FF2F5E"/>
    <w:rsid w:val="00FF593E"/>
    <w:rsid w:val="00FF5C90"/>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Narrow" w:eastAsia="Times New Roman" w:hAnsi="Arial Narrow" w:cs="Arial Narrow"/>
        <w:sz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annotation text" w:semiHidden="1"/>
    <w:lsdException w:name="header" w:semiHidden="1"/>
    <w:lsdException w:name="footer" w:semiHidden="1"/>
    <w:lsdException w:name="caption" w:semiHidden="1" w:uiPriority="35" w:unhideWhenUsed="1" w:qFormat="1"/>
    <w:lsdException w:name="footnote reference" w:semiHidden="1"/>
    <w:lsdException w:name="annotation reference" w:semiHidden="1"/>
    <w:lsdException w:name="List Number" w:semiHidden="1" w:unhideWhenUsed="1"/>
    <w:lsdException w:name="List 4" w:semiHidden="1" w:unhideWhenUsed="1"/>
    <w:lsdException w:name="List 5" w:semiHidden="1" w:unhideWhenUsed="1"/>
    <w:lsdException w:name="Title" w:uiPriority="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Strong" w:uiPriority="22" w:qFormat="1"/>
    <w:lsdException w:name="Emphasis" w:qFormat="1"/>
    <w:lsdException w:name="Balloon Text" w:semiHidden="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DD8"/>
    <w:pPr>
      <w:framePr w:wrap="auto"/>
      <w:widowControl/>
      <w:autoSpaceDE/>
      <w:autoSpaceDN/>
      <w:adjustRightInd/>
      <w:spacing w:after="200" w:line="276" w:lineRule="auto"/>
      <w:ind w:left="0" w:right="0"/>
      <w:jc w:val="left"/>
      <w:textAlignment w:val="auto"/>
    </w:pPr>
    <w:rPr>
      <w:rFonts w:ascii="Arial Narrow" w:hAnsi="Arial Narrow" w:cs="Arial Narrow"/>
      <w:sz w:val="22"/>
      <w:szCs w:val="22"/>
      <w:rtl w:val="0"/>
      <w:cs w:val="0"/>
      <w:lang w:val="sk-SK" w:eastAsia="en-US" w:bidi="ar-SA"/>
    </w:rPr>
  </w:style>
  <w:style w:type="paragraph" w:styleId="Heading1">
    <w:name w:val="heading 1"/>
    <w:basedOn w:val="Normal"/>
    <w:link w:val="Nadpis1Char"/>
    <w:uiPriority w:val="99"/>
    <w:qFormat/>
    <w:rsid w:val="00054DD8"/>
    <w:pPr>
      <w:spacing w:after="0" w:line="240" w:lineRule="auto"/>
      <w:jc w:val="center"/>
      <w:outlineLvl w:val="0"/>
    </w:pPr>
    <w:rPr>
      <w:b/>
      <w:bCs/>
      <w:kern w:val="36"/>
      <w:sz w:val="24"/>
      <w:szCs w:val="24"/>
      <w:lang w:eastAsia="sk-SK"/>
    </w:rPr>
  </w:style>
  <w:style w:type="paragraph" w:styleId="Heading2">
    <w:name w:val="heading 2"/>
    <w:basedOn w:val="Normal"/>
    <w:next w:val="Normal"/>
    <w:link w:val="Nadpis2Char"/>
    <w:uiPriority w:val="99"/>
    <w:qFormat/>
    <w:rsid w:val="00054DD8"/>
    <w:pPr>
      <w:keepNext/>
      <w:spacing w:before="240" w:after="60"/>
      <w:jc w:val="left"/>
      <w:outlineLvl w:val="1"/>
    </w:pPr>
    <w:rPr>
      <w:rFonts w:ascii="Cambria"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sid w:val="00153AC8"/>
    <w:rPr>
      <w:rFonts w:cs="Times New Roman"/>
      <w:b/>
      <w:bCs/>
      <w:kern w:val="36"/>
      <w:sz w:val="24"/>
      <w:szCs w:val="24"/>
      <w:rtl w:val="0"/>
      <w:cs w:val="0"/>
    </w:rPr>
  </w:style>
  <w:style w:type="character" w:customStyle="1" w:styleId="Nadpis2Char">
    <w:name w:val="Nadpis 2 Char"/>
    <w:basedOn w:val="DefaultParagraphFont"/>
    <w:link w:val="Heading2"/>
    <w:uiPriority w:val="99"/>
    <w:locked/>
    <w:rsid w:val="0060684D"/>
    <w:rPr>
      <w:rFonts w:ascii="Cambria" w:hAnsi="Cambria" w:cs="Cambria"/>
      <w:b/>
      <w:bCs/>
      <w:i/>
      <w:iCs/>
      <w:sz w:val="28"/>
      <w:szCs w:val="28"/>
      <w:rtl w:val="0"/>
      <w:cs w:val="0"/>
      <w:lang w:val="x-none" w:eastAsia="en-US"/>
    </w:rPr>
  </w:style>
  <w:style w:type="paragraph" w:customStyle="1" w:styleId="CM1">
    <w:name w:val="CM1"/>
    <w:basedOn w:val="Normal"/>
    <w:next w:val="Normal"/>
    <w:uiPriority w:val="99"/>
    <w:rsid w:val="00054DD8"/>
    <w:pPr>
      <w:autoSpaceDE w:val="0"/>
      <w:autoSpaceDN w:val="0"/>
      <w:adjustRightInd w:val="0"/>
      <w:spacing w:after="0" w:line="240" w:lineRule="auto"/>
      <w:jc w:val="left"/>
    </w:pPr>
    <w:rPr>
      <w:rFonts w:ascii="EUAlbertina" w:hAnsi="EUAlbertina" w:cs="EUAlbertina"/>
      <w:sz w:val="24"/>
      <w:szCs w:val="24"/>
      <w:lang w:eastAsia="sk-SK"/>
    </w:rPr>
  </w:style>
  <w:style w:type="paragraph" w:styleId="ListParagraph">
    <w:name w:val="List Paragraph"/>
    <w:basedOn w:val="Normal"/>
    <w:uiPriority w:val="34"/>
    <w:qFormat/>
    <w:rsid w:val="00054DD8"/>
    <w:pPr>
      <w:ind w:left="708"/>
      <w:jc w:val="left"/>
    </w:pPr>
  </w:style>
  <w:style w:type="character" w:styleId="Emphasis">
    <w:name w:val="Emphasis"/>
    <w:basedOn w:val="DefaultParagraphFont"/>
    <w:uiPriority w:val="99"/>
    <w:qFormat/>
    <w:rsid w:val="00700591"/>
    <w:rPr>
      <w:rFonts w:cs="Times New Roman"/>
      <w:i/>
      <w:iCs/>
      <w:rtl w:val="0"/>
      <w:cs w:val="0"/>
    </w:rPr>
  </w:style>
  <w:style w:type="paragraph" w:customStyle="1" w:styleId="CM4">
    <w:name w:val="CM4"/>
    <w:basedOn w:val="Normal"/>
    <w:next w:val="Normal"/>
    <w:uiPriority w:val="99"/>
    <w:rsid w:val="00054DD8"/>
    <w:pPr>
      <w:autoSpaceDE w:val="0"/>
      <w:autoSpaceDN w:val="0"/>
      <w:adjustRightInd w:val="0"/>
      <w:spacing w:after="0" w:line="240" w:lineRule="auto"/>
      <w:jc w:val="left"/>
    </w:pPr>
    <w:rPr>
      <w:rFonts w:ascii="EUAlbertina" w:hAnsi="EUAlbertina" w:cs="EUAlbertina"/>
      <w:sz w:val="24"/>
      <w:szCs w:val="24"/>
      <w:lang w:eastAsia="sk-SK"/>
    </w:rPr>
  </w:style>
  <w:style w:type="paragraph" w:customStyle="1" w:styleId="Default">
    <w:name w:val="Default"/>
    <w:rsid w:val="00054DD8"/>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en-US" w:bidi="ar-SA"/>
    </w:rPr>
  </w:style>
  <w:style w:type="character" w:styleId="CommentReference">
    <w:name w:val="annotation reference"/>
    <w:basedOn w:val="DefaultParagraphFont"/>
    <w:uiPriority w:val="99"/>
    <w:semiHidden/>
    <w:rsid w:val="006F78CB"/>
    <w:rPr>
      <w:rFonts w:cs="Times New Roman"/>
      <w:sz w:val="16"/>
      <w:szCs w:val="16"/>
      <w:rtl w:val="0"/>
      <w:cs w:val="0"/>
    </w:rPr>
  </w:style>
  <w:style w:type="paragraph" w:styleId="CommentText">
    <w:name w:val="annotation text"/>
    <w:basedOn w:val="Normal"/>
    <w:link w:val="TextkomentraChar"/>
    <w:uiPriority w:val="99"/>
    <w:semiHidden/>
    <w:rsid w:val="00054DD8"/>
    <w:pPr>
      <w:spacing w:after="0" w:line="240" w:lineRule="auto"/>
      <w:jc w:val="left"/>
    </w:pPr>
    <w:rPr>
      <w:sz w:val="20"/>
      <w:szCs w:val="20"/>
      <w:lang w:eastAsia="sk-SK"/>
    </w:rPr>
  </w:style>
  <w:style w:type="character" w:customStyle="1" w:styleId="TextkomentraChar">
    <w:name w:val="Text komentára Char"/>
    <w:basedOn w:val="DefaultParagraphFont"/>
    <w:link w:val="CommentText"/>
    <w:uiPriority w:val="99"/>
    <w:semiHidden/>
    <w:locked/>
    <w:rsid w:val="006F78CB"/>
    <w:rPr>
      <w:rFonts w:cs="Times New Roman"/>
      <w:sz w:val="20"/>
      <w:szCs w:val="20"/>
      <w:rtl w:val="0"/>
      <w:cs w:val="0"/>
    </w:rPr>
  </w:style>
  <w:style w:type="paragraph" w:styleId="FootnoteText">
    <w:name w:val="footnote text"/>
    <w:aliases w:val="Char,Char Char,Char Char Char Char,Char Char Char1,Char1,Char1 Char,Text poznámky pod čiarou Char"/>
    <w:basedOn w:val="Normal"/>
    <w:link w:val="TextpoznmkypodiarouChar1"/>
    <w:uiPriority w:val="99"/>
    <w:semiHidden/>
    <w:rsid w:val="00054DD8"/>
    <w:pPr>
      <w:spacing w:after="0" w:line="240" w:lineRule="auto"/>
      <w:jc w:val="left"/>
    </w:pPr>
    <w:rPr>
      <w:sz w:val="20"/>
      <w:szCs w:val="20"/>
      <w:lang w:eastAsia="sk-SK"/>
    </w:rPr>
  </w:style>
  <w:style w:type="character" w:customStyle="1" w:styleId="TextpoznmkypodiarouChar1">
    <w:name w:val="Text poznámky pod čiarou Char1"/>
    <w:aliases w:val="Char Char Char,Char Char Char Char Char,Char Char Char1 Char,Char Char1,Char1 Char Char,Char1 Char1,Text poznámky pod čiarou Char Char"/>
    <w:basedOn w:val="DefaultParagraphFont"/>
    <w:link w:val="FootnoteText"/>
    <w:uiPriority w:val="99"/>
    <w:semiHidden/>
    <w:locked/>
    <w:rPr>
      <w:rFonts w:cs="Times New Roman"/>
      <w:sz w:val="20"/>
      <w:szCs w:val="20"/>
      <w:rtl w:val="0"/>
      <w:cs w:val="0"/>
    </w:rPr>
  </w:style>
  <w:style w:type="paragraph" w:styleId="BalloonText">
    <w:name w:val="Balloon Text"/>
    <w:basedOn w:val="Normal"/>
    <w:link w:val="TextbublinyChar"/>
    <w:uiPriority w:val="99"/>
    <w:semiHidden/>
    <w:rsid w:val="00054DD8"/>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6F78CB"/>
    <w:rPr>
      <w:rFonts w:ascii="Tahoma" w:hAnsi="Tahoma" w:cs="Tahoma"/>
      <w:sz w:val="16"/>
      <w:szCs w:val="16"/>
      <w:rtl w:val="0"/>
      <w:cs w:val="0"/>
      <w:lang w:val="x-none" w:eastAsia="en-US"/>
    </w:rPr>
  </w:style>
  <w:style w:type="character" w:styleId="FootnoteReference">
    <w:name w:val="footnote reference"/>
    <w:basedOn w:val="DefaultParagraphFont"/>
    <w:uiPriority w:val="99"/>
    <w:semiHidden/>
    <w:rsid w:val="00C627F0"/>
    <w:rPr>
      <w:rFonts w:cs="Times New Roman"/>
      <w:vertAlign w:val="superscript"/>
      <w:rtl w:val="0"/>
      <w:cs w:val="0"/>
    </w:rPr>
  </w:style>
  <w:style w:type="paragraph" w:customStyle="1" w:styleId="Text1">
    <w:name w:val="Text 1"/>
    <w:basedOn w:val="Normal"/>
    <w:uiPriority w:val="99"/>
    <w:rsid w:val="00054DD8"/>
    <w:pPr>
      <w:spacing w:before="120" w:after="120" w:line="240" w:lineRule="auto"/>
      <w:ind w:left="850"/>
      <w:jc w:val="both"/>
    </w:pPr>
    <w:rPr>
      <w:sz w:val="24"/>
      <w:szCs w:val="24"/>
    </w:rPr>
  </w:style>
  <w:style w:type="paragraph" w:customStyle="1" w:styleId="CM3">
    <w:name w:val="CM3"/>
    <w:basedOn w:val="Default"/>
    <w:next w:val="Default"/>
    <w:uiPriority w:val="99"/>
    <w:rsid w:val="00054DD8"/>
    <w:pPr>
      <w:jc w:val="left"/>
    </w:pPr>
    <w:rPr>
      <w:color w:val="auto"/>
      <w:lang w:eastAsia="sk-SK"/>
    </w:rPr>
  </w:style>
  <w:style w:type="paragraph" w:styleId="NoSpacing">
    <w:name w:val="No Spacing"/>
    <w:uiPriority w:val="99"/>
    <w:qFormat/>
    <w:rsid w:val="00054DD8"/>
    <w:pPr>
      <w:framePr w:wrap="auto"/>
      <w:widowControl/>
      <w:autoSpaceDE/>
      <w:autoSpaceDN/>
      <w:adjustRightInd/>
      <w:ind w:left="0" w:right="0"/>
      <w:jc w:val="left"/>
      <w:textAlignment w:val="auto"/>
    </w:pPr>
    <w:rPr>
      <w:rFonts w:ascii="Arial Narrow" w:hAnsi="Arial Narrow" w:cs="Arial Narrow"/>
      <w:sz w:val="22"/>
      <w:szCs w:val="22"/>
      <w:rtl w:val="0"/>
      <w:cs w:val="0"/>
      <w:lang w:val="sk-SK" w:eastAsia="en-US" w:bidi="ar-SA"/>
    </w:rPr>
  </w:style>
  <w:style w:type="paragraph" w:styleId="Header">
    <w:name w:val="header"/>
    <w:basedOn w:val="Normal"/>
    <w:link w:val="HlavikaChar"/>
    <w:uiPriority w:val="99"/>
    <w:rsid w:val="00054DD8"/>
    <w:pPr>
      <w:tabs>
        <w:tab w:val="center" w:pos="4536"/>
        <w:tab w:val="right" w:pos="9072"/>
      </w:tabs>
      <w:jc w:val="left"/>
    </w:pPr>
  </w:style>
  <w:style w:type="character" w:customStyle="1" w:styleId="HlavikaChar">
    <w:name w:val="Hlavička Char"/>
    <w:basedOn w:val="DefaultParagraphFont"/>
    <w:link w:val="Header"/>
    <w:uiPriority w:val="99"/>
    <w:locked/>
    <w:rsid w:val="00251F9B"/>
    <w:rPr>
      <w:rFonts w:cs="Times New Roman"/>
      <w:rtl w:val="0"/>
      <w:cs w:val="0"/>
      <w:lang w:val="x-none" w:eastAsia="en-US"/>
    </w:rPr>
  </w:style>
  <w:style w:type="character" w:customStyle="1" w:styleId="PtaChar">
    <w:name w:val="Päta Char"/>
    <w:basedOn w:val="DefaultParagraphFont"/>
    <w:uiPriority w:val="99"/>
    <w:rPr>
      <w:rFonts w:cs="Times New Roman"/>
      <w:rtl w:val="0"/>
      <w:cs w:val="0"/>
      <w:lang w:val="x-none" w:eastAsia="en-US"/>
    </w:rPr>
  </w:style>
  <w:style w:type="paragraph" w:styleId="Footer">
    <w:name w:val="footer"/>
    <w:basedOn w:val="Normal"/>
    <w:link w:val="PtaChar1"/>
    <w:uiPriority w:val="99"/>
    <w:rsid w:val="00054DD8"/>
    <w:pPr>
      <w:tabs>
        <w:tab w:val="center" w:pos="4536"/>
        <w:tab w:val="right" w:pos="9072"/>
      </w:tabs>
      <w:jc w:val="left"/>
    </w:pPr>
  </w:style>
  <w:style w:type="character" w:customStyle="1" w:styleId="PtaChar1">
    <w:name w:val="Päta Char1"/>
    <w:basedOn w:val="DefaultParagraphFont"/>
    <w:link w:val="Footer"/>
    <w:uiPriority w:val="99"/>
    <w:locked/>
    <w:rsid w:val="00251F9B"/>
    <w:rPr>
      <w:rFonts w:cs="Times New Roman"/>
      <w:rtl w:val="0"/>
      <w:cs w:val="0"/>
      <w:lang w:val="x-none" w:eastAsia="en-US"/>
    </w:rPr>
  </w:style>
  <w:style w:type="character" w:customStyle="1" w:styleId="PtaChar14">
    <w:name w:val="Päta Char14"/>
    <w:basedOn w:val="DefaultParagraphFont"/>
    <w:uiPriority w:val="99"/>
    <w:semiHidden/>
    <w:rPr>
      <w:rFonts w:cs="Times New Roman"/>
      <w:rtl w:val="0"/>
      <w:cs w:val="0"/>
      <w:lang w:val="x-none" w:eastAsia="en-US"/>
    </w:rPr>
  </w:style>
  <w:style w:type="character" w:customStyle="1" w:styleId="FooterChar2">
    <w:name w:val="Footer Char2"/>
    <w:basedOn w:val="DefaultParagraphFont"/>
    <w:uiPriority w:val="99"/>
    <w:semiHidden/>
    <w:rPr>
      <w:rFonts w:cs="Times New Roman"/>
      <w:rtl w:val="0"/>
      <w:cs w:val="0"/>
      <w:lang w:val="x-none" w:eastAsia="en-US"/>
    </w:rPr>
  </w:style>
  <w:style w:type="character" w:customStyle="1" w:styleId="FooterChar3">
    <w:name w:val="Footer Char3"/>
    <w:basedOn w:val="DefaultParagraphFont"/>
    <w:uiPriority w:val="99"/>
    <w:semiHidden/>
    <w:rPr>
      <w:rFonts w:cs="Times New Roman"/>
      <w:rtl w:val="0"/>
      <w:cs w:val="0"/>
      <w:lang w:val="x-none" w:eastAsia="en-US"/>
    </w:rPr>
  </w:style>
  <w:style w:type="character" w:customStyle="1" w:styleId="FooterChar4">
    <w:name w:val="Footer Char4"/>
    <w:basedOn w:val="DefaultParagraphFont"/>
    <w:uiPriority w:val="99"/>
    <w:semiHidden/>
    <w:rPr>
      <w:rFonts w:cs="Times New Roman"/>
      <w:rtl w:val="0"/>
      <w:cs w:val="0"/>
      <w:lang w:val="x-none" w:eastAsia="en-US"/>
    </w:rPr>
  </w:style>
  <w:style w:type="character" w:customStyle="1" w:styleId="FooterChar5">
    <w:name w:val="Footer Char5"/>
    <w:basedOn w:val="DefaultParagraphFont"/>
    <w:uiPriority w:val="99"/>
    <w:semiHidden/>
    <w:rPr>
      <w:rFonts w:cs="Times New Roman"/>
      <w:rtl w:val="0"/>
      <w:cs w:val="0"/>
      <w:lang w:val="x-none" w:eastAsia="en-US"/>
    </w:rPr>
  </w:style>
  <w:style w:type="character" w:customStyle="1" w:styleId="FooterChar1">
    <w:name w:val="Footer Char1"/>
    <w:basedOn w:val="DefaultParagraphFont"/>
    <w:uiPriority w:val="99"/>
    <w:semiHidden/>
    <w:rPr>
      <w:rFonts w:cs="Times New Roman"/>
      <w:rtl w:val="0"/>
      <w:cs w:val="0"/>
      <w:lang w:val="x-none" w:eastAsia="en-US"/>
    </w:rPr>
  </w:style>
  <w:style w:type="character" w:customStyle="1" w:styleId="PtaChar13">
    <w:name w:val="Päta Char13"/>
    <w:basedOn w:val="DefaultParagraphFont"/>
    <w:uiPriority w:val="99"/>
    <w:semiHidden/>
    <w:rPr>
      <w:rFonts w:cs="Times New Roman"/>
      <w:rtl w:val="0"/>
      <w:cs w:val="0"/>
      <w:lang w:val="x-none" w:eastAsia="en-US"/>
    </w:rPr>
  </w:style>
  <w:style w:type="character" w:customStyle="1" w:styleId="PtaChar12">
    <w:name w:val="Päta Char12"/>
    <w:basedOn w:val="DefaultParagraphFont"/>
    <w:uiPriority w:val="99"/>
    <w:semiHidden/>
    <w:rPr>
      <w:rFonts w:cs="Times New Roman"/>
      <w:rtl w:val="0"/>
      <w:cs w:val="0"/>
      <w:lang w:val="x-none" w:eastAsia="en-US"/>
    </w:rPr>
  </w:style>
  <w:style w:type="character" w:customStyle="1" w:styleId="PtaChar11">
    <w:name w:val="Päta Char11"/>
    <w:basedOn w:val="DefaultParagraphFont"/>
    <w:uiPriority w:val="99"/>
    <w:semiHidden/>
    <w:rPr>
      <w:rFonts w:cs="Times New Roman"/>
      <w:rtl w:val="0"/>
      <w:cs w:val="0"/>
      <w:lang w:val="x-none" w:eastAsia="en-US"/>
    </w:rPr>
  </w:style>
  <w:style w:type="paragraph" w:styleId="Revision">
    <w:name w:val="Revision"/>
    <w:hidden/>
    <w:uiPriority w:val="99"/>
    <w:semiHidden/>
    <w:rsid w:val="00054DD8"/>
    <w:pPr>
      <w:framePr w:wrap="auto"/>
      <w:widowControl/>
      <w:autoSpaceDE/>
      <w:autoSpaceDN/>
      <w:adjustRightInd/>
      <w:ind w:left="0" w:right="0"/>
      <w:jc w:val="left"/>
      <w:textAlignment w:val="auto"/>
    </w:pPr>
    <w:rPr>
      <w:rFonts w:ascii="Arial Narrow" w:hAnsi="Arial Narrow" w:cs="Arial Narrow"/>
      <w:sz w:val="22"/>
      <w:szCs w:val="22"/>
      <w:rtl w:val="0"/>
      <w:cs w:val="0"/>
      <w:lang w:val="sk-SK" w:eastAsia="en-US" w:bidi="ar-SA"/>
    </w:rPr>
  </w:style>
  <w:style w:type="paragraph" w:customStyle="1" w:styleId="Zkladntext">
    <w:name w:val="Základní text"/>
    <w:rsid w:val="006558A1"/>
    <w:pPr>
      <w:framePr w:wrap="auto"/>
      <w:widowControl w:val="0"/>
      <w:autoSpaceDE/>
      <w:autoSpaceDN/>
      <w:adjustRightInd/>
      <w:snapToGrid w:val="0"/>
      <w:ind w:left="0" w:right="0"/>
      <w:jc w:val="left"/>
      <w:textAlignment w:val="auto"/>
    </w:pPr>
    <w:rPr>
      <w:rFonts w:cs="Times New Roman"/>
      <w:color w:val="000000"/>
      <w:sz w:val="24"/>
      <w:szCs w:val="20"/>
      <w:rtl w:val="0"/>
      <w:cs w:val="0"/>
      <w:lang w:val="cs-CZ" w:eastAsia="sk-SK" w:bidi="ar-SA"/>
    </w:rPr>
  </w:style>
  <w:style w:type="paragraph" w:styleId="Title">
    <w:name w:val="Title"/>
    <w:basedOn w:val="Normal"/>
    <w:link w:val="NzovChar"/>
    <w:uiPriority w:val="10"/>
    <w:qFormat/>
    <w:rsid w:val="006558A1"/>
    <w:pPr>
      <w:spacing w:after="0" w:line="240" w:lineRule="auto"/>
      <w:jc w:val="center"/>
    </w:pPr>
    <w:rPr>
      <w:rFonts w:ascii="Times New Roman" w:hAnsi="Times New Roman" w:cs="Times New Roman"/>
      <w:b/>
      <w:bCs/>
      <w:sz w:val="24"/>
      <w:szCs w:val="24"/>
    </w:rPr>
  </w:style>
  <w:style w:type="character" w:customStyle="1" w:styleId="NzovChar">
    <w:name w:val="Názov Char"/>
    <w:basedOn w:val="DefaultParagraphFont"/>
    <w:link w:val="Title"/>
    <w:uiPriority w:val="10"/>
    <w:locked/>
    <w:rsid w:val="006558A1"/>
    <w:rPr>
      <w:rFonts w:ascii="Times New Roman" w:hAnsi="Times New Roman" w:cs="Times New Roman"/>
      <w:b/>
      <w:bCs/>
      <w:sz w:val="24"/>
      <w:szCs w:val="24"/>
      <w:rtl w:val="0"/>
      <w:cs w:val="0"/>
      <w:lang w:val="x-none" w:eastAsia="en-US"/>
    </w:rPr>
  </w:style>
  <w:style w:type="paragraph" w:styleId="BodyText2">
    <w:name w:val="Body Text 2"/>
    <w:basedOn w:val="Normal"/>
    <w:link w:val="Zkladntext2Char"/>
    <w:uiPriority w:val="99"/>
    <w:rsid w:val="006558A1"/>
    <w:pPr>
      <w:spacing w:after="120" w:line="480" w:lineRule="auto"/>
      <w:jc w:val="left"/>
    </w:pPr>
    <w:rPr>
      <w:rFonts w:ascii="Times New Roman" w:hAnsi="Times New Roman" w:cs="Times New Roman"/>
      <w:sz w:val="24"/>
      <w:szCs w:val="24"/>
      <w:lang w:eastAsia="cs-CZ"/>
    </w:rPr>
  </w:style>
  <w:style w:type="character" w:customStyle="1" w:styleId="Zkladntext2Char">
    <w:name w:val="Základný text 2 Char"/>
    <w:basedOn w:val="DefaultParagraphFont"/>
    <w:link w:val="BodyText2"/>
    <w:uiPriority w:val="99"/>
    <w:locked/>
    <w:rsid w:val="006558A1"/>
    <w:rPr>
      <w:rFonts w:ascii="Times New Roman" w:hAnsi="Times New Roman" w:cs="Times New Roman"/>
      <w:sz w:val="24"/>
      <w:szCs w:val="24"/>
      <w:rtl w:val="0"/>
      <w:cs w:val="0"/>
      <w:lang w:val="x-none" w:eastAsia="cs-CZ"/>
    </w:rPr>
  </w:style>
  <w:style w:type="paragraph" w:customStyle="1" w:styleId="51Abs">
    <w:name w:val="51_Abs"/>
    <w:basedOn w:val="Normal"/>
    <w:qFormat/>
    <w:rsid w:val="00C40A68"/>
    <w:pPr>
      <w:spacing w:before="80" w:after="0" w:line="220" w:lineRule="exact"/>
      <w:ind w:firstLine="397"/>
      <w:jc w:val="both"/>
    </w:pPr>
    <w:rPr>
      <w:rFonts w:ascii="Times New Roman" w:hAnsi="Times New Roman" w:cs="Times New Roman"/>
      <w:color w:val="000000"/>
      <w:sz w:val="20"/>
      <w:szCs w:val="20"/>
      <w:lang w:val="de-DE" w:eastAsia="de-DE"/>
    </w:rPr>
  </w:style>
  <w:style w:type="paragraph" w:styleId="CommentSubject">
    <w:name w:val="annotation subject"/>
    <w:basedOn w:val="CommentText"/>
    <w:next w:val="CommentText"/>
    <w:link w:val="PredmetkomentraChar"/>
    <w:uiPriority w:val="99"/>
    <w:unhideWhenUsed/>
    <w:rsid w:val="00C40A68"/>
    <w:pPr>
      <w:spacing w:after="200" w:line="240" w:lineRule="auto"/>
      <w:jc w:val="left"/>
    </w:pPr>
    <w:rPr>
      <w:b/>
      <w:bCs/>
      <w:lang w:eastAsia="en-US"/>
    </w:rPr>
  </w:style>
  <w:style w:type="character" w:customStyle="1" w:styleId="PredmetkomentraChar">
    <w:name w:val="Predmet komentára Char"/>
    <w:basedOn w:val="TextkomentraChar"/>
    <w:link w:val="CommentSubject"/>
    <w:uiPriority w:val="99"/>
    <w:locked/>
    <w:rsid w:val="00C40A68"/>
    <w:rPr>
      <w:b/>
      <w:bCs/>
      <w:lang w:val="x-none" w:eastAsia="en-US"/>
    </w:rPr>
  </w:style>
  <w:style w:type="paragraph" w:styleId="NormalWeb">
    <w:name w:val="Normal (Web)"/>
    <w:basedOn w:val="Normal"/>
    <w:uiPriority w:val="99"/>
    <w:unhideWhenUsed/>
    <w:rsid w:val="000537B8"/>
    <w:pPr>
      <w:spacing w:before="100" w:beforeAutospacing="1" w:after="100" w:afterAutospacing="1" w:line="240" w:lineRule="auto"/>
      <w:jc w:val="left"/>
    </w:pPr>
    <w:rPr>
      <w:rFonts w:ascii="Times New Roman" w:hAnsi="Times New Roman" w:cs="Times New Roman"/>
      <w:sz w:val="24"/>
      <w:szCs w:val="24"/>
      <w:lang w:eastAsia="sk-SK"/>
    </w:rPr>
  </w:style>
  <w:style w:type="character" w:styleId="Strong">
    <w:name w:val="Strong"/>
    <w:basedOn w:val="DefaultParagraphFont"/>
    <w:uiPriority w:val="22"/>
    <w:qFormat/>
    <w:rsid w:val="000537B8"/>
    <w:rPr>
      <w:rFonts w:cs="Times New Roman"/>
      <w:b/>
      <w:rtl w:val="0"/>
      <w:cs w:val="0"/>
    </w:rPr>
  </w:style>
  <w:style w:type="paragraph" w:customStyle="1" w:styleId="s21">
    <w:name w:val="s21"/>
    <w:basedOn w:val="Normal"/>
    <w:rsid w:val="000537B8"/>
    <w:pPr>
      <w:spacing w:before="100" w:beforeAutospacing="1" w:after="100" w:afterAutospacing="1" w:line="240" w:lineRule="auto"/>
      <w:jc w:val="left"/>
    </w:pPr>
    <w:rPr>
      <w:rFonts w:ascii="Times New Roman" w:hAnsi="Times New Roman" w:cs="Times New Roman"/>
      <w:sz w:val="24"/>
      <w:szCs w:val="24"/>
      <w:lang w:eastAsia="sk-SK"/>
    </w:rPr>
  </w:style>
  <w:style w:type="character" w:customStyle="1" w:styleId="s18">
    <w:name w:val="s18"/>
    <w:rsid w:val="000537B8"/>
  </w:style>
  <w:style w:type="character" w:styleId="Hyperlink">
    <w:name w:val="Hyperlink"/>
    <w:basedOn w:val="DefaultParagraphFont"/>
    <w:uiPriority w:val="99"/>
    <w:unhideWhenUsed/>
    <w:rsid w:val="000537B8"/>
    <w:rPr>
      <w:rFonts w:cs="Times New Roman"/>
      <w:color w:val="0096D3"/>
      <w:u w:val="none"/>
      <w:effect w:val="none"/>
      <w:rtl w:val="0"/>
      <w:cs w:val="0"/>
    </w:rPr>
  </w:style>
  <w:style w:type="character" w:styleId="FollowedHyperlink">
    <w:name w:val="FollowedHyperlink"/>
    <w:basedOn w:val="DefaultParagraphFont"/>
    <w:uiPriority w:val="99"/>
    <w:unhideWhenUsed/>
    <w:rsid w:val="000537B8"/>
    <w:rPr>
      <w:rFonts w:cs="Times New Roman"/>
      <w:color w:val="800080"/>
      <w:u w:val="single"/>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epi.sk/zz/2007-209" TargetMode="External" /><Relationship Id="rId11" Type="http://schemas.openxmlformats.org/officeDocument/2006/relationships/hyperlink" Target="http://www.epi.sk/zz/2008-8" TargetMode="External" /><Relationship Id="rId12" Type="http://schemas.openxmlformats.org/officeDocument/2006/relationships/hyperlink" Target="http://www.epi.sk/zz/2008-297" TargetMode="External" /><Relationship Id="rId13" Type="http://schemas.openxmlformats.org/officeDocument/2006/relationships/hyperlink" Target="http://www.epi.sk/zz/2008-552" TargetMode="External" /><Relationship Id="rId14" Type="http://schemas.openxmlformats.org/officeDocument/2006/relationships/hyperlink" Target="http://www.epi.sk/zz/2009-487" TargetMode="External" /><Relationship Id="rId15" Type="http://schemas.openxmlformats.org/officeDocument/2006/relationships/hyperlink" Target="http://www.epi.sk/zz/2011-520" TargetMode="External" /><Relationship Id="rId16" Type="http://schemas.openxmlformats.org/officeDocument/2006/relationships/hyperlink" Target="http://www.epi.sk/zz/2011-547" TargetMode="External" /><Relationship Id="rId17" Type="http://schemas.openxmlformats.org/officeDocument/2006/relationships/hyperlink" Target="http://www.epi.sk/zz/2013-352" TargetMode="External" /><Relationship Id="rId18" Type="http://schemas.openxmlformats.org/officeDocument/2006/relationships/hyperlink" Target="http://www.epi.sk/zz/2015-388" TargetMode="External" /><Relationship Id="rId19" Type="http://schemas.openxmlformats.org/officeDocument/2006/relationships/hyperlink" Target="https://www.slov-lex.sk/pravne-predpisy/SK/ZZ/2004/43/" TargetMode="External" /><Relationship Id="rId2" Type="http://schemas.openxmlformats.org/officeDocument/2006/relationships/webSettings" Target="webSettings.xml" /><Relationship Id="rId20" Type="http://schemas.openxmlformats.org/officeDocument/2006/relationships/hyperlink" Target="https://www.slov-lex.sk/pravne-predpisy/SK/ZZ/2004/650/" TargetMode="External" /><Relationship Id="rId21" Type="http://schemas.openxmlformats.org/officeDocument/2006/relationships/header" Target="header1.xml" /><Relationship Id="rId22" Type="http://schemas.openxmlformats.org/officeDocument/2006/relationships/footer" Target="footer1.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yperlink" Target="https://www.slov-lex.sk/pravne-predpisy/SK/ZZ/2001/483/" TargetMode="External" /><Relationship Id="rId5" Type="http://schemas.openxmlformats.org/officeDocument/2006/relationships/hyperlink" Target="http://www.epi.sk/zz/2003-594" TargetMode="External" /><Relationship Id="rId6" Type="http://schemas.openxmlformats.org/officeDocument/2006/relationships/hyperlink" Target="http://www.epi.sk/zz/2004-43" TargetMode="External" /><Relationship Id="rId7" Type="http://schemas.openxmlformats.org/officeDocument/2006/relationships/hyperlink" Target="http://www.epi.sk/zz/2004-635" TargetMode="External" /><Relationship Id="rId8" Type="http://schemas.openxmlformats.org/officeDocument/2006/relationships/hyperlink" Target="http://www.epi.sk/zz/2004-747" TargetMode="External" /><Relationship Id="rId9" Type="http://schemas.openxmlformats.org/officeDocument/2006/relationships/hyperlink" Target="http://www.epi.sk/zz/2005-336"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4</TotalTime>
  <Pages>23</Pages>
  <Words>7499</Words>
  <Characters>42745</Characters>
  <Application>Microsoft Office Word</Application>
  <DocSecurity>0</DocSecurity>
  <Lines>0</Lines>
  <Paragraphs>0</Paragraphs>
  <ScaleCrop>false</ScaleCrop>
  <Company>MF SR</Company>
  <LinksUpToDate>false</LinksUpToDate>
  <CharactersWithSpaces>50144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jkassovic</dc:creator>
  <cp:lastModifiedBy>Kassovic Jan</cp:lastModifiedBy>
  <cp:revision>5</cp:revision>
  <cp:lastPrinted>2013-02-19T13:49:00Z</cp:lastPrinted>
  <dcterms:created xsi:type="dcterms:W3CDTF">2016-08-16T14:20:00Z</dcterms:created>
  <dcterms:modified xsi:type="dcterms:W3CDTF">2016-08-17T11:28:00Z</dcterms:modified>
</cp:coreProperties>
</file>