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93237" w:rsidRPr="00893237" w:rsidP="00893237">
      <w:pPr>
        <w:shd w:val="clear" w:color="auto" w:fill="FFFFFF"/>
        <w:bidi w:val="0"/>
        <w:spacing w:before="100" w:after="100" w:line="240" w:lineRule="auto"/>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Third Protocol to the General Agreement on Privileges and Immunities of the Council of Europe</w:t>
      </w:r>
    </w:p>
    <w:p w:rsidR="00893237" w:rsidRPr="00893237" w:rsidP="00893237">
      <w:pPr>
        <w:shd w:val="clear" w:color="auto" w:fill="FFFFFF"/>
        <w:bidi w:val="0"/>
        <w:spacing w:before="100" w:after="100" w:line="240" w:lineRule="auto"/>
        <w:rPr>
          <w:rFonts w:ascii="Times New Roman" w:hAnsi="Times New Roman"/>
          <w:color w:val="161616"/>
          <w:sz w:val="24"/>
          <w:szCs w:val="24"/>
          <w:lang w:val="en-US" w:eastAsia="sk-SK"/>
        </w:rPr>
      </w:pPr>
      <w:r w:rsidRPr="00893237">
        <w:rPr>
          <w:rFonts w:ascii="Times New Roman" w:hAnsi="Times New Roman"/>
          <w:color w:val="333333"/>
          <w:sz w:val="24"/>
          <w:szCs w:val="24"/>
          <w:lang w:val="en-US" w:eastAsia="sk-SK"/>
        </w:rPr>
        <w:t>Strasbourg, 6.III.1959</w:t>
      </w:r>
    </w:p>
    <w:p w:rsidR="00893237" w:rsidRPr="00893237" w:rsidP="00893237">
      <w:pPr>
        <w:bidi w:val="0"/>
        <w:spacing w:before="300" w:after="300" w:line="240" w:lineRule="auto"/>
        <w:rPr>
          <w:rFonts w:ascii="Times New Roman" w:hAnsi="Times New Roman"/>
          <w:sz w:val="24"/>
          <w:szCs w:val="24"/>
          <w:lang w:val="en-US" w:eastAsia="sk-SK"/>
        </w:rPr>
      </w:pPr>
      <w:r>
        <w:rPr>
          <w:rFonts w:ascii="Times New Roman" w:hAnsi="Times New Roman"/>
          <w:sz w:val="24"/>
          <w:szCs w:val="24"/>
          <w:lang w:val="en-US" w:eastAsia="sk-SK"/>
        </w:rPr>
        <w:pict>
          <v:rect id="_x0000_i1025" style="width:877.5pt;height:1.5pt" o:hrpct="0" o:hralign="center" o:hrstd="t" o:hrnoshade="t" o:hr="t" filled="t" fillcolor="#161616" stroked="f">
            <v:imagedata r:id="rId8" o:title=""/>
          </v:rect>
        </w:pic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governments signatory hereto, being members of the Council of Europe, signatories of the General Agreement on Privileges and Immuniti</w:t>
      </w:r>
      <w:r w:rsidRPr="00893237">
        <w:rPr>
          <w:rFonts w:ascii="Times New Roman" w:hAnsi="Times New Roman"/>
          <w:color w:val="161616"/>
          <w:sz w:val="24"/>
          <w:szCs w:val="24"/>
          <w:lang w:val="en-US" w:eastAsia="sk-SK"/>
        </w:rPr>
        <w:t>es of the Council of Europe or Parties to the said Agreement and, at the same time, members of the Council of Europe Resettlement Fund for National Refugees and Over-population,</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Having regard to the provisions of Articles 1 and 9.g of the articles of Agree</w:t>
      </w:r>
      <w:r w:rsidRPr="00893237">
        <w:rPr>
          <w:rFonts w:ascii="Times New Roman" w:hAnsi="Times New Roman"/>
          <w:color w:val="161616"/>
          <w:sz w:val="24"/>
          <w:szCs w:val="24"/>
          <w:lang w:val="en-US" w:eastAsia="sk-SK"/>
        </w:rPr>
        <w:t>ment of the aforesaid Fund;</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Having regard to Article 40 of the Statute of the Council of Europe;</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Desirous of defining the legal regime of the property, assets and operations of the Resettlement Fund, and the legal status of its organs and officials;</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Consid</w:t>
      </w:r>
      <w:r w:rsidRPr="00893237">
        <w:rPr>
          <w:rFonts w:ascii="Times New Roman" w:hAnsi="Times New Roman"/>
          <w:color w:val="161616"/>
          <w:sz w:val="24"/>
          <w:szCs w:val="24"/>
          <w:lang w:val="en-US" w:eastAsia="sk-SK"/>
        </w:rPr>
        <w:t>ering that it is necessary to facilitate the realisation of the statutory purposes of the Fund by the most generous possible reduction in direct or indirect taxation affecting the operations of the Fund and borne ultimately by the beneficiaries of loans g</w:t>
      </w:r>
      <w:r w:rsidRPr="00893237">
        <w:rPr>
          <w:rFonts w:ascii="Times New Roman" w:hAnsi="Times New Roman"/>
          <w:color w:val="161616"/>
          <w:sz w:val="24"/>
          <w:szCs w:val="24"/>
          <w:lang w:val="en-US" w:eastAsia="sk-SK"/>
        </w:rPr>
        <w:t>r</w:t>
      </w:r>
      <w:r w:rsidRPr="00893237">
        <w:rPr>
          <w:rFonts w:ascii="Times New Roman" w:hAnsi="Times New Roman"/>
          <w:color w:val="161616"/>
          <w:sz w:val="24"/>
          <w:szCs w:val="24"/>
          <w:lang w:val="en-US" w:eastAsia="sk-SK"/>
        </w:rPr>
        <w:t>anted by the Fund;</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Desirous of supplementing, in respect of the Resettlement Fund, the provisions of the General Agreement on Privileges and Immunities of the Council of Europe,</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Have agreed as follows:</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 xml:space="preserve">Part I </w:t>
      </w:r>
      <w:r w:rsidRPr="00893237">
        <w:rPr>
          <w:rFonts w:ascii="Times New Roman" w:hAnsi="Times New Roman" w:hint="default"/>
          <w:b/>
          <w:bCs/>
          <w:color w:val="161616"/>
          <w:sz w:val="24"/>
          <w:szCs w:val="24"/>
          <w:lang w:val="en-US" w:eastAsia="sk-SK"/>
        </w:rPr>
        <w:t>–</w:t>
      </w:r>
      <w:r w:rsidRPr="00893237">
        <w:rPr>
          <w:rFonts w:ascii="Times New Roman" w:hAnsi="Times New Roman" w:hint="default"/>
          <w:b/>
          <w:bCs/>
          <w:color w:val="161616"/>
          <w:sz w:val="24"/>
          <w:szCs w:val="24"/>
          <w:lang w:val="en-US" w:eastAsia="sk-SK"/>
        </w:rPr>
        <w:t xml:space="preserve"> Articles of Agreement, personality, capacity</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1</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articles of Agreement of the Council of Europe Resettlement Fund, as approved by the Committee of Ministers in Resolution (56) 9, or as amended by the aforesaid Committee, or by the Governing Body acting within the limits laid down in Artic</w:t>
      </w:r>
      <w:r w:rsidRPr="00893237">
        <w:rPr>
          <w:rFonts w:ascii="Times New Roman" w:hAnsi="Times New Roman"/>
          <w:color w:val="161616"/>
          <w:sz w:val="24"/>
          <w:szCs w:val="24"/>
          <w:lang w:val="en-US" w:eastAsia="sk-SK"/>
        </w:rPr>
        <w:t>le 9.h of the said articles of Agreement, shall be an integral part of the present Protocol.</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Council of Europe Resettlement Fund shall possess juridical personality and, in particular, the capacity:</w:t>
      </w:r>
    </w:p>
    <w:p w:rsidR="00893237" w:rsidRPr="00893237" w:rsidP="00893237">
      <w:pPr>
        <w:numPr>
          <w:numId w:val="1"/>
        </w:numPr>
        <w:shd w:val="clear" w:color="auto" w:fill="FFFFFF"/>
        <w:bidi w:val="0"/>
        <w:spacing w:after="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to contract;</w:t>
      </w:r>
    </w:p>
    <w:p w:rsidR="00893237" w:rsidRPr="00893237" w:rsidP="00893237">
      <w:pPr>
        <w:numPr>
          <w:numId w:val="1"/>
        </w:numPr>
        <w:shd w:val="clear" w:color="auto" w:fill="FFFFFF"/>
        <w:bidi w:val="0"/>
        <w:spacing w:after="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 xml:space="preserve">to acquire and dispose of immovable and </w:t>
      </w:r>
      <w:r w:rsidRPr="00893237">
        <w:rPr>
          <w:rFonts w:ascii="Times New Roman" w:hAnsi="Times New Roman"/>
          <w:color w:val="161616"/>
          <w:sz w:val="24"/>
          <w:szCs w:val="24"/>
          <w:lang w:val="en-US" w:eastAsia="sk-SK"/>
        </w:rPr>
        <w:t>movable property;</w:t>
      </w:r>
    </w:p>
    <w:p w:rsidR="00893237" w:rsidRPr="00893237" w:rsidP="00893237">
      <w:pPr>
        <w:numPr>
          <w:numId w:val="1"/>
        </w:numPr>
        <w:shd w:val="clear" w:color="auto" w:fill="FFFFFF"/>
        <w:bidi w:val="0"/>
        <w:spacing w:after="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to institute legal proceedings;</w:t>
      </w:r>
    </w:p>
    <w:p w:rsidR="00893237" w:rsidRPr="00893237" w:rsidP="00893237">
      <w:pPr>
        <w:numPr>
          <w:numId w:val="1"/>
        </w:numPr>
        <w:shd w:val="clear" w:color="auto" w:fill="FFFFFF"/>
        <w:bidi w:val="0"/>
        <w:spacing w:after="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to carry out any transaction related to its statutory purposes.</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operations, acts and contracts of the Resettlement Fund shall be governed by this Protocol, by the articles of Agreement of the Fund and b</w:t>
      </w:r>
      <w:r w:rsidRPr="00893237">
        <w:rPr>
          <w:rFonts w:ascii="Times New Roman" w:hAnsi="Times New Roman"/>
          <w:color w:val="161616"/>
          <w:sz w:val="24"/>
          <w:szCs w:val="24"/>
          <w:lang w:val="en-US" w:eastAsia="sk-SK"/>
        </w:rPr>
        <w:t xml:space="preserve">y regulations issued in pursuance of the said articles of Agreement. In addition, a national law may be applied in a particular case, provided that the Fund expressly agrees thereto and that such law does not derogate from this Protocol nor from the said </w:t>
      </w:r>
      <w:r w:rsidRPr="00893237">
        <w:rPr>
          <w:rFonts w:ascii="Times New Roman" w:hAnsi="Times New Roman"/>
          <w:color w:val="161616"/>
          <w:sz w:val="24"/>
          <w:szCs w:val="24"/>
          <w:lang w:val="en-US" w:eastAsia="sk-SK"/>
        </w:rPr>
        <w:t>a</w:t>
      </w:r>
      <w:r w:rsidRPr="00893237">
        <w:rPr>
          <w:rFonts w:ascii="Times New Roman" w:hAnsi="Times New Roman"/>
          <w:color w:val="161616"/>
          <w:sz w:val="24"/>
          <w:szCs w:val="24"/>
          <w:lang w:val="en-US" w:eastAsia="sk-SK"/>
        </w:rPr>
        <w:t>rticles of Agreement.</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 xml:space="preserve">Part II </w:t>
      </w:r>
      <w:r w:rsidRPr="00893237">
        <w:rPr>
          <w:rFonts w:ascii="Times New Roman" w:hAnsi="Times New Roman" w:hint="default"/>
          <w:b/>
          <w:bCs/>
          <w:color w:val="161616"/>
          <w:sz w:val="24"/>
          <w:szCs w:val="24"/>
          <w:lang w:val="en-US" w:eastAsia="sk-SK"/>
        </w:rPr>
        <w:t>–</w:t>
      </w:r>
      <w:r w:rsidRPr="00893237">
        <w:rPr>
          <w:rFonts w:ascii="Times New Roman" w:hAnsi="Times New Roman" w:hint="default"/>
          <w:b/>
          <w:bCs/>
          <w:color w:val="161616"/>
          <w:sz w:val="24"/>
          <w:szCs w:val="24"/>
          <w:lang w:val="en-US" w:eastAsia="sk-SK"/>
        </w:rPr>
        <w:t xml:space="preserve"> Courts, property, assets, operations</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2</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Any competent court of a member of the Fund or of a State in whose territory the Fund has contracted or guaranteed a loan may hear suits in which the Fund is a defendant.</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Ne</w:t>
      </w:r>
      <w:r w:rsidRPr="00893237">
        <w:rPr>
          <w:rFonts w:ascii="Times New Roman" w:hAnsi="Times New Roman"/>
          <w:color w:val="161616"/>
          <w:sz w:val="24"/>
          <w:szCs w:val="24"/>
          <w:lang w:val="en-US" w:eastAsia="sk-SK"/>
        </w:rPr>
        <w:t>vertheless:</w:t>
      </w:r>
    </w:p>
    <w:p w:rsidR="00893237" w:rsidRPr="00893237" w:rsidP="00893237">
      <w:pPr>
        <w:numPr>
          <w:numId w:val="2"/>
        </w:numPr>
        <w:shd w:val="clear" w:color="auto" w:fill="FFFFFF"/>
        <w:bidi w:val="0"/>
        <w:spacing w:before="100" w:after="100" w:line="240" w:lineRule="auto"/>
        <w:ind w:left="709" w:hanging="425"/>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No action shall be brought in such courts, either against the Fund by a member or persons acting for or deriving claims from a member, or by the Fund against a member or the persons aforesaid;</w:t>
      </w:r>
    </w:p>
    <w:p w:rsidR="00893237" w:rsidRPr="00893237" w:rsidP="00893237">
      <w:pPr>
        <w:numPr>
          <w:numId w:val="2"/>
        </w:numPr>
        <w:shd w:val="clear" w:color="auto" w:fill="FFFFFF"/>
        <w:bidi w:val="0"/>
        <w:spacing w:before="100" w:after="100" w:line="240" w:lineRule="auto"/>
        <w:ind w:left="709" w:hanging="425"/>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Differences arising out of any loan or guarantee co</w:t>
      </w:r>
      <w:r w:rsidRPr="00893237">
        <w:rPr>
          <w:rFonts w:ascii="Times New Roman" w:hAnsi="Times New Roman"/>
          <w:color w:val="161616"/>
          <w:sz w:val="24"/>
          <w:szCs w:val="24"/>
          <w:lang w:val="en-US" w:eastAsia="sk-SK"/>
        </w:rPr>
        <w:t xml:space="preserve">ntract concluded by the Fund with a member or with any other borrower approved by that member shall be settled by arbitration in accordance with procedure laid down in the said contract. Differences arising out of any loan or guarantee contract signed by </w:t>
      </w:r>
      <w:r w:rsidRPr="00893237">
        <w:rPr>
          <w:rFonts w:ascii="Times New Roman" w:hAnsi="Times New Roman"/>
          <w:color w:val="161616"/>
          <w:sz w:val="24"/>
          <w:szCs w:val="24"/>
          <w:lang w:val="en-US" w:eastAsia="sk-SK"/>
        </w:rPr>
        <w:t>t</w:t>
      </w:r>
      <w:r w:rsidRPr="00893237">
        <w:rPr>
          <w:rFonts w:ascii="Times New Roman" w:hAnsi="Times New Roman"/>
          <w:color w:val="161616"/>
          <w:sz w:val="24"/>
          <w:szCs w:val="24"/>
          <w:lang w:val="en-US" w:eastAsia="sk-SK"/>
        </w:rPr>
        <w:t>he Fund shall be settled by arbitration procedure under arrangements specified in the Loan Regulations drawn up in pursuance of Article 10, Section 1.d, of the articles of Agreement of the Fund.</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3</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property and assets of the Fund, wheresoever l</w:t>
      </w:r>
      <w:r w:rsidRPr="00893237">
        <w:rPr>
          <w:rFonts w:ascii="Times New Roman" w:hAnsi="Times New Roman"/>
          <w:color w:val="161616"/>
          <w:sz w:val="24"/>
          <w:szCs w:val="24"/>
          <w:lang w:val="en-US" w:eastAsia="sk-SK"/>
        </w:rPr>
        <w:t>ocated and by whomsoever held, shall be immune from all forms of seizure, attachment or execution before the delivery against the Fund of an enforceable judgment which can no longer be disputed by common remedies at law.</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Enforcement of awards by execution,</w:t>
      </w:r>
      <w:r w:rsidRPr="00893237">
        <w:rPr>
          <w:rFonts w:ascii="Times New Roman" w:hAnsi="Times New Roman"/>
          <w:color w:val="161616"/>
          <w:sz w:val="24"/>
          <w:szCs w:val="24"/>
          <w:lang w:val="en-US" w:eastAsia="sk-SK"/>
        </w:rPr>
        <w:t xml:space="preserve"> where such awards result from arbitration in accordance with the third paragraph of Article 2 shall, in the territory of members of the Fund, take place through the legal channels prescribed in each such member State and after endorsement with the execut</w:t>
      </w:r>
      <w:r w:rsidRPr="00893237">
        <w:rPr>
          <w:rFonts w:ascii="Times New Roman" w:hAnsi="Times New Roman"/>
          <w:color w:val="161616"/>
          <w:sz w:val="24"/>
          <w:szCs w:val="24"/>
          <w:lang w:val="en-US" w:eastAsia="sk-SK"/>
        </w:rPr>
        <w:t>o</w:t>
      </w:r>
      <w:r w:rsidRPr="00893237">
        <w:rPr>
          <w:rFonts w:ascii="Times New Roman" w:hAnsi="Times New Roman"/>
          <w:color w:val="161616"/>
          <w:sz w:val="24"/>
          <w:szCs w:val="24"/>
          <w:lang w:val="en-US" w:eastAsia="sk-SK"/>
        </w:rPr>
        <w:t xml:space="preserve">ry formula customary in the State in whose territory the award is to be executed; for the purpose of such endorsement, no check shall be required other than verification that the award is authentic, that it conforms to the rules concerning competence and </w:t>
      </w:r>
      <w:r w:rsidRPr="00893237">
        <w:rPr>
          <w:rFonts w:ascii="Times New Roman" w:hAnsi="Times New Roman"/>
          <w:color w:val="161616"/>
          <w:sz w:val="24"/>
          <w:szCs w:val="24"/>
          <w:lang w:val="en-US" w:eastAsia="sk-SK"/>
        </w:rPr>
        <w:t>p</w:t>
      </w:r>
      <w:r w:rsidRPr="00893237">
        <w:rPr>
          <w:rFonts w:ascii="Times New Roman" w:hAnsi="Times New Roman"/>
          <w:color w:val="161616"/>
          <w:sz w:val="24"/>
          <w:szCs w:val="24"/>
          <w:lang w:val="en-US" w:eastAsia="sk-SK"/>
        </w:rPr>
        <w:t>rocedure set forth in the Loan Regulations of the Fund and that it does not conflict with a final judgment passed in the country concerned. Each signatory shall, on deposit of its instrument of ratification, notify the other signatories through the Secret</w:t>
      </w:r>
      <w:r w:rsidRPr="00893237">
        <w:rPr>
          <w:rFonts w:ascii="Times New Roman" w:hAnsi="Times New Roman"/>
          <w:color w:val="161616"/>
          <w:sz w:val="24"/>
          <w:szCs w:val="24"/>
          <w:lang w:val="en-US" w:eastAsia="sk-SK"/>
        </w:rPr>
        <w:t>a</w:t>
      </w:r>
      <w:r w:rsidRPr="00893237">
        <w:rPr>
          <w:rFonts w:ascii="Times New Roman" w:hAnsi="Times New Roman"/>
          <w:color w:val="161616"/>
          <w:sz w:val="24"/>
          <w:szCs w:val="24"/>
          <w:lang w:val="en-US" w:eastAsia="sk-SK"/>
        </w:rPr>
        <w:t>ry General of the Council of Europe what authority is competent under its laws to discharge this formality.</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4</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 xml:space="preserve">The property and assets of the Fund, wheresoever located and by whomsoever held, shall be immune from search, requisition, confiscation, </w:t>
      </w:r>
      <w:r w:rsidRPr="00893237">
        <w:rPr>
          <w:rFonts w:ascii="Times New Roman" w:hAnsi="Times New Roman"/>
          <w:color w:val="161616"/>
          <w:sz w:val="24"/>
          <w:szCs w:val="24"/>
          <w:lang w:val="en-US" w:eastAsia="sk-SK"/>
        </w:rPr>
        <w:t>expropriation or any other form of distraint by executive or legislative action.</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buildings and premises used for the operations of the Fund, and also its archives, shall be inviolable.</w:t>
      </w:r>
    </w:p>
    <w:p w:rsidR="00893237" w:rsidRPr="00893237" w:rsidP="00893237">
      <w:pPr>
        <w:shd w:val="clear" w:color="auto" w:fill="FFFFFF"/>
        <w:bidi w:val="0"/>
        <w:spacing w:after="150" w:line="230" w:lineRule="atLeast"/>
        <w:rPr>
          <w:rFonts w:ascii="Times New Roman" w:hAnsi="Times New Roman"/>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5</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To the extent necessary to the achievement of its statut</w:t>
      </w:r>
      <w:r w:rsidRPr="00893237">
        <w:rPr>
          <w:rFonts w:ascii="Times New Roman" w:hAnsi="Times New Roman"/>
          <w:color w:val="161616"/>
          <w:sz w:val="24"/>
          <w:szCs w:val="24"/>
          <w:lang w:val="en-US" w:eastAsia="sk-SK"/>
        </w:rPr>
        <w:t>ory purposes the Fund may:</w:t>
      </w:r>
    </w:p>
    <w:p w:rsidR="00893237" w:rsidRPr="00893237" w:rsidP="00893237">
      <w:pPr>
        <w:numPr>
          <w:numId w:val="3"/>
        </w:num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hold currency of any kind and operate accounts in any currency;</w:t>
      </w:r>
    </w:p>
    <w:p w:rsidR="00893237" w:rsidRPr="00893237" w:rsidP="00893237">
      <w:pPr>
        <w:numPr>
          <w:numId w:val="3"/>
        </w:num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freely transfer its funds through banking channels from one country to another or within any country and convert any currency held by it into any other currency.</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 xml:space="preserve">In </w:t>
      </w:r>
      <w:r w:rsidRPr="00893237">
        <w:rPr>
          <w:rFonts w:ascii="Times New Roman" w:hAnsi="Times New Roman"/>
          <w:color w:val="161616"/>
          <w:sz w:val="24"/>
          <w:szCs w:val="24"/>
          <w:lang w:val="en-US" w:eastAsia="sk-SK"/>
        </w:rPr>
        <w:t>exercising its rights under this article, the Fund shall pay due regard to any representations made to it by the government of any member.</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6</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property and assets of the Fund shall be free from restrictions, regulations, controls and moratoria o</w:t>
      </w:r>
      <w:r w:rsidRPr="00893237">
        <w:rPr>
          <w:rFonts w:ascii="Times New Roman" w:hAnsi="Times New Roman"/>
          <w:color w:val="161616"/>
          <w:sz w:val="24"/>
          <w:szCs w:val="24"/>
          <w:lang w:val="en-US" w:eastAsia="sk-SK"/>
        </w:rPr>
        <w:t>f any nature.</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7</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Resettlement Fund and its assets, income and other property shall be exempt from all direct taxes.</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Resettlement Fund shall be exempt from all taxes in the territory of members of the Fund in respect of transactions and oper</w:t>
      </w:r>
      <w:r w:rsidRPr="00893237">
        <w:rPr>
          <w:rFonts w:ascii="Times New Roman" w:hAnsi="Times New Roman"/>
          <w:color w:val="161616"/>
          <w:sz w:val="24"/>
          <w:szCs w:val="24"/>
          <w:lang w:val="en-US" w:eastAsia="sk-SK"/>
        </w:rPr>
        <w:t>ations relating to loans contracted by the Fund with a view to applying their proceeds, in accordance with its purpose, to the needs of refugees and surplus population or relating to loans granted or guaranteed by the Fund in accordance with its statutory</w:t>
      </w:r>
      <w:r w:rsidRPr="00893237">
        <w:rPr>
          <w:rFonts w:ascii="Times New Roman" w:hAnsi="Times New Roman"/>
          <w:color w:val="161616"/>
          <w:sz w:val="24"/>
          <w:szCs w:val="24"/>
          <w:lang w:val="en-US" w:eastAsia="sk-SK"/>
        </w:rPr>
        <w:t xml:space="preserve"> </w:t>
      </w:r>
      <w:r w:rsidRPr="00893237">
        <w:rPr>
          <w:rFonts w:ascii="Times New Roman" w:hAnsi="Times New Roman"/>
          <w:color w:val="161616"/>
          <w:sz w:val="24"/>
          <w:szCs w:val="24"/>
          <w:lang w:val="en-US" w:eastAsia="sk-SK"/>
        </w:rPr>
        <w:t>provisions.</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Fund shall not be granted exemption from any rates, taxes or dues which are merely charges for public utility services.</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Member governments shall, whenever possible, make appropriate arrangements for:</w:t>
      </w:r>
    </w:p>
    <w:p w:rsidR="00893237" w:rsidRPr="00893237" w:rsidP="00893237">
      <w:pPr>
        <w:numPr>
          <w:numId w:val="4"/>
        </w:num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exemption from taxes on income derived f</w:t>
      </w:r>
      <w:r w:rsidRPr="00893237">
        <w:rPr>
          <w:rFonts w:ascii="Times New Roman" w:hAnsi="Times New Roman"/>
          <w:color w:val="161616"/>
          <w:sz w:val="24"/>
          <w:szCs w:val="24"/>
          <w:lang w:val="en-US" w:eastAsia="sk-SK"/>
        </w:rPr>
        <w:t>rom interest on bonds issued or loans contracted by the Fund;</w:t>
      </w:r>
    </w:p>
    <w:p w:rsidR="00893237" w:rsidRPr="00893237" w:rsidP="00893237">
      <w:pPr>
        <w:numPr>
          <w:numId w:val="4"/>
        </w:num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 xml:space="preserve">the remission or return of excise duties and taxes which form part of the price to be paid for movable or immovable property or of the payment for services rendered, when the Fund, for official </w:t>
      </w:r>
      <w:r w:rsidRPr="00893237">
        <w:rPr>
          <w:rFonts w:ascii="Times New Roman" w:hAnsi="Times New Roman"/>
          <w:color w:val="161616"/>
          <w:sz w:val="24"/>
          <w:szCs w:val="24"/>
          <w:lang w:val="en-US" w:eastAsia="sk-SK"/>
        </w:rPr>
        <w:t>purposes, is making substantial purchases or procuring services the total cost of which includes such excise duties and taxes.</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No tax of any kind shall be levied on any security or bond issued or guaranteed by the Fund (or any dividend or interest thereon)</w:t>
      </w:r>
      <w:r w:rsidRPr="00893237">
        <w:rPr>
          <w:rFonts w:ascii="Times New Roman" w:hAnsi="Times New Roman"/>
          <w:color w:val="161616"/>
          <w:sz w:val="24"/>
          <w:szCs w:val="24"/>
          <w:lang w:val="en-US" w:eastAsia="sk-SK"/>
        </w:rPr>
        <w:t xml:space="preserve"> by whomsoever held:</w:t>
      </w:r>
    </w:p>
    <w:p w:rsidR="00893237" w:rsidRPr="00893237" w:rsidP="00893237">
      <w:pPr>
        <w:numPr>
          <w:numId w:val="5"/>
        </w:num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which discriminates against such security or bond solely because it is issued or guaranteed by the Fund; or</w:t>
      </w:r>
    </w:p>
    <w:p w:rsidR="00893237" w:rsidRPr="00893237" w:rsidP="00893237">
      <w:pPr>
        <w:numPr>
          <w:numId w:val="5"/>
        </w:num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if the sole legal basis for such tax is the place or currency in which the security or bond is issued, guaranteed, made payable</w:t>
      </w:r>
      <w:r w:rsidRPr="00893237">
        <w:rPr>
          <w:rFonts w:ascii="Times New Roman" w:hAnsi="Times New Roman"/>
          <w:color w:val="161616"/>
          <w:sz w:val="24"/>
          <w:szCs w:val="24"/>
          <w:lang w:val="en-US" w:eastAsia="sk-SK"/>
        </w:rPr>
        <w:t xml:space="preserve"> or paid, or the location of the headquarters or of any office or place of business maintained by the Fund.</w:t>
      </w:r>
    </w:p>
    <w:p w:rsidR="00893237" w:rsidRPr="00893237" w:rsidP="00893237">
      <w:pPr>
        <w:shd w:val="clear" w:color="auto" w:fill="FFFFFF"/>
        <w:bidi w:val="0"/>
        <w:spacing w:after="150" w:line="230" w:lineRule="atLeast"/>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br w:type="page"/>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8</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Fund shall be exempt from all customs duties, prohibitions and restrictions on imports and exports in respect of articles required f</w:t>
      </w:r>
      <w:r w:rsidRPr="00893237">
        <w:rPr>
          <w:rFonts w:ascii="Times New Roman" w:hAnsi="Times New Roman"/>
          <w:color w:val="161616"/>
          <w:sz w:val="24"/>
          <w:szCs w:val="24"/>
          <w:lang w:val="en-US" w:eastAsia="sk-SK"/>
        </w:rPr>
        <w:t>or its official use, unless such prohibition or restrictions have been imposed for reasons of ordre public, safety or health. Articles imported under exemption will not be disposed of in any way in the country into which they are imported, except under co</w:t>
      </w:r>
      <w:r w:rsidRPr="00893237">
        <w:rPr>
          <w:rFonts w:ascii="Times New Roman" w:hAnsi="Times New Roman"/>
          <w:color w:val="161616"/>
          <w:sz w:val="24"/>
          <w:szCs w:val="24"/>
          <w:lang w:val="en-US" w:eastAsia="sk-SK"/>
        </w:rPr>
        <w:t>n</w:t>
      </w:r>
      <w:r w:rsidRPr="00893237">
        <w:rPr>
          <w:rFonts w:ascii="Times New Roman" w:hAnsi="Times New Roman"/>
          <w:color w:val="161616"/>
          <w:sz w:val="24"/>
          <w:szCs w:val="24"/>
          <w:lang w:val="en-US" w:eastAsia="sk-SK"/>
        </w:rPr>
        <w:t>ditions approved by the government of that country.</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 xml:space="preserve">Part III </w:t>
      </w:r>
      <w:r w:rsidRPr="00893237">
        <w:rPr>
          <w:rFonts w:ascii="Times New Roman" w:hAnsi="Times New Roman" w:hint="default"/>
          <w:b/>
          <w:bCs/>
          <w:color w:val="161616"/>
          <w:sz w:val="24"/>
          <w:szCs w:val="24"/>
          <w:lang w:val="en-US" w:eastAsia="sk-SK"/>
        </w:rPr>
        <w:t>–</w:t>
      </w:r>
      <w:r w:rsidRPr="00893237">
        <w:rPr>
          <w:rFonts w:ascii="Times New Roman" w:hAnsi="Times New Roman" w:hint="default"/>
          <w:b/>
          <w:bCs/>
          <w:color w:val="161616"/>
          <w:sz w:val="24"/>
          <w:szCs w:val="24"/>
          <w:lang w:val="en-US" w:eastAsia="sk-SK"/>
        </w:rPr>
        <w:t xml:space="preserve"> Organs</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9</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organs referred to in Article 8 of the articles of Agreement of the Fund shall enjoy in the territory of each member State, for their official communications, treatment a</w:t>
      </w:r>
      <w:r w:rsidRPr="00893237">
        <w:rPr>
          <w:rFonts w:ascii="Times New Roman" w:hAnsi="Times New Roman"/>
          <w:color w:val="161616"/>
          <w:sz w:val="24"/>
          <w:szCs w:val="24"/>
          <w:lang w:val="en-US" w:eastAsia="sk-SK"/>
        </w:rPr>
        <w:t>t least as favourable as that accorded by that member to diplomatic missions of any other government. No censorship shall be applied to the official correspondence and other official communications of the organs of the Fund.</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10</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Members of the Gove</w:t>
      </w:r>
      <w:r w:rsidRPr="00893237">
        <w:rPr>
          <w:rFonts w:ascii="Times New Roman" w:hAnsi="Times New Roman"/>
          <w:color w:val="161616"/>
          <w:sz w:val="24"/>
          <w:szCs w:val="24"/>
          <w:lang w:val="en-US" w:eastAsia="sk-SK"/>
        </w:rPr>
        <w:t>rning Body, the Administrative Council and the Auditing Board shall be immune from legal process in respect of words spoken or written and all acts performed by them in their official capacity and within the limit of their authority. They shall continue t</w:t>
      </w:r>
      <w:r w:rsidRPr="00893237">
        <w:rPr>
          <w:rFonts w:ascii="Times New Roman" w:hAnsi="Times New Roman"/>
          <w:color w:val="161616"/>
          <w:sz w:val="24"/>
          <w:szCs w:val="24"/>
          <w:lang w:val="en-US" w:eastAsia="sk-SK"/>
        </w:rPr>
        <w:t>o</w:t>
      </w:r>
      <w:r w:rsidRPr="00893237">
        <w:rPr>
          <w:rFonts w:ascii="Times New Roman" w:hAnsi="Times New Roman"/>
          <w:color w:val="161616"/>
          <w:sz w:val="24"/>
          <w:szCs w:val="24"/>
          <w:lang w:val="en-US" w:eastAsia="sk-SK"/>
        </w:rPr>
        <w:t xml:space="preserve"> enjoy such immunity after their terms of office have expired. In addition, they shall be accorded the same immunities from immigration restrictions and alien registration requirements and the same exchange and travel facilities as are accorded by members</w:t>
      </w:r>
      <w:r w:rsidRPr="00893237">
        <w:rPr>
          <w:rFonts w:ascii="Times New Roman" w:hAnsi="Times New Roman"/>
          <w:color w:val="161616"/>
          <w:sz w:val="24"/>
          <w:szCs w:val="24"/>
          <w:lang w:val="en-US" w:eastAsia="sk-SK"/>
        </w:rPr>
        <w:t xml:space="preserve"> </w:t>
      </w:r>
      <w:r w:rsidRPr="00893237">
        <w:rPr>
          <w:rFonts w:ascii="Times New Roman" w:hAnsi="Times New Roman"/>
          <w:color w:val="161616"/>
          <w:sz w:val="24"/>
          <w:szCs w:val="24"/>
          <w:lang w:val="en-US" w:eastAsia="sk-SK"/>
        </w:rPr>
        <w:t>to representatives of other governments of the Fund having comparable rank. Sums paid to them in respect of expenses necessarily incurred in the discharge of their duties shall be exempt from taxation.</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11</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privileges and immunities are accorded</w:t>
      </w:r>
      <w:r w:rsidRPr="00893237">
        <w:rPr>
          <w:rFonts w:ascii="Times New Roman" w:hAnsi="Times New Roman"/>
          <w:color w:val="161616"/>
          <w:sz w:val="24"/>
          <w:szCs w:val="24"/>
          <w:lang w:val="en-US" w:eastAsia="sk-SK"/>
        </w:rPr>
        <w:t xml:space="preserve"> to the individuals mentioned in Article 10 not for their own personal benefit, but in order to safeguard the independent exercise of their functions. Consequently, a member not only has the right, but is in duty bound, to waive the immunity of its repres</w:t>
      </w:r>
      <w:r w:rsidRPr="00893237">
        <w:rPr>
          <w:rFonts w:ascii="Times New Roman" w:hAnsi="Times New Roman"/>
          <w:color w:val="161616"/>
          <w:sz w:val="24"/>
          <w:szCs w:val="24"/>
          <w:lang w:val="en-US" w:eastAsia="sk-SK"/>
        </w:rPr>
        <w:t>e</w:t>
      </w:r>
      <w:r w:rsidRPr="00893237">
        <w:rPr>
          <w:rFonts w:ascii="Times New Roman" w:hAnsi="Times New Roman"/>
          <w:color w:val="161616"/>
          <w:sz w:val="24"/>
          <w:szCs w:val="24"/>
          <w:lang w:val="en-US" w:eastAsia="sk-SK"/>
        </w:rPr>
        <w:t>ntatives in any case where, in the opinion of the member, immunity would impede the course of justice, and where it can be waived without prejudice to the purpose for which it is accorded.</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12</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provisions of Articles 10 and 11 may not be invoked</w:t>
      </w:r>
      <w:r w:rsidRPr="00893237">
        <w:rPr>
          <w:rFonts w:ascii="Times New Roman" w:hAnsi="Times New Roman"/>
          <w:color w:val="161616"/>
          <w:sz w:val="24"/>
          <w:szCs w:val="24"/>
          <w:lang w:val="en-US" w:eastAsia="sk-SK"/>
        </w:rPr>
        <w:t xml:space="preserve"> by a representative against the authorities of the State of which he is or has been the representative.</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Articles 10, 11 and 12.a shall apply equally to deputy representatives, advisers, technical experts and secretaries of delegations.</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 xml:space="preserve">Part IV </w:t>
      </w:r>
      <w:r w:rsidRPr="00893237">
        <w:rPr>
          <w:rFonts w:ascii="Times New Roman" w:hAnsi="Times New Roman" w:hint="default"/>
          <w:b/>
          <w:bCs/>
          <w:color w:val="161616"/>
          <w:sz w:val="24"/>
          <w:szCs w:val="24"/>
          <w:lang w:val="en-US" w:eastAsia="sk-SK"/>
        </w:rPr>
        <w:t>–</w:t>
      </w:r>
      <w:r w:rsidRPr="00893237">
        <w:rPr>
          <w:rFonts w:ascii="Times New Roman" w:hAnsi="Times New Roman" w:hint="default"/>
          <w:b/>
          <w:bCs/>
          <w:color w:val="161616"/>
          <w:sz w:val="24"/>
          <w:szCs w:val="24"/>
          <w:lang w:val="en-US" w:eastAsia="sk-SK"/>
        </w:rPr>
        <w:t xml:space="preserve"> Officia</w:t>
      </w:r>
      <w:r w:rsidRPr="00893237">
        <w:rPr>
          <w:rFonts w:ascii="Times New Roman" w:hAnsi="Times New Roman" w:hint="default"/>
          <w:b/>
          <w:bCs/>
          <w:color w:val="161616"/>
          <w:sz w:val="24"/>
          <w:szCs w:val="24"/>
          <w:lang w:val="en-US" w:eastAsia="sk-SK"/>
        </w:rPr>
        <w:t>ls</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13</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Governor and officials of the Fund shall be accorded the privileges and immunities specified in Article 18 of the General Agreement on Privileges and Immunities of the Council of Europe.</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Governor will specify the categories of offici</w:t>
      </w:r>
      <w:r w:rsidRPr="00893237">
        <w:rPr>
          <w:rFonts w:ascii="Times New Roman" w:hAnsi="Times New Roman"/>
          <w:color w:val="161616"/>
          <w:sz w:val="24"/>
          <w:szCs w:val="24"/>
          <w:lang w:val="en-US" w:eastAsia="sk-SK"/>
        </w:rPr>
        <w:t>als to which the provisions of the aforesaid article shall apply.</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 xml:space="preserve">The communications specified in Article 17 of the General Agreement on Privileges and Immunities of the Council of Europe shall be made by the Secretary General of the Council in respect of </w:t>
      </w:r>
      <w:r w:rsidRPr="00893237">
        <w:rPr>
          <w:rFonts w:ascii="Times New Roman" w:hAnsi="Times New Roman"/>
          <w:color w:val="161616"/>
          <w:sz w:val="24"/>
          <w:szCs w:val="24"/>
          <w:lang w:val="en-US" w:eastAsia="sk-SK"/>
        </w:rPr>
        <w:t>the Governor and also of the officials referred to in the preceding paragraph.</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 xml:space="preserve">The Secretary General, after consulting the Governor, shall have the right and the duty to waive the immunity of any official in any case where he considers that immunity would </w:t>
      </w:r>
      <w:r w:rsidRPr="00893237">
        <w:rPr>
          <w:rFonts w:ascii="Times New Roman" w:hAnsi="Times New Roman"/>
          <w:color w:val="161616"/>
          <w:sz w:val="24"/>
          <w:szCs w:val="24"/>
          <w:lang w:val="en-US" w:eastAsia="sk-SK"/>
        </w:rPr>
        <w:t>impede the course of justice and can be waived without prejudice to the satisfactory operation of the Fund. In the case of the Governor, the Governing Body of the Fund shall have the right to waive immunity.</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 xml:space="preserve">Part V </w:t>
      </w:r>
      <w:r w:rsidRPr="00893237">
        <w:rPr>
          <w:rFonts w:ascii="Times New Roman" w:hAnsi="Times New Roman" w:hint="default"/>
          <w:b/>
          <w:bCs/>
          <w:color w:val="161616"/>
          <w:sz w:val="24"/>
          <w:szCs w:val="24"/>
          <w:lang w:val="en-US" w:eastAsia="sk-SK"/>
        </w:rPr>
        <w:t>–</w:t>
      </w:r>
      <w:r w:rsidRPr="00893237">
        <w:rPr>
          <w:rFonts w:ascii="Times New Roman" w:hAnsi="Times New Roman" w:hint="default"/>
          <w:b/>
          <w:bCs/>
          <w:color w:val="161616"/>
          <w:sz w:val="24"/>
          <w:szCs w:val="24"/>
          <w:lang w:val="en-US" w:eastAsia="sk-SK"/>
        </w:rPr>
        <w:t xml:space="preserve"> Application of the Agreement</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 xml:space="preserve">Article </w:t>
      </w:r>
      <w:r w:rsidRPr="00893237">
        <w:rPr>
          <w:rFonts w:ascii="Times New Roman" w:hAnsi="Times New Roman"/>
          <w:b/>
          <w:bCs/>
          <w:color w:val="161616"/>
          <w:sz w:val="24"/>
          <w:szCs w:val="24"/>
          <w:lang w:val="en-US" w:eastAsia="sk-SK"/>
        </w:rPr>
        <w:t>14</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hint="default"/>
          <w:color w:val="161616"/>
          <w:sz w:val="24"/>
          <w:szCs w:val="24"/>
          <w:lang w:val="en-US" w:eastAsia="sk-SK"/>
        </w:rPr>
        <w:t>The governments of member States of the Fund undertake to seek such constitutional authority as may be necessary to fulfil the statutory obligations assumed by those States vis-à</w:t>
      </w:r>
      <w:r w:rsidRPr="00893237">
        <w:rPr>
          <w:rFonts w:ascii="Times New Roman" w:hAnsi="Times New Roman" w:hint="default"/>
          <w:color w:val="161616"/>
          <w:sz w:val="24"/>
          <w:szCs w:val="24"/>
          <w:lang w:val="en-US" w:eastAsia="sk-SK"/>
        </w:rPr>
        <w:t xml:space="preserve">-vis the Resettlement Fund. They undertake likewise to seek such authority </w:t>
      </w:r>
      <w:r w:rsidRPr="00893237">
        <w:rPr>
          <w:rFonts w:ascii="Times New Roman" w:hAnsi="Times New Roman"/>
          <w:color w:val="161616"/>
          <w:sz w:val="24"/>
          <w:szCs w:val="24"/>
          <w:lang w:val="en-US" w:eastAsia="sk-SK"/>
        </w:rPr>
        <w:t>in good time in order to be able to fulfil any undertakings into which they may have entered as borrower or guarantor, in accordance with Article 6, Section 3, of the articles of Agreement of the Resettlement Fund.</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15</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Fund may conclude with an</w:t>
      </w:r>
      <w:r w:rsidRPr="00893237">
        <w:rPr>
          <w:rFonts w:ascii="Times New Roman" w:hAnsi="Times New Roman"/>
          <w:color w:val="161616"/>
          <w:sz w:val="24"/>
          <w:szCs w:val="24"/>
          <w:lang w:val="en-US" w:eastAsia="sk-SK"/>
        </w:rPr>
        <w:t>y member State special agreements on the detailed application of the provisions of the present Protocol, supplementing the said provisions or derogating from those of Article 13 above. It may likewise conclude agreements with any State which is not a memb</w:t>
      </w:r>
      <w:r w:rsidRPr="00893237">
        <w:rPr>
          <w:rFonts w:ascii="Times New Roman" w:hAnsi="Times New Roman"/>
          <w:color w:val="161616"/>
          <w:sz w:val="24"/>
          <w:szCs w:val="24"/>
          <w:lang w:val="en-US" w:eastAsia="sk-SK"/>
        </w:rPr>
        <w:t>e</w:t>
      </w:r>
      <w:r w:rsidRPr="00893237">
        <w:rPr>
          <w:rFonts w:ascii="Times New Roman" w:hAnsi="Times New Roman"/>
          <w:color w:val="161616"/>
          <w:sz w:val="24"/>
          <w:szCs w:val="24"/>
          <w:lang w:val="en-US" w:eastAsia="sk-SK"/>
        </w:rPr>
        <w:t>r of the Fund, modifying the application of the provisions of the present Protocol so far as that State is concerned.</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 xml:space="preserve">Part VI </w:t>
      </w:r>
      <w:r w:rsidRPr="00893237">
        <w:rPr>
          <w:rFonts w:ascii="Times New Roman" w:hAnsi="Times New Roman" w:hint="default"/>
          <w:b/>
          <w:bCs/>
          <w:color w:val="161616"/>
          <w:sz w:val="24"/>
          <w:szCs w:val="24"/>
          <w:lang w:val="en-US" w:eastAsia="sk-SK"/>
        </w:rPr>
        <w:t>–</w:t>
      </w:r>
      <w:r w:rsidRPr="00893237">
        <w:rPr>
          <w:rFonts w:ascii="Times New Roman" w:hAnsi="Times New Roman" w:hint="default"/>
          <w:b/>
          <w:bCs/>
          <w:color w:val="161616"/>
          <w:sz w:val="24"/>
          <w:szCs w:val="24"/>
          <w:lang w:val="en-US" w:eastAsia="sk-SK"/>
        </w:rPr>
        <w:t xml:space="preserve"> Final clauses</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16</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The present Protocol shall be ratified and the instruments of ratification deposited with the Secreta</w:t>
      </w:r>
      <w:r w:rsidRPr="00893237">
        <w:rPr>
          <w:rFonts w:ascii="Times New Roman" w:hAnsi="Times New Roman"/>
          <w:color w:val="161616"/>
          <w:sz w:val="24"/>
          <w:szCs w:val="24"/>
          <w:lang w:val="en-US" w:eastAsia="sk-SK"/>
        </w:rPr>
        <w:t>ry General of the Council of Europe. It shall enter into force as soon as three signatories representing at least one-third of the Fund's holdings have deposited their instruments of ratification. For the other members of the Fund it shall enter into forc</w:t>
      </w:r>
      <w:r w:rsidRPr="00893237">
        <w:rPr>
          <w:rFonts w:ascii="Times New Roman" w:hAnsi="Times New Roman"/>
          <w:color w:val="161616"/>
          <w:sz w:val="24"/>
          <w:szCs w:val="24"/>
          <w:lang w:val="en-US" w:eastAsia="sk-SK"/>
        </w:rPr>
        <w:t>e</w:t>
      </w:r>
      <w:r w:rsidRPr="00893237">
        <w:rPr>
          <w:rFonts w:ascii="Times New Roman" w:hAnsi="Times New Roman"/>
          <w:color w:val="161616"/>
          <w:sz w:val="24"/>
          <w:szCs w:val="24"/>
          <w:lang w:val="en-US" w:eastAsia="sk-SK"/>
        </w:rPr>
        <w:t xml:space="preserve"> on the date when their respective instruments of ratification are deposited.</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Nevertheless, pending the entry into force of this Protocol in accordance with the foregoing paragraph, the signatories agree, in order not to delay the satisfactory operation of</w:t>
      </w:r>
      <w:r w:rsidRPr="00893237">
        <w:rPr>
          <w:rFonts w:ascii="Times New Roman" w:hAnsi="Times New Roman"/>
          <w:color w:val="161616"/>
          <w:sz w:val="24"/>
          <w:szCs w:val="24"/>
          <w:lang w:val="en-US" w:eastAsia="sk-SK"/>
        </w:rPr>
        <w:t xml:space="preserve"> the Fund, to apply the Protocol provisionally from 1 September 1958, or, at latest, from the date of signature, to the extent compatible with their constitutional rules.</w:t>
      </w:r>
    </w:p>
    <w:p w:rsidR="00893237" w:rsidRPr="00893237" w:rsidP="00893237">
      <w:pPr>
        <w:shd w:val="clear" w:color="auto" w:fill="FFFFFF"/>
        <w:bidi w:val="0"/>
        <w:spacing w:before="100" w:after="100" w:line="240" w:lineRule="auto"/>
        <w:jc w:val="both"/>
        <w:rPr>
          <w:rFonts w:ascii="Times New Roman" w:hAnsi="Times New Roman"/>
          <w:b/>
          <w:bCs/>
          <w:color w:val="161616"/>
          <w:sz w:val="24"/>
          <w:szCs w:val="24"/>
          <w:lang w:val="en-US" w:eastAsia="sk-SK"/>
        </w:rPr>
      </w:pP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b/>
          <w:bCs/>
          <w:color w:val="161616"/>
          <w:sz w:val="24"/>
          <w:szCs w:val="24"/>
          <w:lang w:val="en-US" w:eastAsia="sk-SK"/>
        </w:rPr>
        <w:t>Article 17</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 xml:space="preserve">Any government which becomes a member of the Resettlement Fund after the </w:t>
      </w:r>
      <w:r w:rsidRPr="00893237">
        <w:rPr>
          <w:rFonts w:ascii="Times New Roman" w:hAnsi="Times New Roman"/>
          <w:color w:val="161616"/>
          <w:sz w:val="24"/>
          <w:szCs w:val="24"/>
          <w:lang w:val="en-US" w:eastAsia="sk-SK"/>
        </w:rPr>
        <w:t>signature of the present Protocol may accede thereto by depositing an instrument of accession with the Secretary General of the Council of Europe. Such accession shall become effective on the date of deposit if this takes place after the Protocol has ente</w:t>
      </w:r>
      <w:r w:rsidRPr="00893237">
        <w:rPr>
          <w:rFonts w:ascii="Times New Roman" w:hAnsi="Times New Roman"/>
          <w:color w:val="161616"/>
          <w:sz w:val="24"/>
          <w:szCs w:val="24"/>
          <w:lang w:val="en-US" w:eastAsia="sk-SK"/>
        </w:rPr>
        <w:t>r</w:t>
      </w:r>
      <w:r w:rsidRPr="00893237">
        <w:rPr>
          <w:rFonts w:ascii="Times New Roman" w:hAnsi="Times New Roman"/>
          <w:color w:val="161616"/>
          <w:sz w:val="24"/>
          <w:szCs w:val="24"/>
          <w:lang w:val="en-US" w:eastAsia="sk-SK"/>
        </w:rPr>
        <w:t>ed into force, and upon the date of such entry into force if the accession takes place prior to that date.</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Any government which has deposited an instrument of accession before the entry into force of the Protocol shall immediately apply the latter provisio</w:t>
      </w:r>
      <w:r w:rsidRPr="00893237">
        <w:rPr>
          <w:rFonts w:ascii="Times New Roman" w:hAnsi="Times New Roman"/>
          <w:color w:val="161616"/>
          <w:sz w:val="24"/>
          <w:szCs w:val="24"/>
          <w:lang w:val="en-US" w:eastAsia="sk-SK"/>
        </w:rPr>
        <w:t>nally, to the extent compatible with its constitutional rules.</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 </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In witness whereof the undersigned plenipotentiaries have signed the present Protocol.</w:t>
      </w:r>
    </w:p>
    <w:p w:rsidR="00893237" w:rsidRPr="00893237" w:rsidP="00893237">
      <w:pPr>
        <w:shd w:val="clear" w:color="auto" w:fill="FFFFFF"/>
        <w:bidi w:val="0"/>
        <w:spacing w:before="100" w:after="100" w:line="240" w:lineRule="auto"/>
        <w:jc w:val="both"/>
        <w:rPr>
          <w:rFonts w:ascii="Times New Roman" w:hAnsi="Times New Roman"/>
          <w:color w:val="161616"/>
          <w:sz w:val="24"/>
          <w:szCs w:val="24"/>
          <w:lang w:val="en-US" w:eastAsia="sk-SK"/>
        </w:rPr>
      </w:pPr>
      <w:r w:rsidRPr="00893237">
        <w:rPr>
          <w:rFonts w:ascii="Times New Roman" w:hAnsi="Times New Roman"/>
          <w:color w:val="161616"/>
          <w:sz w:val="24"/>
          <w:szCs w:val="24"/>
          <w:lang w:val="en-US" w:eastAsia="sk-SK"/>
        </w:rPr>
        <w:t>Done at Strasbourg, this 6th day of March 1959, in English and in French, both texts being equally authe</w:t>
      </w:r>
      <w:r w:rsidRPr="00893237">
        <w:rPr>
          <w:rFonts w:ascii="Times New Roman" w:hAnsi="Times New Roman"/>
          <w:color w:val="161616"/>
          <w:sz w:val="24"/>
          <w:szCs w:val="24"/>
          <w:lang w:val="en-US" w:eastAsia="sk-SK"/>
        </w:rPr>
        <w:t>ntic, in a single copy which shall remain in the archives of the Council of Europe. The Secretary General shall transmit certified copies to each of the signatories or States acceding.</w:t>
      </w:r>
    </w:p>
    <w:p w:rsidR="00893237" w:rsidRPr="00893237" w:rsidP="00893237">
      <w:pPr>
        <w:bidi w:val="0"/>
        <w:rPr>
          <w:rFonts w:ascii="Times New Roman" w:hAnsi="Times New Roman"/>
          <w:sz w:val="24"/>
          <w:szCs w:val="24"/>
          <w:lang w:val="en-US"/>
        </w:rPr>
      </w:pPr>
    </w:p>
    <w:p w:rsidR="00893237" w:rsidRPr="00893237" w:rsidP="00893237">
      <w:pPr>
        <w:widowControl w:val="0"/>
        <w:bidi w:val="0"/>
        <w:spacing w:after="0" w:line="240" w:lineRule="auto"/>
        <w:outlineLvl w:val="0"/>
        <w:rPr>
          <w:lang w:val="en-US"/>
        </w:rPr>
      </w:pPr>
    </w:p>
    <w:p w:rsidR="00893237" w:rsidRPr="00893237" w:rsidP="00893237">
      <w:pPr>
        <w:bidi w:val="0"/>
        <w:jc w:val="both"/>
        <w:rPr>
          <w:lang w:val="en-US"/>
        </w:rPr>
      </w:pPr>
      <w:r w:rsidRPr="00893237">
        <w:rPr>
          <w:lang w:val="en-US"/>
        </w:rPr>
        <w:br w:type="page"/>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COUNCIL OF EUROPE DEVELOPMENT BANK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Edition </w:t>
      </w:r>
      <w:r w:rsidRPr="00893237">
        <w:rPr>
          <w:rFonts w:ascii="Times New Roman" w:hAnsi="Times New Roman"/>
          <w:sz w:val="24"/>
          <w:szCs w:val="24"/>
          <w:lang w:val="en-US"/>
        </w:rPr>
        <w:t>updated in November 2014</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Establishment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 Council of Europe Development Bank (hereinafter called "the Bank") shall be established.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Bank shall be attached to the Council of Europe and administered under its supreme authority.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Ar</w:t>
      </w:r>
      <w:r w:rsidRPr="00893237">
        <w:rPr>
          <w:rFonts w:ascii="Times New Roman" w:hAnsi="Times New Roman"/>
          <w:sz w:val="24"/>
          <w:szCs w:val="24"/>
          <w:lang w:val="en-US"/>
        </w:rPr>
        <w:t>ticle II</w:t>
      </w:r>
      <w:r>
        <w:rPr>
          <w:rStyle w:val="FootnoteReference"/>
          <w:rFonts w:ascii="Times New Roman" w:hAnsi="Times New Roman"/>
          <w:sz w:val="24"/>
          <w:szCs w:val="24"/>
          <w:rtl w:val="0"/>
          <w:lang w:val="en-US"/>
        </w:rPr>
        <w:footnoteReference w:id="2"/>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Purpose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The primary purpose of the Bank is to help in solving the social problems with which European countries are or may be faced as a result of the presence of refugees, displaced persons or migrants consequent upon movements of refugees o</w:t>
      </w:r>
      <w:r w:rsidRPr="00893237">
        <w:rPr>
          <w:rFonts w:ascii="Times New Roman" w:hAnsi="Times New Roman"/>
          <w:sz w:val="24"/>
          <w:szCs w:val="24"/>
          <w:lang w:val="en-US"/>
        </w:rPr>
        <w:t xml:space="preserve">r other forced movements of populations and as a result of the presence of victims of natural or ecological disasters.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investment projects to which the Bank contributes may be intended either to help such people in the country in which they find thems</w:t>
      </w:r>
      <w:r w:rsidRPr="00893237">
        <w:rPr>
          <w:rFonts w:ascii="Times New Roman" w:hAnsi="Times New Roman"/>
          <w:sz w:val="24"/>
          <w:szCs w:val="24"/>
          <w:lang w:val="en-US"/>
        </w:rPr>
        <w:t xml:space="preserve">elves or to enable them to return to their countries of origin when the conditions for return are met or, where applicable, to settle in another host country. These projects must be approved by a Member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b. The Bank may also contribute to the </w:t>
      </w:r>
      <w:r w:rsidRPr="00893237">
        <w:rPr>
          <w:rFonts w:ascii="Times New Roman" w:hAnsi="Times New Roman"/>
          <w:sz w:val="24"/>
          <w:szCs w:val="24"/>
          <w:lang w:val="en-US"/>
        </w:rPr>
        <w:t xml:space="preserve">realisation of investment projects approved by a Member of the Bank which enable jobs to be created in disadvantaged regions, people in low income groups to be housed or social infrastructure to be created.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III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Membership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Any Memb</w:t>
      </w:r>
      <w:r w:rsidRPr="00893237">
        <w:rPr>
          <w:rFonts w:ascii="Times New Roman" w:hAnsi="Times New Roman"/>
          <w:sz w:val="24"/>
          <w:szCs w:val="24"/>
          <w:lang w:val="en-US"/>
        </w:rPr>
        <w:t>er State of the Council of Europe may become a Member of the Bank by addressing a declaration to the Secretary General. This declaration shall contain acceptance of the present Articles of Agreement by the Government of the State concerned and the subscri</w:t>
      </w:r>
      <w:r w:rsidRPr="00893237">
        <w:rPr>
          <w:rFonts w:ascii="Times New Roman" w:hAnsi="Times New Roman"/>
          <w:sz w:val="24"/>
          <w:szCs w:val="24"/>
          <w:lang w:val="en-US"/>
        </w:rPr>
        <w:t>p</w:t>
      </w:r>
      <w:r w:rsidRPr="00893237">
        <w:rPr>
          <w:rFonts w:ascii="Times New Roman" w:hAnsi="Times New Roman"/>
          <w:sz w:val="24"/>
          <w:szCs w:val="24"/>
          <w:lang w:val="en-US"/>
        </w:rPr>
        <w:t xml:space="preserve">tion by that Government of the number of participating certificates fixed in agreement with the Governing Board, in pursuance of Article IX, Section 3, paragraph 1, </w:t>
      </w:r>
      <w:r w:rsidRPr="00893237">
        <w:rPr>
          <w:rFonts w:ascii="Times New Roman" w:hAnsi="Times New Roman"/>
          <w:i/>
          <w:iCs/>
          <w:sz w:val="24"/>
          <w:szCs w:val="24"/>
          <w:lang w:val="en-US"/>
        </w:rPr>
        <w:t xml:space="preserve">litt. </w:t>
      </w:r>
      <w:r w:rsidRPr="00893237">
        <w:rPr>
          <w:rFonts w:ascii="Times New Roman" w:hAnsi="Times New Roman"/>
          <w:sz w:val="24"/>
          <w:szCs w:val="24"/>
          <w:lang w:val="en-US"/>
        </w:rPr>
        <w:t xml:space="preserve">a. of the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b. A European State which is not a member of the Co</w:t>
      </w:r>
      <w:r w:rsidRPr="00893237">
        <w:rPr>
          <w:rFonts w:ascii="Times New Roman" w:hAnsi="Times New Roman"/>
          <w:sz w:val="24"/>
          <w:szCs w:val="24"/>
          <w:lang w:val="en-US"/>
        </w:rPr>
        <w:t xml:space="preserve">uncil of Europe may: </w:t>
      </w:r>
    </w:p>
    <w:p w:rsidR="00893237" w:rsidRPr="00893237" w:rsidP="00893237">
      <w:pPr>
        <w:bidi w:val="0"/>
        <w:ind w:left="708"/>
        <w:jc w:val="both"/>
        <w:rPr>
          <w:rFonts w:ascii="Times New Roman" w:hAnsi="Times New Roman"/>
          <w:sz w:val="24"/>
          <w:szCs w:val="24"/>
          <w:lang w:val="en-US"/>
        </w:rPr>
      </w:pPr>
      <w:r w:rsidRPr="00893237">
        <w:rPr>
          <w:rFonts w:ascii="Times New Roman" w:hAnsi="Times New Roman"/>
          <w:sz w:val="24"/>
          <w:szCs w:val="24"/>
          <w:lang w:val="en-US"/>
        </w:rPr>
        <w:t xml:space="preserve">i. either be admitted as a Member of the Bank upon such special conditions as the Bank shall lay down in each case, in accordance with the provisions of Article IX, Section 3. paragraph 1, </w:t>
      </w:r>
      <w:r w:rsidRPr="00893237">
        <w:rPr>
          <w:rFonts w:ascii="Times New Roman" w:hAnsi="Times New Roman"/>
          <w:i/>
          <w:iCs/>
          <w:sz w:val="24"/>
          <w:szCs w:val="24"/>
          <w:lang w:val="en-US"/>
        </w:rPr>
        <w:t>litt</w:t>
      </w:r>
      <w:r w:rsidRPr="00893237">
        <w:rPr>
          <w:rFonts w:ascii="Times New Roman" w:hAnsi="Times New Roman"/>
          <w:sz w:val="24"/>
          <w:szCs w:val="24"/>
          <w:lang w:val="en-US"/>
        </w:rPr>
        <w:t>. b. A State in respect of which such a d</w:t>
      </w:r>
      <w:r w:rsidRPr="00893237">
        <w:rPr>
          <w:rFonts w:ascii="Times New Roman" w:hAnsi="Times New Roman"/>
          <w:sz w:val="24"/>
          <w:szCs w:val="24"/>
          <w:lang w:val="en-US"/>
        </w:rPr>
        <w:t>ecision on admission has been made shall be able to become a Member of the Bank by depositing with the Secretary General of the Council of Europe an instrument stating that it accepts the present Articles of Agreement, subscribes the number of participati</w:t>
      </w:r>
      <w:r w:rsidRPr="00893237">
        <w:rPr>
          <w:rFonts w:ascii="Times New Roman" w:hAnsi="Times New Roman"/>
          <w:sz w:val="24"/>
          <w:szCs w:val="24"/>
          <w:lang w:val="en-US"/>
        </w:rPr>
        <w:t>n</w:t>
      </w:r>
      <w:r w:rsidRPr="00893237">
        <w:rPr>
          <w:rFonts w:ascii="Times New Roman" w:hAnsi="Times New Roman"/>
          <w:sz w:val="24"/>
          <w:szCs w:val="24"/>
          <w:lang w:val="en-US"/>
        </w:rPr>
        <w:t xml:space="preserve">g certificates fixed in agreement with the Governing Board, has taken the measures necessary to enable it to meet all the obligations resulting from the Articles of Agreement and has met all the admission conditions laid down by the Governing Board; </w:t>
      </w:r>
    </w:p>
    <w:p w:rsidR="00893237" w:rsidRPr="00893237" w:rsidP="00893237">
      <w:pPr>
        <w:bidi w:val="0"/>
        <w:ind w:left="708"/>
        <w:jc w:val="both"/>
        <w:rPr>
          <w:rFonts w:ascii="Times New Roman" w:hAnsi="Times New Roman"/>
          <w:sz w:val="24"/>
          <w:szCs w:val="24"/>
          <w:lang w:val="en-US"/>
        </w:rPr>
      </w:pPr>
      <w:r w:rsidRPr="00893237">
        <w:rPr>
          <w:rFonts w:ascii="Times New Roman" w:hAnsi="Times New Roman"/>
          <w:sz w:val="24"/>
          <w:szCs w:val="24"/>
          <w:lang w:val="en-US"/>
        </w:rPr>
        <w:t>ii. o</w:t>
      </w:r>
      <w:r w:rsidRPr="00893237">
        <w:rPr>
          <w:rFonts w:ascii="Times New Roman" w:hAnsi="Times New Roman"/>
          <w:sz w:val="24"/>
          <w:szCs w:val="24"/>
          <w:lang w:val="en-US"/>
        </w:rPr>
        <w:t xml:space="preserve">r conclude with the Bank an association agreement upon such special conditions as the Bank may lay down in each case.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c. Upon the conditions laid down by the Governing Board, international institutions with a European focus may also become Members of the </w:t>
      </w:r>
      <w:r w:rsidRPr="00893237">
        <w:rPr>
          <w:rFonts w:ascii="Times New Roman" w:hAnsi="Times New Roman"/>
          <w:sz w:val="24"/>
          <w:szCs w:val="24"/>
          <w:lang w:val="en-US"/>
        </w:rPr>
        <w:t xml:space="preserve">Bank or conclude an association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d. Any State becoming a Member of the Bank shall confirm, in its declaration or its instrument of acceptance of the Articles of Agreement, its intention: </w:t>
      </w:r>
    </w:p>
    <w:p w:rsidR="00893237" w:rsidRPr="00893237" w:rsidP="00893237">
      <w:pPr>
        <w:bidi w:val="0"/>
        <w:ind w:left="708"/>
        <w:jc w:val="both"/>
        <w:rPr>
          <w:rFonts w:ascii="Times New Roman" w:hAnsi="Times New Roman"/>
          <w:sz w:val="24"/>
          <w:szCs w:val="24"/>
          <w:lang w:val="en-US"/>
        </w:rPr>
      </w:pPr>
      <w:r w:rsidRPr="00893237">
        <w:rPr>
          <w:rFonts w:ascii="Times New Roman" w:hAnsi="Times New Roman"/>
          <w:sz w:val="24"/>
          <w:szCs w:val="24"/>
          <w:lang w:val="en-US"/>
        </w:rPr>
        <w:t>i. to accede at the earliest opportunity to the Third Pro</w:t>
      </w:r>
      <w:r w:rsidRPr="00893237">
        <w:rPr>
          <w:rFonts w:ascii="Times New Roman" w:hAnsi="Times New Roman"/>
          <w:sz w:val="24"/>
          <w:szCs w:val="24"/>
          <w:lang w:val="en-US"/>
        </w:rPr>
        <w:t xml:space="preserve">tocol to the General Agreement on Privileges and Immunities of the Council of Europe; </w:t>
      </w:r>
    </w:p>
    <w:p w:rsidR="00893237" w:rsidRPr="00893237" w:rsidP="00893237">
      <w:pPr>
        <w:bidi w:val="0"/>
        <w:ind w:left="708"/>
        <w:jc w:val="both"/>
        <w:rPr>
          <w:rFonts w:ascii="Times New Roman" w:hAnsi="Times New Roman"/>
          <w:sz w:val="24"/>
          <w:szCs w:val="24"/>
          <w:lang w:val="en-US"/>
        </w:rPr>
      </w:pPr>
      <w:r w:rsidRPr="00893237">
        <w:rPr>
          <w:rFonts w:ascii="Times New Roman" w:hAnsi="Times New Roman"/>
          <w:sz w:val="24"/>
          <w:szCs w:val="24"/>
          <w:lang w:val="en-US"/>
        </w:rPr>
        <w:t>ii. pending such accession, to apply the legal arrangements resulting from the Protocol to the property, assets and operations of the Bank and to grant to the organs and</w:t>
      </w:r>
      <w:r w:rsidRPr="00893237">
        <w:rPr>
          <w:rFonts w:ascii="Times New Roman" w:hAnsi="Times New Roman"/>
          <w:sz w:val="24"/>
          <w:szCs w:val="24"/>
          <w:lang w:val="en-US"/>
        </w:rPr>
        <w:t xml:space="preserve"> staff of the Bank the legal status resulting from the Protocol.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IV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Obligations of Members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1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Participating certificates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Bank shall issue for subscription by its Members participating certificates, expressed in terms of euros (EUR)</w:t>
      </w:r>
      <w:r w:rsidRPr="00893237">
        <w:rPr>
          <w:rFonts w:ascii="Times New Roman" w:hAnsi="Times New Roman"/>
          <w:sz w:val="24"/>
          <w:szCs w:val="24"/>
          <w:lang w:val="en-US"/>
        </w:rPr>
        <w:t xml:space="preserve">. Each certificate shall have the same nominal value of EUR 1,000. Members shall pay their subscriptions in euros.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2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Apportionment and paying up of participating certificates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 The table appended to the present Articles of Agreement lays down </w:t>
      </w:r>
      <w:r w:rsidRPr="00893237">
        <w:rPr>
          <w:rFonts w:ascii="Times New Roman" w:hAnsi="Times New Roman"/>
          <w:sz w:val="24"/>
          <w:szCs w:val="24"/>
          <w:lang w:val="en-US"/>
        </w:rPr>
        <w:t xml:space="preserve">the percentage apportionment of the participating certificates offered for subscription by each Member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b. The number of participating certificates to be held by new Members of the Bank shall be fixed in agreement with the Governing Board of t</w:t>
      </w:r>
      <w:r w:rsidRPr="00893237">
        <w:rPr>
          <w:rFonts w:ascii="Times New Roman" w:hAnsi="Times New Roman"/>
          <w:sz w:val="24"/>
          <w:szCs w:val="24"/>
          <w:lang w:val="en-US"/>
        </w:rPr>
        <w:t xml:space="preserve">he Bank, in accordance with Article IX, Section 3. paragraph 1. </w:t>
      </w:r>
      <w:r w:rsidRPr="00893237">
        <w:rPr>
          <w:rFonts w:ascii="Times New Roman" w:hAnsi="Times New Roman"/>
          <w:i/>
          <w:iCs/>
          <w:sz w:val="24"/>
          <w:szCs w:val="24"/>
          <w:lang w:val="en-US"/>
        </w:rPr>
        <w:t>litt</w:t>
      </w:r>
      <w:r w:rsidRPr="00893237">
        <w:rPr>
          <w:rFonts w:ascii="Times New Roman" w:hAnsi="Times New Roman"/>
          <w:sz w:val="24"/>
          <w:szCs w:val="24"/>
          <w:lang w:val="en-US"/>
        </w:rPr>
        <w:t xml:space="preserve">. a. and b. of the present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c. The minimum percentage of subscribed participating certificates to be paid up, and the dates of the relevant payments, shall be fixed </w:t>
      </w:r>
      <w:r w:rsidRPr="00893237">
        <w:rPr>
          <w:rFonts w:ascii="Times New Roman" w:hAnsi="Times New Roman"/>
          <w:sz w:val="24"/>
          <w:szCs w:val="24"/>
          <w:lang w:val="en-US"/>
        </w:rPr>
        <w:t xml:space="preserve">by the Governing Board.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d. When the Bank's capital is increased, the Governing Board shall determine, upon uniform conditions for all Members, the percentage to be paid up and the corresponding payment dates.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3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Limitation of liability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No Membe</w:t>
      </w:r>
      <w:r w:rsidRPr="00893237">
        <w:rPr>
          <w:rFonts w:ascii="Times New Roman" w:hAnsi="Times New Roman"/>
          <w:sz w:val="24"/>
          <w:szCs w:val="24"/>
          <w:lang w:val="en-US"/>
        </w:rPr>
        <w:t xml:space="preserve">r shall be liable to third parties for any obligation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V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Borrowing operations and contributions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For uses consistent with its purpose, the Bank may make borrowings. It may also carry out any other financial transactions useful for the</w:t>
      </w:r>
      <w:r w:rsidRPr="00893237">
        <w:rPr>
          <w:rFonts w:ascii="Times New Roman" w:hAnsi="Times New Roman"/>
          <w:sz w:val="24"/>
          <w:szCs w:val="24"/>
          <w:lang w:val="en-US"/>
        </w:rPr>
        <w:t xml:space="preserve"> achievement of its purpose under conditions laid down by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Bank is empowered to receive contributions offered for specific purposes which come within its stated aims.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VI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Investments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Bank's liquid assets, capit</w:t>
      </w:r>
      <w:r w:rsidRPr="00893237">
        <w:rPr>
          <w:rFonts w:ascii="Times New Roman" w:hAnsi="Times New Roman"/>
          <w:sz w:val="24"/>
          <w:szCs w:val="24"/>
          <w:lang w:val="en-US"/>
        </w:rPr>
        <w:t xml:space="preserve">al and reserves may be invested upon conditions to be fixed by the Administrative Council in accordance with the principles of sound financial management.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VII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The Bank's means of action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1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Loans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Loans made by the Bank shall be in one o</w:t>
      </w:r>
      <w:r w:rsidRPr="00893237">
        <w:rPr>
          <w:rFonts w:ascii="Times New Roman" w:hAnsi="Times New Roman"/>
          <w:sz w:val="24"/>
          <w:szCs w:val="24"/>
          <w:lang w:val="en-US"/>
        </w:rPr>
        <w:t xml:space="preserve">f the following forms: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 loans to Members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b. loans guaranteed by a Member of the Bank granted to any legal person approved by that Member;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c. loans granted to any legal person approved by a Member of the Bank, when the Administrative Counc</w:t>
      </w:r>
      <w:r w:rsidRPr="00893237">
        <w:rPr>
          <w:rFonts w:ascii="Times New Roman" w:hAnsi="Times New Roman"/>
          <w:sz w:val="24"/>
          <w:szCs w:val="24"/>
          <w:lang w:val="en-US"/>
        </w:rPr>
        <w:t xml:space="preserve">il is satisfied that the loan requested is covered by adequate guarantees.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2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Guarantees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Upon conditions to be fixed by the Administrative Council in each case, the Bank may grant its guarantee to financial institutions approved by a Member for </w:t>
      </w:r>
      <w:r w:rsidRPr="00893237">
        <w:rPr>
          <w:rFonts w:ascii="Times New Roman" w:hAnsi="Times New Roman"/>
          <w:sz w:val="24"/>
          <w:szCs w:val="24"/>
          <w:lang w:val="en-US"/>
        </w:rPr>
        <w:t xml:space="preserve">loans to further the realisation of the purposes set out in Article II.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3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Trust account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Bank may open and manage trust accounts for receiving voluntary contributions from its Members, from the Bank and from the Council of Europe.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Section 4</w:t>
      </w:r>
      <w:r w:rsidRPr="00893237">
        <w:rPr>
          <w:rFonts w:ascii="Times New Roman" w:hAnsi="Times New Roman"/>
          <w:sz w:val="24"/>
          <w:szCs w:val="24"/>
          <w:lang w:val="en-US"/>
        </w:rPr>
        <w:t xml:space="preserve">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Interest rebate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Loans may be accompanied by a full or partial interest rebate.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proportion of the profits realised by the Bank and voluntary contributions by Members shall be used to subsidise the interest rate on certain loans upon conditions decide</w:t>
      </w:r>
      <w:r w:rsidRPr="00893237">
        <w:rPr>
          <w:rFonts w:ascii="Times New Roman" w:hAnsi="Times New Roman"/>
          <w:sz w:val="24"/>
          <w:szCs w:val="24"/>
          <w:lang w:val="en-US"/>
        </w:rPr>
        <w:t xml:space="preserve">d by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5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Conditions for granting loans - Information to be provided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Administrative Council shall lay down the general conditions for granting loans and shall determine what information a borrower shall be required </w:t>
      </w:r>
      <w:r w:rsidRPr="00893237">
        <w:rPr>
          <w:rFonts w:ascii="Times New Roman" w:hAnsi="Times New Roman"/>
          <w:sz w:val="24"/>
          <w:szCs w:val="24"/>
          <w:lang w:val="en-US"/>
        </w:rPr>
        <w:t xml:space="preserve">to furnish in support of its application.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6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Default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Bank's transactions in favour of a Member or of a legal person as referred to in Section 1. above shall be suspended if the borrower, or failing the latter, the guarantor defaults on payme</w:t>
      </w:r>
      <w:r w:rsidRPr="00893237">
        <w:rPr>
          <w:rFonts w:ascii="Times New Roman" w:hAnsi="Times New Roman"/>
          <w:sz w:val="24"/>
          <w:szCs w:val="24"/>
          <w:lang w:val="en-US"/>
        </w:rPr>
        <w:t xml:space="preserve">nts due in respect of loans or guarantees granted to it by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VIII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Organisation, administration and supervision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organisation, administration and supervision of the Bank shall be divided between the following: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the Govern</w:t>
      </w:r>
      <w:r w:rsidRPr="00893237">
        <w:rPr>
          <w:rFonts w:ascii="Times New Roman" w:hAnsi="Times New Roman"/>
          <w:sz w:val="24"/>
          <w:szCs w:val="24"/>
          <w:lang w:val="en-US"/>
        </w:rPr>
        <w:t xml:space="preserve">ing Board,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 the Governor,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 the Auditing Board,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as provided in the following Articles.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IX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Governing Board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1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Governing Board shall consist of a Chairman and one representative appointed by each Mem</w:t>
      </w:r>
      <w:r w:rsidRPr="00893237">
        <w:rPr>
          <w:rFonts w:ascii="Times New Roman" w:hAnsi="Times New Roman"/>
          <w:sz w:val="24"/>
          <w:szCs w:val="24"/>
          <w:lang w:val="en-US"/>
        </w:rPr>
        <w:t xml:space="preserve">ber. Each Member may appoint a substitute. The Secretary General of the Council of Europe may participate in or be represented at the meetings.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2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Governing Board is the supreme organ of the Bank; it shall be vested with all powers in respect </w:t>
      </w:r>
      <w:r w:rsidRPr="00893237">
        <w:rPr>
          <w:rFonts w:ascii="Times New Roman" w:hAnsi="Times New Roman"/>
          <w:sz w:val="24"/>
          <w:szCs w:val="24"/>
          <w:lang w:val="en-US"/>
        </w:rPr>
        <w:t xml:space="preserve">of the Bank, save the right to change its purposes as stipulated in Article II of the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3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1. The Governing Board shall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 determine the conditions upon which Council of Europe Member States become Members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b. au</w:t>
      </w:r>
      <w:r w:rsidRPr="00893237">
        <w:rPr>
          <w:rFonts w:ascii="Times New Roman" w:hAnsi="Times New Roman"/>
          <w:sz w:val="24"/>
          <w:szCs w:val="24"/>
          <w:lang w:val="en-US"/>
        </w:rPr>
        <w:t>thorise European States not members of the Council of Europe and international institutions with a European focus to become Members of the Bank and lay down the conditions for such authorisation and the number of participating certificates to be subscribe</w:t>
      </w:r>
      <w:r w:rsidRPr="00893237">
        <w:rPr>
          <w:rFonts w:ascii="Times New Roman" w:hAnsi="Times New Roman"/>
          <w:sz w:val="24"/>
          <w:szCs w:val="24"/>
          <w:lang w:val="en-US"/>
        </w:rPr>
        <w:t>d</w:t>
      </w:r>
      <w:r w:rsidRPr="00893237">
        <w:rPr>
          <w:rFonts w:ascii="Times New Roman" w:hAnsi="Times New Roman"/>
          <w:sz w:val="24"/>
          <w:szCs w:val="24"/>
          <w:lang w:val="en-US"/>
        </w:rPr>
        <w:t xml:space="preserve"> by such members;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c. adjust the apportionment of the capital among Members as shown in the table appended to the present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d. increase or reduce the authorised capital and fix the proportion of the subscribed shares to be paid up and</w:t>
      </w:r>
      <w:r w:rsidRPr="00893237">
        <w:rPr>
          <w:rFonts w:ascii="Times New Roman" w:hAnsi="Times New Roman"/>
          <w:sz w:val="24"/>
          <w:szCs w:val="24"/>
          <w:lang w:val="en-US"/>
        </w:rPr>
        <w:t xml:space="preserve"> the dates by which payment must be made;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e. ensure compliance with the aims stated in the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approve the Bank's annual report, accounts and other financial statements;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provide general guidelines concerning the institution's activity</w:t>
      </w:r>
      <w:r w:rsidRPr="00893237">
        <w:rPr>
          <w:rFonts w:ascii="Times New Roman" w:hAnsi="Times New Roman"/>
          <w:sz w:val="24"/>
          <w:szCs w:val="24"/>
          <w:lang w:val="en-US"/>
        </w:rPr>
        <w:t xml:space="preserv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f. suspend or terminate the Bank's operations and, in the event of liquidation, distribute its assets;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g. suspend a Member;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h. amend these Articles of Agreement, without, however, making any change in their stated aims;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i. interpret these Articles of</w:t>
      </w:r>
      <w:r w:rsidRPr="00893237">
        <w:rPr>
          <w:rFonts w:ascii="Times New Roman" w:hAnsi="Times New Roman"/>
          <w:sz w:val="24"/>
          <w:szCs w:val="24"/>
          <w:lang w:val="en-US"/>
        </w:rPr>
        <w:t xml:space="preserve"> Agreement and determine any appeals against decisions concerning the interpretation or application of the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j. authorise the conclusion of general agreements on co-operation with other international organisations;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k. elect the Chair</w:t>
      </w:r>
      <w:r w:rsidRPr="00893237">
        <w:rPr>
          <w:rFonts w:ascii="Times New Roman" w:hAnsi="Times New Roman"/>
          <w:sz w:val="24"/>
          <w:szCs w:val="24"/>
          <w:lang w:val="en-US"/>
        </w:rPr>
        <w:t xml:space="preserve">man of the Governing Board and the Chairman of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l. appoint the Governor and, as necessary, on a proposal by the Governor, one or more Vice-Governors, one of whom shall replace the Governor in the latter's absence, and remove the</w:t>
      </w:r>
      <w:r w:rsidRPr="00893237">
        <w:rPr>
          <w:rFonts w:ascii="Times New Roman" w:hAnsi="Times New Roman"/>
          <w:sz w:val="24"/>
          <w:szCs w:val="24"/>
          <w:lang w:val="en-US"/>
        </w:rPr>
        <w:t xml:space="preserve">m from their posts and accept their resignation;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m. appoint the members of the Auditing Board;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n. appoint the external auditor and lay down his terms of reference;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o. draw up its Rules of Procedure;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p. exercise such other powers as are expressly assig</w:t>
      </w:r>
      <w:r w:rsidRPr="00893237">
        <w:rPr>
          <w:rFonts w:ascii="Times New Roman" w:hAnsi="Times New Roman"/>
          <w:sz w:val="24"/>
          <w:szCs w:val="24"/>
          <w:lang w:val="en-US"/>
        </w:rPr>
        <w:t xml:space="preserve">ned to the Governing Board in these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2. The Governing Board shall make its decisions regarding </w:t>
      </w:r>
      <w:r w:rsidRPr="00893237">
        <w:rPr>
          <w:rFonts w:ascii="Times New Roman" w:hAnsi="Times New Roman"/>
          <w:i/>
          <w:iCs/>
          <w:sz w:val="24"/>
          <w:szCs w:val="24"/>
          <w:lang w:val="en-US"/>
        </w:rPr>
        <w:t xml:space="preserve">litt. </w:t>
      </w:r>
      <w:r w:rsidRPr="00893237">
        <w:rPr>
          <w:rFonts w:ascii="Times New Roman" w:hAnsi="Times New Roman"/>
          <w:sz w:val="24"/>
          <w:szCs w:val="24"/>
          <w:lang w:val="en-US"/>
        </w:rPr>
        <w:t xml:space="preserve">d. and f. on a proposal by the Administrative Council, and on </w:t>
      </w:r>
      <w:r w:rsidRPr="00893237">
        <w:rPr>
          <w:rFonts w:ascii="Times New Roman" w:hAnsi="Times New Roman"/>
          <w:i/>
          <w:iCs/>
          <w:sz w:val="24"/>
          <w:szCs w:val="24"/>
          <w:lang w:val="en-US"/>
        </w:rPr>
        <w:t xml:space="preserve">litt. </w:t>
      </w:r>
      <w:r w:rsidRPr="00893237">
        <w:rPr>
          <w:rFonts w:ascii="Times New Roman" w:hAnsi="Times New Roman"/>
          <w:sz w:val="24"/>
          <w:szCs w:val="24"/>
          <w:lang w:val="en-US"/>
        </w:rPr>
        <w:t>c., m. and n., after hearing the latter. The Administrative Coun</w:t>
      </w:r>
      <w:r w:rsidRPr="00893237">
        <w:rPr>
          <w:rFonts w:ascii="Times New Roman" w:hAnsi="Times New Roman"/>
          <w:sz w:val="24"/>
          <w:szCs w:val="24"/>
          <w:lang w:val="en-US"/>
        </w:rPr>
        <w:t xml:space="preserve">cil shall give its opinion on all other decisions with financial consequences.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3. All powers other than those set forth in Section 3 paragraph 1 above shall be delegated to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powers delegated to the Administrative Council in</w:t>
      </w:r>
      <w:r w:rsidRPr="00893237">
        <w:rPr>
          <w:rFonts w:ascii="Times New Roman" w:hAnsi="Times New Roman"/>
          <w:sz w:val="24"/>
          <w:szCs w:val="24"/>
          <w:lang w:val="en-US"/>
        </w:rPr>
        <w:t xml:space="preserve"> these Articles of Agreement may be reassumed only in exceptional circumstances and for a specified period.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4. The Governing Board shall meet once a year. It may, if necessary, hold additional meetings.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5. The Governing Board may when necessary invite re</w:t>
      </w:r>
      <w:r w:rsidRPr="00893237">
        <w:rPr>
          <w:rFonts w:ascii="Times New Roman" w:hAnsi="Times New Roman"/>
          <w:sz w:val="24"/>
          <w:szCs w:val="24"/>
          <w:lang w:val="en-US"/>
        </w:rPr>
        <w:t xml:space="preserve">presentatives of international organisations or any other interested person to participate in its proceedings without the right to vote.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4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Decisions taken by the Governing Board at its meetings shall be valid only if two-thirds of its Members'</w:t>
      </w:r>
      <w:r w:rsidRPr="00893237">
        <w:rPr>
          <w:rFonts w:ascii="Times New Roman" w:hAnsi="Times New Roman"/>
          <w:sz w:val="24"/>
          <w:szCs w:val="24"/>
          <w:lang w:val="en-US"/>
        </w:rPr>
        <w:t xml:space="preserve"> representatives are present.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Decisions shall be taken by voting. Only votes in favour and against shall count for the purpose of calculating majorities.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b. Decisions may also be taken in writing between meetings.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c. Each Member of the Bank shall have o</w:t>
      </w:r>
      <w:r w:rsidRPr="00893237">
        <w:rPr>
          <w:rFonts w:ascii="Times New Roman" w:hAnsi="Times New Roman"/>
          <w:sz w:val="24"/>
          <w:szCs w:val="24"/>
          <w:lang w:val="en-US"/>
        </w:rPr>
        <w:t xml:space="preserve">ne vote for each participating certificate held by it.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d. Any Member which has failed to pay on time the part of the capital falling due may not, for as long as such non-payment persists, exercise the voting rights corresponding to the sum due and not pai</w:t>
      </w:r>
      <w:r w:rsidRPr="00893237">
        <w:rPr>
          <w:rFonts w:ascii="Times New Roman" w:hAnsi="Times New Roman"/>
          <w:sz w:val="24"/>
          <w:szCs w:val="24"/>
          <w:lang w:val="en-US"/>
        </w:rPr>
        <w:t xml:space="preserve">d up.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e. Decisions shall be reached by a majority of the Members voting in favour or against and holding two-thirds of the votes cast.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f. A majority of three-quarters of the Members voting in favour or against and holding three quarters of the votes cast</w:t>
      </w:r>
      <w:r w:rsidRPr="00893237">
        <w:rPr>
          <w:rFonts w:ascii="Times New Roman" w:hAnsi="Times New Roman"/>
          <w:sz w:val="24"/>
          <w:szCs w:val="24"/>
          <w:lang w:val="en-US"/>
        </w:rPr>
        <w:t xml:space="preserve">, shall be required for: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 the decision provided for in Section 3. paragraph 3. of this Article;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adjustments to the apportionment table appended to these Articles of Agreement not resulting from the admission of new Members which are made pursuant to S</w:t>
      </w:r>
      <w:r w:rsidRPr="00893237">
        <w:rPr>
          <w:rFonts w:ascii="Times New Roman" w:hAnsi="Times New Roman"/>
          <w:sz w:val="24"/>
          <w:szCs w:val="24"/>
          <w:lang w:val="en-US"/>
        </w:rPr>
        <w:t xml:space="preserve">ection 3. paragraph 1. </w:t>
      </w:r>
      <w:r w:rsidRPr="00893237">
        <w:rPr>
          <w:rFonts w:ascii="Times New Roman" w:hAnsi="Times New Roman"/>
          <w:i/>
          <w:iCs/>
          <w:sz w:val="24"/>
          <w:szCs w:val="24"/>
          <w:lang w:val="en-US"/>
        </w:rPr>
        <w:t xml:space="preserve">litt. </w:t>
      </w:r>
      <w:r w:rsidRPr="00893237">
        <w:rPr>
          <w:rFonts w:ascii="Times New Roman" w:hAnsi="Times New Roman"/>
          <w:sz w:val="24"/>
          <w:szCs w:val="24"/>
          <w:lang w:val="en-US"/>
        </w:rPr>
        <w:t xml:space="preserve">c.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g. The decisions referred to in Section 3. paragraph 1. </w:t>
      </w:r>
      <w:r w:rsidRPr="00893237">
        <w:rPr>
          <w:rFonts w:ascii="Times New Roman" w:hAnsi="Times New Roman"/>
          <w:i/>
          <w:iCs/>
          <w:sz w:val="24"/>
          <w:szCs w:val="24"/>
          <w:lang w:val="en-US"/>
        </w:rPr>
        <w:t xml:space="preserve">litt. </w:t>
      </w:r>
      <w:r w:rsidRPr="00893237">
        <w:rPr>
          <w:rFonts w:ascii="Times New Roman" w:hAnsi="Times New Roman"/>
          <w:sz w:val="24"/>
          <w:szCs w:val="24"/>
          <w:lang w:val="en-US"/>
        </w:rPr>
        <w:t xml:space="preserve">f. and h. shall be taken by an unanimous vote of the Members casting a vote.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5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The Governing Board shall be chaired by a Chairman elected by it for</w:t>
      </w:r>
      <w:r w:rsidRPr="00893237">
        <w:rPr>
          <w:rFonts w:ascii="Times New Roman" w:hAnsi="Times New Roman"/>
          <w:sz w:val="24"/>
          <w:szCs w:val="24"/>
          <w:lang w:val="en-US"/>
        </w:rPr>
        <w:t xml:space="preserve"> a three-year term.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outgoing Chairman may be re-elected for a further three-year term. Each Member of the Bank is entitled to present a candidate.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Chairman shall be responsible for political relations with officials of the States, the Council of </w:t>
      </w:r>
      <w:r w:rsidRPr="00893237">
        <w:rPr>
          <w:rFonts w:ascii="Times New Roman" w:hAnsi="Times New Roman"/>
          <w:sz w:val="24"/>
          <w:szCs w:val="24"/>
          <w:lang w:val="en-US"/>
        </w:rPr>
        <w:t xml:space="preserve">Europe and other international institutions, in close co-operation with the Governor.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Chairman shall keep the Committee of Ministers and the Parliamentary Assembly regularly informed of the Bank's activities; he shall, inter alia, forward the Governor</w:t>
      </w:r>
      <w:r w:rsidRPr="00893237">
        <w:rPr>
          <w:rFonts w:ascii="Times New Roman" w:hAnsi="Times New Roman"/>
          <w:sz w:val="24"/>
          <w:szCs w:val="24"/>
          <w:lang w:val="en-US"/>
        </w:rPr>
        <w:t xml:space="preserve">'s report to the Committee of Ministers and maintain all other necessary contacts with the Council of Europe.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X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Administrative Council</w:t>
      </w:r>
      <w:r>
        <w:rPr>
          <w:rStyle w:val="FootnoteReference"/>
          <w:rFonts w:ascii="Times New Roman" w:hAnsi="Times New Roman"/>
          <w:b/>
          <w:bCs/>
          <w:sz w:val="24"/>
          <w:szCs w:val="24"/>
          <w:rtl w:val="0"/>
          <w:lang w:val="en-US"/>
        </w:rPr>
        <w:footnoteReference w:id="3"/>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1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Administrative Council is vested with all the powers delegated to it by the Governing Board in </w:t>
      </w:r>
      <w:r w:rsidRPr="00893237">
        <w:rPr>
          <w:rFonts w:ascii="Times New Roman" w:hAnsi="Times New Roman"/>
          <w:sz w:val="24"/>
          <w:szCs w:val="24"/>
          <w:lang w:val="en-US"/>
        </w:rPr>
        <w:t xml:space="preserve">pursuance of Article IX.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2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 The Administrative Council shall consist of a Chairman appointed by the Governing Board for a three-year term, renewable for a second three-year term, and one representative appointed by each Member. Each Member may </w:t>
      </w:r>
      <w:r w:rsidRPr="00893237">
        <w:rPr>
          <w:rFonts w:ascii="Times New Roman" w:hAnsi="Times New Roman"/>
          <w:sz w:val="24"/>
          <w:szCs w:val="24"/>
          <w:lang w:val="en-US"/>
        </w:rPr>
        <w:t xml:space="preserve">appoint a substitute. The Secretary General of the Council of Europe may participate in or be represented at the meetings.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b. The Administrative Council shall be convened by its Chairman or at the request of five of its members at least four times a year.</w:t>
      </w:r>
      <w:r w:rsidRPr="00893237">
        <w:rPr>
          <w:rFonts w:ascii="Times New Roman" w:hAnsi="Times New Roman"/>
          <w:sz w:val="24"/>
          <w:szCs w:val="24"/>
          <w:lang w:val="en-US"/>
        </w:rPr>
        <w:t xml:space="preserv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c. The Administrative Council may, when necessary, invite representatives of international organisations or any other interested person to participate in its proceedings without the right to vote.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3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Decisions of the Administrative Council at</w:t>
      </w:r>
      <w:r w:rsidRPr="00893237">
        <w:rPr>
          <w:rFonts w:ascii="Times New Roman" w:hAnsi="Times New Roman"/>
          <w:sz w:val="24"/>
          <w:szCs w:val="24"/>
          <w:lang w:val="en-US"/>
        </w:rPr>
        <w:t xml:space="preserve"> its meetings shall be valid only if two-thirds of its Members' representatives are present.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b. Each Member shall have one vote for each participating certificate held by it.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Decisions shall be taken by a majority vote. Only votes in favour or against sh</w:t>
      </w:r>
      <w:r w:rsidRPr="00893237">
        <w:rPr>
          <w:rFonts w:ascii="Times New Roman" w:hAnsi="Times New Roman"/>
          <w:sz w:val="24"/>
          <w:szCs w:val="24"/>
          <w:lang w:val="en-US"/>
        </w:rPr>
        <w:t xml:space="preserve">all count for the purpose of calculating the majority or majorities.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c. Decisions may also be taken in writing between meetings.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d. Any Member which has failed to pay on time the part of the capital falling due may not, for as long as such non-payment pe</w:t>
      </w:r>
      <w:r w:rsidRPr="00893237">
        <w:rPr>
          <w:rFonts w:ascii="Times New Roman" w:hAnsi="Times New Roman"/>
          <w:sz w:val="24"/>
          <w:szCs w:val="24"/>
          <w:lang w:val="en-US"/>
        </w:rPr>
        <w:t xml:space="preserve">rsists, exercise the voting rights corresponding to the sum due and not paid up.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e. However, the Administrative Council shall adopt the following decisions by a majority of its members voting in favour or against and by a majority of votes cast:  </w:t>
      </w:r>
    </w:p>
    <w:p w:rsidR="00893237" w:rsidRPr="00893237" w:rsidP="00893237">
      <w:pPr>
        <w:bidi w:val="0"/>
        <w:ind w:left="708"/>
        <w:jc w:val="both"/>
        <w:rPr>
          <w:rFonts w:ascii="Times New Roman" w:hAnsi="Times New Roman"/>
          <w:sz w:val="24"/>
          <w:szCs w:val="24"/>
          <w:lang w:val="en-US"/>
        </w:rPr>
      </w:pPr>
      <w:r w:rsidRPr="00893237">
        <w:rPr>
          <w:rFonts w:ascii="Times New Roman" w:hAnsi="Times New Roman"/>
          <w:sz w:val="24"/>
          <w:szCs w:val="24"/>
          <w:lang w:val="en-US"/>
        </w:rPr>
        <w:t>i) prop</w:t>
      </w:r>
      <w:r w:rsidRPr="00893237">
        <w:rPr>
          <w:rFonts w:ascii="Times New Roman" w:hAnsi="Times New Roman"/>
          <w:sz w:val="24"/>
          <w:szCs w:val="24"/>
          <w:lang w:val="en-US"/>
        </w:rPr>
        <w:t xml:space="preserve">osals and opinions addressed to the Governing Board in accordance with Article IX, Section 3. paragraph 1 </w:t>
      </w:r>
      <w:r w:rsidRPr="00893237">
        <w:rPr>
          <w:rFonts w:ascii="Times New Roman" w:hAnsi="Times New Roman"/>
          <w:i/>
          <w:iCs/>
          <w:sz w:val="24"/>
          <w:szCs w:val="24"/>
          <w:lang w:val="en-US"/>
        </w:rPr>
        <w:t xml:space="preserve">litt. </w:t>
      </w:r>
      <w:r w:rsidRPr="00893237">
        <w:rPr>
          <w:rFonts w:ascii="Times New Roman" w:hAnsi="Times New Roman"/>
          <w:sz w:val="24"/>
          <w:szCs w:val="24"/>
          <w:lang w:val="en-US"/>
        </w:rPr>
        <w:t xml:space="preserve">c., d.,f.,m. and n.; </w:t>
      </w:r>
    </w:p>
    <w:p w:rsidR="00893237" w:rsidRPr="00893237" w:rsidP="00893237">
      <w:pPr>
        <w:bidi w:val="0"/>
        <w:ind w:firstLine="708"/>
        <w:jc w:val="both"/>
        <w:rPr>
          <w:rFonts w:ascii="Times New Roman" w:hAnsi="Times New Roman"/>
          <w:sz w:val="24"/>
          <w:szCs w:val="24"/>
          <w:lang w:val="en-US"/>
        </w:rPr>
      </w:pPr>
      <w:r w:rsidRPr="00893237">
        <w:rPr>
          <w:rFonts w:ascii="Times New Roman" w:hAnsi="Times New Roman"/>
          <w:sz w:val="24"/>
          <w:szCs w:val="24"/>
          <w:lang w:val="en-US"/>
        </w:rPr>
        <w:t xml:space="preserve">ii) adoption or amendment of the Rules of Procedure of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f. Furthermore, the Administrative Cou</w:t>
      </w:r>
      <w:r w:rsidRPr="00893237">
        <w:rPr>
          <w:rFonts w:ascii="Times New Roman" w:hAnsi="Times New Roman"/>
          <w:sz w:val="24"/>
          <w:szCs w:val="24"/>
          <w:lang w:val="en-US"/>
        </w:rPr>
        <w:t xml:space="preserve">ncil shall take by a majority of Members voting in favour or against and holding two-thirds of the votes cast decisions relating to investment projects which have not received the opinion as to admissibility referred to in Article XIII, </w:t>
      </w:r>
      <w:r w:rsidRPr="00893237">
        <w:rPr>
          <w:rFonts w:ascii="Times New Roman" w:hAnsi="Times New Roman"/>
          <w:i/>
          <w:iCs/>
          <w:sz w:val="24"/>
          <w:szCs w:val="24"/>
          <w:lang w:val="en-US"/>
        </w:rPr>
        <w:t xml:space="preserve">litt. </w:t>
      </w:r>
      <w:r w:rsidRPr="00893237">
        <w:rPr>
          <w:rFonts w:ascii="Times New Roman" w:hAnsi="Times New Roman"/>
          <w:sz w:val="24"/>
          <w:szCs w:val="24"/>
          <w:lang w:val="en-US"/>
        </w:rPr>
        <w:t>c. of the Art</w:t>
      </w:r>
      <w:r w:rsidRPr="00893237">
        <w:rPr>
          <w:rFonts w:ascii="Times New Roman" w:hAnsi="Times New Roman"/>
          <w:sz w:val="24"/>
          <w:szCs w:val="24"/>
          <w:lang w:val="en-US"/>
        </w:rPr>
        <w:t xml:space="preserve">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4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Administrative Council may at any time appoint committees from among its members and delegate to such committees powers to be specified in each case.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XI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Governor</w:t>
      </w:r>
      <w:r>
        <w:rPr>
          <w:rStyle w:val="FootnoteReference"/>
          <w:rFonts w:ascii="Times New Roman" w:hAnsi="Times New Roman"/>
          <w:b/>
          <w:bCs/>
          <w:sz w:val="24"/>
          <w:szCs w:val="24"/>
          <w:rtl w:val="0"/>
          <w:lang w:val="en-US"/>
        </w:rPr>
        <w:footnoteReference w:id="4"/>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1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Functions of the Governor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The G</w:t>
      </w:r>
      <w:r w:rsidRPr="00893237">
        <w:rPr>
          <w:rFonts w:ascii="Times New Roman" w:hAnsi="Times New Roman"/>
          <w:sz w:val="24"/>
          <w:szCs w:val="24"/>
          <w:lang w:val="en-US"/>
        </w:rPr>
        <w:t>overnor shall be the legal representative of the Bank. He shall be the head of the Bank's operational services and shall conduct day-to-day business on the instructions of the Administrative Council. In accordance with Articles V and VII, he shall not con</w:t>
      </w:r>
      <w:r w:rsidRPr="00893237">
        <w:rPr>
          <w:rFonts w:ascii="Times New Roman" w:hAnsi="Times New Roman"/>
          <w:sz w:val="24"/>
          <w:szCs w:val="24"/>
          <w:lang w:val="en-US"/>
        </w:rPr>
        <w:t>t</w:t>
      </w:r>
      <w:r w:rsidRPr="00893237">
        <w:rPr>
          <w:rFonts w:ascii="Times New Roman" w:hAnsi="Times New Roman"/>
          <w:sz w:val="24"/>
          <w:szCs w:val="24"/>
          <w:lang w:val="en-US"/>
        </w:rPr>
        <w:t>ract any financial obligations without the authorisation of the Administrative Council. Under the general supervision of the Administrative Council, he shall be responsible for the organisation of the operational services and for the appointment and dismi</w:t>
      </w:r>
      <w:r w:rsidRPr="00893237">
        <w:rPr>
          <w:rFonts w:ascii="Times New Roman" w:hAnsi="Times New Roman"/>
          <w:sz w:val="24"/>
          <w:szCs w:val="24"/>
          <w:lang w:val="en-US"/>
        </w:rPr>
        <w:t>s</w:t>
      </w:r>
      <w:r w:rsidRPr="00893237">
        <w:rPr>
          <w:rFonts w:ascii="Times New Roman" w:hAnsi="Times New Roman"/>
          <w:sz w:val="24"/>
          <w:szCs w:val="24"/>
          <w:lang w:val="en-US"/>
        </w:rPr>
        <w:t xml:space="preserve">sal of the staff of the Bank, within the framework of the regulations adopted by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b. The Governor shall be appointed for a term of five years renewable once. The amount of his salary shall be fixed by the Administrative Council.</w:t>
      </w:r>
      <w:r w:rsidRPr="00893237">
        <w:rPr>
          <w:rFonts w:ascii="Times New Roman" w:hAnsi="Times New Roman"/>
          <w:sz w:val="24"/>
          <w:szCs w:val="24"/>
          <w:lang w:val="en-US"/>
        </w:rPr>
        <w:t xml:space="preserv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c. In the performance of their duties the Governor, the Vice-Governors and staff must devote themselves fully to the service of the Bank, to the exclusion of any other activity. Each Member shall respect the international character of the task of the Gov</w:t>
      </w:r>
      <w:r w:rsidRPr="00893237">
        <w:rPr>
          <w:rFonts w:ascii="Times New Roman" w:hAnsi="Times New Roman"/>
          <w:sz w:val="24"/>
          <w:szCs w:val="24"/>
          <w:lang w:val="en-US"/>
        </w:rPr>
        <w:t xml:space="preserve">ernor, Vice-Governors and staff of the Bank and refrain from any attempt to influence these persons.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d. The Council of Europe Staff Regulations shall be applicable to the staff of the Bank in any matter not covered by a specific decision of the Administra</w:t>
      </w:r>
      <w:r w:rsidRPr="00893237">
        <w:rPr>
          <w:rFonts w:ascii="Times New Roman" w:hAnsi="Times New Roman"/>
          <w:sz w:val="24"/>
          <w:szCs w:val="24"/>
          <w:lang w:val="en-US"/>
        </w:rPr>
        <w:t xml:space="preserve">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2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Vice-Governor(s)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The Governor shall be assisted by one or more Vice-Governors. The Governor shall designate a Vice-Governor Delegate who shall replace him in case of absence or incapacity. The Governor shall determine the res</w:t>
      </w:r>
      <w:r w:rsidRPr="00893237">
        <w:rPr>
          <w:rFonts w:ascii="Times New Roman" w:hAnsi="Times New Roman"/>
          <w:sz w:val="24"/>
          <w:szCs w:val="24"/>
          <w:lang w:val="en-US"/>
        </w:rPr>
        <w:t xml:space="preserve">ponsibilities of the Vice-Governors taking into account the post descriptions approved by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b. The Vice-Governor(s) shall be appointed by the Governing Board on a proposal from the Governor, following an opinion on conformity fro</w:t>
      </w:r>
      <w:r w:rsidRPr="00893237">
        <w:rPr>
          <w:rFonts w:ascii="Times New Roman" w:hAnsi="Times New Roman"/>
          <w:sz w:val="24"/>
          <w:szCs w:val="24"/>
          <w:lang w:val="en-US"/>
        </w:rPr>
        <w:t xml:space="preserve">m the Administrative Council and after consultations with the members of the Governing Board.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c. On a proposal from the Governor, the Administrative Council shall approve the post description(s) of the Vice-Governor(s).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d. The Vice-Governor(s) shall be a</w:t>
      </w:r>
      <w:r w:rsidRPr="00893237">
        <w:rPr>
          <w:rFonts w:ascii="Times New Roman" w:hAnsi="Times New Roman"/>
          <w:sz w:val="24"/>
          <w:szCs w:val="24"/>
          <w:lang w:val="en-US"/>
        </w:rPr>
        <w:t xml:space="preserve">ppointed for a term of five years renewable once. The amount of their salary shall be fixed by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3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Reports to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Governor shall give his opinion to the Administrative Council on the technic</w:t>
      </w:r>
      <w:r w:rsidRPr="00893237">
        <w:rPr>
          <w:rFonts w:ascii="Times New Roman" w:hAnsi="Times New Roman"/>
          <w:sz w:val="24"/>
          <w:szCs w:val="24"/>
          <w:lang w:val="en-US"/>
        </w:rPr>
        <w:t xml:space="preserve">al and financial aspects of investment projects submitted to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Governor shall submit to the Administrative Council regular reports on the position of the Bank and on proposed transactions and shall supply it with any information it may request</w:t>
      </w:r>
      <w:r w:rsidRPr="00893237">
        <w:rPr>
          <w:rFonts w:ascii="Times New Roman" w:hAnsi="Times New Roman"/>
          <w:sz w:val="24"/>
          <w:szCs w:val="24"/>
          <w:lang w:val="en-US"/>
        </w:rPr>
        <w:t xml:space="preserv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Governor shall draw up a full annual report on all operations effected during the year. This report shall be accompanied by the balance sheet of the Bank and the operational accounts, together with the Auditing Board's report on these documents.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Ar</w:t>
      </w:r>
      <w:r w:rsidRPr="00893237">
        <w:rPr>
          <w:rFonts w:ascii="Times New Roman" w:hAnsi="Times New Roman"/>
          <w:sz w:val="24"/>
          <w:szCs w:val="24"/>
          <w:lang w:val="en-US"/>
        </w:rPr>
        <w:t xml:space="preserve">ticle XII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Auditing Board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Auditing Board shall consist of three members appointed pursuant to Article IX, Section 3. </w:t>
      </w:r>
      <w:r w:rsidRPr="00893237">
        <w:rPr>
          <w:rFonts w:ascii="Times New Roman" w:hAnsi="Times New Roman"/>
          <w:i/>
          <w:iCs/>
          <w:sz w:val="24"/>
          <w:szCs w:val="24"/>
          <w:lang w:val="en-US"/>
        </w:rPr>
        <w:t>litt</w:t>
      </w:r>
      <w:r w:rsidRPr="00893237">
        <w:rPr>
          <w:rFonts w:ascii="Times New Roman" w:hAnsi="Times New Roman"/>
          <w:sz w:val="24"/>
          <w:szCs w:val="24"/>
          <w:lang w:val="en-US"/>
        </w:rPr>
        <w:t xml:space="preserve">. m. for their competence in economic and financial matters. They shall act completely independently.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Auditing Board shall in</w:t>
      </w:r>
      <w:r w:rsidRPr="00893237">
        <w:rPr>
          <w:rFonts w:ascii="Times New Roman" w:hAnsi="Times New Roman"/>
          <w:sz w:val="24"/>
          <w:szCs w:val="24"/>
          <w:lang w:val="en-US"/>
        </w:rPr>
        <w:t xml:space="preserve">spect the Bank's accounts and verify that the operational accounts and balance sheet are in order.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In its annual report, the Auditing Board shall certify that the balance sheet and operational accounts accord with the books, that they give an accurate and</w:t>
      </w:r>
      <w:r w:rsidRPr="00893237">
        <w:rPr>
          <w:rFonts w:ascii="Times New Roman" w:hAnsi="Times New Roman"/>
          <w:sz w:val="24"/>
          <w:szCs w:val="24"/>
          <w:lang w:val="en-US"/>
        </w:rPr>
        <w:t xml:space="preserve"> true picture of the state of the Bank's affairs as at the end of each financial period and that the Bank is being managed according to the principles of sound financial management.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Board shall receive copies of any documents useful to it in its work,</w:t>
      </w:r>
      <w:r w:rsidRPr="00893237">
        <w:rPr>
          <w:rFonts w:ascii="Times New Roman" w:hAnsi="Times New Roman"/>
          <w:sz w:val="24"/>
          <w:szCs w:val="24"/>
          <w:lang w:val="en-US"/>
        </w:rPr>
        <w:t xml:space="preserve"> such as the reports of the external and internal auditors. At the request of the organs of the Bank, the Board shall perform any other task pertaining to the supervision of the Bank's financial activity.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XIII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Council of Europe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With a view to</w:t>
      </w:r>
      <w:r w:rsidRPr="00893237">
        <w:rPr>
          <w:rFonts w:ascii="Times New Roman" w:hAnsi="Times New Roman"/>
          <w:sz w:val="24"/>
          <w:szCs w:val="24"/>
          <w:lang w:val="en-US"/>
        </w:rPr>
        <w:t xml:space="preserve"> ensuring relations with the Council of Europe, the Committee of Ministers and Parliamentary Assembly of the Council of Europe shall be regularly informed of the Bank's activities. The Governing Board shall state a position on the recommendations and opin</w:t>
      </w:r>
      <w:r w:rsidRPr="00893237">
        <w:rPr>
          <w:rFonts w:ascii="Times New Roman" w:hAnsi="Times New Roman"/>
          <w:sz w:val="24"/>
          <w:szCs w:val="24"/>
          <w:lang w:val="en-US"/>
        </w:rPr>
        <w:t>i</w:t>
      </w:r>
      <w:r w:rsidRPr="00893237">
        <w:rPr>
          <w:rFonts w:ascii="Times New Roman" w:hAnsi="Times New Roman"/>
          <w:sz w:val="24"/>
          <w:szCs w:val="24"/>
          <w:lang w:val="en-US"/>
        </w:rPr>
        <w:t xml:space="preserve">ons of the Committee of Ministers and Parliamentary Assembly transmitted to it.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b. The Secretary General of the Council of Europe shall participate in, or may be represented at, meetings of the Governing Board and Administrative Council, without the right</w:t>
      </w:r>
      <w:r w:rsidRPr="00893237">
        <w:rPr>
          <w:rFonts w:ascii="Times New Roman" w:hAnsi="Times New Roman"/>
          <w:sz w:val="24"/>
          <w:szCs w:val="24"/>
          <w:lang w:val="en-US"/>
        </w:rPr>
        <w:t xml:space="preserve"> to vote.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He shall carry out any duty entrusted to him in pursuance of the present Articles of Agreement or of the Third Protocol to the General Agreement on Privileges and Immunities of the Council of Europe. In this connection he shall place the requisi</w:t>
      </w:r>
      <w:r w:rsidRPr="00893237">
        <w:rPr>
          <w:rFonts w:ascii="Times New Roman" w:hAnsi="Times New Roman"/>
          <w:sz w:val="24"/>
          <w:szCs w:val="24"/>
          <w:lang w:val="en-US"/>
        </w:rPr>
        <w:t xml:space="preserve">te staff at the disposal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He may perform any other duty entrusted to him by the Organs of the Bank in accordance with the provisions of the Partial Agreement on the Council of Europe Development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c. Applications for loans or guarantees s</w:t>
      </w:r>
      <w:r w:rsidRPr="00893237">
        <w:rPr>
          <w:rFonts w:ascii="Times New Roman" w:hAnsi="Times New Roman"/>
          <w:sz w:val="24"/>
          <w:szCs w:val="24"/>
          <w:lang w:val="en-US"/>
        </w:rPr>
        <w:t xml:space="preserve">hall be submitted to the Administrative Council after receipt of the Secretary General's opinion as to admissibility based on the project's conformity with the political and social aims of the Council of Europe.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XIV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Headquarters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principal o</w:t>
      </w:r>
      <w:r w:rsidRPr="00893237">
        <w:rPr>
          <w:rFonts w:ascii="Times New Roman" w:hAnsi="Times New Roman"/>
          <w:sz w:val="24"/>
          <w:szCs w:val="24"/>
          <w:lang w:val="en-US"/>
        </w:rPr>
        <w:t xml:space="preserve">ffice of the Bank shall be at Strasbourg, France. The headquarters of the operational services shall be in Paris and may be changed only by a decision of the Governing Board and an identically worded decision of the Administrative Council. </w:t>
      </w:r>
    </w:p>
    <w:p w:rsidR="00893237" w:rsidP="00893237">
      <w:pPr>
        <w:bidi w:val="0"/>
        <w:jc w:val="both"/>
        <w:rPr>
          <w:rFonts w:ascii="Times New Roman" w:hAnsi="Times New Roman"/>
          <w:sz w:val="24"/>
          <w:szCs w:val="24"/>
          <w:lang w:val="en-US"/>
        </w:rPr>
      </w:pPr>
    </w:p>
    <w:p w:rsidR="00893237" w:rsidP="00893237">
      <w:pPr>
        <w:bidi w:val="0"/>
        <w:jc w:val="both"/>
        <w:rPr>
          <w:rFonts w:ascii="Times New Roman" w:hAnsi="Times New Roman"/>
          <w:sz w:val="24"/>
          <w:szCs w:val="24"/>
          <w:lang w:val="en-US"/>
        </w:rPr>
      </w:pPr>
    </w:p>
    <w:p w:rsidR="00893237" w:rsidP="00893237">
      <w:pPr>
        <w:bidi w:val="0"/>
        <w:jc w:val="both"/>
        <w:rPr>
          <w:rFonts w:ascii="Times New Roman" w:hAnsi="Times New Roman"/>
          <w:sz w:val="24"/>
          <w:szCs w:val="24"/>
          <w:lang w:val="en-US"/>
        </w:rPr>
      </w:pP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XV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Withdrawal of Members; Suspension of operations and liquidation of the Bank</w:t>
      </w:r>
      <w:r>
        <w:rPr>
          <w:rStyle w:val="FootnoteReference"/>
          <w:rFonts w:ascii="Times New Roman" w:hAnsi="Times New Roman"/>
          <w:sz w:val="24"/>
          <w:szCs w:val="24"/>
          <w:rtl w:val="0"/>
          <w:lang w:val="en-US"/>
        </w:rPr>
        <w:footnoteReference w:id="5"/>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1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Withdrawal of Members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Any Member may withdraw from the Bank on giving notice of six months prior to the end of the current calendar year. The withdrawal shall become </w:t>
      </w:r>
      <w:r w:rsidRPr="00893237">
        <w:rPr>
          <w:rFonts w:ascii="Times New Roman" w:hAnsi="Times New Roman"/>
          <w:sz w:val="24"/>
          <w:szCs w:val="24"/>
          <w:lang w:val="en-US"/>
        </w:rPr>
        <w:t>effective on 31 December following the notice. Any notice given less than six months before the end of the current calendar year shall only become effective on 31 December of the subsequent calendar year. The Member may notify the Bank in writing of the c</w:t>
      </w:r>
      <w:r w:rsidRPr="00893237">
        <w:rPr>
          <w:rFonts w:ascii="Times New Roman" w:hAnsi="Times New Roman"/>
          <w:sz w:val="24"/>
          <w:szCs w:val="24"/>
          <w:lang w:val="en-US"/>
        </w:rPr>
        <w:t>a</w:t>
      </w:r>
      <w:r w:rsidRPr="00893237">
        <w:rPr>
          <w:rFonts w:ascii="Times New Roman" w:hAnsi="Times New Roman"/>
          <w:sz w:val="24"/>
          <w:szCs w:val="24"/>
          <w:lang w:val="en-US"/>
        </w:rPr>
        <w:t xml:space="preserve">ncellation of its notice of intention to withdraw at any time before the withdrawal becomes effective.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2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Settlement of accounts with former Members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After the date on which a Member ceases to be a Member, such former Member shall remain liabl</w:t>
      </w:r>
      <w:r w:rsidRPr="00893237">
        <w:rPr>
          <w:rFonts w:ascii="Times New Roman" w:hAnsi="Times New Roman"/>
          <w:sz w:val="24"/>
          <w:szCs w:val="24"/>
          <w:lang w:val="en-US"/>
        </w:rPr>
        <w:t>e for its obligations to the Bank so long as any part of the loans or guarantees extended before it ceased to be a Member are outstanding; but it shall cease to incur such liabilities with respect to loans and guarantees entered into thereafter by the Ban</w:t>
      </w:r>
      <w:r w:rsidRPr="00893237">
        <w:rPr>
          <w:rFonts w:ascii="Times New Roman" w:hAnsi="Times New Roman"/>
          <w:sz w:val="24"/>
          <w:szCs w:val="24"/>
          <w:lang w:val="en-US"/>
        </w:rPr>
        <w:t>k</w:t>
      </w:r>
      <w:r w:rsidRPr="00893237">
        <w:rPr>
          <w:rFonts w:ascii="Times New Roman" w:hAnsi="Times New Roman"/>
          <w:sz w:val="24"/>
          <w:szCs w:val="24"/>
          <w:lang w:val="en-US"/>
        </w:rPr>
        <w:t xml:space="preserve"> and to share either in the income or expenses of the Bank. </w:t>
      </w:r>
    </w:p>
    <w:p w:rsidR="00893237" w:rsidRPr="00893237" w:rsidP="00893237">
      <w:pPr>
        <w:bidi w:val="0"/>
        <w:jc w:val="both"/>
        <w:rPr>
          <w:rFonts w:ascii="Times New Roman" w:hAnsi="Times New Roman" w:hint="default"/>
          <w:sz w:val="24"/>
          <w:szCs w:val="24"/>
          <w:lang w:val="en-US"/>
        </w:rPr>
      </w:pPr>
      <w:r w:rsidRPr="00893237">
        <w:rPr>
          <w:rFonts w:ascii="Times New Roman" w:hAnsi="Times New Roman"/>
          <w:sz w:val="24"/>
          <w:szCs w:val="24"/>
          <w:lang w:val="en-US"/>
        </w:rPr>
        <w:t>b. At the time the Member ceases to be a Member, the Bank shall arrange for the repurchase of such former Members</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participating certificates as a part of the settlement of accounts with such for</w:t>
      </w:r>
      <w:r w:rsidRPr="00893237">
        <w:rPr>
          <w:rFonts w:ascii="Times New Roman" w:hAnsi="Times New Roman" w:hint="default"/>
          <w:sz w:val="24"/>
          <w:szCs w:val="24"/>
          <w:lang w:val="en-US"/>
        </w:rPr>
        <w:t xml:space="preserve">mer Member in accordance with the provisions of this Article. For this purpose, the purchase price of the certificates shall correspond to the paid-up capital plus reserves as shown by the books of the Bank on the date of cessation of membership. </w:t>
      </w:r>
    </w:p>
    <w:p w:rsidR="00893237" w:rsidRPr="00893237" w:rsidP="00893237">
      <w:pPr>
        <w:bidi w:val="0"/>
        <w:jc w:val="both"/>
        <w:rPr>
          <w:rFonts w:ascii="Times New Roman" w:hAnsi="Times New Roman" w:hint="default"/>
          <w:sz w:val="24"/>
          <w:szCs w:val="24"/>
          <w:lang w:val="en-US"/>
        </w:rPr>
      </w:pPr>
      <w:r w:rsidRPr="00893237">
        <w:rPr>
          <w:rFonts w:ascii="Times New Roman" w:hAnsi="Times New Roman" w:hint="default"/>
          <w:sz w:val="24"/>
          <w:szCs w:val="24"/>
          <w:lang w:val="en-US"/>
        </w:rPr>
        <w:t>c. The p</w:t>
      </w:r>
      <w:r w:rsidRPr="00893237">
        <w:rPr>
          <w:rFonts w:ascii="Times New Roman" w:hAnsi="Times New Roman" w:hint="default"/>
          <w:sz w:val="24"/>
          <w:szCs w:val="24"/>
          <w:lang w:val="en-US"/>
        </w:rPr>
        <w:t xml:space="preserve">ayment for participating certificates repurchased by the Bank under this Article shall be governed by the following conditions: </w:t>
      </w:r>
    </w:p>
    <w:p w:rsidR="00893237" w:rsidRPr="00893237" w:rsidP="00893237">
      <w:pPr>
        <w:bidi w:val="0"/>
        <w:ind w:left="708"/>
        <w:jc w:val="both"/>
        <w:rPr>
          <w:rFonts w:ascii="Times New Roman" w:hAnsi="Times New Roman"/>
          <w:sz w:val="24"/>
          <w:szCs w:val="24"/>
          <w:lang w:val="en-US"/>
        </w:rPr>
      </w:pPr>
      <w:r w:rsidRPr="00893237">
        <w:rPr>
          <w:rFonts w:ascii="Times New Roman" w:hAnsi="Times New Roman"/>
          <w:sz w:val="24"/>
          <w:szCs w:val="24"/>
          <w:lang w:val="en-US"/>
        </w:rPr>
        <w:t>i) any amount due to the former Member for its certificates shall be withheld so long as the former Member, any of its agencies</w:t>
      </w:r>
      <w:r w:rsidRPr="00893237">
        <w:rPr>
          <w:rFonts w:ascii="Times New Roman" w:hAnsi="Times New Roman"/>
          <w:sz w:val="24"/>
          <w:szCs w:val="24"/>
          <w:lang w:val="en-US"/>
        </w:rPr>
        <w:t xml:space="preserve"> or instrumentalities remains liable, as borrower or guarantor, to the Bank and such amount may, at the option of the Bank be applied on any such liability as it matures. In any event, no amount due to a Member for its certificates shall be paid until six</w:t>
      </w:r>
      <w:r w:rsidRPr="00893237">
        <w:rPr>
          <w:rFonts w:ascii="Times New Roman" w:hAnsi="Times New Roman"/>
          <w:sz w:val="24"/>
          <w:szCs w:val="24"/>
          <w:lang w:val="en-US"/>
        </w:rPr>
        <w:t xml:space="preserve"> </w:t>
      </w:r>
      <w:r w:rsidRPr="00893237">
        <w:rPr>
          <w:rFonts w:ascii="Times New Roman" w:hAnsi="Times New Roman"/>
          <w:sz w:val="24"/>
          <w:szCs w:val="24"/>
          <w:lang w:val="en-US"/>
        </w:rPr>
        <w:t xml:space="preserve">(6) months after the date upon which the Member ceases to be a Member; </w:t>
      </w:r>
    </w:p>
    <w:p w:rsidR="00893237" w:rsidRPr="00893237" w:rsidP="00893237">
      <w:pPr>
        <w:bidi w:val="0"/>
        <w:ind w:left="708"/>
        <w:jc w:val="both"/>
        <w:rPr>
          <w:rFonts w:ascii="Times New Roman" w:hAnsi="Times New Roman"/>
          <w:sz w:val="24"/>
          <w:szCs w:val="24"/>
          <w:lang w:val="en-US"/>
        </w:rPr>
      </w:pPr>
      <w:r w:rsidRPr="00893237">
        <w:rPr>
          <w:rFonts w:ascii="Times New Roman" w:hAnsi="Times New Roman"/>
          <w:sz w:val="24"/>
          <w:szCs w:val="24"/>
          <w:lang w:val="en-US"/>
        </w:rPr>
        <w:t>ii) payments for certificates may be made from time to time until the former Member has received the full repurchase price, to the extent by which the amount due as the repurchase pric</w:t>
      </w:r>
      <w:r w:rsidRPr="00893237">
        <w:rPr>
          <w:rFonts w:ascii="Times New Roman" w:hAnsi="Times New Roman"/>
          <w:sz w:val="24"/>
          <w:szCs w:val="24"/>
          <w:lang w:val="en-US"/>
        </w:rPr>
        <w:t xml:space="preserve">e, in accordance with paragraph b of this Section, exceeds the aggregate amount of liabilities on loans and guarantees as set forth in sub paragraph (i) above; </w:t>
      </w:r>
    </w:p>
    <w:p w:rsidR="00893237" w:rsidRPr="00893237" w:rsidP="00893237">
      <w:pPr>
        <w:bidi w:val="0"/>
        <w:ind w:left="708"/>
        <w:jc w:val="both"/>
        <w:rPr>
          <w:rFonts w:ascii="Times New Roman" w:hAnsi="Times New Roman"/>
          <w:sz w:val="24"/>
          <w:szCs w:val="24"/>
          <w:lang w:val="en-US"/>
        </w:rPr>
      </w:pPr>
      <w:r w:rsidRPr="00893237">
        <w:rPr>
          <w:rFonts w:ascii="Times New Roman" w:hAnsi="Times New Roman"/>
          <w:sz w:val="24"/>
          <w:szCs w:val="24"/>
          <w:lang w:val="en-US"/>
        </w:rPr>
        <w:t>iii. payments shall be made in euros on such conditions and dates as the Governing Board determ</w:t>
      </w:r>
      <w:r w:rsidRPr="00893237">
        <w:rPr>
          <w:rFonts w:ascii="Times New Roman" w:hAnsi="Times New Roman"/>
          <w:sz w:val="24"/>
          <w:szCs w:val="24"/>
          <w:lang w:val="en-US"/>
        </w:rPr>
        <w:t xml:space="preserve">ines; and </w:t>
      </w:r>
    </w:p>
    <w:p w:rsidR="00893237" w:rsidRPr="00893237" w:rsidP="00893237">
      <w:pPr>
        <w:bidi w:val="0"/>
        <w:ind w:left="708"/>
        <w:jc w:val="both"/>
        <w:rPr>
          <w:rFonts w:ascii="Times New Roman" w:hAnsi="Times New Roman" w:hint="default"/>
          <w:sz w:val="24"/>
          <w:szCs w:val="24"/>
          <w:lang w:val="en-US"/>
        </w:rPr>
      </w:pPr>
      <w:r w:rsidRPr="00893237">
        <w:rPr>
          <w:rFonts w:ascii="Times New Roman" w:hAnsi="Times New Roman"/>
          <w:sz w:val="24"/>
          <w:szCs w:val="24"/>
          <w:lang w:val="en-US"/>
        </w:rPr>
        <w:t>iv) if losses are sustained by the Bank on any loans or guarantees which were outstanding on the date the Member State</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s withdrawal becomes effective, and if the amount of such losses exceeds the amount, at that date, of the provisions provided </w:t>
      </w:r>
      <w:r w:rsidRPr="00893237">
        <w:rPr>
          <w:rFonts w:ascii="Times New Roman" w:hAnsi="Times New Roman" w:hint="default"/>
          <w:sz w:val="24"/>
          <w:szCs w:val="24"/>
          <w:lang w:val="en-US"/>
        </w:rPr>
        <w:t>against losses on the date the Member State</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s withdrawal becomes effective, such former Member shall repay, upon demand, the amount by which repurchase price of its certificates would have been reduced if the losses had been taken into account when the re</w:t>
      </w:r>
      <w:r w:rsidRPr="00893237">
        <w:rPr>
          <w:rFonts w:ascii="Times New Roman" w:hAnsi="Times New Roman" w:hint="default"/>
          <w:sz w:val="24"/>
          <w:szCs w:val="24"/>
          <w:lang w:val="en-US"/>
        </w:rPr>
        <w:t>p</w:t>
      </w:r>
      <w:r w:rsidRPr="00893237">
        <w:rPr>
          <w:rFonts w:ascii="Times New Roman" w:hAnsi="Times New Roman" w:hint="default"/>
          <w:sz w:val="24"/>
          <w:szCs w:val="24"/>
          <w:lang w:val="en-US"/>
        </w:rPr>
        <w:t>urchase price was determined. In addition, the former Member shall remain liable on any call for unpaid subscriptions, to the extent that it would have been required to respond had the call been made at the latest on the date the repurchase price of its c</w:t>
      </w:r>
      <w:r w:rsidRPr="00893237">
        <w:rPr>
          <w:rFonts w:ascii="Times New Roman" w:hAnsi="Times New Roman" w:hint="default"/>
          <w:sz w:val="24"/>
          <w:szCs w:val="24"/>
          <w:lang w:val="en-US"/>
        </w:rPr>
        <w:t>e</w:t>
      </w:r>
      <w:r w:rsidRPr="00893237">
        <w:rPr>
          <w:rFonts w:ascii="Times New Roman" w:hAnsi="Times New Roman" w:hint="default"/>
          <w:sz w:val="24"/>
          <w:szCs w:val="24"/>
          <w:lang w:val="en-US"/>
        </w:rPr>
        <w:t xml:space="preserve">rtificates was determined.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d. if the Bank terminates its operations pursuant to Section 4 of this Article within six (6) months of the date upon which any Member ceases to be a Member, all rights of such former Members shall be determined in accordance wi</w:t>
      </w:r>
      <w:r w:rsidRPr="00893237">
        <w:rPr>
          <w:rFonts w:ascii="Times New Roman" w:hAnsi="Times New Roman"/>
          <w:sz w:val="24"/>
          <w:szCs w:val="24"/>
          <w:lang w:val="en-US"/>
        </w:rPr>
        <w:t xml:space="preserve">th the provisions of this same Section.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3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Suspension of operations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Should the Governing Board decide upon the suspension of activities, the Bank shall cease all loan and guarantee operations.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Section 4 </w:t>
      </w:r>
      <w:r w:rsidRPr="00893237">
        <w:rPr>
          <w:rFonts w:ascii="Times New Roman" w:hAnsi="Times New Roman" w:hint="default"/>
          <w:sz w:val="24"/>
          <w:szCs w:val="24"/>
          <w:lang w:val="en-US"/>
        </w:rPr>
        <w:t>–</w:t>
      </w:r>
      <w:r w:rsidRPr="00893237">
        <w:rPr>
          <w:rFonts w:ascii="Times New Roman" w:hAnsi="Times New Roman" w:hint="default"/>
          <w:sz w:val="24"/>
          <w:szCs w:val="24"/>
          <w:lang w:val="en-US"/>
        </w:rPr>
        <w:t xml:space="preserve"> </w:t>
      </w:r>
      <w:r w:rsidRPr="00893237">
        <w:rPr>
          <w:rFonts w:ascii="Times New Roman" w:hAnsi="Times New Roman"/>
          <w:i/>
          <w:iCs/>
          <w:sz w:val="24"/>
          <w:szCs w:val="24"/>
          <w:lang w:val="en-US"/>
        </w:rPr>
        <w:t xml:space="preserve">Liquidation of the Bank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Should the Gov</w:t>
      </w:r>
      <w:r w:rsidRPr="00893237">
        <w:rPr>
          <w:rFonts w:ascii="Times New Roman" w:hAnsi="Times New Roman"/>
          <w:sz w:val="24"/>
          <w:szCs w:val="24"/>
          <w:lang w:val="en-US"/>
        </w:rPr>
        <w:t xml:space="preserve">erning Board decide upon the termination of operations, the Bank shall forthwith cease all activities except those incidental to the settlement of its obligations and the realisation, conservation and preservation of its assets.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After all liabilities of t</w:t>
      </w:r>
      <w:r w:rsidRPr="00893237">
        <w:rPr>
          <w:rFonts w:ascii="Times New Roman" w:hAnsi="Times New Roman"/>
          <w:sz w:val="24"/>
          <w:szCs w:val="24"/>
          <w:lang w:val="en-US"/>
        </w:rPr>
        <w:t>he Bank, including satisfaction of rights upon distribution which may previously have been granted by the Bank upon accepting contributions under Article V, have been discharged or provided for, the Members of the Bank shall adopt a plan for the distribut</w:t>
      </w:r>
      <w:r w:rsidRPr="00893237">
        <w:rPr>
          <w:rFonts w:ascii="Times New Roman" w:hAnsi="Times New Roman"/>
          <w:sz w:val="24"/>
          <w:szCs w:val="24"/>
          <w:lang w:val="en-US"/>
        </w:rPr>
        <w:t>i</w:t>
      </w:r>
      <w:r w:rsidRPr="00893237">
        <w:rPr>
          <w:rFonts w:ascii="Times New Roman" w:hAnsi="Times New Roman"/>
          <w:sz w:val="24"/>
          <w:szCs w:val="24"/>
          <w:lang w:val="en-US"/>
        </w:rPr>
        <w:t xml:space="preserve">on of assets which shall be based on the following principles: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 No Member of the Bank against which the Bank has an unsatisfied claim shall be eligible to participate in the distribution under the plan until it has regularised its position;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b. Priority</w:t>
      </w:r>
      <w:r w:rsidRPr="00893237">
        <w:rPr>
          <w:rFonts w:ascii="Times New Roman" w:hAnsi="Times New Roman"/>
          <w:sz w:val="24"/>
          <w:szCs w:val="24"/>
          <w:lang w:val="en-US"/>
        </w:rPr>
        <w:t xml:space="preserve"> shall be given to using the Bank's net assets to reimburse to Members the sums paid by them in pursuance of Article IV, in proportion to the number of certificates paid up.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Any excess of the Bank's net assets over the aggregate total of such distributed </w:t>
      </w:r>
      <w:r w:rsidRPr="00893237">
        <w:rPr>
          <w:rFonts w:ascii="Times New Roman" w:hAnsi="Times New Roman"/>
          <w:sz w:val="24"/>
          <w:szCs w:val="24"/>
          <w:lang w:val="en-US"/>
        </w:rPr>
        <w:t xml:space="preserve">shares shall be allotted to all Members of the Bank in proportion to the number of participating certificates held by each;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c. Should there be net liabilities, they shall be distributed among the Members of the Bank in proportion to the number of particip</w:t>
      </w:r>
      <w:r w:rsidRPr="00893237">
        <w:rPr>
          <w:rFonts w:ascii="Times New Roman" w:hAnsi="Times New Roman"/>
          <w:sz w:val="24"/>
          <w:szCs w:val="24"/>
          <w:lang w:val="en-US"/>
        </w:rPr>
        <w:t xml:space="preserve">ating certificates held by each. Each Member will be required to pay its share to the Bank, less the certificates paid up and up to a maximum of the certificates subscribed. </w:t>
      </w:r>
    </w:p>
    <w:p w:rsidR="00893237" w:rsidP="00893237">
      <w:pPr>
        <w:bidi w:val="0"/>
        <w:jc w:val="both"/>
        <w:rPr>
          <w:rFonts w:ascii="Times New Roman" w:hAnsi="Times New Roman"/>
          <w:sz w:val="24"/>
          <w:szCs w:val="24"/>
          <w:lang w:val="en-US"/>
        </w:rPr>
      </w:pP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XVI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Interpretation of the present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Any decision o</w:t>
      </w:r>
      <w:r w:rsidRPr="00893237">
        <w:rPr>
          <w:rFonts w:ascii="Times New Roman" w:hAnsi="Times New Roman"/>
          <w:sz w:val="24"/>
          <w:szCs w:val="24"/>
          <w:lang w:val="en-US"/>
        </w:rPr>
        <w:t>f the Administrative Council involving the interpretation of the present Articles of Agreement may be referred to the Governing Board at the request of any Member. Until such time as the Governing Board has made a ruling, the Bank may, to the extent it de</w:t>
      </w:r>
      <w:r w:rsidRPr="00893237">
        <w:rPr>
          <w:rFonts w:ascii="Times New Roman" w:hAnsi="Times New Roman"/>
          <w:sz w:val="24"/>
          <w:szCs w:val="24"/>
          <w:lang w:val="en-US"/>
        </w:rPr>
        <w:t>e</w:t>
      </w:r>
      <w:r w:rsidRPr="00893237">
        <w:rPr>
          <w:rFonts w:ascii="Times New Roman" w:hAnsi="Times New Roman"/>
          <w:sz w:val="24"/>
          <w:szCs w:val="24"/>
          <w:lang w:val="en-US"/>
        </w:rPr>
        <w:t xml:space="preserve">ms it necessary, act on the basis of the decision of the Administrative Council.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Article XVII </w:t>
      </w:r>
    </w:p>
    <w:p w:rsidR="00893237" w:rsidRPr="00893237" w:rsidP="00893237">
      <w:pPr>
        <w:bidi w:val="0"/>
        <w:jc w:val="both"/>
        <w:rPr>
          <w:rFonts w:ascii="Times New Roman" w:hAnsi="Times New Roman"/>
          <w:sz w:val="24"/>
          <w:szCs w:val="24"/>
          <w:lang w:val="en-US"/>
        </w:rPr>
      </w:pPr>
      <w:r w:rsidRPr="00893237">
        <w:rPr>
          <w:rFonts w:ascii="Times New Roman" w:hAnsi="Times New Roman"/>
          <w:b/>
          <w:bCs/>
          <w:sz w:val="24"/>
          <w:szCs w:val="24"/>
          <w:lang w:val="en-US"/>
        </w:rPr>
        <w:t xml:space="preserve">Notifications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The Secretary General of the Council of Europe shall notify the Members of the Bank and the Governor of: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a) the deposit of any declaration or i</w:t>
      </w:r>
      <w:r w:rsidRPr="00893237">
        <w:rPr>
          <w:rFonts w:ascii="Times New Roman" w:hAnsi="Times New Roman"/>
          <w:sz w:val="24"/>
          <w:szCs w:val="24"/>
          <w:lang w:val="en-US"/>
        </w:rPr>
        <w:t xml:space="preserve">nstrument of acceptance of these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 xml:space="preserve">b) any document amending these Articles of Agreement. </w:t>
      </w:r>
    </w:p>
    <w:p w:rsidR="00893237" w:rsidRPr="00893237" w:rsidP="00893237">
      <w:pPr>
        <w:bidi w:val="0"/>
        <w:jc w:val="both"/>
        <w:rPr>
          <w:rFonts w:ascii="Times New Roman" w:hAnsi="Times New Roman"/>
          <w:sz w:val="24"/>
          <w:szCs w:val="24"/>
          <w:lang w:val="en-US"/>
        </w:rPr>
      </w:pPr>
      <w:r w:rsidRPr="00893237">
        <w:rPr>
          <w:rFonts w:ascii="Times New Roman" w:hAnsi="Times New Roman"/>
          <w:sz w:val="24"/>
          <w:szCs w:val="24"/>
          <w:lang w:val="en-US"/>
        </w:rPr>
        <w:t>The Secretary General of the Council of Europe shall forward a certified copy of these Articles of Agreement to each Member State of the Council</w:t>
      </w:r>
      <w:r w:rsidRPr="00893237">
        <w:rPr>
          <w:rFonts w:ascii="Times New Roman" w:hAnsi="Times New Roman"/>
          <w:sz w:val="24"/>
          <w:szCs w:val="24"/>
          <w:lang w:val="en-US"/>
        </w:rPr>
        <w:t xml:space="preserve"> of Europe and to every other Member of the Bank. </w:t>
      </w:r>
    </w:p>
    <w:p w:rsidR="00893237" w:rsidRPr="00893237" w:rsidP="00893237">
      <w:pPr>
        <w:pStyle w:val="Default"/>
        <w:bidi w:val="0"/>
        <w:jc w:val="center"/>
        <w:rPr>
          <w:rFonts w:ascii="Times New Roman" w:hAnsi="Times New Roman" w:cs="Times New Roman"/>
          <w:lang w:val="en-US"/>
        </w:rPr>
      </w:pPr>
      <w:r w:rsidRPr="00893237">
        <w:rPr>
          <w:rFonts w:ascii="Times New Roman" w:hAnsi="Times New Roman" w:cs="Times New Roman"/>
          <w:lang w:val="en-US"/>
        </w:rPr>
        <w:br w:type="page"/>
      </w:r>
      <w:r w:rsidRPr="00893237">
        <w:rPr>
          <w:rFonts w:ascii="Times New Roman" w:hAnsi="Times New Roman" w:cs="Times New Roman"/>
          <w:b/>
          <w:bCs/>
          <w:lang w:val="en-US"/>
        </w:rPr>
        <w:t>TABLE APPENDED TO THE ARTICLES OF AGREEMENT SHOWING THE PERCENTAGE APPORTIONMENT AMONG MEMBERS OF THE BANK OF THE PARTICIPATING CERTIFICATES SUBSCRIBED</w:t>
      </w:r>
    </w:p>
    <w:p w:rsidR="00893237" w:rsidRPr="00893237" w:rsidP="00893237">
      <w:pPr>
        <w:pBdr>
          <w:bottom w:val="single" w:sz="6" w:space="1" w:color="auto"/>
        </w:pBdr>
        <w:autoSpaceDE w:val="0"/>
        <w:autoSpaceDN w:val="0"/>
        <w:bidi w:val="0"/>
        <w:adjustRightInd w:val="0"/>
        <w:spacing w:after="0" w:line="240" w:lineRule="auto"/>
        <w:jc w:val="center"/>
        <w:rPr>
          <w:rFonts w:ascii="Times New Roman" w:hAnsi="Times New Roman" w:hint="default"/>
          <w:b/>
          <w:bCs/>
          <w:color w:val="000000"/>
          <w:sz w:val="24"/>
          <w:szCs w:val="24"/>
          <w:lang w:val="en-US" w:eastAsia="sk-SK"/>
        </w:rPr>
      </w:pPr>
      <w:r w:rsidRPr="00893237">
        <w:rPr>
          <w:rFonts w:ascii="Times New Roman" w:hAnsi="Times New Roman"/>
          <w:b/>
          <w:bCs/>
          <w:color w:val="000000"/>
          <w:sz w:val="24"/>
          <w:szCs w:val="24"/>
          <w:lang w:val="en-US" w:eastAsia="sk-SK"/>
        </w:rPr>
        <w:t>(with amendments reflecting the accession of Bulgari</w:t>
      </w:r>
      <w:r w:rsidRPr="00893237">
        <w:rPr>
          <w:rFonts w:ascii="Times New Roman" w:hAnsi="Times New Roman" w:hint="default"/>
          <w:b/>
          <w:bCs/>
          <w:color w:val="000000"/>
          <w:sz w:val="24"/>
          <w:szCs w:val="24"/>
          <w:lang w:val="en-US" w:eastAsia="sk-SK"/>
        </w:rPr>
        <w:t>a (28.05.94), Slovenia (1.02.94), Lithuania (8.01.96), Romania (5.03.96), Croatia (24.06.97), “</w:t>
      </w:r>
      <w:r w:rsidRPr="00893237">
        <w:rPr>
          <w:rFonts w:ascii="Times New Roman" w:hAnsi="Times New Roman" w:hint="default"/>
          <w:b/>
          <w:bCs/>
          <w:color w:val="000000"/>
          <w:sz w:val="24"/>
          <w:szCs w:val="24"/>
          <w:lang w:val="en-US" w:eastAsia="sk-SK"/>
        </w:rPr>
        <w:t>the former Yugoslav Republic of Macedonia”</w:t>
      </w:r>
      <w:r w:rsidRPr="00893237">
        <w:rPr>
          <w:rFonts w:ascii="Times New Roman" w:hAnsi="Times New Roman" w:hint="default"/>
          <w:b/>
          <w:bCs/>
          <w:color w:val="000000"/>
          <w:sz w:val="24"/>
          <w:szCs w:val="24"/>
          <w:lang w:val="en-US" w:eastAsia="sk-SK"/>
        </w:rPr>
        <w:t xml:space="preserve"> (15.12.97), Hungary (10.03.98), Estonia (1.04.98), Republic of Moldova (4.05.98), Poland (17.08.98), Latvia (14.09.98</w:t>
      </w:r>
      <w:r w:rsidRPr="00893237">
        <w:rPr>
          <w:rFonts w:ascii="Times New Roman" w:hAnsi="Times New Roman" w:hint="default"/>
          <w:b/>
          <w:bCs/>
          <w:color w:val="000000"/>
          <w:sz w:val="24"/>
          <w:szCs w:val="24"/>
          <w:lang w:val="en-US" w:eastAsia="sk-SK"/>
        </w:rPr>
        <w:t>)</w:t>
      </w:r>
      <w:r w:rsidRPr="00893237">
        <w:rPr>
          <w:rFonts w:ascii="Times New Roman" w:hAnsi="Times New Roman" w:hint="default"/>
          <w:b/>
          <w:bCs/>
          <w:color w:val="000000"/>
          <w:sz w:val="24"/>
          <w:szCs w:val="24"/>
          <w:lang w:val="en-US" w:eastAsia="sk-SK"/>
        </w:rPr>
        <w:t>, Slovak Republic (22.12.98), Czech Republic (12.02.99), Albania (24.06.99), Bosnia and Herzegovina (18.12.2003), Serbia (23.04.2004), Ireland (30.11.2004), Georgia (10.01.2007), Montenegro (19.11.2007) and Kosovo (04.11.2013)</w:t>
      </w:r>
    </w:p>
    <w:p w:rsidR="00893237" w:rsidRPr="00893237" w:rsidP="00893237">
      <w:pPr>
        <w:pBdr>
          <w:bottom w:val="single" w:sz="6" w:space="1" w:color="auto"/>
        </w:pBdr>
        <w:autoSpaceDE w:val="0"/>
        <w:autoSpaceDN w:val="0"/>
        <w:bidi w:val="0"/>
        <w:adjustRightInd w:val="0"/>
        <w:spacing w:after="0" w:line="240" w:lineRule="auto"/>
        <w:jc w:val="center"/>
        <w:rPr>
          <w:rFonts w:ascii="Times New Roman" w:hAnsi="Times New Roman" w:hint="default"/>
          <w:b/>
          <w:bCs/>
          <w:color w:val="000000"/>
          <w:sz w:val="24"/>
          <w:szCs w:val="24"/>
          <w:lang w:val="en-US" w:eastAsia="sk-SK"/>
        </w:rPr>
      </w:pPr>
    </w:p>
    <w:p w:rsidR="00893237" w:rsidRPr="00893237" w:rsidP="00893237">
      <w:pPr>
        <w:autoSpaceDE w:val="0"/>
        <w:autoSpaceDN w:val="0"/>
        <w:bidi w:val="0"/>
        <w:adjustRightInd w:val="0"/>
        <w:spacing w:after="0" w:line="240" w:lineRule="auto"/>
        <w:jc w:val="center"/>
        <w:rPr>
          <w:rFonts w:ascii="Times New Roman" w:hAnsi="Times New Roman"/>
          <w:b/>
          <w:bCs/>
          <w:color w:val="000000"/>
          <w:sz w:val="24"/>
          <w:szCs w:val="24"/>
          <w:lang w:val="en-US" w:eastAsia="sk-SK"/>
        </w:rPr>
      </w:pPr>
    </w:p>
    <w:p w:rsidR="00893237" w:rsidRPr="00893237" w:rsidP="00893237">
      <w:pPr>
        <w:autoSpaceDE w:val="0"/>
        <w:autoSpaceDN w:val="0"/>
        <w:bidi w:val="0"/>
        <w:adjustRightInd w:val="0"/>
        <w:spacing w:after="0" w:line="240" w:lineRule="auto"/>
        <w:rPr>
          <w:rFonts w:ascii="Times New Roman" w:hAnsi="Times New Roman"/>
          <w:color w:val="000000"/>
          <w:sz w:val="24"/>
          <w:szCs w:val="24"/>
          <w:lang w:val="en-US" w:eastAsia="sk-SK"/>
        </w:rPr>
      </w:pPr>
    </w:p>
    <w:tbl>
      <w:tblPr>
        <w:tblStyle w:val="TableNormal"/>
        <w:tblW w:w="96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bottom w:w="0" w:type="dxa"/>
        </w:tblCellMar>
      </w:tblPr>
      <w:tblGrid>
        <w:gridCol w:w="3510"/>
        <w:gridCol w:w="1276"/>
        <w:gridCol w:w="3686"/>
        <w:gridCol w:w="1150"/>
      </w:tblGrid>
      <w:tr>
        <w:tblPrEx>
          <w:tblW w:w="96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bottom w:w="0" w:type="dxa"/>
          </w:tblCellMar>
        </w:tblPrEx>
        <w:trPr>
          <w:trHeight w:val="96"/>
        </w:trPr>
        <w:tc>
          <w:tcPr>
            <w:tcW w:w="3510" w:type="dxa"/>
            <w:tcBorders>
              <w:top w:val="doub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center"/>
              <w:rPr>
                <w:rFonts w:ascii="Times New Roman" w:hAnsi="Times New Roman"/>
                <w:color w:val="000000"/>
                <w:szCs w:val="24"/>
                <w:lang w:val="en-US" w:eastAsia="sk-SK"/>
              </w:rPr>
            </w:pPr>
            <w:r w:rsidRPr="00893237">
              <w:rPr>
                <w:rFonts w:ascii="Times New Roman" w:hAnsi="Times New Roman"/>
                <w:color w:val="000000"/>
                <w:szCs w:val="24"/>
                <w:lang w:val="en-US" w:eastAsia="sk-SK"/>
              </w:rPr>
              <w:t>MEMBER STATES</w:t>
            </w:r>
          </w:p>
        </w:tc>
        <w:tc>
          <w:tcPr>
            <w:tcW w:w="1276" w:type="dxa"/>
            <w:tcBorders>
              <w:top w:val="doub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 </w:t>
            </w:r>
          </w:p>
        </w:tc>
        <w:tc>
          <w:tcPr>
            <w:tcW w:w="3686" w:type="dxa"/>
            <w:tcBorders>
              <w:top w:val="doub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center"/>
              <w:rPr>
                <w:rFonts w:ascii="Times New Roman" w:hAnsi="Times New Roman"/>
                <w:color w:val="000000"/>
                <w:szCs w:val="24"/>
                <w:lang w:val="en-US" w:eastAsia="sk-SK"/>
              </w:rPr>
            </w:pPr>
            <w:r w:rsidRPr="00893237">
              <w:rPr>
                <w:rFonts w:ascii="Times New Roman" w:hAnsi="Times New Roman"/>
                <w:color w:val="000000"/>
                <w:szCs w:val="24"/>
                <w:lang w:val="en-US" w:eastAsia="sk-SK"/>
              </w:rPr>
              <w:t>MEMBER ST</w:t>
            </w:r>
            <w:r w:rsidRPr="00893237">
              <w:rPr>
                <w:rFonts w:ascii="Times New Roman" w:hAnsi="Times New Roman"/>
                <w:color w:val="000000"/>
                <w:szCs w:val="24"/>
                <w:lang w:val="en-US" w:eastAsia="sk-SK"/>
              </w:rPr>
              <w:t>ATES</w:t>
            </w:r>
          </w:p>
        </w:tc>
        <w:tc>
          <w:tcPr>
            <w:tcW w:w="1150" w:type="dxa"/>
            <w:tcBorders>
              <w:top w:val="doub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ALBANIA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0.245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MALTA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0.185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BELGIUM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3.003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REPUBLIC OF MOLDOVA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0.100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BOSNIA AND HERZEGOVINA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0.177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MONTENEGRO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0.120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BULGARIA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1.141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NETHERLANDS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3.633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CROATIA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0.391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NORWAY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1.275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CYPRUS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0.363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POLAND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2.344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CZECH REPUBLIC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0.7</w:t>
            </w:r>
            <w:r w:rsidRPr="00893237">
              <w:rPr>
                <w:rFonts w:ascii="Times New Roman" w:hAnsi="Times New Roman"/>
                <w:color w:val="000000"/>
                <w:szCs w:val="24"/>
                <w:lang w:val="en-US" w:eastAsia="sk-SK"/>
              </w:rPr>
              <w:t xml:space="preserve">86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PORTUGAL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2.543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DENMARK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1.639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ROMANIA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1.095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ESTONIA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0.233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SAN MARINO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0.089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FINLAND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1.275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SERBIA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0.472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FRANCE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16.735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SLOVAK REPUBLIC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0.346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GEORGIA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0.180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SLOVENIA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0.225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GERMANY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16.735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SPAIN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10.914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GREECE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3.003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SWEDEN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2.</w:t>
            </w:r>
            <w:r w:rsidRPr="00893237">
              <w:rPr>
                <w:rFonts w:ascii="Times New Roman" w:hAnsi="Times New Roman"/>
                <w:color w:val="000000"/>
                <w:szCs w:val="24"/>
                <w:lang w:val="en-US" w:eastAsia="sk-SK"/>
              </w:rPr>
              <w:t xml:space="preserve">543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HOLY SEE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0.003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SWITZERLAND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0.984 </w:t>
            </w:r>
          </w:p>
        </w:tc>
      </w:tr>
      <w:tr>
        <w:tblPrEx>
          <w:tblW w:w="9622" w:type="dxa"/>
          <w:tblLayout w:type="fixed"/>
          <w:tblCellMar>
            <w:top w:w="0" w:type="dxa"/>
            <w:bottom w:w="0" w:type="dxa"/>
          </w:tblCellMar>
        </w:tblPrEx>
        <w:trPr>
          <w:trHeight w:val="219"/>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HUNGARY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0.818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hint="default"/>
                <w:color w:val="000000"/>
                <w:szCs w:val="24"/>
                <w:lang w:val="en-US" w:eastAsia="sk-SK"/>
              </w:rPr>
            </w:pPr>
            <w:r w:rsidRPr="00893237">
              <w:rPr>
                <w:rFonts w:ascii="Times New Roman" w:hAnsi="Times New Roman" w:hint="default"/>
                <w:color w:val="000000"/>
                <w:szCs w:val="24"/>
                <w:lang w:val="en-US" w:eastAsia="sk-SK"/>
              </w:rPr>
              <w:t>“</w:t>
            </w:r>
            <w:r w:rsidRPr="00893237">
              <w:rPr>
                <w:rFonts w:ascii="Times New Roman" w:hAnsi="Times New Roman" w:hint="default"/>
                <w:color w:val="000000"/>
                <w:szCs w:val="24"/>
                <w:lang w:val="en-US" w:eastAsia="sk-SK"/>
              </w:rPr>
              <w:t>THE FORMER YUGOSLAV REPUBLIC OF MACEDONIA”</w:t>
            </w:r>
            <w:r w:rsidRPr="00893237">
              <w:rPr>
                <w:rFonts w:ascii="Times New Roman" w:hAnsi="Times New Roman" w:hint="default"/>
                <w:color w:val="000000"/>
                <w:szCs w:val="24"/>
                <w:lang w:val="en-US" w:eastAsia="sk-SK"/>
              </w:rPr>
              <w:t xml:space="preserve">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0.233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ICELAND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0.185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TURKEY </w:t>
            </w: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7.096 </w:t>
            </w: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IRELAND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0.883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ITALY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16.735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KOSOVO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0.120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LATVIA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0.234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LIECHTENSTEIN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0.053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LITHUANIA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0.</w:t>
            </w:r>
            <w:r w:rsidRPr="00893237">
              <w:rPr>
                <w:rFonts w:ascii="Times New Roman" w:hAnsi="Times New Roman"/>
                <w:color w:val="000000"/>
                <w:szCs w:val="24"/>
                <w:lang w:val="en-US" w:eastAsia="sk-SK"/>
              </w:rPr>
              <w:t xml:space="preserve">230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LUXEMBOURG </w:t>
            </w:r>
          </w:p>
        </w:tc>
        <w:tc>
          <w:tcPr>
            <w:tcW w:w="127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0.635 </w:t>
            </w:r>
          </w:p>
        </w:tc>
        <w:tc>
          <w:tcPr>
            <w:tcW w:w="3686" w:type="dxa"/>
            <w:tcBorders>
              <w:top w:val="single" w:sz="4" w:space="0" w:color="auto"/>
              <w:left w:val="single" w:sz="4" w:space="0" w:color="auto"/>
              <w:bottom w:val="sing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1150" w:type="dxa"/>
            <w:tcBorders>
              <w:top w:val="single" w:sz="4" w:space="0" w:color="auto"/>
              <w:left w:val="single" w:sz="4" w:space="0" w:color="auto"/>
              <w:bottom w:val="sing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p>
        </w:tc>
      </w:tr>
      <w:tr>
        <w:tblPrEx>
          <w:tblW w:w="9622" w:type="dxa"/>
          <w:tblLayout w:type="fixed"/>
          <w:tblCellMar>
            <w:top w:w="0" w:type="dxa"/>
            <w:bottom w:w="0" w:type="dxa"/>
          </w:tblCellMar>
        </w:tblPrEx>
        <w:trPr>
          <w:trHeight w:val="96"/>
        </w:trPr>
        <w:tc>
          <w:tcPr>
            <w:tcW w:w="3510" w:type="dxa"/>
            <w:tcBorders>
              <w:top w:val="single" w:sz="4" w:space="0" w:color="auto"/>
              <w:left w:val="double" w:sz="4" w:space="0" w:color="auto"/>
              <w:bottom w:val="doub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1276" w:type="dxa"/>
            <w:tcBorders>
              <w:top w:val="single" w:sz="4" w:space="0" w:color="auto"/>
              <w:left w:val="single" w:sz="4" w:space="0" w:color="auto"/>
              <w:bottom w:val="doub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p>
        </w:tc>
        <w:tc>
          <w:tcPr>
            <w:tcW w:w="3686" w:type="dxa"/>
            <w:tcBorders>
              <w:top w:val="single" w:sz="4" w:space="0" w:color="auto"/>
              <w:left w:val="single" w:sz="4" w:space="0" w:color="auto"/>
              <w:bottom w:val="double" w:sz="4" w:space="0" w:color="auto"/>
              <w:right w:val="single" w:sz="4" w:space="0" w:color="auto"/>
            </w:tcBorders>
            <w:textDirection w:val="lrTb"/>
            <w:vAlign w:val="top"/>
          </w:tcPr>
          <w:p w:rsidR="00893237" w:rsidRPr="00893237" w:rsidP="000824EF">
            <w:pPr>
              <w:autoSpaceDE w:val="0"/>
              <w:autoSpaceDN w:val="0"/>
              <w:bidi w:val="0"/>
              <w:adjustRightInd w:val="0"/>
              <w:spacing w:after="0" w:line="240" w:lineRule="auto"/>
              <w:rPr>
                <w:rFonts w:ascii="Times New Roman" w:hAnsi="Times New Roman"/>
                <w:color w:val="000000"/>
                <w:szCs w:val="24"/>
                <w:lang w:val="en-US" w:eastAsia="sk-SK"/>
              </w:rPr>
            </w:pPr>
            <w:r w:rsidRPr="00893237">
              <w:rPr>
                <w:rFonts w:ascii="Times New Roman" w:hAnsi="Times New Roman"/>
                <w:color w:val="000000"/>
                <w:szCs w:val="24"/>
                <w:lang w:val="en-US" w:eastAsia="sk-SK"/>
              </w:rPr>
              <w:t>TOTAL</w:t>
            </w:r>
          </w:p>
        </w:tc>
        <w:tc>
          <w:tcPr>
            <w:tcW w:w="1150" w:type="dxa"/>
            <w:tcBorders>
              <w:top w:val="single" w:sz="4" w:space="0" w:color="auto"/>
              <w:left w:val="single" w:sz="4" w:space="0" w:color="auto"/>
              <w:bottom w:val="double" w:sz="4" w:space="0" w:color="auto"/>
              <w:right w:val="double" w:sz="4" w:space="0" w:color="auto"/>
            </w:tcBorders>
            <w:textDirection w:val="lrTb"/>
            <w:vAlign w:val="top"/>
          </w:tcPr>
          <w:p w:rsidR="00893237" w:rsidRPr="00893237" w:rsidP="000824EF">
            <w:pPr>
              <w:autoSpaceDE w:val="0"/>
              <w:autoSpaceDN w:val="0"/>
              <w:bidi w:val="0"/>
              <w:adjustRightInd w:val="0"/>
              <w:spacing w:after="0" w:line="240" w:lineRule="auto"/>
              <w:jc w:val="right"/>
              <w:rPr>
                <w:rFonts w:ascii="Times New Roman" w:hAnsi="Times New Roman"/>
                <w:color w:val="000000"/>
                <w:szCs w:val="24"/>
                <w:lang w:val="en-US" w:eastAsia="sk-SK"/>
              </w:rPr>
            </w:pPr>
            <w:r w:rsidRPr="00893237">
              <w:rPr>
                <w:rFonts w:ascii="Times New Roman" w:hAnsi="Times New Roman"/>
                <w:color w:val="000000"/>
                <w:szCs w:val="24"/>
                <w:lang w:val="en-US" w:eastAsia="sk-SK"/>
              </w:rPr>
              <w:t xml:space="preserve">100.00 </w:t>
            </w:r>
          </w:p>
        </w:tc>
      </w:tr>
    </w:tbl>
    <w:p w:rsidR="00893237" w:rsidRPr="00893237" w:rsidP="00893237">
      <w:pPr>
        <w:bidi w:val="0"/>
        <w:jc w:val="both"/>
        <w:rPr>
          <w:rFonts w:ascii="Times New Roman" w:hAnsi="Times New Roman"/>
          <w:sz w:val="24"/>
          <w:szCs w:val="24"/>
          <w:lang w:val="en-US"/>
        </w:rPr>
      </w:pPr>
    </w:p>
    <w:p w:rsidR="00893237" w:rsidRPr="00893237" w:rsidP="00893237">
      <w:pPr>
        <w:tabs>
          <w:tab w:val="left" w:pos="-720"/>
          <w:tab w:val="left" w:pos="0"/>
          <w:tab w:val="left" w:pos="432"/>
          <w:tab w:val="left" w:pos="864"/>
          <w:tab w:val="left" w:pos="1296"/>
          <w:tab w:val="left" w:pos="1728"/>
          <w:tab w:val="left" w:pos="2160"/>
        </w:tabs>
        <w:suppressAutoHyphens/>
        <w:bidi w:val="0"/>
        <w:ind w:left="864" w:hanging="864"/>
        <w:jc w:val="both"/>
        <w:rPr>
          <w:rFonts w:ascii="Times New Roman" w:hAnsi="Times New Roman"/>
          <w:spacing w:val="-2"/>
          <w:kern w:val="2"/>
          <w:sz w:val="24"/>
          <w:szCs w:val="24"/>
          <w:lang w:val="en-US"/>
        </w:rPr>
      </w:pPr>
    </w:p>
    <w:p w:rsidR="00462F35" w:rsidRPr="00893237">
      <w:pPr>
        <w:bidi w:val="0"/>
        <w:rPr>
          <w:lang w:val="en-US"/>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454" w:rsidP="00893237">
      <w:pPr>
        <w:bidi w:val="0"/>
        <w:spacing w:after="0" w:line="240" w:lineRule="auto"/>
      </w:pPr>
      <w:r>
        <w:separator/>
      </w:r>
    </w:p>
  </w:footnote>
  <w:footnote w:type="continuationSeparator" w:id="1">
    <w:p w:rsidR="00B86454" w:rsidP="00893237">
      <w:pPr>
        <w:bidi w:val="0"/>
        <w:spacing w:after="0" w:line="240" w:lineRule="auto"/>
      </w:pPr>
      <w:r>
        <w:continuationSeparator/>
      </w:r>
    </w:p>
  </w:footnote>
  <w:footnote w:id="2">
    <w:p w:rsidP="00893237">
      <w:pPr>
        <w:pStyle w:val="FootnoteText"/>
        <w:bidi w:val="0"/>
        <w:rPr>
          <w:rFonts w:ascii="Times New Roman" w:hAnsi="Times New Roman"/>
        </w:rPr>
      </w:pPr>
      <w:r w:rsidR="00893237">
        <w:rPr>
          <w:rStyle w:val="FootnoteReference"/>
          <w:rFonts w:ascii="Times New Roman" w:hAnsi="Times New Roman"/>
        </w:rPr>
        <w:footnoteRef/>
      </w:r>
      <w:r w:rsidR="00893237">
        <w:rPr>
          <w:rFonts w:ascii="Times New Roman" w:hAnsi="Times New Roman"/>
        </w:rPr>
        <w:t xml:space="preserve"> </w:t>
      </w:r>
      <w:r w:rsidRPr="006347CD" w:rsidR="00893237">
        <w:rPr>
          <w:rFonts w:ascii="Times New Roman" w:hAnsi="Times New Roman"/>
        </w:rPr>
        <w:t>The text of this Article was adopted by the Committee of Ministers at the 496th meeting of the Ministers' Deputies by Resolution (93) 22 appended hereto</w:t>
      </w:r>
    </w:p>
  </w:footnote>
  <w:footnote w:id="3">
    <w:p w:rsidP="00893237">
      <w:pPr>
        <w:pStyle w:val="FootnoteText"/>
        <w:bidi w:val="0"/>
        <w:rPr>
          <w:rFonts w:ascii="Times New Roman" w:hAnsi="Times New Roman"/>
        </w:rPr>
      </w:pPr>
      <w:r w:rsidR="00893237">
        <w:rPr>
          <w:rStyle w:val="FootnoteReference"/>
          <w:rFonts w:ascii="Times New Roman" w:hAnsi="Times New Roman"/>
        </w:rPr>
        <w:footnoteRef/>
      </w:r>
      <w:r w:rsidR="00893237">
        <w:rPr>
          <w:rFonts w:ascii="Times New Roman" w:hAnsi="Times New Roman"/>
        </w:rPr>
        <w:t xml:space="preserve"> </w:t>
      </w:r>
      <w:r w:rsidRPr="006347CD" w:rsidR="00893237">
        <w:rPr>
          <w:rFonts w:ascii="Times New Roman" w:hAnsi="Times New Roman"/>
        </w:rPr>
        <w:t>Modified by the Governing Board by its Resolution 384 adopted at the 196th meeting (Paris, 26 November 2010)</w:t>
      </w:r>
    </w:p>
  </w:footnote>
  <w:footnote w:id="4">
    <w:p w:rsidP="00893237">
      <w:pPr>
        <w:pStyle w:val="FootnoteText"/>
        <w:bidi w:val="0"/>
        <w:rPr>
          <w:rFonts w:ascii="Times New Roman" w:hAnsi="Times New Roman"/>
        </w:rPr>
      </w:pPr>
      <w:r w:rsidR="00893237">
        <w:rPr>
          <w:rStyle w:val="FootnoteReference"/>
          <w:rFonts w:ascii="Times New Roman" w:hAnsi="Times New Roman"/>
        </w:rPr>
        <w:footnoteRef/>
      </w:r>
      <w:r w:rsidR="00893237">
        <w:rPr>
          <w:rFonts w:ascii="Times New Roman" w:hAnsi="Times New Roman"/>
        </w:rPr>
        <w:t xml:space="preserve"> </w:t>
      </w:r>
      <w:r w:rsidRPr="006347CD" w:rsidR="00893237">
        <w:rPr>
          <w:rFonts w:ascii="Times New Roman" w:hAnsi="Times New Roman"/>
        </w:rPr>
        <w:t>Modified by the Governing Board by its Resolution 384 adopted at the 196th meeting (Paris, 26 November 2010)</w:t>
      </w:r>
    </w:p>
  </w:footnote>
  <w:footnote w:id="5">
    <w:p w:rsidP="00893237">
      <w:pPr>
        <w:pStyle w:val="FootnoteText"/>
        <w:bidi w:val="0"/>
        <w:rPr>
          <w:rFonts w:ascii="Times New Roman" w:hAnsi="Times New Roman"/>
        </w:rPr>
      </w:pPr>
      <w:r w:rsidR="00893237">
        <w:rPr>
          <w:rStyle w:val="FootnoteReference"/>
          <w:rFonts w:ascii="Times New Roman" w:hAnsi="Times New Roman"/>
        </w:rPr>
        <w:footnoteRef/>
      </w:r>
      <w:r w:rsidR="00893237">
        <w:rPr>
          <w:rFonts w:ascii="Times New Roman" w:hAnsi="Times New Roman"/>
        </w:rPr>
        <w:t xml:space="preserve"> </w:t>
      </w:r>
      <w:r w:rsidRPr="006347CD" w:rsidR="00893237">
        <w:rPr>
          <w:rFonts w:ascii="Times New Roman" w:hAnsi="Times New Roman"/>
        </w:rPr>
        <w:t>Modified by the Governing Board by its Resolution 394 adopted at the 200th meeting (Paris, 25 November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B4748"/>
    <w:multiLevelType w:val="hybridMultilevel"/>
    <w:tmpl w:val="9378F7DE"/>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4E0967"/>
    <w:multiLevelType w:val="hybridMultilevel"/>
    <w:tmpl w:val="46BC05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6996A04"/>
    <w:multiLevelType w:val="hybridMultilevel"/>
    <w:tmpl w:val="77ACA0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E726D3C"/>
    <w:multiLevelType w:val="hybridMultilevel"/>
    <w:tmpl w:val="9CE0D0EE"/>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12F6C83"/>
    <w:multiLevelType w:val="hybridMultilevel"/>
    <w:tmpl w:val="620E3E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893237"/>
    <w:rsid w:val="000824EF"/>
    <w:rsid w:val="00462F35"/>
    <w:rsid w:val="006347CD"/>
    <w:rsid w:val="00893237"/>
    <w:rsid w:val="00B86454"/>
    <w:rsid w:val="00D92F8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eastAsia="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93237"/>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lang w:eastAsia="sk-SK"/>
    </w:rPr>
  </w:style>
  <w:style w:type="character" w:customStyle="1" w:styleId="FootnoteTextChar">
    <w:name w:val="Footnote Text Char"/>
    <w:link w:val="FootnoteText"/>
    <w:uiPriority w:val="99"/>
    <w:semiHidden/>
    <w:locked/>
    <w:rsid w:val="00893237"/>
    <w:rPr>
      <w:rFonts w:ascii="Times New Roman" w:hAnsi="Times New Roman" w:cs="Times New Roman"/>
    </w:rPr>
  </w:style>
  <w:style w:type="character" w:styleId="FootnoteReference">
    <w:name w:val="footnote reference"/>
    <w:uiPriority w:val="99"/>
    <w:semiHidden/>
    <w:rsid w:val="00893237"/>
    <w:rPr>
      <w:vertAlign w:val="superscript"/>
    </w:rPr>
  </w:style>
  <w:style w:type="paragraph" w:customStyle="1" w:styleId="Default">
    <w:name w:val="Default"/>
    <w:rsid w:val="00893237"/>
    <w:pPr>
      <w:framePr w:wrap="auto"/>
      <w:widowControl/>
      <w:autoSpaceDE w:val="0"/>
      <w:autoSpaceDN w:val="0"/>
      <w:adjustRightInd w:val="0"/>
      <w:ind w:left="0" w:right="0"/>
      <w:jc w:val="left"/>
      <w:textAlignment w:val="auto"/>
    </w:pPr>
    <w:rPr>
      <w:rFonts w:ascii="Verdana" w:hAnsi="Verdana" w:cs="Verdana"/>
      <w:color w:val="000000"/>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image" Target="media/image1.w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97ADD73-C9F0-4C76-80A8-79B7510CB7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FA38C8-3B58-45D3-BB24-22759A30F386}">
  <ds:schemaRefs>
    <ds:schemaRef ds:uri="http://schemas.microsoft.com/sharepoint/v3/contenttype/forms"/>
  </ds:schemaRefs>
</ds:datastoreItem>
</file>

<file path=customXml/itemProps3.xml><?xml version="1.0" encoding="utf-8"?>
<ds:datastoreItem xmlns:ds="http://schemas.openxmlformats.org/officeDocument/2006/customXml" ds:itemID="{58F876FB-25D6-484E-917A-0D16C681A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0</TotalTime>
  <Pages>20</Pages>
  <Words>6197</Words>
  <Characters>35325</Characters>
  <Application>Microsoft Office Word</Application>
  <DocSecurity>0</DocSecurity>
  <Lines>0</Lines>
  <Paragraphs>0</Paragraphs>
  <ScaleCrop>false</ScaleCrop>
  <Company>MZV SR</Company>
  <LinksUpToDate>false</LinksUpToDate>
  <CharactersWithSpaces>41440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Gašparíková, Jarmila</cp:lastModifiedBy>
  <cp:revision>2</cp:revision>
  <dcterms:created xsi:type="dcterms:W3CDTF">2016-07-18T09:44:00Z</dcterms:created>
  <dcterms:modified xsi:type="dcterms:W3CDTF">2016-07-18T09:44:00Z</dcterms:modified>
</cp:coreProperties>
</file>