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019" w:type="dxa"/>
        <w:tblInd w:w="-383"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52"/>
        <w:gridCol w:w="6378"/>
        <w:gridCol w:w="709"/>
        <w:gridCol w:w="709"/>
        <w:gridCol w:w="709"/>
        <w:gridCol w:w="4819"/>
        <w:gridCol w:w="709"/>
        <w:gridCol w:w="1134"/>
      </w:tblGrid>
      <w:tr>
        <w:tblPrEx>
          <w:tblW w:w="16019" w:type="dxa"/>
          <w:tblInd w:w="-383"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567"/>
        </w:trPr>
        <w:tc>
          <w:tcPr>
            <w:tcW w:w="16019" w:type="dxa"/>
            <w:gridSpan w:val="8"/>
            <w:tcBorders>
              <w:top w:val="nil"/>
              <w:left w:val="nil"/>
              <w:bottom w:val="single" w:sz="4" w:space="0" w:color="auto"/>
              <w:right w:val="nil"/>
            </w:tcBorders>
            <w:textDirection w:val="lrTb"/>
            <w:vAlign w:val="top"/>
          </w:tcPr>
          <w:p w:rsidR="000738CF" w:rsidRPr="00AA425D" w:rsidP="00B93F24">
            <w:pPr>
              <w:bidi w:val="0"/>
              <w:spacing w:after="0" w:line="240" w:lineRule="auto"/>
              <w:jc w:val="center"/>
              <w:outlineLvl w:val="0"/>
              <w:rPr>
                <w:rFonts w:ascii="Times New Roman" w:hAnsi="Times New Roman"/>
                <w:b/>
                <w:bCs/>
                <w:sz w:val="22"/>
                <w:szCs w:val="22"/>
              </w:rPr>
            </w:pPr>
            <w:r w:rsidRPr="00AA425D">
              <w:rPr>
                <w:rFonts w:ascii="Times New Roman" w:hAnsi="Times New Roman"/>
                <w:b/>
                <w:bCs/>
                <w:sz w:val="22"/>
                <w:szCs w:val="22"/>
              </w:rPr>
              <w:t>TABUĽKA  ZHODY</w:t>
            </w:r>
          </w:p>
          <w:p w:rsidR="000738CF" w:rsidRPr="00AA425D" w:rsidP="00B93F24">
            <w:pPr>
              <w:bidi w:val="0"/>
              <w:spacing w:after="0" w:line="240" w:lineRule="auto"/>
              <w:jc w:val="center"/>
              <w:rPr>
                <w:rFonts w:ascii="Times New Roman" w:hAnsi="Times New Roman"/>
                <w:b/>
                <w:bCs/>
                <w:sz w:val="22"/>
                <w:szCs w:val="22"/>
              </w:rPr>
            </w:pPr>
            <w:r w:rsidRPr="00AA425D">
              <w:rPr>
                <w:rFonts w:ascii="Times New Roman" w:hAnsi="Times New Roman"/>
                <w:b/>
                <w:bCs/>
                <w:sz w:val="22"/>
                <w:szCs w:val="22"/>
              </w:rPr>
              <w:t>právneho predpisu</w:t>
            </w:r>
          </w:p>
          <w:p w:rsidR="000738CF" w:rsidRPr="00AA425D" w:rsidP="00B93F24">
            <w:pPr>
              <w:bidi w:val="0"/>
              <w:spacing w:after="0" w:line="240" w:lineRule="auto"/>
              <w:jc w:val="center"/>
              <w:rPr>
                <w:rFonts w:ascii="Times New Roman" w:hAnsi="Times New Roman"/>
                <w:b/>
                <w:bCs/>
                <w:sz w:val="22"/>
                <w:szCs w:val="22"/>
              </w:rPr>
            </w:pPr>
            <w:r w:rsidRPr="00AA425D">
              <w:rPr>
                <w:rFonts w:ascii="Times New Roman" w:hAnsi="Times New Roman"/>
                <w:b/>
                <w:bCs/>
                <w:sz w:val="22"/>
                <w:szCs w:val="22"/>
              </w:rPr>
              <w:t>s právom Európskej únie</w:t>
            </w:r>
          </w:p>
          <w:p w:rsidR="000738CF" w:rsidRPr="00AA425D" w:rsidP="00B93F24">
            <w:pPr>
              <w:bidi w:val="0"/>
              <w:spacing w:after="0" w:line="240" w:lineRule="auto"/>
              <w:jc w:val="center"/>
              <w:rPr>
                <w:rFonts w:ascii="Times New Roman" w:hAnsi="Times New Roman"/>
              </w:rPr>
            </w:pPr>
          </w:p>
        </w:tc>
      </w:tr>
      <w:tr>
        <w:tblPrEx>
          <w:tblW w:w="16019" w:type="dxa"/>
          <w:tblInd w:w="-383" w:type="dxa"/>
          <w:tblLayout w:type="fixed"/>
          <w:tblCellMar>
            <w:left w:w="43" w:type="dxa"/>
            <w:right w:w="43" w:type="dxa"/>
          </w:tblCellMar>
        </w:tblPrEx>
        <w:trPr>
          <w:trHeight w:val="567"/>
        </w:trPr>
        <w:tc>
          <w:tcPr>
            <w:tcW w:w="7939" w:type="dxa"/>
            <w:gridSpan w:val="3"/>
            <w:tcBorders>
              <w:top w:val="single" w:sz="4" w:space="0" w:color="auto"/>
              <w:left w:val="single" w:sz="12" w:space="0" w:color="auto"/>
              <w:bottom w:val="single" w:sz="4" w:space="0" w:color="auto"/>
              <w:right w:val="single" w:sz="12" w:space="0" w:color="auto"/>
            </w:tcBorders>
            <w:textDirection w:val="lrTb"/>
            <w:vAlign w:val="top"/>
          </w:tcPr>
          <w:p w:rsidR="000738CF" w:rsidRPr="00AA425D" w:rsidP="00936F1D">
            <w:pPr>
              <w:pStyle w:val="Heading4"/>
              <w:bidi w:val="0"/>
              <w:spacing w:before="120" w:after="0" w:line="240" w:lineRule="auto"/>
              <w:rPr>
                <w:rFonts w:ascii="Times New Roman" w:hAnsi="Times New Roman"/>
                <w:sz w:val="20"/>
                <w:szCs w:val="20"/>
              </w:rPr>
            </w:pPr>
            <w:r w:rsidRPr="00AA425D">
              <w:rPr>
                <w:rFonts w:ascii="Times New Roman" w:hAnsi="Times New Roman"/>
                <w:sz w:val="20"/>
                <w:szCs w:val="20"/>
              </w:rPr>
              <w:t>Smernica EÚ</w:t>
            </w:r>
          </w:p>
          <w:p w:rsidR="00936F1D" w:rsidRPr="00AA425D" w:rsidP="00936F1D">
            <w:pPr>
              <w:bidi w:val="0"/>
              <w:spacing w:after="0" w:line="240" w:lineRule="auto"/>
              <w:rPr>
                <w:rFonts w:ascii="Times New Roman" w:hAnsi="Times New Roman"/>
              </w:rPr>
            </w:pPr>
          </w:p>
          <w:p w:rsidR="00936F1D" w:rsidRPr="00AA425D" w:rsidP="00936F1D">
            <w:pPr>
              <w:pStyle w:val="doc-ti"/>
              <w:bidi w:val="0"/>
              <w:spacing w:before="0" w:after="0" w:line="240" w:lineRule="auto"/>
              <w:jc w:val="both"/>
              <w:rPr>
                <w:rFonts w:ascii="Times New Roman" w:hAnsi="Times New Roman"/>
                <w:sz w:val="20"/>
                <w:szCs w:val="20"/>
              </w:rPr>
            </w:pPr>
            <w:r w:rsidRPr="00AA425D" w:rsidR="000738CF">
              <w:rPr>
                <w:rFonts w:ascii="Times New Roman" w:hAnsi="Times New Roman"/>
                <w:sz w:val="20"/>
                <w:szCs w:val="20"/>
              </w:rPr>
              <w:t xml:space="preserve">Smernica </w:t>
            </w:r>
            <w:r w:rsidRPr="00AA425D">
              <w:rPr>
                <w:rFonts w:ascii="Times New Roman" w:hAnsi="Times New Roman"/>
                <w:sz w:val="20"/>
                <w:szCs w:val="20"/>
              </w:rPr>
              <w:t>Komisie</w:t>
            </w:r>
            <w:r w:rsidRPr="00AA425D" w:rsidR="000738CF">
              <w:rPr>
                <w:rFonts w:ascii="Times New Roman" w:hAnsi="Times New Roman"/>
                <w:sz w:val="20"/>
                <w:szCs w:val="20"/>
              </w:rPr>
              <w:t xml:space="preserve"> </w:t>
            </w:r>
            <w:r w:rsidRPr="00AA425D">
              <w:rPr>
                <w:rFonts w:ascii="Times New Roman" w:hAnsi="Times New Roman"/>
                <w:sz w:val="20"/>
                <w:szCs w:val="20"/>
              </w:rPr>
              <w:t>2014/80/EÚ z 20. júna 2014, ktorou sa mení príloha II k smernici Európskeho parlamentu a Rady 2006/118/ES o ochrane podzemných vôd pred znečistením a zhoršením kvality</w:t>
            </w:r>
          </w:p>
          <w:p w:rsidR="000738CF" w:rsidRPr="00AA425D" w:rsidP="00B93F24">
            <w:pPr>
              <w:pStyle w:val="Heading4"/>
              <w:bidi w:val="0"/>
              <w:spacing w:before="120" w:after="0" w:line="240" w:lineRule="auto"/>
              <w:jc w:val="both"/>
              <w:rPr>
                <w:rFonts w:ascii="Times New Roman" w:hAnsi="Times New Roman"/>
                <w:sz w:val="20"/>
                <w:szCs w:val="20"/>
              </w:rPr>
            </w:pPr>
          </w:p>
        </w:tc>
        <w:tc>
          <w:tcPr>
            <w:tcW w:w="8080" w:type="dxa"/>
            <w:gridSpan w:val="5"/>
            <w:tcBorders>
              <w:top w:val="single" w:sz="4" w:space="0" w:color="auto"/>
              <w:left w:val="nil"/>
              <w:bottom w:val="single" w:sz="4" w:space="0" w:color="auto"/>
              <w:right w:val="single" w:sz="12" w:space="0" w:color="auto"/>
            </w:tcBorders>
            <w:textDirection w:val="lrTb"/>
            <w:vAlign w:val="top"/>
          </w:tcPr>
          <w:p w:rsidR="000738CF" w:rsidRPr="00AA425D" w:rsidP="00B93F24">
            <w:pPr>
              <w:pStyle w:val="Heading4"/>
              <w:bidi w:val="0"/>
              <w:spacing w:before="120" w:after="0" w:line="240" w:lineRule="auto"/>
              <w:rPr>
                <w:rFonts w:ascii="Times New Roman" w:hAnsi="Times New Roman"/>
                <w:sz w:val="20"/>
                <w:szCs w:val="20"/>
              </w:rPr>
            </w:pPr>
            <w:r w:rsidRPr="00AA425D">
              <w:rPr>
                <w:rFonts w:ascii="Times New Roman" w:hAnsi="Times New Roman"/>
                <w:sz w:val="20"/>
                <w:szCs w:val="20"/>
              </w:rPr>
              <w:t>Všeobecne záväzné práv</w:t>
            </w:r>
            <w:r w:rsidRPr="00AA425D" w:rsidR="00936F1D">
              <w:rPr>
                <w:rFonts w:ascii="Times New Roman" w:hAnsi="Times New Roman"/>
                <w:sz w:val="20"/>
                <w:szCs w:val="20"/>
              </w:rPr>
              <w:t>ne predpisy Slovenskej republiky</w:t>
            </w:r>
          </w:p>
          <w:p w:rsidR="00936F1D" w:rsidRPr="00AA425D" w:rsidP="00936F1D">
            <w:pPr>
              <w:bidi w:val="0"/>
              <w:spacing w:after="0" w:line="240" w:lineRule="auto"/>
              <w:rPr>
                <w:rFonts w:ascii="Times New Roman" w:hAnsi="Times New Roman"/>
              </w:rPr>
            </w:pPr>
          </w:p>
          <w:p w:rsidR="005A64AE" w:rsidRPr="00C908F0" w:rsidP="00C908F0">
            <w:pPr>
              <w:pStyle w:val="ListParagraph"/>
              <w:numPr>
                <w:numId w:val="3"/>
              </w:numPr>
              <w:tabs>
                <w:tab w:val="right" w:pos="9072"/>
              </w:tabs>
              <w:bidi w:val="0"/>
              <w:spacing w:before="0" w:after="0" w:line="240" w:lineRule="auto"/>
              <w:ind w:left="382" w:hanging="283"/>
              <w:rPr>
                <w:rFonts w:ascii="Times New Roman" w:hAnsi="Times New Roman"/>
                <w:b/>
                <w:bCs/>
                <w:sz w:val="20"/>
                <w:szCs w:val="20"/>
              </w:rPr>
            </w:pPr>
            <w:r w:rsidRPr="00AA425D" w:rsidR="000738CF">
              <w:rPr>
                <w:rFonts w:ascii="Times New Roman" w:hAnsi="Times New Roman"/>
                <w:b/>
                <w:sz w:val="20"/>
                <w:szCs w:val="20"/>
                <w:lang w:eastAsia="en-US"/>
              </w:rPr>
              <w:t xml:space="preserve">návrh zákona, </w:t>
            </w:r>
            <w:r w:rsidRPr="00AA425D" w:rsidR="000738CF">
              <w:rPr>
                <w:rFonts w:ascii="Times New Roman" w:hAnsi="Times New Roman"/>
                <w:b/>
                <w:bCs/>
                <w:sz w:val="20"/>
                <w:szCs w:val="20"/>
              </w:rPr>
              <w:t xml:space="preserve">ktorým sa mení a dopĺňa </w:t>
            </w:r>
            <w:r w:rsidRPr="00AA425D" w:rsidR="000738CF">
              <w:rPr>
                <w:rFonts w:ascii="Times New Roman" w:hAnsi="Times New Roman"/>
                <w:b/>
                <w:sz w:val="20"/>
                <w:szCs w:val="20"/>
                <w:lang w:eastAsia="en-US"/>
              </w:rPr>
              <w:t xml:space="preserve">zákon č. 364/2004 Z. z. </w:t>
            </w:r>
            <w:r w:rsidRPr="00AA425D" w:rsidR="000738CF">
              <w:rPr>
                <w:rFonts w:ascii="Times New Roman" w:hAnsi="Times New Roman"/>
                <w:b/>
                <w:bCs/>
                <w:sz w:val="20"/>
                <w:szCs w:val="20"/>
              </w:rPr>
              <w:t>o vodách a o zmene zákona Slovenskej národnej rady č. 372/1990 Zb. o priestupkoch v znení neskorších predpisov  (vodný zákon) v znení neskorších predpisov</w:t>
            </w:r>
            <w:r w:rsidR="00C908F0">
              <w:rPr>
                <w:rFonts w:ascii="Times New Roman" w:hAnsi="Times New Roman"/>
                <w:b/>
                <w:bCs/>
                <w:sz w:val="20"/>
                <w:szCs w:val="20"/>
              </w:rPr>
              <w:t>,</w:t>
            </w:r>
          </w:p>
          <w:p w:rsidR="00C908F0" w:rsidRPr="00C908F0" w:rsidP="00C908F0">
            <w:pPr>
              <w:pStyle w:val="ListParagraph"/>
              <w:numPr>
                <w:numId w:val="3"/>
              </w:numPr>
              <w:tabs>
                <w:tab w:val="right" w:pos="9072"/>
              </w:tabs>
              <w:bidi w:val="0"/>
              <w:spacing w:before="0" w:after="0" w:line="240" w:lineRule="auto"/>
              <w:ind w:left="382" w:hanging="283"/>
              <w:rPr>
                <w:rFonts w:ascii="Times New Roman" w:hAnsi="Times New Roman"/>
                <w:b/>
                <w:bCs/>
                <w:sz w:val="20"/>
                <w:szCs w:val="20"/>
              </w:rPr>
            </w:pPr>
            <w:r w:rsidRPr="00AA425D" w:rsidR="005A64AE">
              <w:rPr>
                <w:rFonts w:ascii="Times New Roman" w:hAnsi="Times New Roman"/>
                <w:b/>
                <w:sz w:val="20"/>
                <w:szCs w:val="20"/>
              </w:rPr>
              <w:t>návrh v</w:t>
            </w:r>
            <w:r w:rsidRPr="00AA425D" w:rsidR="00C64FCD">
              <w:rPr>
                <w:rFonts w:ascii="Times New Roman" w:hAnsi="Times New Roman"/>
                <w:b/>
                <w:sz w:val="20"/>
                <w:szCs w:val="20"/>
              </w:rPr>
              <w:t>yhlášky</w:t>
            </w:r>
            <w:r w:rsidRPr="00AA425D" w:rsidR="005A64AE">
              <w:rPr>
                <w:rFonts w:ascii="Times New Roman" w:hAnsi="Times New Roman"/>
                <w:b/>
                <w:sz w:val="20"/>
                <w:szCs w:val="20"/>
              </w:rPr>
              <w:t xml:space="preserve"> Ministerstva životného prostredia Slovenskej republiky, ktorou sa ustanovujú podrobnosti o vymedzení správneho územia povodia, environmentálnych cieľoch, ekonomickej analýze a o vodnom plánovaní</w:t>
            </w:r>
            <w:r>
              <w:rPr>
                <w:rFonts w:ascii="Times New Roman" w:hAnsi="Times New Roman"/>
                <w:b/>
                <w:sz w:val="20"/>
                <w:szCs w:val="20"/>
              </w:rPr>
              <w:t>,</w:t>
            </w:r>
          </w:p>
          <w:p w:rsidR="00C908F0" w:rsidRPr="00AE4DEF" w:rsidP="00C908F0">
            <w:pPr>
              <w:pStyle w:val="ListParagraph"/>
              <w:numPr>
                <w:numId w:val="3"/>
              </w:numPr>
              <w:tabs>
                <w:tab w:val="right" w:pos="9072"/>
              </w:tabs>
              <w:bidi w:val="0"/>
              <w:spacing w:before="0" w:after="0" w:line="240" w:lineRule="auto"/>
              <w:ind w:left="382" w:hanging="283"/>
              <w:rPr>
                <w:rFonts w:ascii="Times New Roman" w:hAnsi="Times New Roman"/>
                <w:b/>
                <w:bCs/>
                <w:sz w:val="20"/>
                <w:szCs w:val="20"/>
              </w:rPr>
            </w:pPr>
            <w:r w:rsidRPr="00AE4DEF">
              <w:rPr>
                <w:rFonts w:ascii="Times New Roman" w:hAnsi="Times New Roman"/>
                <w:sz w:val="20"/>
                <w:szCs w:val="20"/>
                <w:lang w:eastAsia="en-US"/>
              </w:rPr>
              <w:t xml:space="preserve">Zákon č. 364/2004 Z. z. </w:t>
            </w:r>
            <w:r w:rsidRPr="00AE4DEF">
              <w:rPr>
                <w:rFonts w:ascii="Times New Roman" w:hAnsi="Times New Roman"/>
                <w:bCs/>
                <w:sz w:val="20"/>
                <w:szCs w:val="20"/>
              </w:rPr>
              <w:t>o vodách a o zmene zákona Slovenskej národnej rady č. 372/1990 Zb. o priestupkoch v znení neskorších predpisov  (vodný zákon) v znení neskorších predpisov.</w:t>
            </w:r>
          </w:p>
          <w:p w:rsidR="000738CF" w:rsidRPr="00AA425D" w:rsidP="00936F1D">
            <w:pPr>
              <w:tabs>
                <w:tab w:val="center" w:pos="4536"/>
                <w:tab w:val="right" w:pos="9072"/>
              </w:tabs>
              <w:bidi w:val="0"/>
              <w:spacing w:after="0" w:line="240" w:lineRule="auto"/>
              <w:ind w:left="360" w:hanging="229"/>
              <w:rPr>
                <w:rFonts w:ascii="Times New Roman" w:hAnsi="Times New Roman"/>
                <w:sz w:val="20"/>
                <w:szCs w:val="20"/>
                <w:lang w:eastAsia="en-US"/>
              </w:rPr>
            </w:pPr>
          </w:p>
        </w:tc>
      </w:tr>
      <w:tr>
        <w:tblPrEx>
          <w:tblW w:w="16019" w:type="dxa"/>
          <w:tblInd w:w="-383" w:type="dxa"/>
          <w:tblLayout w:type="fixed"/>
          <w:tblCellMar>
            <w:left w:w="43" w:type="dxa"/>
            <w:right w:w="43" w:type="dxa"/>
          </w:tblCellMar>
        </w:tblPrEx>
        <w:tc>
          <w:tcPr>
            <w:tcW w:w="852" w:type="dxa"/>
            <w:tcBorders>
              <w:top w:val="single" w:sz="4" w:space="0" w:color="auto"/>
              <w:left w:val="single" w:sz="12" w:space="0" w:color="auto"/>
              <w:bottom w:val="single" w:sz="4" w:space="0" w:color="auto"/>
              <w:right w:val="single" w:sz="4" w:space="0" w:color="auto"/>
            </w:tcBorders>
            <w:textDirection w:val="lrTb"/>
            <w:vAlign w:val="top"/>
          </w:tcPr>
          <w:p w:rsidR="000738CF" w:rsidRPr="00AA425D" w:rsidP="00B93F24">
            <w:pPr>
              <w:bidi w:val="0"/>
              <w:spacing w:after="0" w:line="240" w:lineRule="auto"/>
              <w:jc w:val="center"/>
              <w:rPr>
                <w:rFonts w:ascii="Times New Roman" w:hAnsi="Times New Roman"/>
                <w:sz w:val="20"/>
                <w:szCs w:val="20"/>
              </w:rPr>
            </w:pPr>
            <w:r w:rsidRPr="00AA425D">
              <w:rPr>
                <w:rFonts w:ascii="Times New Roman" w:hAnsi="Times New Roman"/>
                <w:sz w:val="20"/>
                <w:szCs w:val="20"/>
              </w:rPr>
              <w:t>1</w:t>
            </w: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B93F24">
            <w:pPr>
              <w:bidi w:val="0"/>
              <w:spacing w:after="0" w:line="240" w:lineRule="auto"/>
              <w:jc w:val="center"/>
              <w:rPr>
                <w:rFonts w:ascii="Times New Roman" w:hAnsi="Times New Roman"/>
                <w:sz w:val="20"/>
                <w:szCs w:val="20"/>
              </w:rPr>
            </w:pPr>
            <w:r w:rsidRPr="00AA425D">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0738CF" w:rsidRPr="00AA425D" w:rsidP="00B93F24">
            <w:pPr>
              <w:bidi w:val="0"/>
              <w:spacing w:after="0" w:line="240" w:lineRule="auto"/>
              <w:jc w:val="center"/>
              <w:rPr>
                <w:rFonts w:ascii="Times New Roman" w:hAnsi="Times New Roman"/>
                <w:sz w:val="20"/>
                <w:szCs w:val="20"/>
              </w:rPr>
            </w:pPr>
            <w:r w:rsidRPr="00AA425D">
              <w:rPr>
                <w:rFonts w:ascii="Times New Roman" w:hAnsi="Times New Roman"/>
                <w:sz w:val="20"/>
                <w:szCs w:val="20"/>
              </w:rPr>
              <w:t>3</w:t>
            </w:r>
          </w:p>
        </w:tc>
        <w:tc>
          <w:tcPr>
            <w:tcW w:w="709" w:type="dxa"/>
            <w:tcBorders>
              <w:top w:val="single" w:sz="4" w:space="0" w:color="auto"/>
              <w:left w:val="nil"/>
              <w:bottom w:val="single" w:sz="4" w:space="0" w:color="auto"/>
              <w:right w:val="single" w:sz="4" w:space="0" w:color="auto"/>
            </w:tcBorders>
            <w:textDirection w:val="lrTb"/>
            <w:vAlign w:val="top"/>
          </w:tcPr>
          <w:p w:rsidR="000738CF" w:rsidRPr="00AA425D" w:rsidP="00B93F24">
            <w:pPr>
              <w:bidi w:val="0"/>
              <w:spacing w:after="0" w:line="240" w:lineRule="auto"/>
              <w:jc w:val="center"/>
              <w:rPr>
                <w:rFonts w:ascii="Times New Roman" w:hAnsi="Times New Roman"/>
                <w:sz w:val="20"/>
                <w:szCs w:val="20"/>
              </w:rPr>
            </w:pPr>
            <w:r w:rsidRPr="00AA425D">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B93F24">
            <w:pPr>
              <w:pStyle w:val="BodyText2"/>
              <w:bidi w:val="0"/>
              <w:spacing w:after="0" w:line="240" w:lineRule="exact"/>
              <w:rPr>
                <w:rFonts w:ascii="Times New Roman" w:hAnsi="Times New Roman"/>
              </w:rPr>
            </w:pPr>
            <w:r w:rsidRPr="00AA425D">
              <w:rPr>
                <w:rFonts w:ascii="Times New Roman" w:hAnsi="Times New Roman"/>
              </w:rPr>
              <w:t>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B93F24">
            <w:pPr>
              <w:pStyle w:val="BodyText2"/>
              <w:bidi w:val="0"/>
              <w:spacing w:after="0" w:line="240" w:lineRule="exact"/>
              <w:rPr>
                <w:rFonts w:ascii="Times New Roman" w:hAnsi="Times New Roman"/>
              </w:rPr>
            </w:pPr>
            <w:r w:rsidRPr="00AA425D">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B93F24">
            <w:pPr>
              <w:bidi w:val="0"/>
              <w:spacing w:after="0" w:line="240" w:lineRule="auto"/>
              <w:jc w:val="center"/>
              <w:rPr>
                <w:rFonts w:ascii="Times New Roman" w:hAnsi="Times New Roman"/>
                <w:sz w:val="20"/>
                <w:szCs w:val="20"/>
              </w:rPr>
            </w:pPr>
            <w:r w:rsidRPr="00AA425D">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738CF" w:rsidRPr="00AA425D" w:rsidP="00B93F24">
            <w:pPr>
              <w:bidi w:val="0"/>
              <w:spacing w:after="0" w:line="240" w:lineRule="auto"/>
              <w:jc w:val="center"/>
              <w:rPr>
                <w:rFonts w:ascii="Times New Roman" w:hAnsi="Times New Roman"/>
                <w:sz w:val="20"/>
                <w:szCs w:val="20"/>
              </w:rPr>
            </w:pPr>
            <w:r w:rsidRPr="00AA425D">
              <w:rPr>
                <w:rFonts w:ascii="Times New Roman" w:hAnsi="Times New Roman"/>
                <w:sz w:val="20"/>
                <w:szCs w:val="20"/>
              </w:rPr>
              <w:t>8</w:t>
            </w:r>
          </w:p>
        </w:tc>
      </w:tr>
      <w:tr>
        <w:tblPrEx>
          <w:tblW w:w="16019" w:type="dxa"/>
          <w:tblInd w:w="-383" w:type="dxa"/>
          <w:tblLayout w:type="fixed"/>
          <w:tblCellMar>
            <w:left w:w="43" w:type="dxa"/>
            <w:right w:w="43" w:type="dxa"/>
          </w:tblCellMar>
        </w:tblPrEx>
        <w:tc>
          <w:tcPr>
            <w:tcW w:w="852" w:type="dxa"/>
            <w:tcBorders>
              <w:top w:val="single" w:sz="4" w:space="0" w:color="auto"/>
              <w:left w:val="single" w:sz="12" w:space="0" w:color="auto"/>
              <w:bottom w:val="single" w:sz="4" w:space="0" w:color="auto"/>
              <w:right w:val="single" w:sz="4" w:space="0" w:color="auto"/>
            </w:tcBorders>
            <w:textDirection w:val="lrTb"/>
            <w:vAlign w:val="top"/>
          </w:tcPr>
          <w:p w:rsidR="000738CF" w:rsidRPr="00AA425D" w:rsidP="00B93F24">
            <w:pPr>
              <w:pStyle w:val="Normlny"/>
              <w:bidi w:val="0"/>
              <w:spacing w:after="0" w:line="240" w:lineRule="auto"/>
              <w:jc w:val="center"/>
              <w:rPr>
                <w:rFonts w:ascii="Times New Roman" w:hAnsi="Times New Roman"/>
              </w:rPr>
            </w:pPr>
            <w:r w:rsidRPr="00AA425D">
              <w:rPr>
                <w:rFonts w:ascii="Times New Roman" w:hAnsi="Times New Roman"/>
              </w:rPr>
              <w:t>Článok</w:t>
            </w:r>
          </w:p>
          <w:p w:rsidR="000738CF" w:rsidRPr="00AA425D" w:rsidP="00B93F24">
            <w:pPr>
              <w:pStyle w:val="Normlny"/>
              <w:bidi w:val="0"/>
              <w:spacing w:after="0" w:line="240" w:lineRule="auto"/>
              <w:jc w:val="center"/>
              <w:rPr>
                <w:rFonts w:ascii="Times New Roman" w:hAnsi="Times New Roman"/>
              </w:rPr>
            </w:pPr>
            <w:r w:rsidRPr="00AA425D">
              <w:rPr>
                <w:rFonts w:ascii="Times New Roman" w:hAnsi="Times New Roman"/>
              </w:rPr>
              <w:t>(Č, O,</w:t>
            </w:r>
          </w:p>
          <w:p w:rsidR="000738CF" w:rsidRPr="00AA425D" w:rsidP="00B93F24">
            <w:pPr>
              <w:pStyle w:val="Normlny"/>
              <w:bidi w:val="0"/>
              <w:spacing w:after="0" w:line="240" w:lineRule="auto"/>
              <w:jc w:val="center"/>
              <w:rPr>
                <w:rFonts w:ascii="Times New Roman" w:hAnsi="Times New Roman"/>
              </w:rPr>
            </w:pPr>
            <w:r w:rsidRPr="00AA425D">
              <w:rPr>
                <w:rFonts w:ascii="Times New Roman" w:hAnsi="Times New Roman"/>
              </w:rPr>
              <w:t>V, P)</w:t>
            </w: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B93F24">
            <w:pPr>
              <w:pStyle w:val="Normlny"/>
              <w:bidi w:val="0"/>
              <w:spacing w:after="0" w:line="240" w:lineRule="auto"/>
              <w:jc w:val="center"/>
              <w:rPr>
                <w:rFonts w:ascii="Times New Roman" w:hAnsi="Times New Roman"/>
              </w:rPr>
            </w:pPr>
            <w:r w:rsidRPr="00AA425D">
              <w:rPr>
                <w:rFonts w:ascii="Times New Roman" w:hAnsi="Times New Roman"/>
              </w:rPr>
              <w:t>Text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0738CF" w:rsidRPr="00AA425D" w:rsidP="00B93F24">
            <w:pPr>
              <w:pStyle w:val="Normlny"/>
              <w:bidi w:val="0"/>
              <w:spacing w:after="0" w:line="240" w:lineRule="auto"/>
              <w:jc w:val="center"/>
              <w:rPr>
                <w:rFonts w:ascii="Times New Roman" w:hAnsi="Times New Roman"/>
              </w:rPr>
            </w:pPr>
            <w:r w:rsidRPr="00AA425D">
              <w:rPr>
                <w:rFonts w:ascii="Times New Roman" w:hAnsi="Times New Roman"/>
              </w:rPr>
              <w:t>Spôsob transp.</w:t>
            </w:r>
          </w:p>
          <w:p w:rsidR="000738CF" w:rsidRPr="00AA425D" w:rsidP="00B93F24">
            <w:pPr>
              <w:pStyle w:val="Normlny"/>
              <w:bidi w:val="0"/>
              <w:spacing w:after="0" w:line="240" w:lineRule="auto"/>
              <w:jc w:val="center"/>
              <w:rPr>
                <w:rFonts w:ascii="Times New Roman" w:hAnsi="Times New Roman"/>
              </w:rPr>
            </w:pPr>
            <w:r w:rsidRPr="00AA425D">
              <w:rPr>
                <w:rFonts w:ascii="Times New Roman" w:hAnsi="Times New Roman"/>
              </w:rPr>
              <w:t>(N, O, D, n.a.)</w:t>
            </w:r>
          </w:p>
        </w:tc>
        <w:tc>
          <w:tcPr>
            <w:tcW w:w="709" w:type="dxa"/>
            <w:tcBorders>
              <w:top w:val="single" w:sz="4" w:space="0" w:color="auto"/>
              <w:left w:val="nil"/>
              <w:bottom w:val="single" w:sz="4" w:space="0" w:color="auto"/>
              <w:right w:val="single" w:sz="4" w:space="0" w:color="auto"/>
            </w:tcBorders>
            <w:textDirection w:val="lrTb"/>
            <w:vAlign w:val="top"/>
          </w:tcPr>
          <w:p w:rsidR="000738CF" w:rsidRPr="00AA425D" w:rsidP="00B93F24">
            <w:pPr>
              <w:pStyle w:val="Normlny"/>
              <w:bidi w:val="0"/>
              <w:spacing w:after="0" w:line="240" w:lineRule="auto"/>
              <w:jc w:val="center"/>
              <w:rPr>
                <w:rFonts w:ascii="Times New Roman" w:hAnsi="Times New Roman"/>
              </w:rPr>
            </w:pPr>
            <w:r w:rsidRPr="00AA425D">
              <w:rPr>
                <w:rFonts w:ascii="Times New Roman" w:hAnsi="Times New Roman"/>
              </w:rPr>
              <w:t>Číslo</w:t>
            </w:r>
          </w:p>
          <w:p w:rsidR="000738CF" w:rsidRPr="00AA425D" w:rsidP="00B93F24">
            <w:pPr>
              <w:pStyle w:val="Normlny"/>
              <w:bidi w:val="0"/>
              <w:spacing w:after="0" w:line="240" w:lineRule="auto"/>
              <w:jc w:val="center"/>
              <w:rPr>
                <w:rFonts w:ascii="Times New Roman" w:hAnsi="Times New Roman"/>
              </w:rPr>
            </w:pPr>
            <w:r w:rsidRPr="00AA425D">
              <w:rPr>
                <w:rFonts w:ascii="Times New Roman" w:hAnsi="Times New Roman"/>
              </w:rPr>
              <w:t>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B93F24">
            <w:pPr>
              <w:pStyle w:val="Normlny"/>
              <w:bidi w:val="0"/>
              <w:spacing w:after="0" w:line="240" w:lineRule="auto"/>
              <w:jc w:val="center"/>
              <w:rPr>
                <w:rFonts w:ascii="Times New Roman" w:hAnsi="Times New Roman"/>
              </w:rPr>
            </w:pPr>
            <w:r w:rsidRPr="00AA425D">
              <w:rPr>
                <w:rFonts w:ascii="Times New Roman" w:hAnsi="Times New Roman"/>
              </w:rPr>
              <w:t>Článok (Č, §, O, V, P)</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B93F24">
            <w:pPr>
              <w:pStyle w:val="Normlny"/>
              <w:bidi w:val="0"/>
              <w:spacing w:after="0" w:line="240" w:lineRule="auto"/>
              <w:jc w:val="center"/>
              <w:rPr>
                <w:rFonts w:ascii="Times New Roman" w:hAnsi="Times New Roman"/>
              </w:rPr>
            </w:pPr>
            <w:r w:rsidRPr="00AA425D">
              <w:rPr>
                <w:rFonts w:ascii="Times New Roman" w:hAnsi="Times New Roman"/>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B93F24">
            <w:pPr>
              <w:pStyle w:val="Normlny"/>
              <w:bidi w:val="0"/>
              <w:spacing w:after="0" w:line="240" w:lineRule="auto"/>
              <w:jc w:val="center"/>
              <w:rPr>
                <w:rFonts w:ascii="Times New Roman" w:hAnsi="Times New Roman"/>
              </w:rPr>
            </w:pPr>
            <w:r w:rsidRPr="00AA425D">
              <w:rPr>
                <w:rFonts w:ascii="Times New Roman" w:hAnsi="Times New Roman"/>
              </w:rPr>
              <w:t>Zhoda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738CF" w:rsidRPr="00AA425D" w:rsidP="00B93F24">
            <w:pPr>
              <w:pStyle w:val="Normlny"/>
              <w:bidi w:val="0"/>
              <w:spacing w:after="0" w:line="240" w:lineRule="auto"/>
              <w:jc w:val="center"/>
              <w:rPr>
                <w:rFonts w:ascii="Times New Roman" w:hAnsi="Times New Roman"/>
              </w:rPr>
            </w:pPr>
            <w:r w:rsidRPr="00AA425D">
              <w:rPr>
                <w:rFonts w:ascii="Times New Roman" w:hAnsi="Times New Roman"/>
              </w:rPr>
              <w:t>Poznámky</w:t>
            </w:r>
          </w:p>
        </w:tc>
      </w:tr>
      <w:tr>
        <w:tblPrEx>
          <w:tblW w:w="16019" w:type="dxa"/>
          <w:tblInd w:w="-383" w:type="dxa"/>
          <w:tblLayout w:type="fixed"/>
          <w:tblCellMar>
            <w:left w:w="43" w:type="dxa"/>
            <w:right w:w="43" w:type="dxa"/>
          </w:tblCellMar>
        </w:tblPrEx>
        <w:tc>
          <w:tcPr>
            <w:tcW w:w="852" w:type="dxa"/>
            <w:tcBorders>
              <w:top w:val="single" w:sz="4" w:space="0" w:color="auto"/>
              <w:left w:val="single" w:sz="12" w:space="0" w:color="auto"/>
              <w:bottom w:val="single" w:sz="4" w:space="0" w:color="auto"/>
              <w:right w:val="single" w:sz="4" w:space="0" w:color="auto"/>
            </w:tcBorders>
            <w:textDirection w:val="lrTb"/>
            <w:vAlign w:val="top"/>
          </w:tcPr>
          <w:p w:rsidR="000738CF" w:rsidRPr="00AA425D" w:rsidP="00C366A6">
            <w:pPr>
              <w:bidi w:val="0"/>
              <w:spacing w:after="0" w:line="240" w:lineRule="auto"/>
              <w:jc w:val="center"/>
              <w:rPr>
                <w:rFonts w:ascii="Times New Roman" w:hAnsi="Times New Roman"/>
                <w:sz w:val="20"/>
                <w:szCs w:val="20"/>
              </w:rPr>
            </w:pPr>
            <w:r w:rsidRPr="00AA425D">
              <w:rPr>
                <w:rFonts w:ascii="Times New Roman" w:hAnsi="Times New Roman"/>
                <w:sz w:val="20"/>
                <w:szCs w:val="20"/>
              </w:rPr>
              <w:t xml:space="preserve">Č: 1   </w:t>
            </w: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B93F24">
            <w:pPr>
              <w:pStyle w:val="CM4"/>
              <w:bidi w:val="0"/>
              <w:spacing w:before="60" w:after="60" w:line="240" w:lineRule="auto"/>
              <w:rPr>
                <w:rFonts w:ascii="Times New Roman" w:hAnsi="Times New Roman"/>
                <w:sz w:val="20"/>
                <w:szCs w:val="20"/>
              </w:rPr>
            </w:pPr>
            <w:r w:rsidRPr="00AA425D" w:rsidR="00936F1D">
              <w:rPr>
                <w:sz w:val="20"/>
                <w:szCs w:val="20"/>
              </w:rPr>
              <w:t>Príloha II k smernici 2006/118/ES sa mení v súlade s prílohou k tejto smernici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0738CF" w:rsidRPr="00AA425D" w:rsidP="00B93F24">
            <w:pPr>
              <w:bidi w:val="0"/>
              <w:spacing w:after="0" w:line="240" w:lineRule="auto"/>
              <w:jc w:val="center"/>
              <w:rPr>
                <w:rFonts w:ascii="Times New Roman" w:hAnsi="Times New Roman"/>
                <w:sz w:val="20"/>
                <w:szCs w:val="20"/>
              </w:rPr>
            </w:pPr>
            <w:r w:rsidRPr="00AA425D">
              <w:rPr>
                <w:rFonts w:ascii="Times New Roman" w:hAnsi="Times New Roman"/>
                <w:sz w:val="20"/>
                <w:szCs w:val="20"/>
              </w:rPr>
              <w:t>n.a.</w:t>
            </w:r>
          </w:p>
        </w:tc>
        <w:tc>
          <w:tcPr>
            <w:tcW w:w="709" w:type="dxa"/>
            <w:tcBorders>
              <w:top w:val="single" w:sz="4" w:space="0" w:color="auto"/>
              <w:left w:val="nil"/>
              <w:bottom w:val="single" w:sz="4" w:space="0" w:color="auto"/>
              <w:right w:val="single" w:sz="4" w:space="0" w:color="auto"/>
            </w:tcBorders>
            <w:textDirection w:val="lrTb"/>
            <w:vAlign w:val="top"/>
          </w:tcPr>
          <w:p w:rsidR="000738CF" w:rsidRPr="00AA425D" w:rsidP="00B93F24">
            <w:pPr>
              <w:bidi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B93F24">
            <w:pPr>
              <w:pStyle w:val="Normlny"/>
              <w:bidi w:val="0"/>
              <w:spacing w:after="0" w:line="240" w:lineRule="auto"/>
              <w:jc w:val="center"/>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B93F24">
            <w:pPr>
              <w:pStyle w:val="Normlny"/>
              <w:bidi w:val="0"/>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B93F24">
            <w:pPr>
              <w:bidi w:val="0"/>
              <w:spacing w:after="0" w:line="240" w:lineRule="auto"/>
              <w:jc w:val="center"/>
              <w:rPr>
                <w:rFonts w:ascii="Times New Roman" w:hAnsi="Times New Roman"/>
                <w:sz w:val="20"/>
                <w:szCs w:val="20"/>
              </w:rPr>
            </w:pPr>
            <w:r w:rsidRPr="00AA425D">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738CF" w:rsidRPr="00AA425D" w:rsidP="00B93F24">
            <w:pPr>
              <w:pStyle w:val="Heading1"/>
              <w:bidi w:val="0"/>
              <w:spacing w:after="0" w:line="240" w:lineRule="auto"/>
              <w:rPr>
                <w:rFonts w:ascii="Times New Roman" w:hAnsi="Times New Roman"/>
                <w:b w:val="0"/>
                <w:bCs w:val="0"/>
                <w:sz w:val="20"/>
                <w:szCs w:val="20"/>
              </w:rPr>
            </w:pPr>
          </w:p>
        </w:tc>
      </w:tr>
      <w:tr>
        <w:tblPrEx>
          <w:tblW w:w="16019" w:type="dxa"/>
          <w:tblInd w:w="-383" w:type="dxa"/>
          <w:tblLayout w:type="fixed"/>
          <w:tblCellMar>
            <w:left w:w="43" w:type="dxa"/>
            <w:right w:w="43" w:type="dxa"/>
          </w:tblCellMar>
        </w:tblPrEx>
        <w:tc>
          <w:tcPr>
            <w:tcW w:w="852" w:type="dxa"/>
            <w:tcBorders>
              <w:top w:val="single" w:sz="4" w:space="0" w:color="auto"/>
              <w:left w:val="single" w:sz="12" w:space="0" w:color="auto"/>
              <w:bottom w:val="single" w:sz="4" w:space="0" w:color="auto"/>
              <w:right w:val="single" w:sz="4" w:space="0" w:color="auto"/>
            </w:tcBorders>
            <w:textDirection w:val="lrTb"/>
            <w:vAlign w:val="top"/>
          </w:tcPr>
          <w:p w:rsidR="000738CF" w:rsidRPr="00AA425D" w:rsidP="00B93F24">
            <w:pPr>
              <w:bidi w:val="0"/>
              <w:spacing w:after="0" w:line="240" w:lineRule="auto"/>
              <w:jc w:val="center"/>
              <w:rPr>
                <w:rFonts w:ascii="Times New Roman" w:hAnsi="Times New Roman"/>
                <w:sz w:val="20"/>
                <w:szCs w:val="20"/>
              </w:rPr>
            </w:pPr>
            <w:r w:rsidRPr="00AA425D">
              <w:rPr>
                <w:rFonts w:ascii="Times New Roman" w:hAnsi="Times New Roman"/>
                <w:sz w:val="20"/>
                <w:szCs w:val="20"/>
              </w:rPr>
              <w:t xml:space="preserve">Čl. </w:t>
            </w:r>
            <w:r w:rsidRPr="00AA425D" w:rsidR="00936F1D">
              <w:rPr>
                <w:rFonts w:ascii="Times New Roman" w:hAnsi="Times New Roman"/>
                <w:sz w:val="20"/>
                <w:szCs w:val="20"/>
              </w:rPr>
              <w:t>2</w:t>
            </w:r>
            <w:r w:rsidRPr="00AA425D">
              <w:rPr>
                <w:rFonts w:ascii="Times New Roman" w:hAnsi="Times New Roman"/>
                <w:sz w:val="20"/>
                <w:szCs w:val="20"/>
              </w:rPr>
              <w:t xml:space="preserve">   O:</w:t>
            </w:r>
            <w:r w:rsidRPr="00AA425D" w:rsidR="00936F1D">
              <w:rPr>
                <w:rFonts w:ascii="Times New Roman" w:hAnsi="Times New Roman"/>
                <w:sz w:val="20"/>
                <w:szCs w:val="20"/>
              </w:rPr>
              <w:t>1</w:t>
            </w: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936F1D" w:rsidRPr="00AA425D" w:rsidP="00936F1D">
            <w:pPr>
              <w:pStyle w:val="Normlny1"/>
              <w:bidi w:val="0"/>
              <w:spacing w:after="0" w:line="240" w:lineRule="auto"/>
              <w:rPr>
                <w:rFonts w:ascii="Times New Roman" w:hAnsi="Times New Roman"/>
                <w:sz w:val="20"/>
                <w:szCs w:val="20"/>
              </w:rPr>
            </w:pPr>
            <w:r w:rsidRPr="00AA425D">
              <w:rPr>
                <w:rFonts w:ascii="Times New Roman" w:hAnsi="Times New Roman"/>
                <w:sz w:val="20"/>
                <w:szCs w:val="20"/>
              </w:rPr>
              <w:t>1.   Členské štáty uvedú do účinnosti zákony, iné predpisy a správne opatrenia potrebné na dosiahnutie súladu s touto smernicou najneskôr do 24 mesiacov od dátumu nadobudnutia účinnosti. Komisii bezodkladne oznámia znenie týchto ustanovení.</w:t>
            </w:r>
          </w:p>
          <w:p w:rsidR="000738CF" w:rsidRPr="00AA425D" w:rsidP="00C366A6">
            <w:pPr>
              <w:pStyle w:val="Normlny1"/>
              <w:bidi w:val="0"/>
              <w:spacing w:after="0" w:line="240" w:lineRule="auto"/>
              <w:rPr>
                <w:rFonts w:ascii="Times New Roman" w:hAnsi="Times New Roman"/>
                <w:sz w:val="20"/>
                <w:szCs w:val="20"/>
              </w:rPr>
            </w:pPr>
            <w:r w:rsidRPr="00AA425D" w:rsidR="00936F1D">
              <w:rPr>
                <w:rFonts w:ascii="Times New Roman" w:hAnsi="Times New Roman"/>
                <w:sz w:val="20"/>
                <w:szCs w:val="20"/>
              </w:rPr>
              <w:t>Členské štáty uvedú priamo v prijatých opatreniach alebo pri ich úradnom uverejnení odkaz na túto smernicu. Podrobnosti o odkaze upravia členské štáty.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0738CF" w:rsidRPr="00AA425D" w:rsidP="00B93F24">
            <w:pPr>
              <w:bidi w:val="0"/>
              <w:spacing w:after="0" w:line="240" w:lineRule="auto"/>
              <w:jc w:val="center"/>
              <w:rPr>
                <w:rFonts w:ascii="Times New Roman" w:hAnsi="Times New Roman"/>
                <w:sz w:val="20"/>
                <w:szCs w:val="20"/>
              </w:rPr>
            </w:pPr>
            <w:r w:rsidRPr="00AA425D">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0738CF" w:rsidRPr="00AA425D" w:rsidP="00B93F24">
            <w:pPr>
              <w:bidi w:val="0"/>
              <w:spacing w:after="0" w:line="240" w:lineRule="auto"/>
              <w:jc w:val="center"/>
              <w:rPr>
                <w:rFonts w:ascii="Times New Roman" w:hAnsi="Times New Roman"/>
                <w:sz w:val="20"/>
                <w:szCs w:val="20"/>
              </w:rPr>
            </w:pPr>
            <w:r w:rsidRPr="00AA425D" w:rsidR="003D1524">
              <w:rPr>
                <w:rFonts w:ascii="Times New Roman" w:hAnsi="Times New Roman"/>
                <w:sz w:val="20"/>
                <w:szCs w:val="20"/>
              </w:rPr>
              <w:t>1</w:t>
            </w:r>
          </w:p>
          <w:p w:rsidR="005A64AE" w:rsidRPr="00AA425D" w:rsidP="00B93F24">
            <w:pPr>
              <w:bidi w:val="0"/>
              <w:spacing w:after="0" w:line="240" w:lineRule="auto"/>
              <w:jc w:val="center"/>
              <w:rPr>
                <w:rFonts w:ascii="Times New Roman" w:hAnsi="Times New Roman"/>
                <w:sz w:val="20"/>
                <w:szCs w:val="20"/>
              </w:rPr>
            </w:pPr>
          </w:p>
          <w:p w:rsidR="005A64AE" w:rsidRPr="00AA425D" w:rsidP="00B93F24">
            <w:pPr>
              <w:bidi w:val="0"/>
              <w:spacing w:after="0" w:line="240" w:lineRule="auto"/>
              <w:jc w:val="center"/>
              <w:rPr>
                <w:rFonts w:ascii="Times New Roman" w:hAnsi="Times New Roman"/>
                <w:sz w:val="20"/>
                <w:szCs w:val="20"/>
              </w:rPr>
            </w:pPr>
          </w:p>
          <w:p w:rsidR="005A64AE" w:rsidRPr="00AA425D" w:rsidP="00B93F24">
            <w:pPr>
              <w:bidi w:val="0"/>
              <w:spacing w:after="0" w:line="240" w:lineRule="auto"/>
              <w:jc w:val="center"/>
              <w:rPr>
                <w:rFonts w:ascii="Times New Roman" w:hAnsi="Times New Roman"/>
                <w:sz w:val="20"/>
                <w:szCs w:val="20"/>
              </w:rPr>
            </w:pPr>
          </w:p>
          <w:p w:rsidR="00C908F0" w:rsidP="00B93F24">
            <w:pPr>
              <w:bidi w:val="0"/>
              <w:spacing w:after="0" w:line="240" w:lineRule="auto"/>
              <w:jc w:val="center"/>
              <w:rPr>
                <w:rFonts w:ascii="Times New Roman" w:hAnsi="Times New Roman"/>
                <w:sz w:val="20"/>
                <w:szCs w:val="20"/>
              </w:rPr>
            </w:pPr>
          </w:p>
          <w:p w:rsidR="005A64AE" w:rsidRPr="00AA425D" w:rsidP="00B93F24">
            <w:pPr>
              <w:bidi w:val="0"/>
              <w:spacing w:after="0" w:line="240" w:lineRule="auto"/>
              <w:jc w:val="center"/>
              <w:rPr>
                <w:rFonts w:ascii="Times New Roman" w:hAnsi="Times New Roman"/>
                <w:sz w:val="20"/>
                <w:szCs w:val="20"/>
              </w:rPr>
            </w:pPr>
            <w:r w:rsidRPr="00AA425D">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D1524" w:rsidRPr="00AA425D" w:rsidP="00B93F24">
            <w:pPr>
              <w:bidi w:val="0"/>
              <w:spacing w:after="0" w:line="240" w:lineRule="auto"/>
              <w:jc w:val="center"/>
              <w:rPr>
                <w:rFonts w:ascii="Times New Roman" w:hAnsi="Times New Roman"/>
                <w:sz w:val="20"/>
                <w:szCs w:val="20"/>
              </w:rPr>
            </w:pPr>
            <w:r w:rsidRPr="00AA425D">
              <w:rPr>
                <w:rFonts w:ascii="Times New Roman" w:hAnsi="Times New Roman"/>
                <w:sz w:val="20"/>
                <w:szCs w:val="20"/>
              </w:rPr>
              <w:t>Príloha 6</w:t>
            </w:r>
          </w:p>
          <w:p w:rsidR="000738CF" w:rsidRPr="00AA425D" w:rsidP="00B93F24">
            <w:pPr>
              <w:bidi w:val="0"/>
              <w:spacing w:after="0" w:line="240" w:lineRule="auto"/>
              <w:jc w:val="center"/>
              <w:rPr>
                <w:rFonts w:ascii="Times New Roman" w:hAnsi="Times New Roman"/>
                <w:sz w:val="20"/>
                <w:szCs w:val="20"/>
              </w:rPr>
            </w:pPr>
            <w:r w:rsidRPr="00AA425D" w:rsidR="003D1524">
              <w:rPr>
                <w:rFonts w:ascii="Times New Roman" w:hAnsi="Times New Roman"/>
                <w:sz w:val="20"/>
                <w:szCs w:val="20"/>
              </w:rPr>
              <w:t xml:space="preserve"> bod 10</w:t>
            </w:r>
          </w:p>
          <w:p w:rsidR="005A64AE" w:rsidRPr="00AA425D" w:rsidP="00B93F24">
            <w:pPr>
              <w:bidi w:val="0"/>
              <w:spacing w:after="0" w:line="240" w:lineRule="auto"/>
              <w:jc w:val="center"/>
              <w:rPr>
                <w:rFonts w:ascii="Times New Roman" w:hAnsi="Times New Roman"/>
                <w:sz w:val="20"/>
                <w:szCs w:val="20"/>
              </w:rPr>
            </w:pPr>
          </w:p>
          <w:p w:rsidR="00C908F0" w:rsidP="00C64FCD">
            <w:pPr>
              <w:bidi w:val="0"/>
              <w:spacing w:after="0" w:line="240" w:lineRule="auto"/>
              <w:jc w:val="center"/>
              <w:rPr>
                <w:rFonts w:ascii="Times New Roman" w:hAnsi="Times New Roman"/>
                <w:sz w:val="20"/>
                <w:szCs w:val="20"/>
              </w:rPr>
            </w:pPr>
          </w:p>
          <w:p w:rsidR="00C64FCD" w:rsidRPr="00AA425D" w:rsidP="00C64FCD">
            <w:pPr>
              <w:bidi w:val="0"/>
              <w:spacing w:after="0" w:line="240" w:lineRule="auto"/>
              <w:jc w:val="center"/>
              <w:rPr>
                <w:rFonts w:ascii="Times New Roman" w:hAnsi="Times New Roman"/>
                <w:sz w:val="20"/>
                <w:szCs w:val="20"/>
              </w:rPr>
            </w:pPr>
            <w:r w:rsidRPr="00AA425D">
              <w:rPr>
                <w:rFonts w:ascii="Times New Roman" w:hAnsi="Times New Roman"/>
                <w:sz w:val="20"/>
                <w:szCs w:val="20"/>
              </w:rPr>
              <w:t>Príloha 5</w:t>
            </w:r>
          </w:p>
          <w:p w:rsidR="00C64FCD" w:rsidRPr="00AA425D" w:rsidP="00C64FCD">
            <w:pPr>
              <w:bidi w:val="0"/>
              <w:spacing w:after="0" w:line="240" w:lineRule="auto"/>
              <w:jc w:val="center"/>
              <w:rPr>
                <w:rFonts w:ascii="Times New Roman" w:hAnsi="Times New Roman"/>
                <w:sz w:val="20"/>
                <w:szCs w:val="20"/>
              </w:rPr>
            </w:pPr>
            <w:r w:rsidRPr="00AA425D">
              <w:rPr>
                <w:rFonts w:ascii="Times New Roman" w:hAnsi="Times New Roman"/>
                <w:sz w:val="20"/>
                <w:szCs w:val="20"/>
              </w:rPr>
              <w:t xml:space="preserve"> bod 3</w:t>
            </w:r>
          </w:p>
          <w:p w:rsidR="005A64AE" w:rsidRPr="00AA425D" w:rsidP="00B93F24">
            <w:pPr>
              <w:bidi w:val="0"/>
              <w:spacing w:after="0" w:line="240" w:lineRule="auto"/>
              <w:jc w:val="center"/>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908F0" w:rsidRPr="00AE4DEF" w:rsidP="00C908F0">
            <w:pPr>
              <w:widowControl w:val="0"/>
              <w:bidi w:val="0"/>
              <w:adjustRightInd w:val="0"/>
              <w:spacing w:after="0" w:line="240" w:lineRule="auto"/>
              <w:ind w:left="240" w:hanging="240"/>
              <w:rPr>
                <w:rFonts w:ascii="Times New Roman" w:hAnsi="Times New Roman"/>
                <w:b/>
                <w:sz w:val="20"/>
                <w:szCs w:val="20"/>
              </w:rPr>
            </w:pPr>
            <w:r w:rsidRPr="00AE4DEF">
              <w:rPr>
                <w:rFonts w:ascii="Times New Roman" w:hAnsi="Times New Roman"/>
                <w:sz w:val="20"/>
                <w:szCs w:val="20"/>
              </w:rPr>
              <w:t>10.</w:t>
            </w:r>
            <w:r w:rsidRPr="00AE4DEF">
              <w:rPr>
                <w:rFonts w:ascii="Times New Roman" w:hAnsi="Times New Roman"/>
                <w:b/>
                <w:sz w:val="20"/>
                <w:szCs w:val="20"/>
              </w:rPr>
              <w:t xml:space="preserve"> </w:t>
            </w:r>
            <w:r w:rsidRPr="00AE4DEF">
              <w:rPr>
                <w:rStyle w:val="Strong"/>
                <w:rFonts w:ascii="Times New Roman" w:hAnsi="Times New Roman"/>
                <w:b w:val="0"/>
                <w:bCs/>
                <w:sz w:val="20"/>
                <w:szCs w:val="20"/>
              </w:rPr>
              <w:t xml:space="preserve">Smernica Komisie 2014/80/EÚ z 20. júna 2014 , ktorou sa mení príloha II k smernici Európskeho parlamentu a Rady 2006/118/ES o ochrane podzemných vôd pred znečistením a zhoršením kvality </w:t>
            </w:r>
            <w:r w:rsidRPr="00AE4DEF">
              <w:rPr>
                <w:rStyle w:val="Strong"/>
                <w:rFonts w:ascii="Times New Roman" w:hAnsi="Times New Roman"/>
                <w:bCs/>
                <w:sz w:val="20"/>
                <w:szCs w:val="20"/>
              </w:rPr>
              <w:t>(</w:t>
            </w:r>
            <w:r w:rsidRPr="00AE4DEF">
              <w:rPr>
                <w:rFonts w:ascii="Times New Roman" w:hAnsi="Times New Roman"/>
                <w:iCs/>
                <w:sz w:val="20"/>
                <w:szCs w:val="20"/>
              </w:rPr>
              <w:t>Ú. v. EÚ L 182, 21.6.2014).</w:t>
            </w:r>
          </w:p>
          <w:p w:rsidR="00C908F0" w:rsidRPr="00AA425D" w:rsidP="00C908F0">
            <w:pPr>
              <w:bidi w:val="0"/>
              <w:spacing w:after="0" w:line="240" w:lineRule="auto"/>
              <w:ind w:left="180" w:hanging="180"/>
              <w:jc w:val="both"/>
              <w:rPr>
                <w:rFonts w:ascii="Times New Roman" w:hAnsi="Times New Roman"/>
              </w:rPr>
            </w:pPr>
            <w:r w:rsidRPr="00AE4DEF">
              <w:rPr>
                <w:rFonts w:ascii="Times New Roman" w:hAnsi="Times New Roman"/>
                <w:sz w:val="20"/>
                <w:szCs w:val="20"/>
              </w:rPr>
              <w:t>3.</w:t>
            </w:r>
            <w:r w:rsidRPr="00AE4DEF">
              <w:rPr>
                <w:rFonts w:ascii="Times New Roman" w:hAnsi="Times New Roman"/>
                <w:b/>
                <w:sz w:val="20"/>
                <w:szCs w:val="20"/>
              </w:rPr>
              <w:t xml:space="preserve"> </w:t>
            </w:r>
            <w:r w:rsidRPr="00AE4DEF">
              <w:rPr>
                <w:rStyle w:val="Strong"/>
                <w:rFonts w:ascii="Times New Roman" w:hAnsi="Times New Roman"/>
                <w:b w:val="0"/>
                <w:bCs/>
                <w:sz w:val="20"/>
                <w:szCs w:val="20"/>
              </w:rPr>
              <w:t xml:space="preserve">Smernica Komisie 2014/80/EÚ z 20. júna 2014 , ktorou sa mení príloha II k smernici Európskeho parlamentu a Rady 2006/118/ES o ochrane podzemných vôd pred znečistením a zhoršením kvality </w:t>
            </w:r>
            <w:r w:rsidRPr="00AE4DEF">
              <w:rPr>
                <w:rStyle w:val="Strong"/>
                <w:rFonts w:ascii="Times New Roman" w:hAnsi="Times New Roman"/>
                <w:bCs/>
                <w:sz w:val="20"/>
                <w:szCs w:val="20"/>
              </w:rPr>
              <w:t>(</w:t>
            </w:r>
            <w:r w:rsidRPr="00AE4DEF">
              <w:rPr>
                <w:rFonts w:ascii="Times New Roman" w:hAnsi="Times New Roman"/>
                <w:iCs/>
                <w:sz w:val="20"/>
                <w:szCs w:val="20"/>
              </w:rPr>
              <w:t>Ú. v. EÚ L 182, 21.6.2014).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B93F24">
            <w:pPr>
              <w:bidi w:val="0"/>
              <w:spacing w:after="0" w:line="240" w:lineRule="auto"/>
              <w:jc w:val="center"/>
              <w:rPr>
                <w:rFonts w:ascii="Times New Roman" w:hAnsi="Times New Roman"/>
                <w:sz w:val="20"/>
                <w:szCs w:val="20"/>
              </w:rPr>
            </w:pPr>
            <w:r w:rsidRPr="00AA425D" w:rsidR="003D1524">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738CF" w:rsidRPr="00AA425D" w:rsidP="00B93F24">
            <w:pPr>
              <w:pStyle w:val="Heading1"/>
              <w:bidi w:val="0"/>
              <w:spacing w:after="0" w:line="240" w:lineRule="auto"/>
              <w:rPr>
                <w:rFonts w:ascii="Times New Roman" w:hAnsi="Times New Roman"/>
                <w:b w:val="0"/>
                <w:bCs w:val="0"/>
                <w:sz w:val="20"/>
                <w:szCs w:val="20"/>
              </w:rPr>
            </w:pPr>
          </w:p>
        </w:tc>
      </w:tr>
      <w:tr>
        <w:tblPrEx>
          <w:tblW w:w="16019" w:type="dxa"/>
          <w:tblInd w:w="-383" w:type="dxa"/>
          <w:tblLayout w:type="fixed"/>
          <w:tblCellMar>
            <w:left w:w="43" w:type="dxa"/>
            <w:right w:w="43" w:type="dxa"/>
          </w:tblCellMar>
        </w:tblPrEx>
        <w:tc>
          <w:tcPr>
            <w:tcW w:w="852" w:type="dxa"/>
            <w:tcBorders>
              <w:top w:val="single" w:sz="4" w:space="0" w:color="auto"/>
              <w:left w:val="single" w:sz="12" w:space="0" w:color="auto"/>
              <w:bottom w:val="single" w:sz="4" w:space="0" w:color="auto"/>
              <w:right w:val="single" w:sz="4" w:space="0" w:color="auto"/>
            </w:tcBorders>
            <w:textDirection w:val="lrTb"/>
            <w:vAlign w:val="top"/>
          </w:tcPr>
          <w:p w:rsidR="000738CF" w:rsidRPr="00AA425D" w:rsidP="00C366A6">
            <w:pPr>
              <w:bidi w:val="0"/>
              <w:spacing w:after="0" w:line="240" w:lineRule="auto"/>
              <w:jc w:val="center"/>
              <w:rPr>
                <w:rFonts w:ascii="Times New Roman" w:hAnsi="Times New Roman"/>
                <w:sz w:val="20"/>
                <w:szCs w:val="20"/>
              </w:rPr>
            </w:pPr>
            <w:r w:rsidRPr="00AA425D">
              <w:rPr>
                <w:rFonts w:ascii="Times New Roman" w:hAnsi="Times New Roman"/>
                <w:sz w:val="20"/>
                <w:szCs w:val="20"/>
              </w:rPr>
              <w:t>Čl</w:t>
            </w:r>
            <w:r w:rsidRPr="00BD28BA" w:rsidR="00BD28BA">
              <w:rPr>
                <w:rFonts w:ascii="Times New Roman" w:hAnsi="Times New Roman"/>
                <w:color w:val="FF0000"/>
                <w:sz w:val="20"/>
                <w:szCs w:val="20"/>
              </w:rPr>
              <w:t>.</w:t>
            </w:r>
            <w:r w:rsidRPr="00AA425D">
              <w:rPr>
                <w:rFonts w:ascii="Times New Roman" w:hAnsi="Times New Roman"/>
                <w:sz w:val="20"/>
                <w:szCs w:val="20"/>
              </w:rPr>
              <w:t xml:space="preserve"> 2   O:</w:t>
            </w:r>
            <w:r w:rsidRPr="00AA425D" w:rsidR="00C366A6">
              <w:rPr>
                <w:rFonts w:ascii="Times New Roman" w:hAnsi="Times New Roman"/>
                <w:sz w:val="20"/>
                <w:szCs w:val="20"/>
              </w:rPr>
              <w:t>2</w:t>
            </w: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C64FCD">
            <w:pPr>
              <w:pStyle w:val="Normlny1"/>
              <w:bidi w:val="0"/>
              <w:spacing w:after="0" w:line="240" w:lineRule="auto"/>
              <w:rPr>
                <w:rFonts w:ascii="Times New Roman" w:hAnsi="Times New Roman"/>
                <w:sz w:val="20"/>
                <w:szCs w:val="20"/>
              </w:rPr>
            </w:pPr>
            <w:r w:rsidRPr="00AA425D" w:rsidR="00C366A6">
              <w:rPr>
                <w:rFonts w:ascii="Times New Roman" w:hAnsi="Times New Roman"/>
                <w:sz w:val="20"/>
                <w:szCs w:val="20"/>
              </w:rPr>
              <w:t>2.   Členské štáty oznámia Komisii znenie hlavných ustanovení vnútroštátnych právnych predpisov, ktoré prijmú v o</w:t>
            </w:r>
            <w:r w:rsidRPr="00AA425D" w:rsidR="00C64FCD">
              <w:rPr>
                <w:rFonts w:ascii="Times New Roman" w:hAnsi="Times New Roman"/>
                <w:sz w:val="20"/>
                <w:szCs w:val="20"/>
              </w:rPr>
              <w:t>blasti pôsobnosti tejto smernice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0738CF" w:rsidRPr="00AA425D" w:rsidP="00B93F24">
            <w:pPr>
              <w:bidi w:val="0"/>
              <w:spacing w:after="0" w:line="240" w:lineRule="auto"/>
              <w:jc w:val="center"/>
              <w:rPr>
                <w:rFonts w:ascii="Times New Roman" w:hAnsi="Times New Roman"/>
                <w:sz w:val="20"/>
                <w:szCs w:val="20"/>
              </w:rPr>
            </w:pPr>
            <w:r w:rsidRPr="00AA425D" w:rsidR="003D1524">
              <w:rPr>
                <w:rFonts w:ascii="Times New Roman" w:hAnsi="Times New Roman"/>
                <w:sz w:val="20"/>
                <w:szCs w:val="20"/>
              </w:rPr>
              <w:t>n.a</w:t>
            </w:r>
          </w:p>
        </w:tc>
        <w:tc>
          <w:tcPr>
            <w:tcW w:w="709" w:type="dxa"/>
            <w:tcBorders>
              <w:top w:val="single" w:sz="4" w:space="0" w:color="auto"/>
              <w:left w:val="nil"/>
              <w:bottom w:val="single" w:sz="4" w:space="0" w:color="auto"/>
              <w:right w:val="single" w:sz="4" w:space="0" w:color="auto"/>
            </w:tcBorders>
            <w:textDirection w:val="lrTb"/>
            <w:vAlign w:val="top"/>
          </w:tcPr>
          <w:p w:rsidR="000738CF" w:rsidRPr="00AA425D" w:rsidP="00B93F24">
            <w:pPr>
              <w:bidi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B93F24">
            <w:pPr>
              <w:pStyle w:val="Normlny"/>
              <w:bidi w:val="0"/>
              <w:spacing w:after="0" w:line="240" w:lineRule="auto"/>
              <w:rPr>
                <w:rFonts w:ascii="Times New Roman" w:hAnsi="Times New Roman"/>
              </w:rPr>
            </w:pPr>
          </w:p>
          <w:p w:rsidR="000738CF" w:rsidRPr="00AA425D" w:rsidP="00B93F24">
            <w:pPr>
              <w:pStyle w:val="Normlny"/>
              <w:bidi w:val="0"/>
              <w:spacing w:after="0" w:line="240" w:lineRule="auto"/>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B93F24">
            <w:pPr>
              <w:bidi w:val="0"/>
              <w:spacing w:after="0" w:line="240" w:lineRule="auto"/>
              <w:rPr>
                <w:rFonts w:ascii="Times New Roman" w:hAnsi="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738CF" w:rsidRPr="00AA425D" w:rsidP="00C64FCD">
            <w:pPr>
              <w:bidi w:val="0"/>
              <w:spacing w:after="0" w:line="240" w:lineRule="auto"/>
              <w:rPr>
                <w:rFonts w:ascii="Times New Roman" w:hAnsi="Times New Roman"/>
                <w:sz w:val="20"/>
                <w:szCs w:val="20"/>
              </w:rPr>
            </w:pPr>
          </w:p>
          <w:p w:rsidR="000738CF" w:rsidRPr="00AA425D" w:rsidP="00B93F24">
            <w:pPr>
              <w:bidi w:val="0"/>
              <w:spacing w:after="0" w:line="240" w:lineRule="auto"/>
              <w:jc w:val="center"/>
              <w:rPr>
                <w:rFonts w:ascii="Times New Roman" w:hAnsi="Times New Roman"/>
                <w:sz w:val="20"/>
                <w:szCs w:val="20"/>
              </w:rPr>
            </w:pPr>
            <w:r w:rsidRPr="00AA425D" w:rsidR="003D1524">
              <w:rPr>
                <w:rFonts w:ascii="Times New Roman" w:hAnsi="Times New Roman"/>
                <w:sz w:val="20"/>
                <w:szCs w:val="20"/>
              </w:rPr>
              <w:t>n.a.</w:t>
            </w:r>
          </w:p>
          <w:p w:rsidR="000738CF" w:rsidRPr="00AA425D" w:rsidP="00C64FCD">
            <w:pPr>
              <w:bidi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0738CF" w:rsidRPr="00AA425D" w:rsidP="00B93F24">
            <w:pPr>
              <w:pStyle w:val="Heading1"/>
              <w:bidi w:val="0"/>
              <w:spacing w:after="0" w:line="240" w:lineRule="auto"/>
              <w:rPr>
                <w:rFonts w:ascii="Times New Roman" w:hAnsi="Times New Roman"/>
                <w:b w:val="0"/>
                <w:bCs w:val="0"/>
                <w:sz w:val="20"/>
                <w:szCs w:val="20"/>
              </w:rPr>
            </w:pPr>
          </w:p>
        </w:tc>
      </w:tr>
      <w:tr>
        <w:tblPrEx>
          <w:tblW w:w="16019" w:type="dxa"/>
          <w:tblInd w:w="-383" w:type="dxa"/>
          <w:tblLayout w:type="fixed"/>
          <w:tblCellMar>
            <w:left w:w="43" w:type="dxa"/>
            <w:right w:w="43" w:type="dxa"/>
          </w:tblCellMar>
        </w:tblPrEx>
        <w:tc>
          <w:tcPr>
            <w:tcW w:w="852" w:type="dxa"/>
            <w:tcBorders>
              <w:top w:val="single" w:sz="4" w:space="0" w:color="auto"/>
              <w:left w:val="single" w:sz="12" w:space="0" w:color="auto"/>
              <w:bottom w:val="single" w:sz="4" w:space="0" w:color="auto"/>
              <w:right w:val="single" w:sz="4"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r w:rsidRPr="00AA425D" w:rsidR="00C366A6">
              <w:rPr>
                <w:rFonts w:ascii="Times New Roman" w:hAnsi="Times New Roman"/>
                <w:sz w:val="20"/>
                <w:szCs w:val="20"/>
              </w:rPr>
              <w:t>Č</w:t>
            </w:r>
            <w:r w:rsidRPr="00BD28BA" w:rsidR="00C366A6">
              <w:rPr>
                <w:rFonts w:ascii="Times New Roman" w:hAnsi="Times New Roman"/>
                <w:strike/>
                <w:color w:val="FF0000"/>
                <w:sz w:val="20"/>
                <w:szCs w:val="20"/>
              </w:rPr>
              <w:t>l.</w:t>
            </w:r>
            <w:r w:rsidRPr="00BD28BA" w:rsidR="00BD28BA">
              <w:rPr>
                <w:rFonts w:ascii="Times New Roman" w:hAnsi="Times New Roman"/>
                <w:color w:val="FF0000"/>
                <w:sz w:val="20"/>
                <w:szCs w:val="20"/>
              </w:rPr>
              <w:t>:</w:t>
            </w:r>
            <w:r w:rsidRPr="00AA425D" w:rsidR="00C366A6">
              <w:rPr>
                <w:rFonts w:ascii="Times New Roman" w:hAnsi="Times New Roman"/>
                <w:sz w:val="20"/>
                <w:szCs w:val="20"/>
              </w:rPr>
              <w:t xml:space="preserve"> 3</w:t>
            </w: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936F1D" w:rsidRPr="00AA425D" w:rsidP="00B93F24">
            <w:pPr>
              <w:pStyle w:val="Default"/>
              <w:bidi w:val="0"/>
              <w:spacing w:after="0" w:line="240" w:lineRule="auto"/>
              <w:rPr>
                <w:color w:val="auto"/>
                <w:sz w:val="20"/>
                <w:szCs w:val="20"/>
              </w:rPr>
            </w:pPr>
            <w:r w:rsidRPr="00AA425D" w:rsidR="00C366A6">
              <w:rPr>
                <w:color w:val="auto"/>
                <w:sz w:val="20"/>
                <w:szCs w:val="20"/>
              </w:rPr>
              <w:t>Táto smernica nadobúda účinnosť dvadsiatym dňom po jej uverejnení v </w:t>
            </w:r>
            <w:r w:rsidRPr="00AA425D" w:rsidR="00C366A6">
              <w:rPr>
                <w:rStyle w:val="italic"/>
                <w:rFonts w:cs="EUAlbertina"/>
                <w:color w:val="auto"/>
                <w:sz w:val="20"/>
                <w:szCs w:val="20"/>
              </w:rPr>
              <w:t>Úradnom vestníku Európskej únie</w:t>
            </w:r>
            <w:r w:rsidRPr="00AA425D" w:rsidR="00C366A6">
              <w:rPr>
                <w:color w:val="auto"/>
                <w:sz w:val="20"/>
                <w:szCs w:val="20"/>
              </w:rPr>
              <w: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r w:rsidRPr="00AA425D" w:rsidR="00C366A6">
              <w:rPr>
                <w:rFonts w:ascii="Times New Roman" w:hAnsi="Times New Roman"/>
                <w:sz w:val="20"/>
                <w:szCs w:val="20"/>
              </w:rPr>
              <w:t>n.a.</w:t>
            </w:r>
          </w:p>
        </w:tc>
        <w:tc>
          <w:tcPr>
            <w:tcW w:w="709" w:type="dxa"/>
            <w:tcBorders>
              <w:top w:val="single" w:sz="4" w:space="0" w:color="auto"/>
              <w:left w:val="nil"/>
              <w:bottom w:val="single" w:sz="4" w:space="0" w:color="auto"/>
              <w:right w:val="single" w:sz="4"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6F1D" w:rsidRPr="00AA425D" w:rsidP="00B93F24">
            <w:pPr>
              <w:pStyle w:val="Normlny"/>
              <w:bidi w:val="0"/>
              <w:spacing w:after="0" w:line="240" w:lineRule="auto"/>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36F1D" w:rsidRPr="00AA425D" w:rsidP="00B93F24">
            <w:pPr>
              <w:bidi w:val="0"/>
              <w:spacing w:before="75" w:after="75" w:line="240" w:lineRule="auto"/>
              <w:ind w:right="225"/>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r w:rsidRPr="00AA425D" w:rsidR="00C366A6">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936F1D" w:rsidRPr="00AA425D" w:rsidP="00B93F24">
            <w:pPr>
              <w:pStyle w:val="Heading1"/>
              <w:bidi w:val="0"/>
              <w:spacing w:after="0" w:line="240" w:lineRule="auto"/>
              <w:rPr>
                <w:rFonts w:ascii="Times New Roman" w:hAnsi="Times New Roman"/>
                <w:b w:val="0"/>
                <w:bCs w:val="0"/>
                <w:sz w:val="20"/>
                <w:szCs w:val="20"/>
              </w:rPr>
            </w:pPr>
          </w:p>
        </w:tc>
      </w:tr>
      <w:tr>
        <w:tblPrEx>
          <w:tblW w:w="16019" w:type="dxa"/>
          <w:tblInd w:w="-383" w:type="dxa"/>
          <w:tblLayout w:type="fixed"/>
          <w:tblCellMar>
            <w:left w:w="43" w:type="dxa"/>
            <w:right w:w="43" w:type="dxa"/>
          </w:tblCellMar>
        </w:tblPrEx>
        <w:tc>
          <w:tcPr>
            <w:tcW w:w="852" w:type="dxa"/>
            <w:tcBorders>
              <w:top w:val="single" w:sz="4" w:space="0" w:color="auto"/>
              <w:left w:val="single" w:sz="12" w:space="0" w:color="auto"/>
              <w:bottom w:val="single" w:sz="4" w:space="0" w:color="auto"/>
              <w:right w:val="single" w:sz="4"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r w:rsidRPr="00AA425D" w:rsidR="00C366A6">
              <w:rPr>
                <w:rFonts w:ascii="Times New Roman" w:hAnsi="Times New Roman"/>
                <w:sz w:val="20"/>
                <w:szCs w:val="20"/>
              </w:rPr>
              <w:t>Č</w:t>
            </w:r>
            <w:r w:rsidRPr="00BD28BA" w:rsidR="00C366A6">
              <w:rPr>
                <w:rFonts w:ascii="Times New Roman" w:hAnsi="Times New Roman"/>
                <w:strike/>
                <w:color w:val="FF0000"/>
                <w:sz w:val="20"/>
                <w:szCs w:val="20"/>
              </w:rPr>
              <w:t>l.</w:t>
            </w:r>
            <w:r w:rsidRPr="00BD28BA" w:rsidR="00BD28BA">
              <w:rPr>
                <w:rFonts w:ascii="Times New Roman" w:hAnsi="Times New Roman"/>
                <w:color w:val="FF0000"/>
                <w:sz w:val="20"/>
                <w:szCs w:val="20"/>
              </w:rPr>
              <w:t>:</w:t>
            </w:r>
            <w:r w:rsidRPr="00AA425D" w:rsidR="00C366A6">
              <w:rPr>
                <w:rFonts w:ascii="Times New Roman" w:hAnsi="Times New Roman"/>
                <w:sz w:val="20"/>
                <w:szCs w:val="20"/>
              </w:rPr>
              <w:t xml:space="preserve"> 4</w:t>
            </w: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936F1D" w:rsidRPr="00AA425D" w:rsidP="00B93F24">
            <w:pPr>
              <w:pStyle w:val="Default"/>
              <w:bidi w:val="0"/>
              <w:spacing w:after="0" w:line="240" w:lineRule="auto"/>
              <w:rPr>
                <w:color w:val="auto"/>
                <w:sz w:val="20"/>
                <w:szCs w:val="20"/>
              </w:rPr>
            </w:pPr>
            <w:r w:rsidRPr="00AA425D" w:rsidR="00C366A6">
              <w:rPr>
                <w:color w:val="auto"/>
                <w:sz w:val="20"/>
                <w:szCs w:val="20"/>
              </w:rPr>
              <w:t>Táto smernica je určená členským štátom</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r w:rsidRPr="00AA425D" w:rsidR="00C366A6">
              <w:rPr>
                <w:rFonts w:ascii="Times New Roman" w:hAnsi="Times New Roman"/>
                <w:sz w:val="20"/>
                <w:szCs w:val="20"/>
              </w:rPr>
              <w:t>n.a.</w:t>
            </w:r>
          </w:p>
        </w:tc>
        <w:tc>
          <w:tcPr>
            <w:tcW w:w="709" w:type="dxa"/>
            <w:tcBorders>
              <w:top w:val="single" w:sz="4" w:space="0" w:color="auto"/>
              <w:left w:val="nil"/>
              <w:bottom w:val="single" w:sz="4" w:space="0" w:color="auto"/>
              <w:right w:val="single" w:sz="4"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6F1D" w:rsidRPr="00AA425D" w:rsidP="00B93F24">
            <w:pPr>
              <w:pStyle w:val="Normlny"/>
              <w:bidi w:val="0"/>
              <w:spacing w:after="0" w:line="240" w:lineRule="auto"/>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36F1D" w:rsidRPr="00AA425D" w:rsidP="00B93F24">
            <w:pPr>
              <w:bidi w:val="0"/>
              <w:spacing w:before="75" w:after="75" w:line="240" w:lineRule="auto"/>
              <w:ind w:right="225"/>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r w:rsidRPr="00AA425D" w:rsidR="00C366A6">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936F1D" w:rsidRPr="00AA425D" w:rsidP="00B93F24">
            <w:pPr>
              <w:pStyle w:val="Heading1"/>
              <w:bidi w:val="0"/>
              <w:spacing w:after="0" w:line="240" w:lineRule="auto"/>
              <w:rPr>
                <w:rFonts w:ascii="Times New Roman" w:hAnsi="Times New Roman"/>
                <w:b w:val="0"/>
                <w:bCs w:val="0"/>
                <w:sz w:val="20"/>
                <w:szCs w:val="20"/>
              </w:rPr>
            </w:pPr>
          </w:p>
        </w:tc>
      </w:tr>
      <w:tr>
        <w:tblPrEx>
          <w:tblW w:w="16019" w:type="dxa"/>
          <w:tblInd w:w="-383" w:type="dxa"/>
          <w:tblLayout w:type="fixed"/>
          <w:tblCellMar>
            <w:left w:w="43" w:type="dxa"/>
            <w:right w:w="43" w:type="dxa"/>
          </w:tblCellMar>
        </w:tblPrEx>
        <w:tc>
          <w:tcPr>
            <w:tcW w:w="852" w:type="dxa"/>
            <w:tcBorders>
              <w:top w:val="single" w:sz="4" w:space="0" w:color="auto"/>
              <w:left w:val="single" w:sz="12" w:space="0" w:color="auto"/>
              <w:bottom w:val="single" w:sz="4" w:space="0" w:color="auto"/>
              <w:right w:val="single" w:sz="4"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C366A6" w:rsidRPr="00AA425D" w:rsidP="00C366A6">
            <w:pPr>
              <w:autoSpaceDE/>
              <w:autoSpaceDN/>
              <w:bidi w:val="0"/>
              <w:spacing w:before="120" w:after="0" w:line="240" w:lineRule="auto"/>
              <w:jc w:val="both"/>
              <w:rPr>
                <w:rFonts w:ascii="Times New Roman" w:hAnsi="Times New Roman"/>
                <w:sz w:val="20"/>
                <w:szCs w:val="20"/>
              </w:rPr>
            </w:pPr>
            <w:r w:rsidRPr="00AA425D">
              <w:rPr>
                <w:rFonts w:ascii="Times New Roman" w:hAnsi="Times New Roman"/>
                <w:b/>
                <w:sz w:val="20"/>
                <w:szCs w:val="20"/>
              </w:rPr>
              <w:t>Príloha II</w:t>
            </w:r>
            <w:r w:rsidRPr="00AA425D">
              <w:rPr>
                <w:rFonts w:ascii="Times New Roman" w:hAnsi="Times New Roman"/>
                <w:sz w:val="20"/>
                <w:szCs w:val="20"/>
              </w:rPr>
              <w:t xml:space="preserve"> k smernici 2006/118/ES sa mení takto:</w:t>
            </w:r>
          </w:p>
          <w:tbl>
            <w:tblPr>
              <w:tblStyle w:val="TableNormal"/>
              <w:tblW w:w="5000" w:type="pct"/>
              <w:jc w:val="center"/>
              <w:tblCellSpacing w:w="0" w:type="dxa"/>
              <w:tblLayout w:type="fixed"/>
              <w:tblCellMar>
                <w:left w:w="0" w:type="dxa"/>
                <w:right w:w="0" w:type="dxa"/>
              </w:tblCellMar>
              <w:tblLook w:val="04A0"/>
            </w:tblPr>
            <w:tblGrid>
              <w:gridCol w:w="127"/>
              <w:gridCol w:w="6165"/>
            </w:tblGrid>
            <w:tr>
              <w:tblPrEx>
                <w:tblW w:w="5000" w:type="pct"/>
                <w:jc w:val="center"/>
                <w:tblCellSpacing w:w="0" w:type="dxa"/>
                <w:tblLayout w:type="fixed"/>
                <w:tblCellMar>
                  <w:left w:w="0" w:type="dxa"/>
                  <w:right w:w="0" w:type="dxa"/>
                </w:tblCellMar>
                <w:tblLook w:val="04A0"/>
              </w:tblPrEx>
              <w:trPr>
                <w:tblCellSpacing w:w="0" w:type="dxa"/>
                <w:jc w:val="center"/>
              </w:trPr>
              <w:tc>
                <w:tcPr>
                  <w:tcW w:w="180"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C366A6">
                  <w:pPr>
                    <w:autoSpaceDE/>
                    <w:autoSpaceDN/>
                    <w:bidi w:val="0"/>
                    <w:spacing w:before="120" w:after="0" w:line="240" w:lineRule="auto"/>
                    <w:jc w:val="both"/>
                    <w:rPr>
                      <w:rFonts w:ascii="Times New Roman" w:hAnsi="Times New Roman"/>
                      <w:sz w:val="20"/>
                      <w:szCs w:val="20"/>
                    </w:rPr>
                  </w:pPr>
                  <w:r w:rsidRPr="00AA425D">
                    <w:rPr>
                      <w:rFonts w:ascii="Times New Roman" w:hAnsi="Times New Roman"/>
                      <w:sz w:val="20"/>
                      <w:szCs w:val="20"/>
                    </w:rPr>
                    <w:t>1.</w:t>
                  </w:r>
                </w:p>
              </w:tc>
              <w:tc>
                <w:tcPr>
                  <w:tcW w:w="9226"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C366A6">
                  <w:pPr>
                    <w:autoSpaceDE/>
                    <w:autoSpaceDN/>
                    <w:bidi w:val="0"/>
                    <w:spacing w:before="120" w:after="0" w:line="240" w:lineRule="auto"/>
                    <w:jc w:val="both"/>
                    <w:rPr>
                      <w:rFonts w:ascii="Times New Roman" w:hAnsi="Times New Roman"/>
                      <w:sz w:val="20"/>
                      <w:szCs w:val="20"/>
                    </w:rPr>
                  </w:pPr>
                  <w:r w:rsidRPr="00AA425D">
                    <w:rPr>
                      <w:rFonts w:ascii="Times New Roman" w:hAnsi="Times New Roman"/>
                      <w:sz w:val="20"/>
                      <w:szCs w:val="20"/>
                    </w:rPr>
                    <w:t>. V </w:t>
                  </w:r>
                  <w:r w:rsidRPr="00AA425D">
                    <w:rPr>
                      <w:rFonts w:ascii="Times New Roman" w:hAnsi="Times New Roman"/>
                      <w:b/>
                      <w:sz w:val="20"/>
                      <w:szCs w:val="20"/>
                    </w:rPr>
                    <w:t>časti A</w:t>
                  </w:r>
                  <w:r w:rsidRPr="00AA425D">
                    <w:rPr>
                      <w:rFonts w:ascii="Times New Roman" w:hAnsi="Times New Roman"/>
                      <w:sz w:val="20"/>
                      <w:szCs w:val="20"/>
                    </w:rPr>
                    <w:t xml:space="preserve"> sa </w:t>
                  </w:r>
                  <w:r w:rsidRPr="00AA425D">
                    <w:rPr>
                      <w:rFonts w:ascii="Times New Roman" w:hAnsi="Times New Roman"/>
                      <w:b/>
                      <w:sz w:val="20"/>
                      <w:szCs w:val="20"/>
                    </w:rPr>
                    <w:t>bod 3</w:t>
                  </w:r>
                  <w:r w:rsidRPr="00AA425D">
                    <w:rPr>
                      <w:rFonts w:ascii="Times New Roman" w:hAnsi="Times New Roman"/>
                      <w:sz w:val="20"/>
                      <w:szCs w:val="20"/>
                    </w:rPr>
                    <w:t xml:space="preserve"> nahrádza takto:</w:t>
                  </w:r>
                </w:p>
                <w:tbl>
                  <w:tblPr>
                    <w:tblStyle w:val="TableNormal"/>
                    <w:tblW w:w="5000" w:type="pct"/>
                    <w:tblCellSpacing w:w="0" w:type="dxa"/>
                    <w:tblLayout w:type="fixed"/>
                    <w:tblCellMar>
                      <w:left w:w="0" w:type="dxa"/>
                      <w:right w:w="0" w:type="dxa"/>
                    </w:tblCellMar>
                    <w:tblLook w:val="04A0"/>
                  </w:tblPr>
                  <w:tblGrid>
                    <w:gridCol w:w="198"/>
                    <w:gridCol w:w="5967"/>
                  </w:tblGrid>
                  <w:tr>
                    <w:tblPrEx>
                      <w:tblW w:w="5000" w:type="pct"/>
                      <w:tblCellSpacing w:w="0" w:type="dxa"/>
                      <w:tblLayout w:type="fixed"/>
                      <w:tblCellMar>
                        <w:left w:w="0" w:type="dxa"/>
                        <w:right w:w="0" w:type="dxa"/>
                      </w:tblCellMar>
                      <w:tblLook w:val="04A0"/>
                    </w:tblPrEx>
                    <w:trPr>
                      <w:tblCellSpacing w:w="0" w:type="dxa"/>
                    </w:trPr>
                    <w:tc>
                      <w:tcPr>
                        <w:tcW w:w="287"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C366A6">
                        <w:pPr>
                          <w:autoSpaceDE/>
                          <w:autoSpaceDN/>
                          <w:bidi w:val="0"/>
                          <w:spacing w:before="120" w:after="0" w:line="240" w:lineRule="auto"/>
                          <w:jc w:val="both"/>
                          <w:rPr>
                            <w:rFonts w:ascii="Times New Roman" w:hAnsi="Times New Roman"/>
                            <w:sz w:val="20"/>
                            <w:szCs w:val="20"/>
                          </w:rPr>
                        </w:pPr>
                        <w:r w:rsidRPr="00AA425D">
                          <w:rPr>
                            <w:rFonts w:ascii="Times New Roman" w:hAnsi="Times New Roman"/>
                            <w:sz w:val="20"/>
                            <w:szCs w:val="20"/>
                          </w:rPr>
                          <w:t>„3.</w:t>
                        </w:r>
                      </w:p>
                    </w:tc>
                    <w:tc>
                      <w:tcPr>
                        <w:tcW w:w="8939"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C366A6">
                        <w:pPr>
                          <w:autoSpaceDE/>
                          <w:autoSpaceDN/>
                          <w:bidi w:val="0"/>
                          <w:spacing w:before="120" w:after="0" w:line="240" w:lineRule="auto"/>
                          <w:jc w:val="both"/>
                          <w:rPr>
                            <w:rFonts w:ascii="Times New Roman" w:hAnsi="Times New Roman"/>
                            <w:sz w:val="20"/>
                            <w:szCs w:val="20"/>
                          </w:rPr>
                        </w:pPr>
                        <w:r w:rsidRPr="00AA425D">
                          <w:rPr>
                            <w:rFonts w:ascii="Times New Roman" w:hAnsi="Times New Roman"/>
                            <w:sz w:val="20"/>
                            <w:szCs w:val="20"/>
                          </w:rPr>
                          <w:t>Kedykoľvek sa z prirodzených hydrogeologických dôvodov vyskytnú zvýšené pozaďové úrovne látok, iónov alebo ich indikátorov, zohľadnia sa uvedené pozaďové úrovne v príslušných útvaroch podzemných vôd pri stanovovaní prahových hodnôt. Pri určovaní pozaďových úrovní by sa mali zohľadniť tieto zásady:</w:t>
                        </w:r>
                      </w:p>
                      <w:tbl>
                        <w:tblPr>
                          <w:tblStyle w:val="TableNormal"/>
                          <w:tblW w:w="5000" w:type="pct"/>
                          <w:tblCellSpacing w:w="0" w:type="dxa"/>
                          <w:tblLayout w:type="fixed"/>
                          <w:tblCellMar>
                            <w:left w:w="0" w:type="dxa"/>
                            <w:right w:w="0" w:type="dxa"/>
                          </w:tblCellMar>
                          <w:tblLook w:val="04A0"/>
                        </w:tblPr>
                        <w:tblGrid>
                          <w:gridCol w:w="131"/>
                          <w:gridCol w:w="9"/>
                          <w:gridCol w:w="5827"/>
                        </w:tblGrid>
                        <w:tr>
                          <w:tblPrEx>
                            <w:tblW w:w="5000" w:type="pct"/>
                            <w:tblCellSpacing w:w="0" w:type="dxa"/>
                            <w:tblLayout w:type="fixed"/>
                            <w:tblCellMar>
                              <w:left w:w="0" w:type="dxa"/>
                              <w:right w:w="0" w:type="dxa"/>
                            </w:tblCellMar>
                            <w:tblLook w:val="04A0"/>
                          </w:tblPrEx>
                          <w:trPr>
                            <w:tblCellSpacing w:w="0" w:type="dxa"/>
                          </w:trPr>
                          <w:tc>
                            <w:tcPr>
                              <w:tcW w:w="131"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C366A6">
                              <w:pPr>
                                <w:autoSpaceDE/>
                                <w:autoSpaceDN/>
                                <w:bidi w:val="0"/>
                                <w:spacing w:before="120" w:after="0" w:line="240" w:lineRule="auto"/>
                                <w:jc w:val="both"/>
                                <w:rPr>
                                  <w:rFonts w:ascii="Times New Roman" w:hAnsi="Times New Roman"/>
                                  <w:sz w:val="20"/>
                                  <w:szCs w:val="20"/>
                                </w:rPr>
                              </w:pPr>
                              <w:r w:rsidRPr="00AA425D">
                                <w:rPr>
                                  <w:rFonts w:ascii="Times New Roman" w:hAnsi="Times New Roman"/>
                                  <w:sz w:val="20"/>
                                  <w:szCs w:val="20"/>
                                </w:rPr>
                                <w:t>a</w:t>
                              </w:r>
                            </w:p>
                          </w:tc>
                          <w:tc>
                            <w:tcPr>
                              <w:tcW w:w="5836" w:type="dxa"/>
                              <w:gridSpan w:val="2"/>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C366A6">
                              <w:pPr>
                                <w:autoSpaceDE/>
                                <w:autoSpaceDN/>
                                <w:bidi w:val="0"/>
                                <w:spacing w:before="120" w:after="0" w:line="240" w:lineRule="auto"/>
                                <w:jc w:val="both"/>
                                <w:rPr>
                                  <w:rFonts w:ascii="Times New Roman" w:hAnsi="Times New Roman"/>
                                  <w:sz w:val="20"/>
                                  <w:szCs w:val="20"/>
                                </w:rPr>
                              </w:pPr>
                              <w:r w:rsidRPr="00AA425D">
                                <w:rPr>
                                  <w:rFonts w:ascii="Times New Roman" w:hAnsi="Times New Roman"/>
                                  <w:sz w:val="20"/>
                                  <w:szCs w:val="20"/>
                                </w:rPr>
                                <w:t>) určovanie pozaďových úrovní by malo byť založené na charakterizácii útvarov podzemných vôd v súlade s prílohou II k smernici 2000/60/ES a na výsledkoch monitorovania podzemných vôd v súlade s prílohou V k uvedenej smernici. Pri stratégii monitorovania a výklade údajov by sa mala zohľadniť skutočnosť, že podmienky prúdenia a chemického zloženia podzemných vôd sa menia laterálne a horizontálne;</w:t>
                              </w:r>
                            </w:p>
                          </w:tc>
                        </w:tr>
                        <w:tr>
                          <w:tblPrEx>
                            <w:tblW w:w="5000" w:type="pct"/>
                            <w:tblCellSpacing w:w="0" w:type="dxa"/>
                            <w:tblLayout w:type="fixed"/>
                            <w:tblCellMar>
                              <w:left w:w="0" w:type="dxa"/>
                              <w:right w:w="0" w:type="dxa"/>
                            </w:tblCellMar>
                            <w:tblLook w:val="04A0"/>
                          </w:tblPrEx>
                          <w:trPr>
                            <w:tblCellSpacing w:w="0" w:type="dxa"/>
                          </w:trPr>
                          <w:tc>
                            <w:tcPr>
                              <w:tcW w:w="140" w:type="dxa"/>
                              <w:gridSpan w:val="2"/>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C366A6">
                              <w:pPr>
                                <w:autoSpaceDE/>
                                <w:autoSpaceDN/>
                                <w:bidi w:val="0"/>
                                <w:spacing w:before="120" w:after="0" w:line="240" w:lineRule="auto"/>
                                <w:jc w:val="both"/>
                                <w:rPr>
                                  <w:rFonts w:ascii="Times New Roman" w:hAnsi="Times New Roman"/>
                                  <w:sz w:val="20"/>
                                  <w:szCs w:val="20"/>
                                </w:rPr>
                              </w:pPr>
                              <w:r w:rsidRPr="00AA425D">
                                <w:rPr>
                                  <w:rFonts w:ascii="Times New Roman" w:hAnsi="Times New Roman"/>
                                  <w:sz w:val="20"/>
                                  <w:szCs w:val="20"/>
                                </w:rPr>
                                <w:t>b</w:t>
                              </w:r>
                            </w:p>
                          </w:tc>
                          <w:tc>
                            <w:tcPr>
                              <w:tcW w:w="5827"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C366A6">
                              <w:pPr>
                                <w:autoSpaceDE/>
                                <w:autoSpaceDN/>
                                <w:bidi w:val="0"/>
                                <w:spacing w:before="120" w:after="0" w:line="240" w:lineRule="auto"/>
                                <w:jc w:val="both"/>
                                <w:rPr>
                                  <w:rFonts w:ascii="Times New Roman" w:hAnsi="Times New Roman"/>
                                  <w:sz w:val="20"/>
                                  <w:szCs w:val="20"/>
                                </w:rPr>
                              </w:pPr>
                              <w:r w:rsidRPr="00AA425D">
                                <w:rPr>
                                  <w:rFonts w:ascii="Times New Roman" w:hAnsi="Times New Roman"/>
                                  <w:sz w:val="20"/>
                                  <w:szCs w:val="20"/>
                                </w:rPr>
                                <w:t>) ak sú k dispozícii len obmedzené údaje z monitorovania, mali by sa získať ďalšie údaje a dovtedy by sa pozaďové úrovne mali stanoviť na základe obmedzených údajov z monitorovania, prípadne prostredníctvom zjednodušeného postupu použitia čiastkových vzoriek, pri ktorom indikátory nevykazujú žiadny vplyv ľudskej činnosti. Ak sú k dispozícii informácie o geochemických prenosoch a procesoch, mali by sa takisto zohľadniť;</w:t>
                              </w:r>
                            </w:p>
                          </w:tc>
                        </w:tr>
                        <w:tr>
                          <w:tblPrEx>
                            <w:tblW w:w="5000" w:type="pct"/>
                            <w:tblCellSpacing w:w="0" w:type="dxa"/>
                            <w:tblLayout w:type="fixed"/>
                            <w:tblCellMar>
                              <w:left w:w="0" w:type="dxa"/>
                              <w:right w:w="0" w:type="dxa"/>
                            </w:tblCellMar>
                            <w:tblLook w:val="04A0"/>
                          </w:tblPrEx>
                          <w:trPr>
                            <w:tblCellSpacing w:w="0" w:type="dxa"/>
                          </w:trPr>
                          <w:tc>
                            <w:tcPr>
                              <w:tcW w:w="131"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C366A6">
                              <w:pPr>
                                <w:autoSpaceDE/>
                                <w:autoSpaceDN/>
                                <w:bidi w:val="0"/>
                                <w:spacing w:before="120" w:after="0" w:line="240" w:lineRule="auto"/>
                                <w:jc w:val="both"/>
                                <w:rPr>
                                  <w:rFonts w:ascii="Times New Roman" w:hAnsi="Times New Roman"/>
                                  <w:sz w:val="20"/>
                                  <w:szCs w:val="20"/>
                                </w:rPr>
                              </w:pPr>
                              <w:r w:rsidRPr="00AA425D">
                                <w:rPr>
                                  <w:rFonts w:ascii="Times New Roman" w:hAnsi="Times New Roman"/>
                                  <w:sz w:val="20"/>
                                  <w:szCs w:val="20"/>
                                </w:rPr>
                                <w:t>c</w:t>
                              </w:r>
                            </w:p>
                          </w:tc>
                          <w:tc>
                            <w:tcPr>
                              <w:tcW w:w="5836" w:type="dxa"/>
                              <w:gridSpan w:val="2"/>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C366A6">
                              <w:pPr>
                                <w:autoSpaceDE/>
                                <w:autoSpaceDN/>
                                <w:bidi w:val="0"/>
                                <w:spacing w:before="120" w:after="0" w:line="240" w:lineRule="auto"/>
                                <w:jc w:val="both"/>
                                <w:rPr>
                                  <w:rFonts w:ascii="Times New Roman" w:hAnsi="Times New Roman"/>
                                  <w:sz w:val="20"/>
                                  <w:szCs w:val="20"/>
                                </w:rPr>
                              </w:pPr>
                              <w:r w:rsidRPr="00AA425D">
                                <w:rPr>
                                  <w:rFonts w:ascii="Times New Roman" w:hAnsi="Times New Roman"/>
                                  <w:sz w:val="20"/>
                                  <w:szCs w:val="20"/>
                                </w:rPr>
                                <w:t>) ak sú k dispozícii nedostatočné údaje z monitorovania podzemných vôd a informácie o geochemických prenosoch a procesoch nie sú vyhovujúce, mali by sa získať ďalšie údaje a dovtedy by sa pozaďové úrovne mali odhadnúť, prípadne na základe štatistických referenčných výsledkov pre rovnaký typ zvodnených vrstiev v iných oblastiach, z ktorých je k dispozícii viac údajov z monitorovania.“</w:t>
                              </w:r>
                            </w:p>
                          </w:tc>
                        </w:tr>
                      </w:tbl>
                      <w:p w:rsidR="00C366A6" w:rsidRPr="00AA425D" w:rsidP="00C366A6">
                        <w:pPr>
                          <w:autoSpaceDE/>
                          <w:autoSpaceDN/>
                          <w:bidi w:val="0"/>
                          <w:spacing w:after="0" w:line="240" w:lineRule="auto"/>
                          <w:rPr>
                            <w:rFonts w:ascii="Times New Roman" w:hAnsi="Times New Roman"/>
                            <w:sz w:val="20"/>
                            <w:szCs w:val="20"/>
                          </w:rPr>
                        </w:pPr>
                      </w:p>
                    </w:tc>
                  </w:tr>
                </w:tbl>
                <w:p w:rsidR="00C366A6" w:rsidRPr="00AA425D" w:rsidP="00C366A6">
                  <w:pPr>
                    <w:autoSpaceDE/>
                    <w:autoSpaceDN/>
                    <w:bidi w:val="0"/>
                    <w:spacing w:after="0" w:line="240" w:lineRule="auto"/>
                    <w:rPr>
                      <w:rFonts w:ascii="Times New Roman" w:hAnsi="Times New Roman"/>
                      <w:sz w:val="20"/>
                      <w:szCs w:val="20"/>
                    </w:rPr>
                  </w:pPr>
                </w:p>
              </w:tc>
            </w:tr>
          </w:tbl>
          <w:p w:rsidR="00936F1D" w:rsidRPr="00AA425D" w:rsidP="00B93F24">
            <w:pPr>
              <w:pStyle w:val="Default"/>
              <w:bidi w:val="0"/>
              <w:spacing w:after="0" w:line="240" w:lineRule="auto"/>
              <w:rPr>
                <w:color w:val="auto"/>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r w:rsidRPr="00AA425D" w:rsidR="00F66D53">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p>
          <w:p w:rsidR="00231555" w:rsidRPr="00AA425D" w:rsidP="00B93F24">
            <w:pPr>
              <w:bidi w:val="0"/>
              <w:spacing w:after="0" w:line="240" w:lineRule="auto"/>
              <w:jc w:val="center"/>
              <w:rPr>
                <w:rFonts w:ascii="Times New Roman" w:hAnsi="Times New Roman"/>
                <w:sz w:val="20"/>
                <w:szCs w:val="20"/>
              </w:rPr>
            </w:pPr>
          </w:p>
          <w:p w:rsidR="005A64AE" w:rsidRPr="00AE4DEF" w:rsidP="00B93F24">
            <w:pPr>
              <w:bidi w:val="0"/>
              <w:spacing w:after="0" w:line="240" w:lineRule="auto"/>
              <w:jc w:val="center"/>
              <w:rPr>
                <w:rFonts w:ascii="Times New Roman" w:hAnsi="Times New Roman"/>
                <w:sz w:val="20"/>
                <w:szCs w:val="20"/>
              </w:rPr>
            </w:pPr>
            <w:r w:rsidRPr="00AE4DEF" w:rsidR="00C908F0">
              <w:rPr>
                <w:rFonts w:ascii="Times New Roman" w:hAnsi="Times New Roman"/>
                <w:sz w:val="20"/>
                <w:szCs w:val="20"/>
              </w:rPr>
              <w:t>3</w:t>
            </w:r>
          </w:p>
          <w:p w:rsidR="005A64AE" w:rsidRPr="00AA425D" w:rsidP="00B93F24">
            <w:pPr>
              <w:bidi w:val="0"/>
              <w:spacing w:after="0" w:line="240" w:lineRule="auto"/>
              <w:jc w:val="center"/>
              <w:rPr>
                <w:rFonts w:ascii="Times New Roman" w:hAnsi="Times New Roman"/>
                <w:sz w:val="20"/>
                <w:szCs w:val="20"/>
              </w:rPr>
            </w:pPr>
          </w:p>
          <w:p w:rsidR="005A64AE" w:rsidRPr="00AA425D" w:rsidP="00B93F24">
            <w:pPr>
              <w:bidi w:val="0"/>
              <w:spacing w:after="0" w:line="240" w:lineRule="auto"/>
              <w:jc w:val="center"/>
              <w:rPr>
                <w:rFonts w:ascii="Times New Roman" w:hAnsi="Times New Roman"/>
                <w:sz w:val="20"/>
                <w:szCs w:val="20"/>
              </w:rPr>
            </w:pPr>
          </w:p>
          <w:p w:rsidR="00C64FCD" w:rsidRPr="00AA425D" w:rsidP="00231555">
            <w:pPr>
              <w:bidi w:val="0"/>
              <w:spacing w:after="0" w:line="240" w:lineRule="auto"/>
              <w:rPr>
                <w:rFonts w:ascii="Times New Roman" w:hAnsi="Times New Roman"/>
                <w:sz w:val="20"/>
                <w:szCs w:val="20"/>
              </w:rPr>
            </w:pPr>
          </w:p>
          <w:p w:rsidR="005A64AE" w:rsidRPr="00AA425D" w:rsidP="00B93F24">
            <w:pPr>
              <w:bidi w:val="0"/>
              <w:spacing w:after="0" w:line="240" w:lineRule="auto"/>
              <w:jc w:val="center"/>
              <w:rPr>
                <w:rFonts w:ascii="Times New Roman" w:hAnsi="Times New Roman"/>
                <w:sz w:val="20"/>
                <w:szCs w:val="20"/>
              </w:rPr>
            </w:pPr>
            <w:r w:rsidRPr="00AA425D">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6F1D" w:rsidRPr="00AE4DEF" w:rsidP="00B93F24">
            <w:pPr>
              <w:pStyle w:val="Normlny"/>
              <w:bidi w:val="0"/>
              <w:spacing w:after="0" w:line="240" w:lineRule="auto"/>
              <w:rPr>
                <w:rFonts w:ascii="Times New Roman" w:hAnsi="Times New Roman"/>
              </w:rPr>
            </w:pPr>
          </w:p>
          <w:p w:rsidR="00231555" w:rsidRPr="00AE4DEF" w:rsidP="005A64AE">
            <w:pPr>
              <w:pStyle w:val="Normlny"/>
              <w:bidi w:val="0"/>
              <w:spacing w:after="0" w:line="240" w:lineRule="auto"/>
              <w:rPr>
                <w:rFonts w:ascii="Times New Roman" w:hAnsi="Times New Roman"/>
              </w:rPr>
            </w:pPr>
          </w:p>
          <w:p w:rsidR="005A64AE" w:rsidRPr="00AE4DEF" w:rsidP="005A64AE">
            <w:pPr>
              <w:pStyle w:val="Normlny"/>
              <w:bidi w:val="0"/>
              <w:spacing w:after="0" w:line="240" w:lineRule="auto"/>
              <w:rPr>
                <w:rFonts w:ascii="Times New Roman" w:hAnsi="Times New Roman"/>
              </w:rPr>
            </w:pPr>
            <w:r w:rsidRPr="00AE4DEF">
              <w:rPr>
                <w:rFonts w:ascii="Times New Roman" w:hAnsi="Times New Roman"/>
              </w:rPr>
              <w:t>§  4c</w:t>
            </w:r>
          </w:p>
          <w:p w:rsidR="005A64AE" w:rsidRPr="00AE4DEF" w:rsidP="005A64AE">
            <w:pPr>
              <w:pStyle w:val="Normlny"/>
              <w:bidi w:val="0"/>
              <w:spacing w:after="0" w:line="240" w:lineRule="auto"/>
              <w:rPr>
                <w:rFonts w:ascii="Times New Roman" w:hAnsi="Times New Roman"/>
              </w:rPr>
            </w:pPr>
            <w:r w:rsidRPr="00AE4DEF">
              <w:rPr>
                <w:rFonts w:ascii="Times New Roman" w:hAnsi="Times New Roman"/>
              </w:rPr>
              <w:t>ods.13</w:t>
            </w:r>
          </w:p>
          <w:p w:rsidR="005A64AE" w:rsidRPr="00AE4DEF" w:rsidP="005A64AE">
            <w:pPr>
              <w:pStyle w:val="Normlny"/>
              <w:bidi w:val="0"/>
              <w:spacing w:after="0" w:line="240" w:lineRule="auto"/>
              <w:rPr>
                <w:rFonts w:ascii="Times New Roman" w:hAnsi="Times New Roman"/>
              </w:rPr>
            </w:pPr>
            <w:r w:rsidRPr="00AE4DEF">
              <w:rPr>
                <w:rFonts w:ascii="Times New Roman" w:hAnsi="Times New Roman"/>
              </w:rPr>
              <w:t>P:</w:t>
            </w:r>
            <w:r w:rsidRPr="00AE4DEF" w:rsidR="002516F3">
              <w:rPr>
                <w:rFonts w:ascii="Times New Roman" w:hAnsi="Times New Roman"/>
              </w:rPr>
              <w:t>f</w:t>
            </w:r>
            <w:r w:rsidRPr="00AE4DEF">
              <w:rPr>
                <w:rFonts w:ascii="Times New Roman" w:hAnsi="Times New Roman"/>
              </w:rPr>
              <w:t>)</w:t>
            </w:r>
          </w:p>
          <w:p w:rsidR="005A64AE" w:rsidRPr="00AE4DEF" w:rsidP="00B93F24">
            <w:pPr>
              <w:pStyle w:val="Normlny"/>
              <w:bidi w:val="0"/>
              <w:spacing w:after="0" w:line="240" w:lineRule="auto"/>
              <w:rPr>
                <w:rFonts w:ascii="Times New Roman" w:hAnsi="Times New Roman"/>
              </w:rPr>
            </w:pPr>
          </w:p>
          <w:p w:rsidR="00231555" w:rsidRPr="00AE4DEF" w:rsidP="00231555">
            <w:pPr>
              <w:pStyle w:val="Normlny"/>
              <w:bidi w:val="0"/>
              <w:spacing w:after="0" w:line="240" w:lineRule="auto"/>
              <w:rPr>
                <w:rFonts w:ascii="Times New Roman" w:hAnsi="Times New Roman"/>
              </w:rPr>
            </w:pPr>
            <w:r w:rsidRPr="00AE4DEF">
              <w:rPr>
                <w:rFonts w:ascii="Times New Roman" w:hAnsi="Times New Roman"/>
              </w:rPr>
              <w:t>§  5</w:t>
            </w:r>
          </w:p>
          <w:p w:rsidR="00231555" w:rsidRPr="00AE4DEF" w:rsidP="00231555">
            <w:pPr>
              <w:pStyle w:val="Normlny"/>
              <w:bidi w:val="0"/>
              <w:spacing w:after="0" w:line="240" w:lineRule="auto"/>
              <w:rPr>
                <w:rFonts w:ascii="Times New Roman" w:hAnsi="Times New Roman"/>
              </w:rPr>
            </w:pPr>
            <w:r w:rsidRPr="00AE4DEF">
              <w:rPr>
                <w:rFonts w:ascii="Times New Roman" w:hAnsi="Times New Roman"/>
              </w:rPr>
              <w:t>ods.15</w:t>
            </w:r>
          </w:p>
          <w:p w:rsidR="00231555" w:rsidRPr="00AE4DEF" w:rsidP="00231555">
            <w:pPr>
              <w:pStyle w:val="Normlny"/>
              <w:bidi w:val="0"/>
              <w:spacing w:after="0" w:line="240" w:lineRule="auto"/>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36F1D" w:rsidRPr="00AE4DEF" w:rsidP="00B93F24">
            <w:pPr>
              <w:bidi w:val="0"/>
              <w:spacing w:before="75" w:after="75" w:line="240" w:lineRule="auto"/>
              <w:ind w:right="225"/>
              <w:rPr>
                <w:rFonts w:ascii="Times New Roman" w:hAnsi="Times New Roman"/>
                <w:sz w:val="20"/>
                <w:szCs w:val="20"/>
              </w:rPr>
            </w:pPr>
          </w:p>
          <w:p w:rsidR="00C908F0" w:rsidRPr="00AE4DEF" w:rsidP="00C908F0">
            <w:pPr>
              <w:bidi w:val="0"/>
              <w:spacing w:after="0" w:line="240" w:lineRule="auto"/>
              <w:rPr>
                <w:rFonts w:ascii="Times New Roman" w:hAnsi="Times New Roman"/>
                <w:sz w:val="20"/>
                <w:szCs w:val="20"/>
              </w:rPr>
            </w:pPr>
            <w:r w:rsidRPr="00AE4DEF">
              <w:rPr>
                <w:rFonts w:ascii="Times New Roman" w:hAnsi="Times New Roman"/>
                <w:sz w:val="20"/>
                <w:szCs w:val="20"/>
              </w:rPr>
              <w:t xml:space="preserve">(13) Pri určení prahových hodnôt sa musia vziať do úvahy tieto podmienky: </w:t>
            </w:r>
          </w:p>
          <w:p w:rsidR="002516F3" w:rsidRPr="00AE4DEF" w:rsidP="00C908F0">
            <w:pPr>
              <w:widowControl w:val="0"/>
              <w:bidi w:val="0"/>
              <w:adjustRightInd w:val="0"/>
              <w:spacing w:after="0" w:line="240" w:lineRule="auto"/>
              <w:jc w:val="both"/>
              <w:rPr>
                <w:rFonts w:ascii="Times New Roman" w:hAnsi="Times New Roman"/>
                <w:sz w:val="20"/>
                <w:szCs w:val="20"/>
              </w:rPr>
            </w:pPr>
            <w:r w:rsidRPr="00AE4DEF" w:rsidR="00C908F0">
              <w:rPr>
                <w:rFonts w:ascii="Times New Roman" w:hAnsi="Times New Roman"/>
                <w:sz w:val="20"/>
                <w:szCs w:val="20"/>
              </w:rPr>
              <w:t xml:space="preserve">f) pozaďová úroveň látok, iónov alebo ich indikátorov zvýšená z prirodzených hydrogeologických dôvodov, </w:t>
            </w:r>
          </w:p>
          <w:p w:rsidR="00231555" w:rsidRPr="00AE4DEF" w:rsidP="00231555">
            <w:pPr>
              <w:bidi w:val="0"/>
              <w:spacing w:before="120" w:after="0" w:line="240" w:lineRule="auto"/>
              <w:jc w:val="both"/>
              <w:rPr>
                <w:rFonts w:ascii="Times New Roman" w:hAnsi="Times New Roman"/>
                <w:sz w:val="20"/>
                <w:szCs w:val="20"/>
              </w:rPr>
            </w:pPr>
            <w:r w:rsidRPr="00AE4DEF">
              <w:rPr>
                <w:rFonts w:ascii="Times New Roman" w:hAnsi="Times New Roman"/>
                <w:sz w:val="20"/>
                <w:szCs w:val="20"/>
              </w:rPr>
              <w:t xml:space="preserve">(15) Pri určovaní pozaďových úrovní látok, iónov alebo ich indikátorov podľa odseku 13 písm. a)  štvrtého bodu sa zohľadňujú tieto zásady: </w:t>
            </w:r>
          </w:p>
          <w:p w:rsidR="00231555" w:rsidRPr="00AE4DEF" w:rsidP="00231555">
            <w:pPr>
              <w:bidi w:val="0"/>
              <w:spacing w:before="60" w:after="0" w:line="240" w:lineRule="auto"/>
              <w:jc w:val="both"/>
              <w:rPr>
                <w:rFonts w:ascii="Times New Roman" w:hAnsi="Times New Roman"/>
                <w:sz w:val="20"/>
                <w:szCs w:val="20"/>
              </w:rPr>
            </w:pPr>
            <w:r w:rsidRPr="00AE4DEF">
              <w:rPr>
                <w:rFonts w:ascii="Times New Roman" w:hAnsi="Times New Roman"/>
                <w:sz w:val="20"/>
                <w:szCs w:val="20"/>
              </w:rPr>
              <w:t>a) určovanie pozaďových úrovní by malo byť založené na charakterizácii útvarov podzemných vôd podľa osobitného predpisu</w:t>
            </w:r>
            <w:r>
              <w:rPr>
                <w:rStyle w:val="FootnoteReference"/>
                <w:rFonts w:ascii="Times New Roman" w:hAnsi="Times New Roman"/>
                <w:sz w:val="20"/>
                <w:szCs w:val="20"/>
                <w:rtl w:val="0"/>
              </w:rPr>
              <w:footnoteReference w:id="2"/>
            </w:r>
            <w:r w:rsidRPr="00AE4DEF">
              <w:rPr>
                <w:rFonts w:ascii="Times New Roman" w:hAnsi="Times New Roman"/>
                <w:sz w:val="20"/>
                <w:szCs w:val="20"/>
              </w:rPr>
              <w:t xml:space="preserve">) a výsledkov monitorovania podzemných </w:t>
              <w:br/>
              <w:t xml:space="preserve"> vôd podľa osobitného predpisu;</w:t>
            </w:r>
            <w:r>
              <w:rPr>
                <w:rStyle w:val="FootnoteReference"/>
                <w:rFonts w:ascii="Times New Roman" w:hAnsi="Times New Roman"/>
                <w:sz w:val="20"/>
                <w:szCs w:val="20"/>
                <w:rtl w:val="0"/>
              </w:rPr>
              <w:footnoteReference w:id="3"/>
            </w:r>
            <w:r w:rsidRPr="00AE4DEF">
              <w:rPr>
                <w:rFonts w:ascii="Times New Roman" w:hAnsi="Times New Roman"/>
                <w:sz w:val="20"/>
                <w:szCs w:val="20"/>
              </w:rPr>
              <w:t xml:space="preserve">) pri stratégii monitorovania a výklade údajov sa zohľadňuje skutočnosť, že podmienky prúdenia a chemického zloženia podzemných vôd  sa menia laterálne a horizontálne, </w:t>
            </w:r>
          </w:p>
          <w:p w:rsidR="00231555" w:rsidRPr="00AE4DEF" w:rsidP="00231555">
            <w:pPr>
              <w:bidi w:val="0"/>
              <w:spacing w:before="60" w:after="0" w:line="240" w:lineRule="auto"/>
              <w:jc w:val="both"/>
              <w:rPr>
                <w:rFonts w:ascii="Times New Roman" w:hAnsi="Times New Roman"/>
                <w:sz w:val="20"/>
                <w:szCs w:val="20"/>
              </w:rPr>
            </w:pPr>
            <w:r w:rsidRPr="00AE4DEF">
              <w:rPr>
                <w:rFonts w:ascii="Times New Roman" w:hAnsi="Times New Roman"/>
                <w:sz w:val="20"/>
                <w:szCs w:val="20"/>
              </w:rPr>
              <w:t xml:space="preserve">b) ak sú k dispozícii len obmedzené údaje z monitorovania, mali by sa získať ďalšie údaje a dovtedy by sa pozaďové úrovne mali stanoviť na základe obmedzených údajov z monitorovania alebo prostredníctvom zjednodušeného postupu použitia čiastkových vzoriek, pri ktorom indikátory nevykazujú žiadny vplyv ľudskej činnosti; ak sú k dispozícii informácie o geochemických prenosoch a procesoch, mali by sa takisto zohľadniť, </w:t>
            </w:r>
          </w:p>
          <w:p w:rsidR="00FB2540" w:rsidRPr="00AE4DEF" w:rsidP="00BB0C0B">
            <w:pPr>
              <w:bidi w:val="0"/>
              <w:spacing w:before="60" w:after="0" w:line="240" w:lineRule="auto"/>
              <w:jc w:val="both"/>
              <w:rPr>
                <w:rFonts w:ascii="Times New Roman" w:hAnsi="Times New Roman"/>
                <w:sz w:val="20"/>
                <w:szCs w:val="20"/>
              </w:rPr>
            </w:pPr>
            <w:r w:rsidRPr="00AE4DEF" w:rsidR="00231555">
              <w:rPr>
                <w:rFonts w:ascii="Times New Roman" w:hAnsi="Times New Roman"/>
                <w:sz w:val="20"/>
                <w:szCs w:val="20"/>
              </w:rPr>
              <w:t xml:space="preserve">c) ak sú k dispozícii nedostatočné údaje z monitorovania podzemných vôd a informácie o geochemických prenosoch a procesoch nie sú vyhovujúce, mali by sa získať ďalšie údaje a dovtedy by sa pozaďové úrovne mali odhadnúť alebo  získať na základe štatistických referenčných výsledkov pre rovnaký typ zvodnených vrstiev v iných oblastiach, z ktorých je k dispozícii viac údajov z monitorovania.  </w:t>
            </w:r>
          </w:p>
          <w:p w:rsidR="00BB0C0B" w:rsidRPr="00AE4DEF" w:rsidP="00BB0C0B">
            <w:pPr>
              <w:bidi w:val="0"/>
              <w:spacing w:before="60" w:after="0" w:line="240" w:lineRule="auto"/>
              <w:jc w:val="both"/>
              <w:rPr>
                <w:rFonts w:ascii="Times New Roman" w:hAnsi="Times New Roman"/>
                <w:sz w:val="20"/>
                <w:szCs w:val="20"/>
              </w:rPr>
            </w:pPr>
          </w:p>
          <w:p w:rsidR="00BB0C0B" w:rsidRPr="00AE4DEF" w:rsidP="00BB0C0B">
            <w:pPr>
              <w:bidi w:val="0"/>
              <w:spacing w:before="60"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3D1524" w:rsidRPr="00AA425D" w:rsidP="003D1524">
            <w:pPr>
              <w:bidi w:val="0"/>
              <w:spacing w:after="0" w:line="240" w:lineRule="auto"/>
              <w:rPr>
                <w:rFonts w:ascii="Times New Roman" w:hAnsi="Times New Roman"/>
              </w:rPr>
            </w:pPr>
          </w:p>
        </w:tc>
      </w:tr>
      <w:tr>
        <w:tblPrEx>
          <w:tblW w:w="16019" w:type="dxa"/>
          <w:tblInd w:w="-383" w:type="dxa"/>
          <w:tblLayout w:type="fixed"/>
          <w:tblCellMar>
            <w:left w:w="43" w:type="dxa"/>
            <w:right w:w="43" w:type="dxa"/>
          </w:tblCellMar>
        </w:tblPrEx>
        <w:tc>
          <w:tcPr>
            <w:tcW w:w="852" w:type="dxa"/>
            <w:tcBorders>
              <w:top w:val="single" w:sz="4" w:space="0" w:color="auto"/>
              <w:left w:val="single" w:sz="12" w:space="0" w:color="auto"/>
              <w:bottom w:val="single" w:sz="4" w:space="0" w:color="auto"/>
              <w:right w:val="single" w:sz="4"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r w:rsidRPr="00AA425D" w:rsidR="00C366A6">
              <w:rPr>
                <w:rFonts w:ascii="Times New Roman" w:hAnsi="Times New Roman"/>
                <w:sz w:val="20"/>
                <w:szCs w:val="20"/>
              </w:rPr>
              <w:t>2</w:t>
            </w: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C366A6" w:rsidRPr="00AA425D" w:rsidP="00C366A6">
            <w:pPr>
              <w:pStyle w:val="Normlny1"/>
              <w:bidi w:val="0"/>
              <w:spacing w:before="0" w:after="0" w:line="240" w:lineRule="auto"/>
              <w:rPr>
                <w:rFonts w:ascii="Times New Roman" w:hAnsi="Times New Roman"/>
                <w:sz w:val="20"/>
                <w:szCs w:val="20"/>
              </w:rPr>
            </w:pPr>
            <w:r w:rsidRPr="00AA425D">
              <w:rPr>
                <w:rFonts w:ascii="Times New Roman" w:hAnsi="Times New Roman"/>
                <w:sz w:val="20"/>
                <w:szCs w:val="20"/>
              </w:rPr>
              <w:t>v </w:t>
            </w:r>
            <w:r w:rsidRPr="00AA425D">
              <w:rPr>
                <w:rFonts w:ascii="Times New Roman" w:hAnsi="Times New Roman"/>
                <w:b/>
                <w:sz w:val="20"/>
                <w:szCs w:val="20"/>
              </w:rPr>
              <w:t>časti B bode 1</w:t>
            </w:r>
            <w:r w:rsidRPr="00AA425D">
              <w:rPr>
                <w:rFonts w:ascii="Times New Roman" w:hAnsi="Times New Roman"/>
                <w:sz w:val="20"/>
                <w:szCs w:val="20"/>
              </w:rPr>
              <w:t xml:space="preserve"> sa dopĺňajú tieto položky:</w:t>
            </w:r>
          </w:p>
          <w:p w:rsidR="00C366A6" w:rsidRPr="00AA425D" w:rsidP="00C366A6">
            <w:pPr>
              <w:pStyle w:val="Normlny1"/>
              <w:bidi w:val="0"/>
              <w:spacing w:before="0" w:after="0" w:line="240" w:lineRule="auto"/>
              <w:rPr>
                <w:rFonts w:ascii="Times New Roman" w:hAnsi="Times New Roman"/>
                <w:sz w:val="20"/>
                <w:szCs w:val="20"/>
              </w:rPr>
            </w:pPr>
          </w:p>
          <w:p w:rsidR="00C366A6" w:rsidRPr="00AA425D" w:rsidP="00C366A6">
            <w:pPr>
              <w:pStyle w:val="Normlny1"/>
              <w:bidi w:val="0"/>
              <w:spacing w:before="0" w:after="0" w:line="240" w:lineRule="auto"/>
              <w:rPr>
                <w:rFonts w:ascii="Times New Roman" w:hAnsi="Times New Roman"/>
                <w:sz w:val="20"/>
                <w:szCs w:val="20"/>
              </w:rPr>
            </w:pPr>
            <w:r w:rsidRPr="00AA425D">
              <w:rPr>
                <w:rFonts w:ascii="Times New Roman" w:hAnsi="Times New Roman"/>
                <w:sz w:val="20"/>
                <w:szCs w:val="20"/>
              </w:rPr>
              <w:t>„Dusitany</w:t>
            </w:r>
          </w:p>
          <w:p w:rsidR="00C366A6" w:rsidRPr="00AA425D" w:rsidP="00C366A6">
            <w:pPr>
              <w:pStyle w:val="Normlny1"/>
              <w:bidi w:val="0"/>
              <w:spacing w:before="0" w:after="0" w:line="240" w:lineRule="auto"/>
              <w:rPr>
                <w:rFonts w:ascii="Times New Roman" w:hAnsi="Times New Roman"/>
              </w:rPr>
            </w:pPr>
            <w:r w:rsidRPr="00AA425D">
              <w:rPr>
                <w:rFonts w:ascii="Times New Roman" w:hAnsi="Times New Roman"/>
                <w:sz w:val="20"/>
                <w:szCs w:val="20"/>
              </w:rPr>
              <w:t xml:space="preserve">  Fosfor (celkový obsah)/fosforečnany</w:t>
            </w:r>
            <w:hyperlink r:id="rId9" w:anchor="ntr1-L_2014182SK.01005401-E0001" w:history="1">
              <w:r w:rsidRPr="00AA425D">
                <w:rPr>
                  <w:rStyle w:val="Hyperlink"/>
                  <w:rFonts w:ascii="Times New Roman" w:hAnsi="Times New Roman"/>
                  <w:color w:val="auto"/>
                  <w:sz w:val="20"/>
                  <w:szCs w:val="20"/>
                </w:rPr>
                <w:t> (</w:t>
              </w:r>
              <w:r w:rsidRPr="00AA425D">
                <w:rPr>
                  <w:rStyle w:val="super"/>
                  <w:rFonts w:ascii="Times New Roman" w:hAnsi="Times New Roman"/>
                  <w:sz w:val="20"/>
                  <w:szCs w:val="20"/>
                  <w:u w:val="single"/>
                </w:rPr>
                <w:t>1</w:t>
              </w:r>
              <w:r w:rsidRPr="00AA425D">
                <w:rPr>
                  <w:rStyle w:val="Hyperlink"/>
                  <w:rFonts w:ascii="Times New Roman" w:hAnsi="Times New Roman"/>
                  <w:color w:val="auto"/>
                  <w:sz w:val="20"/>
                  <w:szCs w:val="20"/>
                </w:rPr>
                <w:t>)</w:t>
              </w:r>
            </w:hyperlink>
            <w:r w:rsidRPr="00AA425D">
              <w:rPr>
                <w:rFonts w:ascii="Times New Roman" w:hAnsi="Times New Roman"/>
              </w:rPr>
              <w:t xml:space="preserve"> </w:t>
            </w:r>
          </w:p>
          <w:p w:rsidR="00936F1D" w:rsidRPr="00AA425D" w:rsidP="00B93F24">
            <w:pPr>
              <w:pStyle w:val="Default"/>
              <w:bidi w:val="0"/>
              <w:spacing w:after="0" w:line="240" w:lineRule="auto"/>
              <w:rPr>
                <w:color w:val="auto"/>
              </w:rPr>
            </w:pPr>
          </w:p>
          <w:p w:rsidR="008B7507" w:rsidRPr="00AA425D" w:rsidP="00B93F24">
            <w:pPr>
              <w:pStyle w:val="Default"/>
              <w:bidi w:val="0"/>
              <w:spacing w:after="0" w:line="240" w:lineRule="auto"/>
              <w:rPr>
                <w:rFonts w:ascii="Times New Roman" w:hAnsi="Times New Roman" w:cs="Times New Roman"/>
                <w:color w:val="auto"/>
                <w:sz w:val="20"/>
                <w:szCs w:val="20"/>
              </w:rPr>
            </w:pPr>
            <w:hyperlink r:id="rId9" w:anchor="ntc1-L_2014182SK.01005401-E0001" w:history="1">
              <w:r w:rsidRPr="00AA425D">
                <w:rPr>
                  <w:rStyle w:val="Hyperlink"/>
                  <w:rFonts w:ascii="Times New Roman" w:hAnsi="Times New Roman"/>
                  <w:color w:val="auto"/>
                  <w:sz w:val="20"/>
                  <w:szCs w:val="20"/>
                </w:rPr>
                <w:t>(</w:t>
              </w:r>
              <w:r w:rsidRPr="00AA425D">
                <w:rPr>
                  <w:rStyle w:val="super"/>
                  <w:rFonts w:ascii="Times New Roman" w:hAnsi="Times New Roman"/>
                  <w:color w:val="auto"/>
                  <w:sz w:val="20"/>
                  <w:szCs w:val="20"/>
                  <w:u w:val="single"/>
                </w:rPr>
                <w:t>1</w:t>
              </w:r>
              <w:r w:rsidRPr="00AA425D">
                <w:rPr>
                  <w:rStyle w:val="Hyperlink"/>
                  <w:rFonts w:ascii="Times New Roman" w:hAnsi="Times New Roman"/>
                  <w:color w:val="auto"/>
                  <w:sz w:val="20"/>
                  <w:szCs w:val="20"/>
                </w:rPr>
                <w:t>)</w:t>
              </w:r>
            </w:hyperlink>
            <w:r w:rsidRPr="00AA425D">
              <w:rPr>
                <w:rFonts w:ascii="Times New Roman" w:hAnsi="Times New Roman" w:cs="Times New Roman"/>
                <w:color w:val="auto"/>
                <w:sz w:val="20"/>
                <w:szCs w:val="20"/>
              </w:rPr>
              <w:t> Členské štáty sa môžu rozhodnúť určiť prahové hodnoty buď pre fosfor (celkový obsah) alebo pre fosforečnany.“</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r w:rsidRPr="00AA425D" w:rsidR="008B7507">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r w:rsidRPr="00AA425D" w:rsidR="008B7507">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6F1D" w:rsidRPr="00AA425D" w:rsidP="00B93F24">
            <w:pPr>
              <w:pStyle w:val="Normlny"/>
              <w:bidi w:val="0"/>
              <w:spacing w:after="0" w:line="240" w:lineRule="auto"/>
              <w:rPr>
                <w:rFonts w:ascii="Times New Roman" w:hAnsi="Times New Roman"/>
              </w:rPr>
            </w:pPr>
            <w:r w:rsidRPr="004B5162" w:rsidR="008B7507">
              <w:rPr>
                <w:rFonts w:ascii="Times New Roman" w:hAnsi="Times New Roman"/>
              </w:rPr>
              <w:t>Príloha</w:t>
            </w:r>
            <w:r w:rsidRPr="004B5162" w:rsidR="005B1389">
              <w:rPr>
                <w:rFonts w:ascii="Times New Roman" w:hAnsi="Times New Roman"/>
              </w:rPr>
              <w:t> </w:t>
            </w:r>
            <w:r w:rsidRPr="004B5162" w:rsidR="008B7507">
              <w:rPr>
                <w:rFonts w:ascii="Times New Roman" w:hAnsi="Times New Roman"/>
              </w:rPr>
              <w:t>č</w:t>
            </w:r>
            <w:r w:rsidRPr="005B1389" w:rsidR="008B7507">
              <w:rPr>
                <w:rFonts w:ascii="Times New Roman" w:hAnsi="Times New Roman"/>
                <w:color w:val="FF0000"/>
              </w:rPr>
              <w:t>.</w:t>
            </w:r>
            <w:r w:rsidRPr="00AA425D" w:rsidR="008B7507">
              <w:rPr>
                <w:rFonts w:ascii="Times New Roman" w:hAnsi="Times New Roman"/>
              </w:rPr>
              <w:t xml:space="preserve"> 1</w:t>
            </w:r>
            <w:r w:rsidRPr="00AA425D" w:rsidR="00C35FFD">
              <w:rPr>
                <w:rFonts w:ascii="Times New Roman" w:hAnsi="Times New Roman"/>
              </w:rPr>
              <w:t>b</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35FFD" w:rsidRPr="00AA425D" w:rsidP="00C35FFD">
            <w:pPr>
              <w:pStyle w:val="ListParagraph"/>
              <w:tabs>
                <w:tab w:val="left" w:pos="426"/>
              </w:tabs>
              <w:bidi w:val="0"/>
              <w:spacing w:before="0" w:after="0" w:line="240" w:lineRule="auto"/>
              <w:ind w:left="284" w:firstLine="0"/>
              <w:rPr>
                <w:rFonts w:ascii="Times New Roman" w:hAnsi="Times New Roman"/>
                <w:sz w:val="20"/>
                <w:szCs w:val="20"/>
              </w:rPr>
            </w:pPr>
            <w:r w:rsidRPr="00AA425D">
              <w:rPr>
                <w:rFonts w:ascii="Times New Roman" w:hAnsi="Times New Roman"/>
                <w:sz w:val="20"/>
                <w:szCs w:val="20"/>
              </w:rPr>
              <w:t>V prílohe č. 1b sa prvý bod dopĺňa  bodmi 1.8 a 1.9, ktoré znejú:</w:t>
            </w:r>
          </w:p>
          <w:p w:rsidR="00C35FFD" w:rsidRPr="00AA425D" w:rsidP="00C35FFD">
            <w:pPr>
              <w:pStyle w:val="ListParagraph"/>
              <w:tabs>
                <w:tab w:val="left" w:pos="426"/>
              </w:tabs>
              <w:bidi w:val="0"/>
              <w:spacing w:before="0" w:after="0" w:line="240" w:lineRule="auto"/>
              <w:ind w:left="284" w:firstLine="0"/>
              <w:rPr>
                <w:rFonts w:ascii="Times New Roman" w:hAnsi="Times New Roman"/>
                <w:sz w:val="20"/>
                <w:szCs w:val="20"/>
              </w:rPr>
            </w:pPr>
            <w:r w:rsidRPr="00AA425D">
              <w:rPr>
                <w:rFonts w:ascii="Times New Roman" w:hAnsi="Times New Roman"/>
                <w:sz w:val="20"/>
                <w:szCs w:val="20"/>
              </w:rPr>
              <w:t xml:space="preserve">   „ 1.8 Dusitany </w:t>
            </w:r>
          </w:p>
          <w:p w:rsidR="00C35FFD" w:rsidRPr="00AA425D" w:rsidP="00C35FFD">
            <w:pPr>
              <w:pStyle w:val="ListParagraph"/>
              <w:tabs>
                <w:tab w:val="left" w:pos="426"/>
              </w:tabs>
              <w:bidi w:val="0"/>
              <w:spacing w:before="0" w:after="0" w:line="240" w:lineRule="auto"/>
              <w:ind w:left="284" w:firstLine="0"/>
              <w:rPr>
                <w:rFonts w:ascii="Times New Roman" w:hAnsi="Times New Roman"/>
                <w:sz w:val="20"/>
                <w:szCs w:val="20"/>
              </w:rPr>
            </w:pPr>
            <w:r w:rsidRPr="00AA425D">
              <w:rPr>
                <w:rFonts w:ascii="Times New Roman" w:hAnsi="Times New Roman"/>
                <w:sz w:val="20"/>
                <w:szCs w:val="20"/>
              </w:rPr>
              <w:tab/>
              <w:t xml:space="preserve">    1.9 Fosfor (celkový obsah)/fosforečnany.</w:t>
            </w:r>
            <w:r w:rsidRPr="00AA425D">
              <w:rPr>
                <w:rFonts w:ascii="Times New Roman" w:hAnsi="Times New Roman"/>
                <w:sz w:val="20"/>
                <w:szCs w:val="20"/>
                <w:vertAlign w:val="superscript"/>
              </w:rPr>
              <w:t>1</w:t>
            </w:r>
            <w:r w:rsidRPr="00AA425D">
              <w:rPr>
                <w:rFonts w:ascii="Times New Roman" w:hAnsi="Times New Roman"/>
                <w:sz w:val="20"/>
                <w:szCs w:val="20"/>
              </w:rPr>
              <w:t xml:space="preserve">)“. </w:t>
            </w:r>
          </w:p>
          <w:p w:rsidR="00C35FFD" w:rsidRPr="00AA425D" w:rsidP="00C35FFD">
            <w:pPr>
              <w:pStyle w:val="ListParagraph"/>
              <w:tabs>
                <w:tab w:val="left" w:pos="426"/>
              </w:tabs>
              <w:bidi w:val="0"/>
              <w:spacing w:before="0" w:after="0" w:line="240" w:lineRule="auto"/>
              <w:ind w:left="284" w:firstLine="0"/>
              <w:rPr>
                <w:rFonts w:ascii="Times New Roman" w:hAnsi="Times New Roman"/>
                <w:sz w:val="20"/>
                <w:szCs w:val="20"/>
              </w:rPr>
            </w:pPr>
          </w:p>
          <w:p w:rsidR="00C35FFD" w:rsidRPr="00AA425D" w:rsidP="00C35FFD">
            <w:pPr>
              <w:pStyle w:val="ListParagraph"/>
              <w:tabs>
                <w:tab w:val="left" w:pos="426"/>
              </w:tabs>
              <w:bidi w:val="0"/>
              <w:spacing w:before="0" w:after="0" w:line="240" w:lineRule="auto"/>
              <w:ind w:left="284" w:firstLine="0"/>
              <w:rPr>
                <w:rFonts w:ascii="Times New Roman" w:hAnsi="Times New Roman"/>
                <w:sz w:val="20"/>
                <w:szCs w:val="20"/>
              </w:rPr>
            </w:pPr>
            <w:r w:rsidRPr="00AA425D">
              <w:rPr>
                <w:rFonts w:ascii="Times New Roman" w:hAnsi="Times New Roman"/>
                <w:sz w:val="20"/>
                <w:szCs w:val="20"/>
              </w:rPr>
              <w:t xml:space="preserve">   Poznámka 1 znie:</w:t>
            </w:r>
          </w:p>
          <w:p w:rsidR="00936F1D" w:rsidRPr="00AA425D" w:rsidP="00C35FFD">
            <w:pPr>
              <w:bidi w:val="0"/>
              <w:spacing w:after="0" w:line="240" w:lineRule="auto"/>
              <w:ind w:right="225"/>
              <w:rPr>
                <w:rFonts w:ascii="Times New Roman" w:hAnsi="Times New Roman"/>
                <w:sz w:val="20"/>
                <w:szCs w:val="20"/>
              </w:rPr>
            </w:pPr>
            <w:r w:rsidRPr="00AA425D" w:rsidR="00C35FFD">
              <w:rPr>
                <w:rFonts w:ascii="Times New Roman" w:hAnsi="Times New Roman"/>
                <w:sz w:val="20"/>
                <w:szCs w:val="20"/>
                <w:vertAlign w:val="superscript"/>
              </w:rPr>
              <w:t xml:space="preserve">    </w:t>
            </w:r>
            <w:r w:rsidRPr="00AA425D" w:rsidR="00C35FFD">
              <w:rPr>
                <w:rFonts w:ascii="Times New Roman" w:hAnsi="Times New Roman"/>
                <w:sz w:val="20"/>
                <w:szCs w:val="20"/>
              </w:rPr>
              <w:t xml:space="preserve">„ </w:t>
            </w:r>
            <w:r w:rsidRPr="00AA425D" w:rsidR="00C35FFD">
              <w:rPr>
                <w:rFonts w:ascii="Times New Roman" w:hAnsi="Times New Roman"/>
                <w:sz w:val="20"/>
                <w:szCs w:val="20"/>
                <w:vertAlign w:val="superscript"/>
              </w:rPr>
              <w:t xml:space="preserve"> 1</w:t>
            </w:r>
            <w:r w:rsidRPr="00AA425D" w:rsidR="00C35FFD">
              <w:rPr>
                <w:rFonts w:ascii="Times New Roman" w:hAnsi="Times New Roman"/>
                <w:sz w:val="20"/>
                <w:szCs w:val="20"/>
              </w:rPr>
              <w:t>) Prahové hodnoty sa určujú pre fosfor (celkový obsah) alebo pre fosforečnany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r w:rsidRPr="00AA425D" w:rsidR="008B7507">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936F1D" w:rsidRPr="00AA425D" w:rsidP="00B93F24">
            <w:pPr>
              <w:pStyle w:val="Heading1"/>
              <w:bidi w:val="0"/>
              <w:spacing w:after="0" w:line="240" w:lineRule="auto"/>
              <w:rPr>
                <w:rFonts w:ascii="Times New Roman" w:hAnsi="Times New Roman"/>
                <w:b w:val="0"/>
                <w:bCs w:val="0"/>
                <w:sz w:val="20"/>
                <w:szCs w:val="20"/>
              </w:rPr>
            </w:pPr>
          </w:p>
        </w:tc>
      </w:tr>
      <w:tr>
        <w:tblPrEx>
          <w:tblW w:w="16019" w:type="dxa"/>
          <w:tblInd w:w="-383" w:type="dxa"/>
          <w:tblLayout w:type="fixed"/>
          <w:tblCellMar>
            <w:left w:w="43" w:type="dxa"/>
            <w:right w:w="43" w:type="dxa"/>
          </w:tblCellMar>
        </w:tblPrEx>
        <w:tc>
          <w:tcPr>
            <w:tcW w:w="852" w:type="dxa"/>
            <w:tcBorders>
              <w:top w:val="single" w:sz="4" w:space="0" w:color="auto"/>
              <w:left w:val="single" w:sz="12" w:space="0" w:color="auto"/>
              <w:bottom w:val="single" w:sz="4" w:space="0" w:color="auto"/>
              <w:right w:val="single" w:sz="4"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p>
        </w:tc>
        <w:tc>
          <w:tcPr>
            <w:tcW w:w="6378" w:type="dxa"/>
            <w:tcBorders>
              <w:top w:val="single" w:sz="4" w:space="0" w:color="auto"/>
              <w:left w:val="single" w:sz="4" w:space="0" w:color="auto"/>
              <w:bottom w:val="single" w:sz="4" w:space="0" w:color="auto"/>
              <w:right w:val="single" w:sz="4" w:space="0" w:color="auto"/>
            </w:tcBorders>
            <w:textDirection w:val="lrTb"/>
            <w:vAlign w:val="top"/>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b/>
                <w:sz w:val="20"/>
                <w:szCs w:val="20"/>
              </w:rPr>
              <w:t xml:space="preserve">Časť C </w:t>
            </w:r>
            <w:r w:rsidRPr="00AA425D">
              <w:rPr>
                <w:rFonts w:ascii="Times New Roman" w:hAnsi="Times New Roman"/>
                <w:sz w:val="20"/>
                <w:szCs w:val="20"/>
              </w:rPr>
              <w:t>sa nahrádza takto:</w:t>
            </w:r>
          </w:p>
          <w:p w:rsidR="00C366A6" w:rsidRPr="00AA425D" w:rsidP="008B7507">
            <w:pPr>
              <w:autoSpaceDE/>
              <w:autoSpaceDN/>
              <w:bidi w:val="0"/>
              <w:spacing w:after="0" w:line="240" w:lineRule="auto"/>
              <w:jc w:val="both"/>
              <w:rPr>
                <w:rFonts w:ascii="Times New Roman" w:hAnsi="Times New Roman"/>
                <w:bCs/>
                <w:sz w:val="20"/>
                <w:szCs w:val="20"/>
              </w:rPr>
            </w:pPr>
            <w:r w:rsidRPr="00AA425D">
              <w:rPr>
                <w:rFonts w:ascii="Times New Roman" w:hAnsi="Times New Roman"/>
                <w:b/>
                <w:bCs/>
                <w:i/>
                <w:iCs/>
                <w:sz w:val="20"/>
                <w:szCs w:val="20"/>
              </w:rPr>
              <w:t>„</w:t>
            </w:r>
            <w:r w:rsidRPr="00AA425D">
              <w:rPr>
                <w:rFonts w:ascii="Times New Roman" w:hAnsi="Times New Roman"/>
                <w:bCs/>
                <w:i/>
                <w:iCs/>
                <w:sz w:val="20"/>
                <w:szCs w:val="20"/>
              </w:rPr>
              <w:t>Časť C</w:t>
            </w:r>
            <w:r w:rsidRPr="00AA425D">
              <w:rPr>
                <w:rFonts w:ascii="Times New Roman" w:hAnsi="Times New Roman"/>
                <w:bCs/>
                <w:sz w:val="20"/>
                <w:szCs w:val="20"/>
              </w:rPr>
              <w:t xml:space="preserve"> </w:t>
            </w:r>
          </w:p>
          <w:p w:rsidR="00C366A6" w:rsidRPr="00AA425D" w:rsidP="008B7507">
            <w:pPr>
              <w:autoSpaceDE/>
              <w:autoSpaceDN/>
              <w:bidi w:val="0"/>
              <w:spacing w:after="0" w:line="240" w:lineRule="auto"/>
              <w:jc w:val="both"/>
              <w:rPr>
                <w:rFonts w:ascii="Times New Roman" w:hAnsi="Times New Roman"/>
                <w:bCs/>
                <w:sz w:val="20"/>
                <w:szCs w:val="20"/>
              </w:rPr>
            </w:pPr>
            <w:r w:rsidRPr="00AA425D">
              <w:rPr>
                <w:rFonts w:ascii="Times New Roman" w:hAnsi="Times New Roman"/>
                <w:bCs/>
                <w:sz w:val="20"/>
                <w:szCs w:val="20"/>
              </w:rPr>
              <w:t xml:space="preserve">Informácie, ktoré poskytnú členské štáty v súvislosti so znečisťujúcimi látkami, pre ktoré sa určili prahové hodnoty </w:t>
            </w:r>
          </w:p>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Členské štáty do plánov manažmentu povodia, ktoré sa majú predložiť v súlade s článkom 13 smernice 2000/60/ES, zahrnú informácie o spôsobe, akým sa dodržiaval postup uvedený v časti A tejto prílohy.</w:t>
            </w:r>
          </w:p>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Poskytnú najmä:</w:t>
            </w:r>
          </w:p>
          <w:tbl>
            <w:tblPr>
              <w:tblStyle w:val="TableNormal"/>
              <w:tblW w:w="5000" w:type="pct"/>
              <w:tblCellSpacing w:w="0" w:type="dxa"/>
              <w:tblLayout w:type="fixed"/>
              <w:tblCellMar>
                <w:left w:w="0" w:type="dxa"/>
                <w:right w:w="0" w:type="dxa"/>
              </w:tblCellMar>
              <w:tblLook w:val="04A0"/>
            </w:tblPr>
            <w:tblGrid>
              <w:gridCol w:w="131"/>
              <w:gridCol w:w="6161"/>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a</w:t>
                  </w:r>
                </w:p>
              </w:tc>
              <w:tc>
                <w:tcPr>
                  <w:tcW w:w="9219"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sidR="008B7507">
                    <w:rPr>
                      <w:rFonts w:ascii="Times New Roman" w:hAnsi="Times New Roman"/>
                      <w:sz w:val="20"/>
                      <w:szCs w:val="20"/>
                    </w:rPr>
                    <w:t xml:space="preserve">) </w:t>
                  </w:r>
                  <w:r w:rsidRPr="00AA425D">
                    <w:rPr>
                      <w:rFonts w:ascii="Times New Roman" w:hAnsi="Times New Roman"/>
                      <w:sz w:val="20"/>
                      <w:szCs w:val="20"/>
                    </w:rPr>
                    <w:t>informácie o každom útvare alebo skupine útvarov podzemných vôd charakterizovaných ako ohrozených vrátane:</w:t>
                  </w:r>
                </w:p>
                <w:tbl>
                  <w:tblPr>
                    <w:tblStyle w:val="TableNormal"/>
                    <w:tblW w:w="5000" w:type="pct"/>
                    <w:tblCellSpacing w:w="0" w:type="dxa"/>
                    <w:tblLayout w:type="fixed"/>
                    <w:tblCellMar>
                      <w:left w:w="0" w:type="dxa"/>
                      <w:right w:w="0" w:type="dxa"/>
                    </w:tblCellMar>
                    <w:tblLook w:val="04A0"/>
                  </w:tblPr>
                  <w:tblGrid>
                    <w:gridCol w:w="149"/>
                    <w:gridCol w:w="38"/>
                    <w:gridCol w:w="6"/>
                    <w:gridCol w:w="316"/>
                    <w:gridCol w:w="5652"/>
                  </w:tblGrid>
                  <w:tr>
                    <w:tblPrEx>
                      <w:tblW w:w="5000" w:type="pct"/>
                      <w:tblCellSpacing w:w="0" w:type="dxa"/>
                      <w:tblLayout w:type="fixed"/>
                      <w:tblCellMar>
                        <w:left w:w="0" w:type="dxa"/>
                        <w:right w:w="0" w:type="dxa"/>
                      </w:tblCellMar>
                      <w:tblLook w:val="04A0"/>
                    </w:tblPrEx>
                    <w:trPr>
                      <w:tblCellSpacing w:w="0" w:type="dxa"/>
                    </w:trPr>
                    <w:tc>
                      <w:tcPr>
                        <w:tcW w:w="509" w:type="dxa"/>
                        <w:gridSpan w:val="4"/>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i)</w:t>
                        </w:r>
                      </w:p>
                    </w:tc>
                    <w:tc>
                      <w:tcPr>
                        <w:tcW w:w="5652"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veľkosti útvarov;</w:t>
                        </w:r>
                      </w:p>
                    </w:tc>
                  </w:tr>
                  <w:tr>
                    <w:tblPrEx>
                      <w:tblW w:w="5000" w:type="pct"/>
                      <w:tblCellSpacing w:w="0" w:type="dxa"/>
                      <w:tblLayout w:type="fixed"/>
                      <w:tblCellMar>
                        <w:left w:w="0" w:type="dxa"/>
                        <w:right w:w="0" w:type="dxa"/>
                      </w:tblCellMar>
                      <w:tblLook w:val="04A0"/>
                    </w:tblPrEx>
                    <w:trPr>
                      <w:tblCellSpacing w:w="0" w:type="dxa"/>
                    </w:trPr>
                    <w:tc>
                      <w:tcPr>
                        <w:tcW w:w="149"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ii</w:t>
                        </w:r>
                      </w:p>
                    </w:tc>
                    <w:tc>
                      <w:tcPr>
                        <w:tcW w:w="6012" w:type="dxa"/>
                        <w:gridSpan w:val="4"/>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sidR="008B7507">
                          <w:rPr>
                            <w:rFonts w:ascii="Times New Roman" w:hAnsi="Times New Roman"/>
                            <w:sz w:val="20"/>
                            <w:szCs w:val="20"/>
                          </w:rPr>
                          <w:t xml:space="preserve">) </w:t>
                        </w:r>
                        <w:r w:rsidRPr="00AA425D">
                          <w:rPr>
                            <w:rFonts w:ascii="Times New Roman" w:hAnsi="Times New Roman"/>
                            <w:sz w:val="20"/>
                            <w:szCs w:val="20"/>
                          </w:rPr>
                          <w:t>každej znečisťujúcej látky alebo indikátora znečistenia, na základe ktorých sa útvary podzemných vôd charakterizovali ako ohrozené;</w:t>
                        </w:r>
                      </w:p>
                    </w:tc>
                  </w:tr>
                  <w:tr>
                    <w:tblPrEx>
                      <w:tblW w:w="5000" w:type="pct"/>
                      <w:tblCellSpacing w:w="0" w:type="dxa"/>
                      <w:tblLayout w:type="fixed"/>
                      <w:tblCellMar>
                        <w:left w:w="0" w:type="dxa"/>
                        <w:right w:w="0" w:type="dxa"/>
                      </w:tblCellMar>
                      <w:tblLook w:val="04A0"/>
                    </w:tblPrEx>
                    <w:trPr>
                      <w:tblCellSpacing w:w="0" w:type="dxa"/>
                    </w:trPr>
                    <w:tc>
                      <w:tcPr>
                        <w:tcW w:w="193" w:type="dxa"/>
                        <w:gridSpan w:val="3"/>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iii</w:t>
                        </w:r>
                      </w:p>
                    </w:tc>
                    <w:tc>
                      <w:tcPr>
                        <w:tcW w:w="5968" w:type="dxa"/>
                        <w:gridSpan w:val="2"/>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sidR="008B7507">
                          <w:rPr>
                            <w:rFonts w:ascii="Times New Roman" w:hAnsi="Times New Roman"/>
                            <w:sz w:val="20"/>
                            <w:szCs w:val="20"/>
                          </w:rPr>
                          <w:t xml:space="preserve">) </w:t>
                        </w:r>
                        <w:r w:rsidRPr="00AA425D">
                          <w:rPr>
                            <w:rFonts w:ascii="Times New Roman" w:hAnsi="Times New Roman"/>
                            <w:sz w:val="20"/>
                            <w:szCs w:val="20"/>
                          </w:rPr>
                          <w:t>cieľov kvality životného prostredia, s ktorými riziko súvisí, vrátane skutočného alebo možného použitia alebo funkcií útvaru podzemnej vody, ako aj vzťahu medzi útvarmi podzemnej vody a súvisiacimi povrchovými vodami a priamo závislými suchozemskými ekosystémami;</w:t>
                        </w:r>
                      </w:p>
                    </w:tc>
                  </w:tr>
                  <w:tr>
                    <w:tblPrEx>
                      <w:tblW w:w="5000" w:type="pct"/>
                      <w:tblCellSpacing w:w="0" w:type="dxa"/>
                      <w:tblLayout w:type="fixed"/>
                      <w:tblCellMar>
                        <w:left w:w="0" w:type="dxa"/>
                        <w:right w:w="0" w:type="dxa"/>
                      </w:tblCellMar>
                      <w:tblLook w:val="04A0"/>
                    </w:tblPrEx>
                    <w:trPr>
                      <w:tblCellSpacing w:w="0" w:type="dxa"/>
                    </w:trPr>
                    <w:tc>
                      <w:tcPr>
                        <w:tcW w:w="185" w:type="dxa"/>
                        <w:gridSpan w:val="2"/>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iv</w:t>
                        </w:r>
                      </w:p>
                    </w:tc>
                    <w:tc>
                      <w:tcPr>
                        <w:tcW w:w="5976" w:type="dxa"/>
                        <w:gridSpan w:val="3"/>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sidR="008B7507">
                          <w:rPr>
                            <w:rFonts w:ascii="Times New Roman" w:hAnsi="Times New Roman"/>
                            <w:sz w:val="20"/>
                            <w:szCs w:val="20"/>
                          </w:rPr>
                          <w:t xml:space="preserve">) </w:t>
                        </w:r>
                        <w:r w:rsidRPr="00AA425D">
                          <w:rPr>
                            <w:rFonts w:ascii="Times New Roman" w:hAnsi="Times New Roman"/>
                            <w:sz w:val="20"/>
                            <w:szCs w:val="20"/>
                          </w:rPr>
                          <w:t>prirodzených pozaďových úrovní v útvaroch podzemných vôd v prípade prirodzene sa vyskytujúcich látok;</w:t>
                        </w:r>
                      </w:p>
                    </w:tc>
                  </w:tr>
                  <w:tr>
                    <w:tblPrEx>
                      <w:tblW w:w="5000" w:type="pct"/>
                      <w:tblCellSpacing w:w="0" w:type="dxa"/>
                      <w:tblLayout w:type="fixed"/>
                      <w:tblCellMar>
                        <w:left w:w="0" w:type="dxa"/>
                        <w:right w:w="0" w:type="dxa"/>
                      </w:tblCellMar>
                      <w:tblLook w:val="04A0"/>
                    </w:tblPrEx>
                    <w:trPr>
                      <w:tblCellSpacing w:w="0" w:type="dxa"/>
                    </w:trPr>
                    <w:tc>
                      <w:tcPr>
                        <w:tcW w:w="187" w:type="dxa"/>
                        <w:gridSpan w:val="2"/>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v)</w:t>
                        </w:r>
                      </w:p>
                    </w:tc>
                    <w:tc>
                      <w:tcPr>
                        <w:tcW w:w="5974" w:type="dxa"/>
                        <w:gridSpan w:val="3"/>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informácií o prekročení prahových hodnôt v prípade ich prekročenia.</w:t>
                        </w:r>
                      </w:p>
                    </w:tc>
                  </w:tr>
                </w:tbl>
                <w:p w:rsidR="00C366A6" w:rsidRPr="00AA425D" w:rsidP="008B7507">
                  <w:pPr>
                    <w:autoSpaceDE/>
                    <w:autoSpaceDN/>
                    <w:bidi w:val="0"/>
                    <w:spacing w:after="0" w:line="240" w:lineRule="auto"/>
                    <w:rPr>
                      <w:rFonts w:ascii="Times New Roman" w:hAnsi="Times New Roman"/>
                      <w:sz w:val="20"/>
                      <w:szCs w:val="20"/>
                    </w:rPr>
                  </w:pPr>
                </w:p>
              </w:tc>
            </w:tr>
          </w:tbl>
          <w:p w:rsidR="00C366A6" w:rsidRPr="00AA425D" w:rsidP="008B7507">
            <w:pPr>
              <w:autoSpaceDE/>
              <w:autoSpaceDN/>
              <w:bidi w:val="0"/>
              <w:spacing w:after="0" w:line="240" w:lineRule="auto"/>
              <w:rPr>
                <w:rFonts w:ascii="Times New Roman" w:hAnsi="Times New Roman"/>
                <w:vanish/>
                <w:sz w:val="20"/>
                <w:szCs w:val="20"/>
              </w:rPr>
            </w:pPr>
          </w:p>
          <w:tbl>
            <w:tblPr>
              <w:tblStyle w:val="TableNormal"/>
              <w:tblW w:w="5000" w:type="pct"/>
              <w:tblCellSpacing w:w="0" w:type="dxa"/>
              <w:tblLayout w:type="fixed"/>
              <w:tblCellMar>
                <w:left w:w="0" w:type="dxa"/>
                <w:right w:w="0" w:type="dxa"/>
              </w:tblCellMar>
              <w:tblLook w:val="04A0"/>
            </w:tblPr>
            <w:tblGrid>
              <w:gridCol w:w="140"/>
              <w:gridCol w:w="6152"/>
            </w:tblGrid>
            <w:tr>
              <w:tblPrEx>
                <w:tblW w:w="5000" w:type="pct"/>
                <w:tblCellSpacing w:w="0" w:type="dxa"/>
                <w:tblLayout w:type="fixed"/>
                <w:tblCellMar>
                  <w:left w:w="0" w:type="dxa"/>
                  <w:right w:w="0" w:type="dxa"/>
                </w:tblCellMar>
                <w:tblLook w:val="04A0"/>
              </w:tblPrEx>
              <w:trPr>
                <w:tblCellSpacing w:w="0" w:type="dxa"/>
              </w:trPr>
              <w:tc>
                <w:tcPr>
                  <w:tcW w:w="200"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b</w:t>
                  </w:r>
                </w:p>
              </w:tc>
              <w:tc>
                <w:tcPr>
                  <w:tcW w:w="9206"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sidR="008B7507">
                    <w:rPr>
                      <w:rFonts w:ascii="Times New Roman" w:hAnsi="Times New Roman"/>
                      <w:sz w:val="20"/>
                      <w:szCs w:val="20"/>
                    </w:rPr>
                    <w:t xml:space="preserve">) </w:t>
                  </w:r>
                  <w:r w:rsidRPr="00AA425D">
                    <w:rPr>
                      <w:rFonts w:ascii="Times New Roman" w:hAnsi="Times New Roman"/>
                      <w:sz w:val="20"/>
                      <w:szCs w:val="20"/>
                    </w:rPr>
                    <w:t>prahové hodnoty, či už platia na celoštátnej úrovni, na úrovni oblasti povodia alebo časti medzinárodnej oblasti povodia, ktoré leží na území členského štátu alebo na úrovni jednotlivých útvarov alebo skupiny útvarov podzemných vôd;</w:t>
                  </w:r>
                </w:p>
              </w:tc>
            </w:tr>
          </w:tbl>
          <w:p w:rsidR="00C366A6" w:rsidRPr="00AA425D" w:rsidP="008B7507">
            <w:pPr>
              <w:autoSpaceDE/>
              <w:autoSpaceDN/>
              <w:bidi w:val="0"/>
              <w:spacing w:after="0" w:line="240" w:lineRule="auto"/>
              <w:rPr>
                <w:rFonts w:ascii="Times New Roman" w:hAnsi="Times New Roman"/>
                <w:vanish/>
                <w:sz w:val="20"/>
                <w:szCs w:val="20"/>
              </w:rPr>
            </w:pPr>
          </w:p>
          <w:tbl>
            <w:tblPr>
              <w:tblStyle w:val="TableNormal"/>
              <w:tblW w:w="5000" w:type="pct"/>
              <w:tblCellSpacing w:w="0" w:type="dxa"/>
              <w:tblLayout w:type="fixed"/>
              <w:tblCellMar>
                <w:left w:w="0" w:type="dxa"/>
                <w:right w:w="0" w:type="dxa"/>
              </w:tblCellMar>
              <w:tblLook w:val="04A0"/>
            </w:tblPr>
            <w:tblGrid>
              <w:gridCol w:w="131"/>
              <w:gridCol w:w="6161"/>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sidR="008B7507">
                    <w:rPr>
                      <w:rFonts w:ascii="Times New Roman" w:hAnsi="Times New Roman"/>
                      <w:sz w:val="20"/>
                      <w:szCs w:val="20"/>
                    </w:rPr>
                    <w:t>c</w:t>
                  </w:r>
                </w:p>
              </w:tc>
              <w:tc>
                <w:tcPr>
                  <w:tcW w:w="9219"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vzťah medzi prahovými hodnotami a:</w:t>
                  </w:r>
                </w:p>
                <w:tbl>
                  <w:tblPr>
                    <w:tblStyle w:val="TableNormal"/>
                    <w:tblW w:w="5000" w:type="pct"/>
                    <w:tblCellSpacing w:w="0" w:type="dxa"/>
                    <w:tblLayout w:type="fixed"/>
                    <w:tblCellMar>
                      <w:left w:w="0" w:type="dxa"/>
                      <w:right w:w="0" w:type="dxa"/>
                    </w:tblCellMar>
                    <w:tblLook w:val="04A0"/>
                  </w:tblPr>
                  <w:tblGrid>
                    <w:gridCol w:w="142"/>
                    <w:gridCol w:w="21"/>
                    <w:gridCol w:w="22"/>
                    <w:gridCol w:w="8"/>
                    <w:gridCol w:w="5968"/>
                  </w:tblGrid>
                  <w:tr>
                    <w:tblPrEx>
                      <w:tblW w:w="5000" w:type="pct"/>
                      <w:tblCellSpacing w:w="0" w:type="dxa"/>
                      <w:tblLayout w:type="fixed"/>
                      <w:tblCellMar>
                        <w:left w:w="0" w:type="dxa"/>
                        <w:right w:w="0" w:type="dxa"/>
                      </w:tblCellMar>
                      <w:tblLook w:val="04A0"/>
                    </w:tblPrEx>
                    <w:trPr>
                      <w:tblCellSpacing w:w="0" w:type="dxa"/>
                    </w:trPr>
                    <w:tc>
                      <w:tcPr>
                        <w:tcW w:w="142"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i)</w:t>
                        </w:r>
                      </w:p>
                    </w:tc>
                    <w:tc>
                      <w:tcPr>
                        <w:tcW w:w="6019" w:type="dxa"/>
                        <w:gridSpan w:val="4"/>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v prípade prirodzene sa vyskytujúcich látok pozaďovými úrovňami;</w:t>
                        </w:r>
                      </w:p>
                    </w:tc>
                  </w:tr>
                  <w:tr>
                    <w:tblPrEx>
                      <w:tblW w:w="5000" w:type="pct"/>
                      <w:tblCellSpacing w:w="0" w:type="dxa"/>
                      <w:tblLayout w:type="fixed"/>
                      <w:tblCellMar>
                        <w:left w:w="0" w:type="dxa"/>
                        <w:right w:w="0" w:type="dxa"/>
                      </w:tblCellMar>
                      <w:tblLook w:val="04A0"/>
                    </w:tblPrEx>
                    <w:trPr>
                      <w:tblCellSpacing w:w="0" w:type="dxa"/>
                    </w:trPr>
                    <w:tc>
                      <w:tcPr>
                        <w:tcW w:w="163" w:type="dxa"/>
                        <w:gridSpan w:val="2"/>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ii</w:t>
                        </w:r>
                      </w:p>
                    </w:tc>
                    <w:tc>
                      <w:tcPr>
                        <w:tcW w:w="5998" w:type="dxa"/>
                        <w:gridSpan w:val="3"/>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sidR="008B7507">
                          <w:rPr>
                            <w:rFonts w:ascii="Times New Roman" w:hAnsi="Times New Roman"/>
                            <w:sz w:val="20"/>
                            <w:szCs w:val="20"/>
                          </w:rPr>
                          <w:t xml:space="preserve">) </w:t>
                        </w:r>
                        <w:r w:rsidRPr="00AA425D">
                          <w:rPr>
                            <w:rFonts w:ascii="Times New Roman" w:hAnsi="Times New Roman"/>
                            <w:sz w:val="20"/>
                            <w:szCs w:val="20"/>
                          </w:rPr>
                          <w:t>súvisiacimi povrchovými vodami a priamo závislými suchozemskými ekosystémami;</w:t>
                        </w:r>
                      </w:p>
                    </w:tc>
                  </w:tr>
                  <w:tr>
                    <w:tblPrEx>
                      <w:tblW w:w="5000" w:type="pct"/>
                      <w:tblCellSpacing w:w="0" w:type="dxa"/>
                      <w:tblLayout w:type="fixed"/>
                      <w:tblCellMar>
                        <w:left w:w="0" w:type="dxa"/>
                        <w:right w:w="0" w:type="dxa"/>
                      </w:tblCellMar>
                      <w:tblLook w:val="04A0"/>
                    </w:tblPrEx>
                    <w:trPr>
                      <w:tblCellSpacing w:w="0" w:type="dxa"/>
                    </w:trPr>
                    <w:tc>
                      <w:tcPr>
                        <w:tcW w:w="193" w:type="dxa"/>
                        <w:gridSpan w:val="4"/>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iii</w:t>
                        </w:r>
                      </w:p>
                    </w:tc>
                    <w:tc>
                      <w:tcPr>
                        <w:tcW w:w="5968"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sidR="008B7507">
                          <w:rPr>
                            <w:rFonts w:ascii="Times New Roman" w:hAnsi="Times New Roman"/>
                            <w:sz w:val="20"/>
                            <w:szCs w:val="20"/>
                          </w:rPr>
                          <w:t xml:space="preserve">) </w:t>
                        </w:r>
                        <w:r w:rsidRPr="00AA425D">
                          <w:rPr>
                            <w:rFonts w:ascii="Times New Roman" w:hAnsi="Times New Roman"/>
                            <w:sz w:val="20"/>
                            <w:szCs w:val="20"/>
                          </w:rPr>
                          <w:t>cieľmi kvality životného prostredia a ďalšími normami na ochranu vody, ktoré existujú na vnútroštátnej alebo medzinárodnej úrovni alebo na úrovni Únie;</w:t>
                        </w:r>
                      </w:p>
                    </w:tc>
                  </w:tr>
                  <w:tr>
                    <w:tblPrEx>
                      <w:tblW w:w="5000" w:type="pct"/>
                      <w:tblCellSpacing w:w="0" w:type="dxa"/>
                      <w:tblLayout w:type="fixed"/>
                      <w:tblCellMar>
                        <w:left w:w="0" w:type="dxa"/>
                        <w:right w:w="0" w:type="dxa"/>
                      </w:tblCellMar>
                      <w:tblLook w:val="04A0"/>
                    </w:tblPrEx>
                    <w:trPr>
                      <w:tblCellSpacing w:w="0" w:type="dxa"/>
                    </w:trPr>
                    <w:tc>
                      <w:tcPr>
                        <w:tcW w:w="185" w:type="dxa"/>
                        <w:gridSpan w:val="3"/>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iv</w:t>
                        </w:r>
                      </w:p>
                    </w:tc>
                    <w:tc>
                      <w:tcPr>
                        <w:tcW w:w="5976" w:type="dxa"/>
                        <w:gridSpan w:val="2"/>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sidR="008B7507">
                          <w:rPr>
                            <w:rFonts w:ascii="Times New Roman" w:hAnsi="Times New Roman"/>
                            <w:sz w:val="20"/>
                            <w:szCs w:val="20"/>
                          </w:rPr>
                          <w:t xml:space="preserve">) </w:t>
                        </w:r>
                        <w:r w:rsidRPr="00AA425D">
                          <w:rPr>
                            <w:rFonts w:ascii="Times New Roman" w:hAnsi="Times New Roman"/>
                            <w:sz w:val="20"/>
                            <w:szCs w:val="20"/>
                          </w:rPr>
                          <w:t>akýmikoľvek významnými informáciami z hľadiska toxikológie, ekotoxikológie, stálosti, bioakumulačného potenciálu a tendencie rozptylu znečisťujúcich látok.</w:t>
                        </w:r>
                      </w:p>
                    </w:tc>
                  </w:tr>
                </w:tbl>
                <w:p w:rsidR="00C366A6" w:rsidRPr="00AA425D" w:rsidP="008B7507">
                  <w:pPr>
                    <w:autoSpaceDE/>
                    <w:autoSpaceDN/>
                    <w:bidi w:val="0"/>
                    <w:spacing w:after="0" w:line="240" w:lineRule="auto"/>
                    <w:rPr>
                      <w:rFonts w:ascii="Times New Roman" w:hAnsi="Times New Roman"/>
                      <w:sz w:val="20"/>
                      <w:szCs w:val="20"/>
                    </w:rPr>
                  </w:pPr>
                </w:p>
              </w:tc>
            </w:tr>
          </w:tbl>
          <w:p w:rsidR="00C366A6" w:rsidRPr="00AA425D" w:rsidP="008B7507">
            <w:pPr>
              <w:autoSpaceDE/>
              <w:autoSpaceDN/>
              <w:bidi w:val="0"/>
              <w:spacing w:after="0" w:line="240" w:lineRule="auto"/>
              <w:rPr>
                <w:rFonts w:ascii="Times New Roman" w:hAnsi="Times New Roman"/>
                <w:vanish/>
                <w:sz w:val="20"/>
                <w:szCs w:val="20"/>
              </w:rPr>
            </w:pPr>
          </w:p>
          <w:tbl>
            <w:tblPr>
              <w:tblStyle w:val="TableNormal"/>
              <w:tblW w:w="5000" w:type="pct"/>
              <w:tblCellSpacing w:w="0" w:type="dxa"/>
              <w:tblLayout w:type="fixed"/>
              <w:tblCellMar>
                <w:left w:w="0" w:type="dxa"/>
                <w:right w:w="0" w:type="dxa"/>
              </w:tblCellMar>
              <w:tblLook w:val="04A0"/>
            </w:tblPr>
            <w:tblGrid>
              <w:gridCol w:w="156"/>
              <w:gridCol w:w="6136"/>
            </w:tblGrid>
            <w:tr>
              <w:tblPrEx>
                <w:tblW w:w="5000" w:type="pct"/>
                <w:tblCellSpacing w:w="0" w:type="dxa"/>
                <w:tblLayout w:type="fixed"/>
                <w:tblCellMar>
                  <w:left w:w="0" w:type="dxa"/>
                  <w:right w:w="0" w:type="dxa"/>
                </w:tblCellMar>
                <w:tblLook w:val="04A0"/>
              </w:tblPrEx>
              <w:trPr>
                <w:tblCellSpacing w:w="0" w:type="dxa"/>
              </w:trPr>
              <w:tc>
                <w:tcPr>
                  <w:tcW w:w="223"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d</w:t>
                  </w:r>
                </w:p>
              </w:tc>
              <w:tc>
                <w:tcPr>
                  <w:tcW w:w="9183"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sidR="008B7507">
                    <w:rPr>
                      <w:rFonts w:ascii="Times New Roman" w:hAnsi="Times New Roman"/>
                      <w:sz w:val="20"/>
                      <w:szCs w:val="20"/>
                    </w:rPr>
                    <w:t xml:space="preserve">) </w:t>
                  </w:r>
                  <w:r w:rsidRPr="00AA425D">
                    <w:rPr>
                      <w:rFonts w:ascii="Times New Roman" w:hAnsi="Times New Roman"/>
                      <w:sz w:val="20"/>
                      <w:szCs w:val="20"/>
                    </w:rPr>
                    <w:t>metodiku určenia pozaďových úrovní na základe zásad stanovených v časti A bode 3.</w:t>
                  </w:r>
                </w:p>
              </w:tc>
            </w:tr>
          </w:tbl>
          <w:p w:rsidR="00C366A6" w:rsidRPr="00AA425D" w:rsidP="008B7507">
            <w:pPr>
              <w:autoSpaceDE/>
              <w:autoSpaceDN/>
              <w:bidi w:val="0"/>
              <w:spacing w:after="0" w:line="240" w:lineRule="auto"/>
              <w:rPr>
                <w:rFonts w:ascii="Times New Roman" w:hAnsi="Times New Roman"/>
                <w:vanish/>
                <w:sz w:val="20"/>
                <w:szCs w:val="20"/>
              </w:rPr>
            </w:pPr>
          </w:p>
          <w:tbl>
            <w:tblPr>
              <w:tblStyle w:val="TableNormal"/>
              <w:tblW w:w="5000" w:type="pct"/>
              <w:tblCellSpacing w:w="0" w:type="dxa"/>
              <w:tblLayout w:type="fixed"/>
              <w:tblCellMar>
                <w:left w:w="0" w:type="dxa"/>
                <w:right w:w="0" w:type="dxa"/>
              </w:tblCellMar>
              <w:tblLook w:val="04A0"/>
            </w:tblPr>
            <w:tblGrid>
              <w:gridCol w:w="131"/>
              <w:gridCol w:w="6161"/>
            </w:tblGrid>
            <w:tr>
              <w:tblPrEx>
                <w:tblW w:w="5000" w:type="pct"/>
                <w:tblCellSpacing w:w="0" w:type="dxa"/>
                <w:tblLayout w:type="fixed"/>
                <w:tblCellMar>
                  <w:left w:w="0" w:type="dxa"/>
                  <w:right w:w="0" w:type="dxa"/>
                </w:tblCellMar>
                <w:tblLook w:val="04A0"/>
              </w:tblPrEx>
              <w:trPr>
                <w:tblCellSpacing w:w="0" w:type="dxa"/>
              </w:trPr>
              <w:tc>
                <w:tcPr>
                  <w:tcW w:w="187"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e</w:t>
                  </w:r>
                </w:p>
              </w:tc>
              <w:tc>
                <w:tcPr>
                  <w:tcW w:w="9219"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sidR="008B7507">
                    <w:rPr>
                      <w:rFonts w:ascii="Times New Roman" w:hAnsi="Times New Roman"/>
                      <w:sz w:val="20"/>
                      <w:szCs w:val="20"/>
                    </w:rPr>
                    <w:t xml:space="preserve">) </w:t>
                  </w:r>
                  <w:r w:rsidRPr="00AA425D">
                    <w:rPr>
                      <w:rFonts w:ascii="Times New Roman" w:hAnsi="Times New Roman"/>
                      <w:sz w:val="20"/>
                      <w:szCs w:val="20"/>
                    </w:rPr>
                    <w:t>dôvody neurčenia prahových hodnôt pre akékoľvek znečisťujúce látky a indikátory identifikované v časti B.</w:t>
                  </w:r>
                </w:p>
              </w:tc>
            </w:tr>
          </w:tbl>
          <w:p w:rsidR="00C366A6" w:rsidRPr="00AA425D" w:rsidP="008B7507">
            <w:pPr>
              <w:autoSpaceDE/>
              <w:autoSpaceDN/>
              <w:bidi w:val="0"/>
              <w:spacing w:after="0" w:line="240" w:lineRule="auto"/>
              <w:rPr>
                <w:rFonts w:ascii="Times New Roman" w:hAnsi="Times New Roman"/>
                <w:vanish/>
                <w:sz w:val="20"/>
                <w:szCs w:val="20"/>
              </w:rPr>
            </w:pPr>
          </w:p>
          <w:tbl>
            <w:tblPr>
              <w:tblStyle w:val="TableNormal"/>
              <w:tblW w:w="5000" w:type="pct"/>
              <w:tblCellSpacing w:w="0" w:type="dxa"/>
              <w:tblLayout w:type="fixed"/>
              <w:tblCellMar>
                <w:left w:w="0" w:type="dxa"/>
                <w:right w:w="0" w:type="dxa"/>
              </w:tblCellMar>
              <w:tblLook w:val="04A0"/>
            </w:tblPr>
            <w:tblGrid>
              <w:gridCol w:w="113"/>
              <w:gridCol w:w="6179"/>
            </w:tblGrid>
            <w:tr>
              <w:tblPrEx>
                <w:tblW w:w="5000" w:type="pct"/>
                <w:tblCellSpacing w:w="0" w:type="dxa"/>
                <w:tblLayout w:type="fixed"/>
                <w:tblCellMar>
                  <w:left w:w="0" w:type="dxa"/>
                  <w:right w:w="0" w:type="dxa"/>
                </w:tblCellMar>
                <w:tblLook w:val="04A0"/>
              </w:tblPrEx>
              <w:trPr>
                <w:tblCellSpacing w:w="0" w:type="dxa"/>
              </w:trPr>
              <w:tc>
                <w:tcPr>
                  <w:tcW w:w="160"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Pr>
                      <w:rFonts w:ascii="Times New Roman" w:hAnsi="Times New Roman"/>
                      <w:sz w:val="20"/>
                      <w:szCs w:val="20"/>
                    </w:rPr>
                    <w:t>f</w:t>
                  </w:r>
                </w:p>
              </w:tc>
              <w:tc>
                <w:tcPr>
                  <w:tcW w:w="9246" w:type="dxa"/>
                  <w:tcBorders>
                    <w:top w:val="none" w:sz="0" w:space="0" w:color="auto"/>
                    <w:left w:val="none" w:sz="0" w:space="0" w:color="auto"/>
                    <w:bottom w:val="none" w:sz="0" w:space="0" w:color="auto"/>
                    <w:right w:val="none" w:sz="0" w:space="0" w:color="auto"/>
                  </w:tcBorders>
                  <w:textDirection w:val="lrTb"/>
                  <w:vAlign w:val="top"/>
                  <w:hideMark/>
                </w:tcPr>
                <w:p w:rsidR="00C366A6" w:rsidRPr="00AA425D" w:rsidP="008B7507">
                  <w:pPr>
                    <w:autoSpaceDE/>
                    <w:autoSpaceDN/>
                    <w:bidi w:val="0"/>
                    <w:spacing w:after="0" w:line="240" w:lineRule="auto"/>
                    <w:jc w:val="both"/>
                    <w:rPr>
                      <w:rFonts w:ascii="Times New Roman" w:hAnsi="Times New Roman"/>
                      <w:sz w:val="20"/>
                      <w:szCs w:val="20"/>
                    </w:rPr>
                  </w:pPr>
                  <w:r w:rsidRPr="00AA425D" w:rsidR="008B7507">
                    <w:rPr>
                      <w:rFonts w:ascii="Times New Roman" w:hAnsi="Times New Roman"/>
                      <w:sz w:val="20"/>
                      <w:szCs w:val="20"/>
                    </w:rPr>
                    <w:t xml:space="preserve">) </w:t>
                  </w:r>
                  <w:r w:rsidRPr="00AA425D">
                    <w:rPr>
                      <w:rFonts w:ascii="Times New Roman" w:hAnsi="Times New Roman"/>
                      <w:sz w:val="20"/>
                      <w:szCs w:val="20"/>
                    </w:rPr>
                    <w:t>kľúčové prvky posúdenia chemického stavu podzemných vôd vrátane úrovne, metódy a obdobia zhromažďovania výsledkov z monitorovania, vymedzenia prijateľnej miery prekročenia a metódy jeho výpočtu v súlade s článkom 4 ods. 2 písm. c) bod i) a bodu 3 prílohy III.</w:t>
                  </w:r>
                </w:p>
                <w:p w:rsidR="00C366A6" w:rsidRPr="00AA425D" w:rsidP="008B7507">
                  <w:pPr>
                    <w:autoSpaceDE/>
                    <w:autoSpaceDN/>
                    <w:bidi w:val="0"/>
                    <w:spacing w:after="0" w:line="240" w:lineRule="auto"/>
                    <w:jc w:val="both"/>
                    <w:rPr>
                      <w:rFonts w:ascii="Times New Roman" w:hAnsi="Times New Roman"/>
                      <w:sz w:val="20"/>
                      <w:szCs w:val="20"/>
                    </w:rPr>
                  </w:pPr>
                </w:p>
              </w:tc>
            </w:tr>
          </w:tbl>
          <w:p w:rsidR="00936F1D" w:rsidRPr="00AA425D" w:rsidP="00C64FCD">
            <w:pPr>
              <w:autoSpaceDE/>
              <w:autoSpaceDN/>
              <w:bidi w:val="0"/>
              <w:spacing w:after="0" w:line="240" w:lineRule="auto"/>
              <w:jc w:val="both"/>
              <w:rPr>
                <w:rFonts w:ascii="Times New Roman" w:hAnsi="Times New Roman"/>
                <w:sz w:val="20"/>
                <w:szCs w:val="20"/>
              </w:rPr>
            </w:pPr>
            <w:r w:rsidRPr="00AA425D" w:rsidR="00C366A6">
              <w:rPr>
                <w:rFonts w:ascii="Times New Roman" w:hAnsi="Times New Roman"/>
                <w:sz w:val="20"/>
                <w:szCs w:val="20"/>
              </w:rPr>
              <w:t>Ak niektoré z údajov uvedených v písmenách a) až f) nie sú zahrnuté do plánov manažmentu povodia, členské štáty poskytnú odôvodnenie tejto skutočnosti v predmetných plánoch.“</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r w:rsidRPr="00AA425D" w:rsidR="00F66D53">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r w:rsidRPr="00AA425D" w:rsidR="005A64AE">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A64AE" w:rsidRPr="00AA425D" w:rsidP="00B93F24">
            <w:pPr>
              <w:pStyle w:val="Normlny"/>
              <w:bidi w:val="0"/>
              <w:spacing w:after="0" w:line="240" w:lineRule="auto"/>
              <w:rPr>
                <w:rFonts w:ascii="Times New Roman" w:hAnsi="Times New Roman"/>
              </w:rPr>
            </w:pPr>
            <w:r w:rsidRPr="00AA425D">
              <w:rPr>
                <w:rFonts w:ascii="Times New Roman" w:hAnsi="Times New Roman"/>
              </w:rPr>
              <w:t>§  5</w:t>
            </w:r>
          </w:p>
          <w:p w:rsidR="00936F1D" w:rsidRPr="00AA425D" w:rsidP="00B93F24">
            <w:pPr>
              <w:pStyle w:val="Normlny"/>
              <w:bidi w:val="0"/>
              <w:spacing w:after="0" w:line="240" w:lineRule="auto"/>
              <w:rPr>
                <w:rFonts w:ascii="Times New Roman" w:hAnsi="Times New Roman"/>
              </w:rPr>
            </w:pPr>
            <w:r w:rsidRPr="00AA425D" w:rsidR="005A64AE">
              <w:rPr>
                <w:rFonts w:ascii="Times New Roman" w:hAnsi="Times New Roman"/>
              </w:rPr>
              <w:t>ods.13</w:t>
            </w:r>
          </w:p>
          <w:p w:rsidR="005A64AE" w:rsidRPr="00AA425D" w:rsidP="00B93F24">
            <w:pPr>
              <w:pStyle w:val="Normlny"/>
              <w:bidi w:val="0"/>
              <w:spacing w:after="0" w:line="240" w:lineRule="auto"/>
              <w:rPr>
                <w:rFonts w:ascii="Times New Roman" w:hAnsi="Times New Roman"/>
              </w:rPr>
            </w:pPr>
            <w:r w:rsidRPr="00AA425D">
              <w:rPr>
                <w:rFonts w:ascii="Times New Roman" w:hAnsi="Times New Roman"/>
              </w:rPr>
              <w:t>P:a)</w:t>
            </w: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p w:rsidR="005A64AE" w:rsidP="00B93F24">
            <w:pPr>
              <w:pStyle w:val="Normlny"/>
              <w:bidi w:val="0"/>
              <w:spacing w:after="0" w:line="240" w:lineRule="auto"/>
              <w:rPr>
                <w:rFonts w:ascii="Times New Roman" w:hAnsi="Times New Roman"/>
              </w:rPr>
            </w:pPr>
          </w:p>
          <w:p w:rsidR="00BB0C0B" w:rsidRPr="00AA425D" w:rsidP="00B93F24">
            <w:pPr>
              <w:pStyle w:val="Normlny"/>
              <w:bidi w:val="0"/>
              <w:spacing w:after="0" w:line="240" w:lineRule="auto"/>
              <w:rPr>
                <w:rFonts w:ascii="Times New Roman" w:hAnsi="Times New Roman"/>
              </w:rPr>
            </w:pPr>
          </w:p>
          <w:p w:rsidR="005A64AE" w:rsidRPr="00AA425D" w:rsidP="005A64AE">
            <w:pPr>
              <w:pStyle w:val="Normlny"/>
              <w:bidi w:val="0"/>
              <w:spacing w:after="0" w:line="240" w:lineRule="auto"/>
              <w:rPr>
                <w:rFonts w:ascii="Times New Roman" w:hAnsi="Times New Roman"/>
              </w:rPr>
            </w:pPr>
            <w:r w:rsidRPr="00AA425D">
              <w:rPr>
                <w:rFonts w:ascii="Times New Roman" w:hAnsi="Times New Roman"/>
              </w:rPr>
              <w:t>§  5</w:t>
            </w:r>
          </w:p>
          <w:p w:rsidR="005A64AE" w:rsidRPr="00AA425D" w:rsidP="005A64AE">
            <w:pPr>
              <w:pStyle w:val="Normlny"/>
              <w:bidi w:val="0"/>
              <w:spacing w:after="0" w:line="240" w:lineRule="auto"/>
              <w:rPr>
                <w:rFonts w:ascii="Times New Roman" w:hAnsi="Times New Roman"/>
              </w:rPr>
            </w:pPr>
            <w:r w:rsidRPr="00AA425D">
              <w:rPr>
                <w:rFonts w:ascii="Times New Roman" w:hAnsi="Times New Roman"/>
              </w:rPr>
              <w:t>ods.14</w:t>
            </w:r>
          </w:p>
          <w:p w:rsidR="005A64AE" w:rsidRPr="00AA425D" w:rsidP="005A64AE">
            <w:pPr>
              <w:pStyle w:val="Normlny"/>
              <w:bidi w:val="0"/>
              <w:spacing w:after="0" w:line="240" w:lineRule="auto"/>
              <w:rPr>
                <w:rFonts w:ascii="Times New Roman" w:hAnsi="Times New Roman"/>
              </w:rPr>
            </w:pPr>
          </w:p>
          <w:p w:rsidR="005A64AE" w:rsidRPr="00AA425D" w:rsidP="00B93F24">
            <w:pPr>
              <w:pStyle w:val="Normlny"/>
              <w:bidi w:val="0"/>
              <w:spacing w:after="0" w:line="240" w:lineRule="auto"/>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5A64AE" w:rsidRPr="00AA425D" w:rsidP="005A64AE">
            <w:pPr>
              <w:pStyle w:val="BodyText"/>
              <w:tabs>
                <w:tab w:val="left" w:pos="0"/>
              </w:tabs>
              <w:bidi w:val="0"/>
              <w:spacing w:line="240" w:lineRule="auto"/>
              <w:rPr>
                <w:rFonts w:ascii="Times New Roman" w:hAnsi="Times New Roman"/>
                <w:sz w:val="20"/>
                <w:szCs w:val="20"/>
                <w:lang w:eastAsia="en-US"/>
              </w:rPr>
            </w:pPr>
            <w:r w:rsidRPr="00AA425D">
              <w:rPr>
                <w:rFonts w:ascii="Times New Roman" w:hAnsi="Times New Roman"/>
                <w:sz w:val="20"/>
                <w:szCs w:val="20"/>
              </w:rPr>
              <w:t>a) informácie o spôsobe, akým sa dodržiaval postup určenia prahových hodnôt pre všetky znečisťujúce látky a pre indikátory znečistenia, ktoré obsahujú najmä</w:t>
            </w:r>
          </w:p>
          <w:p w:rsidR="005A64AE" w:rsidRPr="00AA425D" w:rsidP="00C64FCD">
            <w:pPr>
              <w:tabs>
                <w:tab w:val="left" w:pos="98"/>
              </w:tabs>
              <w:bidi w:val="0"/>
              <w:spacing w:after="0" w:line="240" w:lineRule="auto"/>
              <w:jc w:val="both"/>
              <w:rPr>
                <w:rFonts w:ascii="Times New Roman" w:hAnsi="Times New Roman"/>
                <w:sz w:val="20"/>
                <w:szCs w:val="20"/>
              </w:rPr>
            </w:pPr>
            <w:r w:rsidRPr="00AA425D">
              <w:rPr>
                <w:rFonts w:ascii="Times New Roman" w:hAnsi="Times New Roman"/>
                <w:sz w:val="20"/>
                <w:szCs w:val="20"/>
              </w:rPr>
              <w:t xml:space="preserve">1. informácie o každom útvare alebo skupine útvarov podzemných vôd, ktoré sú charakterizované ako </w:t>
            </w:r>
            <w:r w:rsidR="00B612C2">
              <w:rPr>
                <w:rFonts w:ascii="Times New Roman" w:hAnsi="Times New Roman"/>
                <w:sz w:val="20"/>
                <w:szCs w:val="20"/>
              </w:rPr>
              <w:t>rizikové</w:t>
            </w:r>
            <w:r w:rsidRPr="00AA425D">
              <w:rPr>
                <w:rFonts w:ascii="Times New Roman" w:hAnsi="Times New Roman"/>
                <w:sz w:val="20"/>
                <w:szCs w:val="20"/>
              </w:rPr>
              <w:t>, vrátane</w:t>
            </w:r>
          </w:p>
          <w:p w:rsidR="005A64AE" w:rsidRPr="00AA425D" w:rsidP="00C64FCD">
            <w:pPr>
              <w:tabs>
                <w:tab w:val="left" w:pos="98"/>
              </w:tabs>
              <w:bidi w:val="0"/>
              <w:spacing w:after="0" w:line="240" w:lineRule="auto"/>
              <w:jc w:val="both"/>
              <w:rPr>
                <w:rFonts w:ascii="Times New Roman" w:hAnsi="Times New Roman"/>
                <w:sz w:val="20"/>
                <w:szCs w:val="20"/>
              </w:rPr>
            </w:pPr>
            <w:r w:rsidRPr="00AA425D" w:rsidR="00C64FCD">
              <w:rPr>
                <w:rFonts w:ascii="Times New Roman" w:hAnsi="Times New Roman"/>
                <w:sz w:val="20"/>
                <w:szCs w:val="20"/>
              </w:rPr>
              <w:t xml:space="preserve">   </w:t>
            </w:r>
            <w:r w:rsidRPr="00AA425D">
              <w:rPr>
                <w:rFonts w:ascii="Times New Roman" w:hAnsi="Times New Roman"/>
                <w:sz w:val="20"/>
                <w:szCs w:val="20"/>
              </w:rPr>
              <w:t>1.1. veľkosti útvarov podzemných vôd,</w:t>
            </w:r>
          </w:p>
          <w:p w:rsidR="005A64AE" w:rsidRPr="00AA425D" w:rsidP="00C64FCD">
            <w:pPr>
              <w:tabs>
                <w:tab w:val="left" w:pos="98"/>
              </w:tabs>
              <w:bidi w:val="0"/>
              <w:spacing w:after="0" w:line="240" w:lineRule="auto"/>
              <w:ind w:firstLine="98"/>
              <w:jc w:val="both"/>
              <w:rPr>
                <w:rFonts w:ascii="Times New Roman" w:hAnsi="Times New Roman"/>
                <w:sz w:val="20"/>
                <w:szCs w:val="20"/>
              </w:rPr>
            </w:pPr>
            <w:r w:rsidRPr="00AA425D" w:rsidR="00C64FCD">
              <w:rPr>
                <w:rFonts w:ascii="Times New Roman" w:hAnsi="Times New Roman"/>
                <w:sz w:val="20"/>
                <w:szCs w:val="20"/>
              </w:rPr>
              <w:t xml:space="preserve">   </w:t>
            </w:r>
            <w:r w:rsidRPr="00AA425D">
              <w:rPr>
                <w:rFonts w:ascii="Times New Roman" w:hAnsi="Times New Roman"/>
                <w:sz w:val="20"/>
                <w:szCs w:val="20"/>
              </w:rPr>
              <w:t>1.2. každej znečisťujúcej látky alebo indikátora znečistenia, na základe ktorých sa útvary podzemných vôd charakterizovali ako ohrozené,</w:t>
            </w:r>
          </w:p>
          <w:p w:rsidR="005A64AE" w:rsidRPr="00AA425D" w:rsidP="00C64FCD">
            <w:pPr>
              <w:tabs>
                <w:tab w:val="left" w:pos="98"/>
              </w:tabs>
              <w:bidi w:val="0"/>
              <w:spacing w:after="0" w:line="240" w:lineRule="auto"/>
              <w:ind w:firstLine="98"/>
              <w:jc w:val="both"/>
              <w:rPr>
                <w:rFonts w:ascii="Times New Roman" w:hAnsi="Times New Roman"/>
                <w:sz w:val="20"/>
                <w:szCs w:val="20"/>
              </w:rPr>
            </w:pPr>
            <w:r w:rsidRPr="00AA425D" w:rsidR="00C64FCD">
              <w:rPr>
                <w:rFonts w:ascii="Times New Roman" w:hAnsi="Times New Roman"/>
                <w:sz w:val="20"/>
                <w:szCs w:val="20"/>
              </w:rPr>
              <w:t xml:space="preserve">   </w:t>
            </w:r>
            <w:r w:rsidRPr="00AA425D">
              <w:rPr>
                <w:rFonts w:ascii="Times New Roman" w:hAnsi="Times New Roman"/>
                <w:sz w:val="20"/>
                <w:szCs w:val="20"/>
              </w:rPr>
              <w:t>1.3. cieľov kvality životného prostredia, s ktorými riziko súvisí, vrátane skutočného alebo možného použitia alebo funkcií útvaru podzemnej vody, ako aj vzťahu medzi útvarmi podzemnej vody a súvisiacimi povrchovými vodami a priamo závislými suchozemskými ekosystémami,</w:t>
            </w:r>
          </w:p>
          <w:p w:rsidR="005A64AE" w:rsidRPr="00AA425D" w:rsidP="00C64FCD">
            <w:pPr>
              <w:tabs>
                <w:tab w:val="left" w:pos="98"/>
              </w:tabs>
              <w:bidi w:val="0"/>
              <w:spacing w:after="0" w:line="240" w:lineRule="auto"/>
              <w:ind w:firstLine="98"/>
              <w:jc w:val="both"/>
              <w:rPr>
                <w:rFonts w:ascii="Times New Roman" w:hAnsi="Times New Roman"/>
                <w:sz w:val="20"/>
                <w:szCs w:val="20"/>
              </w:rPr>
            </w:pPr>
            <w:r w:rsidRPr="00AA425D" w:rsidR="00C64FCD">
              <w:rPr>
                <w:rFonts w:ascii="Times New Roman" w:hAnsi="Times New Roman"/>
                <w:sz w:val="20"/>
                <w:szCs w:val="20"/>
              </w:rPr>
              <w:t xml:space="preserve">   </w:t>
            </w:r>
            <w:r w:rsidRPr="00AA425D">
              <w:rPr>
                <w:rFonts w:ascii="Times New Roman" w:hAnsi="Times New Roman"/>
                <w:sz w:val="20"/>
                <w:szCs w:val="20"/>
              </w:rPr>
              <w:t xml:space="preserve">1.4. prirodzených pozaďových úrovní v útvaroch podzemných vôd </w:t>
            </w:r>
            <w:r w:rsidRPr="00993683">
              <w:rPr>
                <w:rFonts w:ascii="Times New Roman" w:hAnsi="Times New Roman"/>
                <w:sz w:val="20"/>
                <w:szCs w:val="20"/>
              </w:rPr>
              <w:t>v prípade</w:t>
            </w:r>
            <w:r w:rsidRPr="00AA425D">
              <w:rPr>
                <w:rFonts w:ascii="Times New Roman" w:hAnsi="Times New Roman"/>
                <w:sz w:val="20"/>
                <w:szCs w:val="20"/>
              </w:rPr>
              <w:t xml:space="preserve"> prirodzene sa vyskytujúcich látok, </w:t>
            </w:r>
          </w:p>
          <w:p w:rsidR="005A64AE" w:rsidRPr="00AA425D" w:rsidP="00C64FCD">
            <w:pPr>
              <w:tabs>
                <w:tab w:val="left" w:pos="98"/>
              </w:tabs>
              <w:bidi w:val="0"/>
              <w:spacing w:after="0" w:line="240" w:lineRule="auto"/>
              <w:ind w:firstLine="98"/>
              <w:jc w:val="both"/>
              <w:rPr>
                <w:rFonts w:ascii="Times New Roman" w:hAnsi="Times New Roman"/>
                <w:strike/>
                <w:sz w:val="20"/>
                <w:szCs w:val="20"/>
              </w:rPr>
            </w:pPr>
            <w:r w:rsidRPr="00AA425D" w:rsidR="00C64FCD">
              <w:rPr>
                <w:rFonts w:ascii="Times New Roman" w:hAnsi="Times New Roman"/>
                <w:sz w:val="20"/>
                <w:szCs w:val="20"/>
              </w:rPr>
              <w:t xml:space="preserve">   </w:t>
            </w:r>
            <w:r w:rsidRPr="00AA425D">
              <w:rPr>
                <w:rFonts w:ascii="Times New Roman" w:hAnsi="Times New Roman"/>
                <w:sz w:val="20"/>
                <w:szCs w:val="20"/>
              </w:rPr>
              <w:t>1.5. informácií o prekročení prahových hodnôt, ak sa prahové hodnoty prekročili,</w:t>
            </w:r>
            <w:r w:rsidRPr="00AA425D">
              <w:rPr>
                <w:rFonts w:ascii="Times New Roman" w:hAnsi="Times New Roman"/>
                <w:strike/>
                <w:sz w:val="20"/>
                <w:szCs w:val="20"/>
              </w:rPr>
              <w:t xml:space="preserve"> </w:t>
            </w:r>
          </w:p>
          <w:p w:rsidR="005A64AE" w:rsidRPr="00AA425D" w:rsidP="00C64FCD">
            <w:pPr>
              <w:tabs>
                <w:tab w:val="left" w:pos="98"/>
              </w:tabs>
              <w:bidi w:val="0"/>
              <w:spacing w:after="0" w:line="240" w:lineRule="auto"/>
              <w:jc w:val="both"/>
              <w:rPr>
                <w:rFonts w:ascii="Times New Roman" w:hAnsi="Times New Roman"/>
                <w:sz w:val="20"/>
                <w:szCs w:val="20"/>
              </w:rPr>
            </w:pPr>
            <w:r w:rsidRPr="00AA425D">
              <w:rPr>
                <w:rFonts w:ascii="Times New Roman" w:hAnsi="Times New Roman"/>
                <w:sz w:val="20"/>
                <w:szCs w:val="20"/>
              </w:rPr>
              <w:t>2. prahové hodnoty, ktoré platia na celoštátnej úrovni, na úrovni oblasti povodia alebo časti  medzinárodnej oblasti povodia, ktoré leží na území členského štátu alebo na úrovni jednotlivých útvarov alebo skupiny útvarov podzemných vôd,</w:t>
            </w:r>
          </w:p>
          <w:p w:rsidR="005A64AE" w:rsidRPr="00AA425D" w:rsidP="00C64FCD">
            <w:pPr>
              <w:tabs>
                <w:tab w:val="left" w:pos="98"/>
              </w:tabs>
              <w:bidi w:val="0"/>
              <w:spacing w:after="0" w:line="240" w:lineRule="auto"/>
              <w:jc w:val="both"/>
              <w:rPr>
                <w:rFonts w:ascii="Times New Roman" w:hAnsi="Times New Roman"/>
                <w:sz w:val="20"/>
                <w:szCs w:val="20"/>
              </w:rPr>
            </w:pPr>
            <w:r w:rsidRPr="00AA425D">
              <w:rPr>
                <w:rFonts w:ascii="Times New Roman" w:hAnsi="Times New Roman"/>
                <w:sz w:val="20"/>
                <w:szCs w:val="20"/>
              </w:rPr>
              <w:t>3. vzťah medzi prahovými hodnotami a</w:t>
            </w:r>
          </w:p>
          <w:p w:rsidR="005A64AE" w:rsidRPr="00AA425D" w:rsidP="00C64FCD">
            <w:pPr>
              <w:tabs>
                <w:tab w:val="left" w:pos="98"/>
              </w:tabs>
              <w:bidi w:val="0"/>
              <w:spacing w:after="0" w:line="240" w:lineRule="auto"/>
              <w:jc w:val="both"/>
              <w:rPr>
                <w:rFonts w:ascii="Times New Roman" w:hAnsi="Times New Roman"/>
                <w:sz w:val="20"/>
                <w:szCs w:val="20"/>
              </w:rPr>
            </w:pPr>
            <w:r w:rsidRPr="00AA425D" w:rsidR="00C64FCD">
              <w:rPr>
                <w:rFonts w:ascii="Times New Roman" w:hAnsi="Times New Roman"/>
                <w:sz w:val="20"/>
                <w:szCs w:val="20"/>
              </w:rPr>
              <w:t xml:space="preserve">     </w:t>
            </w:r>
            <w:r w:rsidRPr="00AA425D">
              <w:rPr>
                <w:rFonts w:ascii="Times New Roman" w:hAnsi="Times New Roman"/>
                <w:sz w:val="20"/>
                <w:szCs w:val="20"/>
              </w:rPr>
              <w:t>3.1. pozaďovými úrovňami, ak ide o prirodzene sa vyskytujúce látky,</w:t>
            </w:r>
          </w:p>
          <w:p w:rsidR="005A64AE" w:rsidRPr="00AA425D" w:rsidP="00C64FCD">
            <w:pPr>
              <w:tabs>
                <w:tab w:val="left" w:pos="98"/>
                <w:tab w:val="left" w:pos="993"/>
              </w:tabs>
              <w:bidi w:val="0"/>
              <w:spacing w:after="0" w:line="240" w:lineRule="auto"/>
              <w:jc w:val="both"/>
              <w:rPr>
                <w:rFonts w:ascii="Times New Roman" w:hAnsi="Times New Roman"/>
                <w:sz w:val="20"/>
                <w:szCs w:val="20"/>
              </w:rPr>
            </w:pPr>
            <w:r w:rsidRPr="00AA425D" w:rsidR="00C64FCD">
              <w:rPr>
                <w:rFonts w:ascii="Times New Roman" w:hAnsi="Times New Roman"/>
                <w:sz w:val="20"/>
                <w:szCs w:val="20"/>
              </w:rPr>
              <w:t xml:space="preserve">    </w:t>
            </w:r>
            <w:r w:rsidRPr="00AA425D">
              <w:rPr>
                <w:rFonts w:ascii="Times New Roman" w:hAnsi="Times New Roman"/>
                <w:sz w:val="20"/>
                <w:szCs w:val="20"/>
              </w:rPr>
              <w:t>3.2. súvisiacimi povrchovými vodami a priamo závislými suchozemskými ekosystémami,</w:t>
            </w:r>
          </w:p>
          <w:p w:rsidR="005A64AE" w:rsidRPr="00AA425D" w:rsidP="00C64FCD">
            <w:pPr>
              <w:tabs>
                <w:tab w:val="left" w:pos="98"/>
              </w:tabs>
              <w:bidi w:val="0"/>
              <w:spacing w:after="0" w:line="240" w:lineRule="auto"/>
              <w:jc w:val="both"/>
              <w:rPr>
                <w:rFonts w:ascii="Times New Roman" w:hAnsi="Times New Roman"/>
                <w:sz w:val="20"/>
                <w:szCs w:val="20"/>
              </w:rPr>
            </w:pPr>
            <w:r w:rsidRPr="00AA425D" w:rsidR="00C64FCD">
              <w:rPr>
                <w:rFonts w:ascii="Times New Roman" w:hAnsi="Times New Roman"/>
                <w:sz w:val="20"/>
                <w:szCs w:val="20"/>
              </w:rPr>
              <w:t xml:space="preserve">   </w:t>
            </w:r>
            <w:r w:rsidRPr="00AA425D">
              <w:rPr>
                <w:rFonts w:ascii="Times New Roman" w:hAnsi="Times New Roman"/>
                <w:sz w:val="20"/>
                <w:szCs w:val="20"/>
              </w:rPr>
              <w:t xml:space="preserve">3.3. cieľmi kvality životného prostredia a ďalšími normami na ochranu vody, ktoré existujú na vnútroštátnej alebo medzinárodnej úrovni alebo na úrovni Európskej Únie, </w:t>
            </w:r>
          </w:p>
          <w:p w:rsidR="005A64AE" w:rsidRPr="00AA425D" w:rsidP="00C64FCD">
            <w:pPr>
              <w:tabs>
                <w:tab w:val="left" w:pos="98"/>
              </w:tabs>
              <w:bidi w:val="0"/>
              <w:spacing w:after="0" w:line="240" w:lineRule="auto"/>
              <w:jc w:val="both"/>
              <w:rPr>
                <w:rFonts w:ascii="Times New Roman" w:hAnsi="Times New Roman"/>
                <w:sz w:val="20"/>
                <w:szCs w:val="20"/>
              </w:rPr>
            </w:pPr>
            <w:r w:rsidRPr="00AA425D" w:rsidR="00C64FCD">
              <w:rPr>
                <w:rFonts w:ascii="Times New Roman" w:hAnsi="Times New Roman"/>
                <w:sz w:val="20"/>
                <w:szCs w:val="20"/>
              </w:rPr>
              <w:t xml:space="preserve">   </w:t>
            </w:r>
            <w:r w:rsidRPr="00AA425D">
              <w:rPr>
                <w:rFonts w:ascii="Times New Roman" w:hAnsi="Times New Roman"/>
                <w:sz w:val="20"/>
                <w:szCs w:val="20"/>
              </w:rPr>
              <w:t xml:space="preserve">3.4. akýmikoľvek významnými informáciami z hľadiska toxikológie, ekotoxikológie, stálosti, bioakumulačného potenciálu a tendencie rozptylu znečisťujúcich látok, </w:t>
            </w:r>
          </w:p>
          <w:p w:rsidR="005A64AE" w:rsidRPr="00AA425D" w:rsidP="00C64FCD">
            <w:pPr>
              <w:tabs>
                <w:tab w:val="left" w:pos="98"/>
              </w:tabs>
              <w:bidi w:val="0"/>
              <w:spacing w:after="0" w:line="240" w:lineRule="auto"/>
              <w:jc w:val="both"/>
              <w:rPr>
                <w:rFonts w:ascii="Times New Roman" w:hAnsi="Times New Roman"/>
                <w:i/>
                <w:sz w:val="20"/>
                <w:szCs w:val="20"/>
              </w:rPr>
            </w:pPr>
            <w:r w:rsidRPr="00AA425D">
              <w:rPr>
                <w:rFonts w:ascii="Times New Roman" w:hAnsi="Times New Roman"/>
                <w:sz w:val="20"/>
                <w:szCs w:val="20"/>
              </w:rPr>
              <w:t xml:space="preserve">4. metodiku určenia pozaďových úrovní na základe zásad uvedených v odseku </w:t>
            </w:r>
            <w:r w:rsidRPr="00AA425D" w:rsidR="00231555">
              <w:rPr>
                <w:rFonts w:ascii="Times New Roman" w:hAnsi="Times New Roman"/>
                <w:sz w:val="20"/>
                <w:szCs w:val="20"/>
              </w:rPr>
              <w:t>15</w:t>
            </w:r>
            <w:r w:rsidRPr="00AA425D">
              <w:rPr>
                <w:rFonts w:ascii="Times New Roman" w:hAnsi="Times New Roman"/>
                <w:sz w:val="20"/>
                <w:szCs w:val="20"/>
              </w:rPr>
              <w:t>,</w:t>
            </w:r>
            <w:r w:rsidRPr="00AA425D">
              <w:rPr>
                <w:rFonts w:ascii="Times New Roman" w:hAnsi="Times New Roman"/>
                <w:i/>
                <w:sz w:val="20"/>
                <w:szCs w:val="20"/>
              </w:rPr>
              <w:t xml:space="preserve">  </w:t>
            </w:r>
          </w:p>
          <w:p w:rsidR="005A64AE" w:rsidRPr="00AA425D" w:rsidP="00C64FCD">
            <w:pPr>
              <w:tabs>
                <w:tab w:val="left" w:pos="98"/>
              </w:tabs>
              <w:bidi w:val="0"/>
              <w:spacing w:after="0" w:line="240" w:lineRule="auto"/>
              <w:jc w:val="both"/>
              <w:rPr>
                <w:rFonts w:ascii="Times New Roman" w:hAnsi="Times New Roman"/>
                <w:strike/>
                <w:sz w:val="20"/>
                <w:szCs w:val="20"/>
              </w:rPr>
            </w:pPr>
            <w:r w:rsidRPr="00AA425D">
              <w:rPr>
                <w:rFonts w:ascii="Times New Roman" w:hAnsi="Times New Roman"/>
                <w:sz w:val="20"/>
                <w:szCs w:val="20"/>
              </w:rPr>
              <w:t>5. dôvody neurčenia prahových hodnôt pre akékoľvek znečisťujúce látky a indikátory identifikované  podľa prílohy 1b zákona,</w:t>
            </w:r>
          </w:p>
          <w:p w:rsidR="005A64AE" w:rsidRPr="00AA425D" w:rsidP="00C64FCD">
            <w:pPr>
              <w:tabs>
                <w:tab w:val="left" w:pos="98"/>
              </w:tabs>
              <w:bidi w:val="0"/>
              <w:spacing w:after="0" w:line="240" w:lineRule="auto"/>
              <w:jc w:val="both"/>
              <w:rPr>
                <w:rFonts w:ascii="Times New Roman" w:hAnsi="Times New Roman"/>
                <w:sz w:val="20"/>
                <w:szCs w:val="20"/>
              </w:rPr>
            </w:pPr>
            <w:r w:rsidRPr="00AA425D">
              <w:rPr>
                <w:rFonts w:ascii="Times New Roman" w:hAnsi="Times New Roman"/>
                <w:sz w:val="20"/>
                <w:szCs w:val="20"/>
              </w:rPr>
              <w:t>6. kľúčové prvky posúdenia chemického stavu podzemných vôd vrátane úrovne, metódy a obdobia zhromažďovania výsledkov z monitorovania, vymedzenia prijateľnej miery prekročenia a metódy jeho výpočtu podľa osobitného predpisu</w:t>
            </w:r>
            <w:r>
              <w:rPr>
                <w:rStyle w:val="FootnoteReference"/>
                <w:rFonts w:ascii="Times New Roman" w:hAnsi="Times New Roman"/>
                <w:sz w:val="20"/>
                <w:szCs w:val="20"/>
                <w:rtl w:val="0"/>
              </w:rPr>
              <w:footnoteReference w:id="4"/>
            </w:r>
            <w:r w:rsidRPr="00AA425D">
              <w:rPr>
                <w:rFonts w:ascii="Times New Roman" w:hAnsi="Times New Roman"/>
                <w:sz w:val="20"/>
                <w:szCs w:val="20"/>
              </w:rPr>
              <w:t xml:space="preserve">), </w:t>
            </w:r>
          </w:p>
          <w:p w:rsidR="005A64AE" w:rsidRPr="00AA425D" w:rsidP="005A64AE">
            <w:pPr>
              <w:tabs>
                <w:tab w:val="left" w:pos="98"/>
              </w:tabs>
              <w:bidi w:val="0"/>
              <w:spacing w:after="0" w:line="240" w:lineRule="auto"/>
              <w:ind w:left="284"/>
              <w:jc w:val="both"/>
              <w:rPr>
                <w:rFonts w:ascii="Times New Roman" w:hAnsi="Times New Roman"/>
                <w:sz w:val="20"/>
                <w:szCs w:val="20"/>
              </w:rPr>
            </w:pPr>
          </w:p>
          <w:p w:rsidR="00936F1D" w:rsidRPr="00AA425D" w:rsidP="00C64FCD">
            <w:pPr>
              <w:bidi w:val="0"/>
              <w:spacing w:before="60" w:after="0" w:line="240" w:lineRule="auto"/>
              <w:jc w:val="both"/>
              <w:rPr>
                <w:rFonts w:ascii="Times New Roman" w:hAnsi="Times New Roman"/>
                <w:sz w:val="20"/>
                <w:szCs w:val="20"/>
              </w:rPr>
            </w:pPr>
            <w:r w:rsidRPr="00AA425D" w:rsidR="005A64AE">
              <w:rPr>
                <w:rFonts w:ascii="Times New Roman" w:hAnsi="Times New Roman"/>
                <w:sz w:val="20"/>
                <w:szCs w:val="20"/>
              </w:rPr>
              <w:t>(14) Ak v plánoch manažmentu povodia nie sú uvedené údaje podľa odseku 13  písm. a), táto skutočnosť sa musí  v plánoch manažmentu povodia odôvodniť.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6F1D" w:rsidRPr="00AA425D" w:rsidP="00B93F24">
            <w:pPr>
              <w:bidi w:val="0"/>
              <w:spacing w:after="0" w:line="240" w:lineRule="auto"/>
              <w:jc w:val="center"/>
              <w:rPr>
                <w:rFonts w:ascii="Times New Roman" w:hAnsi="Times New Roman"/>
                <w:sz w:val="20"/>
                <w:szCs w:val="20"/>
              </w:rPr>
            </w:pPr>
            <w:r w:rsidRPr="004B5162" w:rsidR="004B5162">
              <w:rPr>
                <w:rFonts w:ascii="Times New Roman" w:hAnsi="Times New Roman"/>
                <w:sz w:val="20"/>
                <w:szCs w:val="20"/>
              </w:rPr>
              <w:t>Ú</w:t>
            </w:r>
          </w:p>
        </w:tc>
        <w:tc>
          <w:tcPr>
            <w:tcW w:w="1134" w:type="dxa"/>
            <w:tcBorders>
              <w:top w:val="single" w:sz="4" w:space="0" w:color="auto"/>
              <w:left w:val="single" w:sz="4" w:space="0" w:color="auto"/>
              <w:bottom w:val="single" w:sz="4" w:space="0" w:color="auto"/>
              <w:right w:val="single" w:sz="12" w:space="0" w:color="auto"/>
            </w:tcBorders>
            <w:textDirection w:val="lrTb"/>
            <w:vAlign w:val="top"/>
          </w:tcPr>
          <w:p w:rsidR="00936F1D" w:rsidRPr="00AA425D" w:rsidP="003D1524">
            <w:pPr>
              <w:pStyle w:val="Heading1"/>
              <w:bidi w:val="0"/>
              <w:spacing w:after="0" w:line="240" w:lineRule="auto"/>
              <w:rPr>
                <w:rFonts w:ascii="Times New Roman" w:hAnsi="Times New Roman"/>
                <w:b w:val="0"/>
                <w:bCs w:val="0"/>
                <w:sz w:val="20"/>
                <w:szCs w:val="20"/>
              </w:rPr>
            </w:pPr>
          </w:p>
        </w:tc>
      </w:tr>
    </w:tbl>
    <w:p w:rsidR="001B7F84" w:rsidRPr="00AA425D">
      <w:pPr>
        <w:bidi w:val="0"/>
        <w:rPr>
          <w:rFonts w:ascii="Times New Roman" w:hAnsi="Times New Roman"/>
        </w:rPr>
      </w:pPr>
    </w:p>
    <w:p w:rsidR="00936F1D" w:rsidRPr="00AA425D" w:rsidP="00936F1D">
      <w:pPr>
        <w:autoSpaceDE/>
        <w:autoSpaceDN/>
        <w:bidi w:val="0"/>
        <w:rPr>
          <w:rFonts w:ascii="Times New Roman" w:hAnsi="Times New Roman"/>
          <w:sz w:val="20"/>
          <w:szCs w:val="20"/>
        </w:rPr>
      </w:pPr>
      <w:r w:rsidRPr="00AA425D">
        <w:rPr>
          <w:rFonts w:ascii="Times New Roman" w:hAnsi="Times New Roman"/>
          <w:sz w:val="20"/>
          <w:szCs w:val="20"/>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936F1D" w:rsidRPr="00AA425D" w:rsidP="00B93F24">
            <w:pPr>
              <w:pStyle w:val="Normlny"/>
              <w:autoSpaceDE/>
              <w:autoSpaceDN/>
              <w:bidi w:val="0"/>
              <w:spacing w:after="60" w:line="240" w:lineRule="auto"/>
              <w:rPr>
                <w:rFonts w:ascii="Times New Roman" w:hAnsi="Times New Roman"/>
                <w:lang w:eastAsia="sk-SK"/>
              </w:rPr>
            </w:pPr>
            <w:r w:rsidRPr="00AA425D">
              <w:rPr>
                <w:rFonts w:ascii="Times New Roman" w:hAnsi="Times New Roman"/>
                <w:lang w:eastAsia="sk-SK"/>
              </w:rPr>
              <w:t>V stĺpci (1):</w:t>
            </w:r>
          </w:p>
          <w:p w:rsidR="00936F1D" w:rsidRPr="00AA425D" w:rsidP="00B93F24">
            <w:pPr>
              <w:autoSpaceDE/>
              <w:autoSpaceDN/>
              <w:bidi w:val="0"/>
              <w:spacing w:after="0" w:line="240" w:lineRule="auto"/>
              <w:rPr>
                <w:rFonts w:ascii="Times New Roman" w:hAnsi="Times New Roman"/>
                <w:sz w:val="20"/>
                <w:szCs w:val="20"/>
              </w:rPr>
            </w:pPr>
            <w:r w:rsidRPr="00AA425D">
              <w:rPr>
                <w:rFonts w:ascii="Times New Roman" w:hAnsi="Times New Roman"/>
                <w:sz w:val="20"/>
                <w:szCs w:val="20"/>
              </w:rPr>
              <w:t>Č – článok</w:t>
            </w:r>
          </w:p>
          <w:p w:rsidR="00936F1D" w:rsidRPr="00AA425D" w:rsidP="00B93F24">
            <w:pPr>
              <w:autoSpaceDE/>
              <w:autoSpaceDN/>
              <w:bidi w:val="0"/>
              <w:spacing w:after="0" w:line="240" w:lineRule="auto"/>
              <w:rPr>
                <w:rFonts w:ascii="Times New Roman" w:hAnsi="Times New Roman"/>
                <w:sz w:val="20"/>
                <w:szCs w:val="20"/>
              </w:rPr>
            </w:pPr>
            <w:r w:rsidRPr="00AA425D">
              <w:rPr>
                <w:rFonts w:ascii="Times New Roman" w:hAnsi="Times New Roman"/>
                <w:sz w:val="20"/>
                <w:szCs w:val="20"/>
              </w:rPr>
              <w:t>O – odsek</w:t>
            </w:r>
          </w:p>
          <w:p w:rsidR="00936F1D" w:rsidRPr="00AA425D" w:rsidP="00B93F24">
            <w:pPr>
              <w:autoSpaceDE/>
              <w:autoSpaceDN/>
              <w:bidi w:val="0"/>
              <w:spacing w:after="0" w:line="240" w:lineRule="auto"/>
              <w:rPr>
                <w:rFonts w:ascii="Times New Roman" w:hAnsi="Times New Roman"/>
                <w:sz w:val="20"/>
                <w:szCs w:val="20"/>
              </w:rPr>
            </w:pPr>
            <w:r w:rsidRPr="00AA425D">
              <w:rPr>
                <w:rFonts w:ascii="Times New Roman" w:hAnsi="Times New Roman"/>
                <w:sz w:val="20"/>
                <w:szCs w:val="20"/>
              </w:rPr>
              <w:t>V – veta</w:t>
            </w:r>
          </w:p>
          <w:p w:rsidR="00936F1D" w:rsidRPr="00AA425D" w:rsidP="00B93F24">
            <w:pPr>
              <w:autoSpaceDE/>
              <w:autoSpaceDN/>
              <w:bidi w:val="0"/>
              <w:spacing w:after="0" w:line="240" w:lineRule="auto"/>
              <w:rPr>
                <w:rFonts w:ascii="Times New Roman" w:hAnsi="Times New Roman"/>
                <w:sz w:val="20"/>
                <w:szCs w:val="20"/>
              </w:rPr>
            </w:pPr>
            <w:r w:rsidRPr="00AA425D">
              <w:rPr>
                <w:rFonts w:ascii="Times New Roman" w:hAnsi="Times New Roman"/>
                <w:sz w:val="20"/>
                <w:szCs w:val="20"/>
              </w:rPr>
              <w:t>P – číslo (písmeno)</w:t>
            </w:r>
          </w:p>
          <w:p w:rsidR="00936F1D" w:rsidRPr="00AA425D" w:rsidP="00B93F24">
            <w:pPr>
              <w:autoSpaceDE/>
              <w:autoSpaceDN/>
              <w:bidi w:val="0"/>
              <w:spacing w:after="0" w:line="240" w:lineRule="auto"/>
              <w:rPr>
                <w:rFonts w:ascii="Times New Roman" w:hAnsi="Times New Roman"/>
                <w:sz w:val="20"/>
                <w:szCs w:val="20"/>
              </w:rPr>
            </w:pPr>
          </w:p>
        </w:tc>
        <w:tc>
          <w:tcPr>
            <w:tcW w:w="3780" w:type="dxa"/>
            <w:tcBorders>
              <w:top w:val="nil"/>
              <w:left w:val="nil"/>
              <w:bottom w:val="nil"/>
              <w:right w:val="nil"/>
            </w:tcBorders>
            <w:textDirection w:val="lrTb"/>
            <w:vAlign w:val="top"/>
          </w:tcPr>
          <w:p w:rsidR="00936F1D" w:rsidRPr="00AA425D" w:rsidP="00B93F24">
            <w:pPr>
              <w:pStyle w:val="Normlny"/>
              <w:autoSpaceDE/>
              <w:autoSpaceDN/>
              <w:bidi w:val="0"/>
              <w:spacing w:after="60" w:line="240" w:lineRule="auto"/>
              <w:rPr>
                <w:rFonts w:ascii="Times New Roman" w:hAnsi="Times New Roman"/>
                <w:lang w:eastAsia="sk-SK"/>
              </w:rPr>
            </w:pPr>
            <w:r w:rsidRPr="00AA425D">
              <w:rPr>
                <w:rFonts w:ascii="Times New Roman" w:hAnsi="Times New Roman"/>
                <w:lang w:eastAsia="sk-SK"/>
              </w:rPr>
              <w:t>V stĺpci (3):</w:t>
            </w:r>
          </w:p>
          <w:p w:rsidR="00936F1D" w:rsidRPr="00AA425D" w:rsidP="00B93F24">
            <w:pPr>
              <w:autoSpaceDE/>
              <w:autoSpaceDN/>
              <w:bidi w:val="0"/>
              <w:spacing w:after="0" w:line="240" w:lineRule="auto"/>
              <w:rPr>
                <w:rFonts w:ascii="Times New Roman" w:hAnsi="Times New Roman"/>
                <w:sz w:val="20"/>
                <w:szCs w:val="20"/>
              </w:rPr>
            </w:pPr>
            <w:r w:rsidRPr="00AA425D">
              <w:rPr>
                <w:rFonts w:ascii="Times New Roman" w:hAnsi="Times New Roman"/>
                <w:sz w:val="20"/>
                <w:szCs w:val="20"/>
              </w:rPr>
              <w:t>N – bežná transpozícia</w:t>
            </w:r>
          </w:p>
          <w:p w:rsidR="00936F1D" w:rsidRPr="00AA425D" w:rsidP="00B93F24">
            <w:pPr>
              <w:autoSpaceDE/>
              <w:autoSpaceDN/>
              <w:bidi w:val="0"/>
              <w:spacing w:after="0" w:line="240" w:lineRule="auto"/>
              <w:rPr>
                <w:rFonts w:ascii="Times New Roman" w:hAnsi="Times New Roman"/>
                <w:sz w:val="20"/>
                <w:szCs w:val="20"/>
              </w:rPr>
            </w:pPr>
            <w:r w:rsidRPr="00AA425D">
              <w:rPr>
                <w:rFonts w:ascii="Times New Roman" w:hAnsi="Times New Roman"/>
                <w:sz w:val="20"/>
                <w:szCs w:val="20"/>
              </w:rPr>
              <w:t>O – transpozícia s možnosťou voľby</w:t>
            </w:r>
          </w:p>
          <w:p w:rsidR="00936F1D" w:rsidRPr="00AA425D" w:rsidP="00B93F24">
            <w:pPr>
              <w:autoSpaceDE/>
              <w:autoSpaceDN/>
              <w:bidi w:val="0"/>
              <w:spacing w:after="0" w:line="240" w:lineRule="auto"/>
              <w:rPr>
                <w:rFonts w:ascii="Times New Roman" w:hAnsi="Times New Roman"/>
                <w:sz w:val="20"/>
                <w:szCs w:val="20"/>
              </w:rPr>
            </w:pPr>
            <w:r w:rsidRPr="00AA425D">
              <w:rPr>
                <w:rFonts w:ascii="Times New Roman" w:hAnsi="Times New Roman"/>
                <w:sz w:val="20"/>
                <w:szCs w:val="20"/>
              </w:rPr>
              <w:t>D – transpozícia podľa úvahy (dobrovoľná)</w:t>
            </w:r>
          </w:p>
          <w:p w:rsidR="00936F1D" w:rsidRPr="00AA425D" w:rsidP="00B93F24">
            <w:pPr>
              <w:autoSpaceDE/>
              <w:autoSpaceDN/>
              <w:bidi w:val="0"/>
              <w:spacing w:after="0" w:line="240" w:lineRule="auto"/>
              <w:rPr>
                <w:rFonts w:ascii="Times New Roman" w:hAnsi="Times New Roman"/>
                <w:sz w:val="20"/>
                <w:szCs w:val="20"/>
              </w:rPr>
            </w:pPr>
            <w:r w:rsidRPr="00AA425D">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936F1D" w:rsidRPr="00AA425D" w:rsidP="00B93F24">
            <w:pPr>
              <w:pStyle w:val="Normlny"/>
              <w:autoSpaceDE/>
              <w:autoSpaceDN/>
              <w:bidi w:val="0"/>
              <w:spacing w:after="60" w:line="240" w:lineRule="auto"/>
              <w:rPr>
                <w:rFonts w:ascii="Times New Roman" w:hAnsi="Times New Roman"/>
                <w:lang w:eastAsia="sk-SK"/>
              </w:rPr>
            </w:pPr>
            <w:r w:rsidRPr="00AA425D">
              <w:rPr>
                <w:rFonts w:ascii="Times New Roman" w:hAnsi="Times New Roman"/>
                <w:lang w:eastAsia="sk-SK"/>
              </w:rPr>
              <w:t>V stĺpci (5):</w:t>
            </w:r>
          </w:p>
          <w:p w:rsidR="00936F1D" w:rsidRPr="00AA425D" w:rsidP="00B93F24">
            <w:pPr>
              <w:autoSpaceDE/>
              <w:autoSpaceDN/>
              <w:bidi w:val="0"/>
              <w:spacing w:after="0" w:line="240" w:lineRule="auto"/>
              <w:rPr>
                <w:rFonts w:ascii="Times New Roman" w:hAnsi="Times New Roman"/>
                <w:sz w:val="20"/>
                <w:szCs w:val="20"/>
              </w:rPr>
            </w:pPr>
            <w:r w:rsidRPr="00AA425D">
              <w:rPr>
                <w:rFonts w:ascii="Times New Roman" w:hAnsi="Times New Roman"/>
                <w:sz w:val="20"/>
                <w:szCs w:val="20"/>
              </w:rPr>
              <w:t>Č – článok</w:t>
            </w:r>
          </w:p>
          <w:p w:rsidR="00936F1D" w:rsidRPr="00AA425D" w:rsidP="00B93F24">
            <w:pPr>
              <w:autoSpaceDE/>
              <w:autoSpaceDN/>
              <w:bidi w:val="0"/>
              <w:spacing w:after="0" w:line="240" w:lineRule="auto"/>
              <w:rPr>
                <w:rFonts w:ascii="Times New Roman" w:hAnsi="Times New Roman"/>
                <w:sz w:val="20"/>
                <w:szCs w:val="20"/>
              </w:rPr>
            </w:pPr>
            <w:r w:rsidRPr="00AA425D">
              <w:rPr>
                <w:rFonts w:ascii="Times New Roman" w:hAnsi="Times New Roman"/>
                <w:sz w:val="20"/>
                <w:szCs w:val="20"/>
              </w:rPr>
              <w:t>§ – paragraf</w:t>
            </w:r>
          </w:p>
          <w:p w:rsidR="00936F1D" w:rsidRPr="00AA425D" w:rsidP="00B93F24">
            <w:pPr>
              <w:autoSpaceDE/>
              <w:autoSpaceDN/>
              <w:bidi w:val="0"/>
              <w:spacing w:after="0" w:line="240" w:lineRule="auto"/>
              <w:rPr>
                <w:rFonts w:ascii="Times New Roman" w:hAnsi="Times New Roman"/>
                <w:sz w:val="20"/>
                <w:szCs w:val="20"/>
              </w:rPr>
            </w:pPr>
            <w:r w:rsidRPr="00AA425D">
              <w:rPr>
                <w:rFonts w:ascii="Times New Roman" w:hAnsi="Times New Roman"/>
                <w:sz w:val="20"/>
                <w:szCs w:val="20"/>
              </w:rPr>
              <w:t>O – odsek</w:t>
            </w:r>
          </w:p>
          <w:p w:rsidR="00936F1D" w:rsidRPr="00AA425D" w:rsidP="00B93F24">
            <w:pPr>
              <w:autoSpaceDE/>
              <w:autoSpaceDN/>
              <w:bidi w:val="0"/>
              <w:spacing w:after="0" w:line="240" w:lineRule="auto"/>
              <w:rPr>
                <w:rFonts w:ascii="Times New Roman" w:hAnsi="Times New Roman"/>
                <w:sz w:val="20"/>
                <w:szCs w:val="20"/>
              </w:rPr>
            </w:pPr>
            <w:r w:rsidRPr="00AA425D">
              <w:rPr>
                <w:rFonts w:ascii="Times New Roman" w:hAnsi="Times New Roman"/>
                <w:sz w:val="20"/>
                <w:szCs w:val="20"/>
              </w:rPr>
              <w:t>V – veta</w:t>
            </w:r>
          </w:p>
          <w:p w:rsidR="00936F1D" w:rsidRPr="00AA425D" w:rsidP="00B93F24">
            <w:pPr>
              <w:autoSpaceDE/>
              <w:autoSpaceDN/>
              <w:bidi w:val="0"/>
              <w:spacing w:after="0" w:line="240" w:lineRule="auto"/>
              <w:rPr>
                <w:rFonts w:ascii="Times New Roman" w:hAnsi="Times New Roman"/>
                <w:sz w:val="20"/>
                <w:szCs w:val="20"/>
              </w:rPr>
            </w:pPr>
            <w:r w:rsidRPr="00AA425D">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936F1D" w:rsidRPr="00AA425D" w:rsidP="00B93F24">
            <w:pPr>
              <w:pStyle w:val="Normlny"/>
              <w:autoSpaceDE/>
              <w:autoSpaceDN/>
              <w:bidi w:val="0"/>
              <w:spacing w:after="60" w:line="240" w:lineRule="auto"/>
              <w:rPr>
                <w:rFonts w:ascii="Times New Roman" w:hAnsi="Times New Roman"/>
                <w:lang w:eastAsia="sk-SK"/>
              </w:rPr>
            </w:pPr>
            <w:r w:rsidRPr="00AA425D">
              <w:rPr>
                <w:rFonts w:ascii="Times New Roman" w:hAnsi="Times New Roman"/>
                <w:lang w:eastAsia="sk-SK"/>
              </w:rPr>
              <w:t>V stĺpci (7):</w:t>
            </w:r>
          </w:p>
          <w:p w:rsidR="00936F1D" w:rsidRPr="00AA425D" w:rsidP="00B93F24">
            <w:pPr>
              <w:autoSpaceDE/>
              <w:autoSpaceDN/>
              <w:bidi w:val="0"/>
              <w:spacing w:after="0" w:line="240" w:lineRule="auto"/>
              <w:ind w:left="290" w:hanging="290"/>
              <w:rPr>
                <w:rFonts w:ascii="Times New Roman" w:hAnsi="Times New Roman"/>
                <w:sz w:val="20"/>
                <w:szCs w:val="20"/>
              </w:rPr>
            </w:pPr>
            <w:r w:rsidRPr="00AA425D">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súvislosti)</w:t>
            </w:r>
          </w:p>
          <w:p w:rsidR="00936F1D" w:rsidRPr="00AA425D" w:rsidP="00936F1D">
            <w:pPr>
              <w:autoSpaceDE/>
              <w:autoSpaceDN/>
              <w:bidi w:val="0"/>
              <w:spacing w:after="0" w:line="240" w:lineRule="auto"/>
              <w:rPr>
                <w:rFonts w:ascii="Times New Roman" w:hAnsi="Times New Roman"/>
                <w:sz w:val="20"/>
                <w:szCs w:val="20"/>
              </w:rPr>
            </w:pPr>
            <w:r w:rsidRPr="00AA425D">
              <w:rPr>
                <w:rFonts w:ascii="Times New Roman" w:hAnsi="Times New Roman"/>
                <w:sz w:val="20"/>
                <w:szCs w:val="20"/>
              </w:rPr>
              <w:t>Č – čiastočná zhoda (ak minimálne jedna z podmienok úplnej zhody nie je splnená)</w:t>
            </w:r>
          </w:p>
          <w:p w:rsidR="00936F1D" w:rsidRPr="00AA425D" w:rsidP="00936F1D">
            <w:pPr>
              <w:pStyle w:val="BodyTextIndent2"/>
              <w:bidi w:val="0"/>
              <w:spacing w:after="0" w:line="240" w:lineRule="auto"/>
              <w:rPr>
                <w:rFonts w:ascii="Times New Roman" w:hAnsi="Times New Roman"/>
                <w:sz w:val="20"/>
                <w:szCs w:val="20"/>
              </w:rPr>
            </w:pPr>
            <w:r w:rsidRPr="00AA425D">
              <w:rPr>
                <w:rFonts w:ascii="Times New Roman" w:hAnsi="Times New Roman"/>
                <w:sz w:val="20"/>
                <w:szCs w:val="20"/>
              </w:rPr>
              <w:t>Ž – žiadna zhoda (ak nebola dosiahnutá ani úplná ani čiast. zhoda alebo k prebratiu dôjde v budúcnosti)</w:t>
            </w:r>
          </w:p>
          <w:p w:rsidR="00936F1D" w:rsidRPr="00AA425D" w:rsidP="00936F1D">
            <w:pPr>
              <w:autoSpaceDE/>
              <w:autoSpaceDN/>
              <w:bidi w:val="0"/>
              <w:spacing w:after="0" w:line="240" w:lineRule="auto"/>
              <w:ind w:left="290" w:hanging="290"/>
              <w:rPr>
                <w:rFonts w:ascii="Times New Roman" w:hAnsi="Times New Roman"/>
                <w:sz w:val="20"/>
                <w:szCs w:val="20"/>
              </w:rPr>
            </w:pPr>
            <w:r w:rsidRPr="00AA425D">
              <w:rPr>
                <w:rFonts w:ascii="Times New Roman" w:hAnsi="Times New Roman"/>
                <w:sz w:val="20"/>
                <w:szCs w:val="20"/>
              </w:rPr>
              <w:t>n.a. – neaplikovateľnosť (ak sa ustanovenie smernice netýka SR alebo nie je potrebné ho prebrať)</w:t>
            </w:r>
          </w:p>
        </w:tc>
      </w:tr>
    </w:tbl>
    <w:p w:rsidR="00936F1D" w:rsidRPr="00AA425D">
      <w:pPr>
        <w:bidi w:val="0"/>
        <w:rPr>
          <w:rFonts w:ascii="Times New Roman" w:hAnsi="Times New Roman"/>
        </w:rPr>
      </w:pPr>
    </w:p>
    <w:sectPr w:rsidSect="00BB0C0B">
      <w:footerReference w:type="default" r:id="rId10"/>
      <w:pgSz w:w="16838" w:h="11906" w:orient="landscape" w:code="9"/>
      <w:pgMar w:top="1418" w:right="907" w:bottom="1134" w:left="1077" w:header="709" w:footer="397"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1D">
    <w:pPr>
      <w:pStyle w:val="Footer"/>
      <w:bidi w:val="0"/>
      <w:jc w:val="center"/>
      <w:rPr>
        <w:rFonts w:ascii="Times New Roman" w:hAnsi="Times New Roman"/>
      </w:rPr>
    </w:pPr>
    <w:r>
      <w:rPr>
        <w:rFonts w:ascii="Times New Roman" w:hAnsi="Times New Roman"/>
      </w:rPr>
      <w:t xml:space="preserve">Strana </w:t>
    </w:r>
    <w:r>
      <w:rPr>
        <w:rFonts w:ascii="Times New Roman" w:hAnsi="Times New Roman"/>
        <w:b/>
        <w:bCs/>
      </w:rPr>
      <w:fldChar w:fldCharType="begin"/>
    </w:r>
    <w:r>
      <w:rPr>
        <w:rFonts w:ascii="Times New Roman" w:hAnsi="Times New Roman"/>
        <w:b/>
        <w:bCs/>
      </w:rPr>
      <w:instrText>PAGE</w:instrText>
    </w:r>
    <w:r>
      <w:rPr>
        <w:rFonts w:ascii="Times New Roman" w:hAnsi="Times New Roman"/>
        <w:b/>
        <w:bCs/>
      </w:rPr>
      <w:fldChar w:fldCharType="separate"/>
    </w:r>
    <w:r w:rsidR="00EC0638">
      <w:rPr>
        <w:rFonts w:ascii="Times New Roman" w:hAnsi="Times New Roman"/>
        <w:b/>
        <w:bCs/>
        <w:noProof/>
      </w:rPr>
      <w:t>1</w:t>
    </w:r>
    <w:r>
      <w:rPr>
        <w:rFonts w:ascii="Times New Roman" w:hAnsi="Times New Roman"/>
        <w:b/>
        <w:bCs/>
      </w:rPr>
      <w:fldChar w:fldCharType="end"/>
    </w:r>
    <w:r>
      <w:rPr>
        <w:rFonts w:ascii="Times New Roman" w:hAnsi="Times New Roman"/>
      </w:rPr>
      <w:t xml:space="preserve"> z </w:t>
    </w:r>
    <w:r>
      <w:rPr>
        <w:rFonts w:ascii="Times New Roman" w:hAnsi="Times New Roman"/>
        <w:b/>
        <w:bCs/>
      </w:rPr>
      <w:fldChar w:fldCharType="begin"/>
    </w:r>
    <w:r>
      <w:rPr>
        <w:rFonts w:ascii="Times New Roman" w:hAnsi="Times New Roman"/>
        <w:b/>
        <w:bCs/>
      </w:rPr>
      <w:instrText>NUMPAGES</w:instrText>
    </w:r>
    <w:r>
      <w:rPr>
        <w:rFonts w:ascii="Times New Roman" w:hAnsi="Times New Roman"/>
        <w:b/>
        <w:bCs/>
      </w:rPr>
      <w:fldChar w:fldCharType="separate"/>
    </w:r>
    <w:r w:rsidR="00EC0638">
      <w:rPr>
        <w:rFonts w:ascii="Times New Roman" w:hAnsi="Times New Roman"/>
        <w:b/>
        <w:bCs/>
        <w:noProof/>
      </w:rPr>
      <w:t>4</w:t>
    </w:r>
    <w:r>
      <w:rPr>
        <w:rFonts w:ascii="Times New Roman" w:hAnsi="Times New Roman"/>
        <w:b/>
        <w:bCs/>
      </w:rPr>
      <w:fldChar w:fldCharType="end"/>
    </w:r>
  </w:p>
  <w:p w:rsidR="00BC0C2A">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9C9" w:rsidP="00936F1D">
      <w:pPr>
        <w:bidi w:val="0"/>
        <w:rPr>
          <w:rFonts w:ascii="Times New Roman" w:hAnsi="Times New Roman"/>
        </w:rPr>
      </w:pPr>
      <w:r>
        <w:rPr>
          <w:rFonts w:ascii="Times New Roman" w:hAnsi="Times New Roman"/>
        </w:rPr>
        <w:separator/>
      </w:r>
    </w:p>
  </w:footnote>
  <w:footnote w:type="continuationSeparator" w:id="1">
    <w:p w:rsidR="00C519C9" w:rsidP="00936F1D">
      <w:pPr>
        <w:bidi w:val="0"/>
        <w:rPr>
          <w:rFonts w:ascii="Times New Roman" w:hAnsi="Times New Roman"/>
        </w:rPr>
      </w:pPr>
      <w:r>
        <w:rPr>
          <w:rFonts w:ascii="Times New Roman" w:hAnsi="Times New Roman"/>
        </w:rPr>
        <w:continuationSeparator/>
      </w:r>
    </w:p>
  </w:footnote>
  <w:footnote w:id="2">
    <w:p w:rsidP="00231555">
      <w:pPr>
        <w:pStyle w:val="FootnoteText"/>
        <w:bidi w:val="0"/>
        <w:spacing w:after="0" w:line="240" w:lineRule="auto"/>
        <w:rPr>
          <w:rFonts w:ascii="Times New Roman" w:hAnsi="Times New Roman"/>
        </w:rPr>
      </w:pPr>
      <w:r w:rsidRPr="007B3478" w:rsidR="00231555">
        <w:rPr>
          <w:rStyle w:val="FootnoteReference"/>
          <w:rFonts w:ascii="Times New Roman" w:hAnsi="Times New Roman"/>
        </w:rPr>
        <w:footnoteRef/>
      </w:r>
      <w:r w:rsidRPr="007B3478" w:rsidR="00231555">
        <w:rPr>
          <w:rFonts w:ascii="Times New Roman" w:hAnsi="Times New Roman"/>
        </w:rPr>
        <w:t xml:space="preserve"> ) § 2 a Príloha 1 bod A, Príloha 2 a Príloha 9 vyhlášky Ministerstva životného prostredia Slovenskej republiky, ktorou sa mení a dopĺňa vyhláška </w:t>
      </w:r>
      <w:r w:rsidRPr="007B3478" w:rsidR="00231555">
        <w:rPr>
          <w:rFonts w:ascii="Times New Roman" w:hAnsi="Times New Roman"/>
          <w:bCs/>
        </w:rPr>
        <w:t xml:space="preserve">Ministerstva pôdohospodárstva, životného prostredia a regionálneho rozvoja Slovenskej republiky č. 418/2010 Z. z. </w:t>
      </w:r>
      <w:r w:rsidRPr="007B3478" w:rsidR="00231555">
        <w:rPr>
          <w:rFonts w:ascii="Times New Roman" w:hAnsi="Times New Roman"/>
        </w:rPr>
        <w:t>o vykonaní niektorých ustanovení vodného zákona,</w:t>
      </w:r>
    </w:p>
  </w:footnote>
  <w:footnote w:id="3">
    <w:p w:rsidR="00231555" w:rsidRPr="00FB2540" w:rsidP="00231555">
      <w:pPr>
        <w:bidi w:val="0"/>
        <w:spacing w:after="0" w:line="240" w:lineRule="auto"/>
        <w:rPr>
          <w:rFonts w:ascii="Times New Roman" w:hAnsi="Times New Roman"/>
          <w:sz w:val="18"/>
          <w:szCs w:val="18"/>
        </w:rPr>
      </w:pPr>
      <w:r w:rsidRPr="00FB2540">
        <w:rPr>
          <w:rStyle w:val="FootnoteReference"/>
          <w:rFonts w:ascii="Times New Roman" w:hAnsi="Times New Roman"/>
          <w:sz w:val="18"/>
          <w:szCs w:val="18"/>
        </w:rPr>
        <w:footnoteRef/>
      </w:r>
      <w:r w:rsidRPr="00FB2540">
        <w:rPr>
          <w:rFonts w:ascii="Times New Roman" w:hAnsi="Times New Roman"/>
          <w:sz w:val="18"/>
          <w:szCs w:val="18"/>
        </w:rPr>
        <w:t xml:space="preserve"> ) § 6 vyhlášky </w:t>
      </w:r>
      <w:r w:rsidRPr="00FB2540">
        <w:rPr>
          <w:rFonts w:ascii="Times New Roman" w:hAnsi="Times New Roman"/>
          <w:bCs/>
          <w:sz w:val="18"/>
          <w:szCs w:val="18"/>
        </w:rPr>
        <w:t>č. 418/2010 Z. z.</w:t>
      </w:r>
    </w:p>
    <w:p w:rsidP="00231555">
      <w:pPr>
        <w:bidi w:val="0"/>
        <w:spacing w:after="0" w:line="240" w:lineRule="auto"/>
        <w:rPr>
          <w:rFonts w:ascii="Times New Roman" w:hAnsi="Times New Roman"/>
        </w:rPr>
      </w:pPr>
    </w:p>
  </w:footnote>
  <w:footnote w:id="4">
    <w:p w:rsidP="005A64AE">
      <w:pPr>
        <w:pStyle w:val="FootnoteText"/>
        <w:bidi w:val="0"/>
        <w:spacing w:after="0" w:line="240" w:lineRule="auto"/>
        <w:rPr>
          <w:rFonts w:ascii="Times New Roman" w:hAnsi="Times New Roman"/>
        </w:rPr>
      </w:pPr>
      <w:r w:rsidRPr="00FB2540" w:rsidR="005A64AE">
        <w:rPr>
          <w:rStyle w:val="FootnoteReference"/>
          <w:rFonts w:ascii="Times New Roman" w:hAnsi="Times New Roman"/>
        </w:rPr>
        <w:footnoteRef/>
      </w:r>
      <w:r w:rsidRPr="00FB2540" w:rsidR="005A64AE">
        <w:rPr>
          <w:rFonts w:ascii="Times New Roman" w:hAnsi="Times New Roman"/>
        </w:rPr>
        <w:t xml:space="preserve"> )</w:t>
      </w:r>
      <w:r w:rsidRPr="00AA425D" w:rsidR="005A64AE">
        <w:rPr>
          <w:rFonts w:ascii="Times New Roman" w:hAnsi="Times New Roman"/>
        </w:rPr>
        <w:t xml:space="preserve"> § 1 ods. 2 písm. c) prvý bod a § 1 ods. 8  nariadenia vlády Slovenskej republiky č. 416/2011 Z. z. o hodnotení  </w:t>
      </w:r>
      <w:r w:rsidRPr="004B5162" w:rsidR="005A64AE">
        <w:rPr>
          <w:rFonts w:ascii="Times New Roman" w:hAnsi="Times New Roman"/>
        </w:rPr>
        <w:t xml:space="preserve">chemického </w:t>
      </w:r>
      <w:r w:rsidRPr="004B5162" w:rsidR="00BD28BA">
        <w:rPr>
          <w:rFonts w:ascii="Times New Roman" w:hAnsi="Times New Roman"/>
        </w:rPr>
        <w:t xml:space="preserve">stavu </w:t>
      </w:r>
      <w:r w:rsidRPr="004B5162" w:rsidR="005A64AE">
        <w:rPr>
          <w:rFonts w:ascii="Times New Roman" w:hAnsi="Times New Roman"/>
        </w:rPr>
        <w:t xml:space="preserve">útvaru </w:t>
      </w:r>
      <w:r w:rsidRPr="00AA425D" w:rsidR="005A64AE">
        <w:rPr>
          <w:rFonts w:ascii="Times New Roman" w:hAnsi="Times New Roman"/>
        </w:rPr>
        <w:t>podzemných vôd,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92000"/>
    <w:multiLevelType w:val="hybridMultilevel"/>
    <w:tmpl w:val="B74C67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43D1645"/>
    <w:multiLevelType w:val="hybridMultilevel"/>
    <w:tmpl w:val="44F82B68"/>
    <w:lvl w:ilvl="0">
      <w:start w:val="1"/>
      <w:numFmt w:val="decimal"/>
      <w:lvlText w:val="%1."/>
      <w:lvlJc w:val="left"/>
      <w:pPr>
        <w:ind w:left="491" w:hanging="360"/>
      </w:pPr>
      <w:rPr>
        <w:rFonts w:cs="Times New Roman" w:hint="default"/>
        <w:rtl w:val="0"/>
        <w:cs w:val="0"/>
      </w:rPr>
    </w:lvl>
    <w:lvl w:ilvl="1">
      <w:start w:val="1"/>
      <w:numFmt w:val="lowerLetter"/>
      <w:lvlText w:val="%2."/>
      <w:lvlJc w:val="left"/>
      <w:pPr>
        <w:ind w:left="1211" w:hanging="360"/>
      </w:pPr>
      <w:rPr>
        <w:rFonts w:cs="Times New Roman"/>
        <w:rtl w:val="0"/>
        <w:cs w:val="0"/>
      </w:rPr>
    </w:lvl>
    <w:lvl w:ilvl="2">
      <w:start w:val="1"/>
      <w:numFmt w:val="lowerRoman"/>
      <w:lvlText w:val="%3."/>
      <w:lvlJc w:val="right"/>
      <w:pPr>
        <w:ind w:left="1931" w:hanging="180"/>
      </w:pPr>
      <w:rPr>
        <w:rFonts w:cs="Times New Roman"/>
        <w:rtl w:val="0"/>
        <w:cs w:val="0"/>
      </w:rPr>
    </w:lvl>
    <w:lvl w:ilvl="3">
      <w:start w:val="1"/>
      <w:numFmt w:val="decimal"/>
      <w:lvlText w:val="%4."/>
      <w:lvlJc w:val="left"/>
      <w:pPr>
        <w:ind w:left="2651" w:hanging="360"/>
      </w:pPr>
      <w:rPr>
        <w:rFonts w:cs="Times New Roman"/>
        <w:rtl w:val="0"/>
        <w:cs w:val="0"/>
      </w:rPr>
    </w:lvl>
    <w:lvl w:ilvl="4">
      <w:start w:val="1"/>
      <w:numFmt w:val="lowerLetter"/>
      <w:lvlText w:val="%5."/>
      <w:lvlJc w:val="left"/>
      <w:pPr>
        <w:ind w:left="3371" w:hanging="360"/>
      </w:pPr>
      <w:rPr>
        <w:rFonts w:cs="Times New Roman"/>
        <w:rtl w:val="0"/>
        <w:cs w:val="0"/>
      </w:rPr>
    </w:lvl>
    <w:lvl w:ilvl="5">
      <w:start w:val="1"/>
      <w:numFmt w:val="lowerRoman"/>
      <w:lvlText w:val="%6."/>
      <w:lvlJc w:val="right"/>
      <w:pPr>
        <w:ind w:left="4091" w:hanging="180"/>
      </w:pPr>
      <w:rPr>
        <w:rFonts w:cs="Times New Roman"/>
        <w:rtl w:val="0"/>
        <w:cs w:val="0"/>
      </w:rPr>
    </w:lvl>
    <w:lvl w:ilvl="6">
      <w:start w:val="1"/>
      <w:numFmt w:val="decimal"/>
      <w:lvlText w:val="%7."/>
      <w:lvlJc w:val="left"/>
      <w:pPr>
        <w:ind w:left="4811" w:hanging="360"/>
      </w:pPr>
      <w:rPr>
        <w:rFonts w:cs="Times New Roman"/>
        <w:rtl w:val="0"/>
        <w:cs w:val="0"/>
      </w:rPr>
    </w:lvl>
    <w:lvl w:ilvl="7">
      <w:start w:val="1"/>
      <w:numFmt w:val="lowerLetter"/>
      <w:lvlText w:val="%8."/>
      <w:lvlJc w:val="left"/>
      <w:pPr>
        <w:ind w:left="5531" w:hanging="360"/>
      </w:pPr>
      <w:rPr>
        <w:rFonts w:cs="Times New Roman"/>
        <w:rtl w:val="0"/>
        <w:cs w:val="0"/>
      </w:rPr>
    </w:lvl>
    <w:lvl w:ilvl="8">
      <w:start w:val="1"/>
      <w:numFmt w:val="lowerRoman"/>
      <w:lvlText w:val="%9."/>
      <w:lvlJc w:val="right"/>
      <w:pPr>
        <w:ind w:left="6251" w:hanging="180"/>
      </w:pPr>
      <w:rPr>
        <w:rFonts w:cs="Times New Roman"/>
        <w:rtl w:val="0"/>
        <w:cs w:val="0"/>
      </w:rPr>
    </w:lvl>
  </w:abstractNum>
  <w:abstractNum w:abstractNumId="2">
    <w:nsid w:val="4B990284"/>
    <w:multiLevelType w:val="hybridMultilevel"/>
    <w:tmpl w:val="7EB45968"/>
    <w:lvl w:ilvl="0">
      <w:start w:val="1"/>
      <w:numFmt w:val="decimal"/>
      <w:lvlText w:val="%1."/>
      <w:lvlJc w:val="left"/>
      <w:pPr>
        <w:ind w:left="36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hyphenationZone w:val="425"/>
  <w:characterSpacingControl w:val="doNotCompress"/>
  <w:footnotePr>
    <w:footnote w:id="0"/>
    <w:footnote w:id="1"/>
  </w:footnotePr>
  <w:compat/>
  <w:rsids>
    <w:rsidRoot w:val="000738CF"/>
    <w:rsid w:val="000103D6"/>
    <w:rsid w:val="000738CF"/>
    <w:rsid w:val="001127F9"/>
    <w:rsid w:val="00130D60"/>
    <w:rsid w:val="001B7F84"/>
    <w:rsid w:val="001F3A17"/>
    <w:rsid w:val="00203BEC"/>
    <w:rsid w:val="00231555"/>
    <w:rsid w:val="002516F3"/>
    <w:rsid w:val="00277422"/>
    <w:rsid w:val="002A63DA"/>
    <w:rsid w:val="002C7482"/>
    <w:rsid w:val="002F1852"/>
    <w:rsid w:val="00305523"/>
    <w:rsid w:val="00362E7A"/>
    <w:rsid w:val="003A3B63"/>
    <w:rsid w:val="003B2406"/>
    <w:rsid w:val="003C0575"/>
    <w:rsid w:val="003D1524"/>
    <w:rsid w:val="003F394A"/>
    <w:rsid w:val="004A521F"/>
    <w:rsid w:val="004B5162"/>
    <w:rsid w:val="004C2A95"/>
    <w:rsid w:val="00505B31"/>
    <w:rsid w:val="00530FD7"/>
    <w:rsid w:val="00546439"/>
    <w:rsid w:val="005A64AE"/>
    <w:rsid w:val="005B1389"/>
    <w:rsid w:val="005D633D"/>
    <w:rsid w:val="00633192"/>
    <w:rsid w:val="006D7792"/>
    <w:rsid w:val="006E5A63"/>
    <w:rsid w:val="007A4064"/>
    <w:rsid w:val="007B0B38"/>
    <w:rsid w:val="007B3478"/>
    <w:rsid w:val="007F7210"/>
    <w:rsid w:val="00805FAE"/>
    <w:rsid w:val="008562E8"/>
    <w:rsid w:val="008B7507"/>
    <w:rsid w:val="00920DA6"/>
    <w:rsid w:val="00936F1D"/>
    <w:rsid w:val="00955E9E"/>
    <w:rsid w:val="00973D7E"/>
    <w:rsid w:val="00975E6E"/>
    <w:rsid w:val="009920F6"/>
    <w:rsid w:val="00993683"/>
    <w:rsid w:val="009C2080"/>
    <w:rsid w:val="00A019D4"/>
    <w:rsid w:val="00A20022"/>
    <w:rsid w:val="00A56683"/>
    <w:rsid w:val="00A929C9"/>
    <w:rsid w:val="00AA425D"/>
    <w:rsid w:val="00AE3A70"/>
    <w:rsid w:val="00AE4DEF"/>
    <w:rsid w:val="00AE5FF5"/>
    <w:rsid w:val="00AE70CC"/>
    <w:rsid w:val="00B612C2"/>
    <w:rsid w:val="00B93F24"/>
    <w:rsid w:val="00BB0C0B"/>
    <w:rsid w:val="00BC0C2A"/>
    <w:rsid w:val="00BD28BA"/>
    <w:rsid w:val="00C26F83"/>
    <w:rsid w:val="00C32487"/>
    <w:rsid w:val="00C35FFD"/>
    <w:rsid w:val="00C366A6"/>
    <w:rsid w:val="00C519C9"/>
    <w:rsid w:val="00C64FCD"/>
    <w:rsid w:val="00C908F0"/>
    <w:rsid w:val="00D93DF4"/>
    <w:rsid w:val="00E41297"/>
    <w:rsid w:val="00E57070"/>
    <w:rsid w:val="00EC0638"/>
    <w:rsid w:val="00F41AB2"/>
    <w:rsid w:val="00F66D53"/>
    <w:rsid w:val="00FA44DC"/>
    <w:rsid w:val="00FB2540"/>
    <w:rsid w:val="00FE4E5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8CF"/>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rsid w:val="000738CF"/>
    <w:pPr>
      <w:keepNext/>
      <w:jc w:val="center"/>
      <w:outlineLvl w:val="0"/>
    </w:pPr>
    <w:rPr>
      <w:b/>
      <w:bCs/>
    </w:rPr>
  </w:style>
  <w:style w:type="paragraph" w:styleId="Heading4">
    <w:name w:val="heading 4"/>
    <w:basedOn w:val="Normal"/>
    <w:next w:val="Normal"/>
    <w:link w:val="Heading4Char"/>
    <w:uiPriority w:val="99"/>
    <w:qFormat/>
    <w:rsid w:val="000738CF"/>
    <w:pPr>
      <w:keepNext/>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9"/>
    <w:locked/>
    <w:rsid w:val="000738CF"/>
    <w:rPr>
      <w:rFonts w:ascii="Times New Roman" w:hAnsi="Times New Roman" w:cs="Times New Roman"/>
      <w:b/>
      <w:bCs/>
      <w:sz w:val="24"/>
      <w:szCs w:val="24"/>
      <w:rtl w:val="0"/>
      <w:cs w:val="0"/>
      <w:lang w:val="x-none" w:eastAsia="sk-SK"/>
    </w:rPr>
  </w:style>
  <w:style w:type="character" w:customStyle="1" w:styleId="Heading4Char">
    <w:name w:val="Heading 4 Char"/>
    <w:basedOn w:val="DefaultParagraphFont"/>
    <w:link w:val="Heading4"/>
    <w:uiPriority w:val="99"/>
    <w:locked/>
    <w:rsid w:val="000738CF"/>
    <w:rPr>
      <w:rFonts w:ascii="Times New Roman" w:hAnsi="Times New Roman" w:cs="Times New Roman"/>
      <w:b/>
      <w:bCs/>
      <w:rtl w:val="0"/>
      <w:cs w:val="0"/>
      <w:lang w:val="x-none" w:eastAsia="sk-SK"/>
    </w:rPr>
  </w:style>
  <w:style w:type="paragraph" w:styleId="BodyText2">
    <w:name w:val="Body Text 2"/>
    <w:basedOn w:val="Normal"/>
    <w:link w:val="BodyText2Char"/>
    <w:uiPriority w:val="99"/>
    <w:rsid w:val="000738CF"/>
    <w:pPr>
      <w:jc w:val="center"/>
    </w:pPr>
    <w:rPr>
      <w:sz w:val="20"/>
      <w:szCs w:val="20"/>
    </w:rPr>
  </w:style>
  <w:style w:type="character" w:customStyle="1" w:styleId="BodyText2Char">
    <w:name w:val="Body Text 2 Char"/>
    <w:basedOn w:val="DefaultParagraphFont"/>
    <w:link w:val="BodyText2"/>
    <w:uiPriority w:val="99"/>
    <w:locked/>
    <w:rsid w:val="000738CF"/>
    <w:rPr>
      <w:rFonts w:ascii="Times New Roman" w:hAnsi="Times New Roman" w:cs="Times New Roman"/>
      <w:sz w:val="20"/>
      <w:szCs w:val="20"/>
      <w:rtl w:val="0"/>
      <w:cs w:val="0"/>
      <w:lang w:val="x-none" w:eastAsia="sk-SK"/>
    </w:rPr>
  </w:style>
  <w:style w:type="paragraph" w:customStyle="1" w:styleId="Normlny">
    <w:name w:val="_Normálny"/>
    <w:basedOn w:val="Normal"/>
    <w:uiPriority w:val="99"/>
    <w:rsid w:val="000738CF"/>
    <w:pPr>
      <w:jc w:val="left"/>
    </w:pPr>
    <w:rPr>
      <w:sz w:val="20"/>
      <w:szCs w:val="20"/>
      <w:lang w:eastAsia="en-US"/>
    </w:rPr>
  </w:style>
  <w:style w:type="paragraph" w:styleId="Footer">
    <w:name w:val="footer"/>
    <w:basedOn w:val="Normal"/>
    <w:link w:val="FooterChar"/>
    <w:uiPriority w:val="99"/>
    <w:rsid w:val="000738CF"/>
    <w:pPr>
      <w:tabs>
        <w:tab w:val="center" w:pos="4536"/>
        <w:tab w:val="right" w:pos="9072"/>
      </w:tabs>
      <w:autoSpaceDE/>
      <w:autoSpaceDN/>
      <w:jc w:val="left"/>
    </w:pPr>
  </w:style>
  <w:style w:type="character" w:customStyle="1" w:styleId="FooterChar">
    <w:name w:val="Footer Char"/>
    <w:basedOn w:val="DefaultParagraphFont"/>
    <w:link w:val="Footer"/>
    <w:uiPriority w:val="99"/>
    <w:locked/>
    <w:rsid w:val="000738CF"/>
    <w:rPr>
      <w:rFonts w:ascii="Times New Roman" w:hAnsi="Times New Roman" w:cs="Times New Roman"/>
      <w:sz w:val="24"/>
      <w:szCs w:val="24"/>
      <w:rtl w:val="0"/>
      <w:cs w:val="0"/>
      <w:lang w:val="x-none" w:eastAsia="sk-SK"/>
    </w:rPr>
  </w:style>
  <w:style w:type="paragraph" w:customStyle="1" w:styleId="Default">
    <w:name w:val="Default"/>
    <w:rsid w:val="000738CF"/>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0738CF"/>
    <w:pPr>
      <w:jc w:val="left"/>
    </w:pPr>
    <w:rPr>
      <w:rFonts w:cs="Times New Roman"/>
      <w:color w:val="auto"/>
    </w:rPr>
  </w:style>
  <w:style w:type="paragraph" w:customStyle="1" w:styleId="Zkladntext">
    <w:name w:val="Základní text"/>
    <w:aliases w:val="Základný text Char Char"/>
    <w:rsid w:val="000738CF"/>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M1">
    <w:name w:val="CM1"/>
    <w:basedOn w:val="Default"/>
    <w:next w:val="Default"/>
    <w:uiPriority w:val="99"/>
    <w:rsid w:val="000738CF"/>
    <w:pPr>
      <w:jc w:val="left"/>
    </w:pPr>
    <w:rPr>
      <w:rFonts w:cs="Times New Roman"/>
      <w:color w:val="auto"/>
    </w:rPr>
  </w:style>
  <w:style w:type="paragraph" w:styleId="Header">
    <w:name w:val="header"/>
    <w:basedOn w:val="Normal"/>
    <w:link w:val="HeaderChar"/>
    <w:uiPriority w:val="99"/>
    <w:unhideWhenUsed/>
    <w:rsid w:val="00936F1D"/>
    <w:pPr>
      <w:tabs>
        <w:tab w:val="center" w:pos="4536"/>
        <w:tab w:val="right" w:pos="9072"/>
      </w:tabs>
      <w:jc w:val="left"/>
    </w:pPr>
  </w:style>
  <w:style w:type="character" w:customStyle="1" w:styleId="HeaderChar">
    <w:name w:val="Header Char"/>
    <w:basedOn w:val="DefaultParagraphFont"/>
    <w:link w:val="Header"/>
    <w:uiPriority w:val="99"/>
    <w:locked/>
    <w:rsid w:val="00936F1D"/>
    <w:rPr>
      <w:rFonts w:ascii="Times New Roman" w:hAnsi="Times New Roman" w:cs="Times New Roman"/>
      <w:sz w:val="24"/>
      <w:szCs w:val="24"/>
      <w:rtl w:val="0"/>
      <w:cs w:val="0"/>
      <w:lang w:val="x-none" w:eastAsia="sk-SK"/>
    </w:rPr>
  </w:style>
  <w:style w:type="paragraph" w:customStyle="1" w:styleId="doc-ti">
    <w:name w:val="doc-ti"/>
    <w:basedOn w:val="Normal"/>
    <w:rsid w:val="00936F1D"/>
    <w:pPr>
      <w:autoSpaceDE/>
      <w:autoSpaceDN/>
      <w:spacing w:before="240" w:after="120"/>
      <w:jc w:val="center"/>
    </w:pPr>
    <w:rPr>
      <w:b/>
      <w:bCs/>
    </w:rPr>
  </w:style>
  <w:style w:type="paragraph" w:styleId="BodyTextIndent2">
    <w:name w:val="Body Text Indent 2"/>
    <w:basedOn w:val="Normal"/>
    <w:link w:val="BodyTextIndent2Char"/>
    <w:uiPriority w:val="99"/>
    <w:semiHidden/>
    <w:unhideWhenUsed/>
    <w:rsid w:val="00936F1D"/>
    <w:pPr>
      <w:spacing w:after="120" w:line="480" w:lineRule="auto"/>
      <w:ind w:left="283"/>
      <w:jc w:val="left"/>
    </w:pPr>
  </w:style>
  <w:style w:type="character" w:customStyle="1" w:styleId="BodyTextIndent2Char">
    <w:name w:val="Body Text Indent 2 Char"/>
    <w:basedOn w:val="DefaultParagraphFont"/>
    <w:link w:val="BodyTextIndent2"/>
    <w:uiPriority w:val="99"/>
    <w:semiHidden/>
    <w:locked/>
    <w:rsid w:val="00936F1D"/>
    <w:rPr>
      <w:rFonts w:ascii="Times New Roman" w:hAnsi="Times New Roman" w:cs="Times New Roman"/>
      <w:sz w:val="24"/>
      <w:szCs w:val="24"/>
      <w:rtl w:val="0"/>
      <w:cs w:val="0"/>
      <w:lang w:val="x-none" w:eastAsia="sk-SK"/>
    </w:rPr>
  </w:style>
  <w:style w:type="paragraph" w:customStyle="1" w:styleId="Normlny1">
    <w:name w:val="Normálny1"/>
    <w:basedOn w:val="Normal"/>
    <w:rsid w:val="00936F1D"/>
    <w:pPr>
      <w:autoSpaceDE/>
      <w:autoSpaceDN/>
      <w:spacing w:before="120"/>
      <w:jc w:val="both"/>
    </w:pPr>
  </w:style>
  <w:style w:type="character" w:customStyle="1" w:styleId="italic">
    <w:name w:val="italic"/>
    <w:basedOn w:val="DefaultParagraphFont"/>
    <w:rsid w:val="00C366A6"/>
    <w:rPr>
      <w:rFonts w:cs="Times New Roman"/>
      <w:i/>
      <w:iCs/>
      <w:rtl w:val="0"/>
      <w:cs w:val="0"/>
    </w:rPr>
  </w:style>
  <w:style w:type="character" w:customStyle="1" w:styleId="super">
    <w:name w:val="super"/>
    <w:basedOn w:val="DefaultParagraphFont"/>
    <w:rsid w:val="00C366A6"/>
    <w:rPr>
      <w:rFonts w:cs="Times New Roman"/>
      <w:sz w:val="17"/>
      <w:szCs w:val="17"/>
      <w:vertAlign w:val="superscript"/>
      <w:rtl w:val="0"/>
      <w:cs w:val="0"/>
    </w:rPr>
  </w:style>
  <w:style w:type="character" w:styleId="Hyperlink">
    <w:name w:val="Hyperlink"/>
    <w:basedOn w:val="DefaultParagraphFont"/>
    <w:uiPriority w:val="99"/>
    <w:semiHidden/>
    <w:unhideWhenUsed/>
    <w:rsid w:val="00C366A6"/>
    <w:rPr>
      <w:rFonts w:cs="Times New Roman"/>
      <w:color w:val="0000FF"/>
      <w:u w:val="single"/>
      <w:rtl w:val="0"/>
      <w:cs w:val="0"/>
    </w:rPr>
  </w:style>
  <w:style w:type="character" w:styleId="FollowedHyperlink">
    <w:name w:val="FollowedHyperlink"/>
    <w:basedOn w:val="DefaultParagraphFont"/>
    <w:uiPriority w:val="99"/>
    <w:semiHidden/>
    <w:unhideWhenUsed/>
    <w:rsid w:val="00C366A6"/>
    <w:rPr>
      <w:rFonts w:cs="Times New Roman"/>
      <w:color w:val="800080" w:themeColor="folHlink" w:themeShade="FF"/>
      <w:u w:val="single"/>
      <w:rtl w:val="0"/>
      <w:cs w:val="0"/>
    </w:rPr>
  </w:style>
  <w:style w:type="paragraph" w:customStyle="1" w:styleId="ti-grseq-1">
    <w:name w:val="ti-grseq-1"/>
    <w:basedOn w:val="Normal"/>
    <w:rsid w:val="00C366A6"/>
    <w:pPr>
      <w:autoSpaceDE/>
      <w:autoSpaceDN/>
      <w:spacing w:before="240" w:after="120"/>
      <w:jc w:val="both"/>
    </w:pPr>
    <w:rPr>
      <w:b/>
      <w:bCs/>
    </w:rPr>
  </w:style>
  <w:style w:type="character" w:customStyle="1" w:styleId="bold">
    <w:name w:val="bold"/>
    <w:basedOn w:val="DefaultParagraphFont"/>
    <w:rsid w:val="00C366A6"/>
    <w:rPr>
      <w:rFonts w:cs="Times New Roman"/>
      <w:b/>
      <w:bCs/>
      <w:rtl w:val="0"/>
      <w:cs w:val="0"/>
    </w:rPr>
  </w:style>
  <w:style w:type="paragraph" w:styleId="ListParagraph">
    <w:name w:val="List Paragraph"/>
    <w:basedOn w:val="Normal"/>
    <w:uiPriority w:val="34"/>
    <w:qFormat/>
    <w:rsid w:val="00C35FFD"/>
    <w:pPr>
      <w:autoSpaceDE/>
      <w:autoSpaceDN/>
      <w:spacing w:before="120" w:line="320" w:lineRule="atLeast"/>
      <w:ind w:left="720" w:firstLine="425"/>
      <w:contextualSpacing/>
      <w:jc w:val="both"/>
    </w:pPr>
    <w:rPr>
      <w:lang w:eastAsia="cs-CZ"/>
    </w:rPr>
  </w:style>
  <w:style w:type="paragraph" w:styleId="BalloonText">
    <w:name w:val="Balloon Text"/>
    <w:basedOn w:val="Normal"/>
    <w:link w:val="BalloonTextChar"/>
    <w:uiPriority w:val="99"/>
    <w:semiHidden/>
    <w:unhideWhenUsed/>
    <w:rsid w:val="005D633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633D"/>
    <w:rPr>
      <w:rFonts w:ascii="Tahoma" w:hAnsi="Tahoma" w:cs="Tahoma"/>
      <w:sz w:val="16"/>
      <w:szCs w:val="16"/>
      <w:rtl w:val="0"/>
      <w:cs w:val="0"/>
      <w:lang w:val="x-none" w:eastAsia="sk-SK"/>
    </w:rPr>
  </w:style>
  <w:style w:type="paragraph" w:styleId="BodyText">
    <w:name w:val="Body Text"/>
    <w:basedOn w:val="Normal"/>
    <w:link w:val="BodyTextChar"/>
    <w:uiPriority w:val="99"/>
    <w:semiHidden/>
    <w:unhideWhenUsed/>
    <w:rsid w:val="005A64AE"/>
    <w:pPr>
      <w:spacing w:after="120"/>
      <w:jc w:val="left"/>
    </w:pPr>
  </w:style>
  <w:style w:type="character" w:customStyle="1" w:styleId="BodyTextChar">
    <w:name w:val="Body Text Char"/>
    <w:basedOn w:val="DefaultParagraphFont"/>
    <w:link w:val="BodyText"/>
    <w:uiPriority w:val="99"/>
    <w:semiHidden/>
    <w:locked/>
    <w:rsid w:val="005A64AE"/>
    <w:rPr>
      <w:rFonts w:ascii="Times New Roman" w:hAnsi="Times New Roman" w:cs="Times New Roman"/>
      <w:sz w:val="24"/>
      <w:szCs w:val="24"/>
      <w:rtl w:val="0"/>
      <w:cs w:val="0"/>
      <w:lang w:val="x-none" w:eastAsia="sk-SK"/>
    </w:rPr>
  </w:style>
  <w:style w:type="paragraph" w:styleId="FootnoteText">
    <w:name w:val="footnote text"/>
    <w:basedOn w:val="Normal"/>
    <w:link w:val="FootnoteTextChar"/>
    <w:semiHidden/>
    <w:rsid w:val="005A64AE"/>
    <w:pPr>
      <w:autoSpaceDE/>
      <w:autoSpaceDN/>
      <w:jc w:val="left"/>
    </w:pPr>
    <w:rPr>
      <w:sz w:val="20"/>
      <w:szCs w:val="20"/>
      <w:lang w:eastAsia="cs-CZ"/>
    </w:rPr>
  </w:style>
  <w:style w:type="character" w:customStyle="1" w:styleId="FootnoteTextChar">
    <w:name w:val="Footnote Text Char"/>
    <w:basedOn w:val="DefaultParagraphFont"/>
    <w:link w:val="FootnoteText"/>
    <w:semiHidden/>
    <w:locked/>
    <w:rsid w:val="005A64AE"/>
    <w:rPr>
      <w:rFonts w:ascii="Times New Roman" w:hAnsi="Times New Roman" w:cs="Times New Roman"/>
      <w:sz w:val="20"/>
      <w:szCs w:val="20"/>
      <w:rtl w:val="0"/>
      <w:cs w:val="0"/>
      <w:lang w:val="x-none" w:eastAsia="cs-CZ"/>
    </w:rPr>
  </w:style>
  <w:style w:type="character" w:styleId="FootnoteReference">
    <w:name w:val="footnote reference"/>
    <w:semiHidden/>
    <w:rsid w:val="005A64AE"/>
    <w:rPr>
      <w:vertAlign w:val="superscript"/>
    </w:rPr>
  </w:style>
  <w:style w:type="character" w:styleId="Strong">
    <w:name w:val="Strong"/>
    <w:basedOn w:val="DefaultParagraphFont"/>
    <w:uiPriority w:val="22"/>
    <w:qFormat/>
    <w:rsid w:val="00C908F0"/>
    <w:rPr>
      <w:rFonts w:cs="Times New Roman"/>
      <w:b/>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eur-lex.europa.eu/legal-content/SK/TXT/HTML/?uri=CELEX:32014L0080&amp;rid=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33F4D7D-CB06-4FC7-A0AA-56F5496AB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2B333B0-989F-4F1F-8100-89B5E16FFD5C}">
  <ds:schemaRefs>
    <ds:schemaRef ds:uri="http://schemas.openxmlformats.org/officeDocument/2006/bibliography"/>
  </ds:schemaRefs>
</ds:datastoreItem>
</file>

<file path=customXml/itemProps3.xml><?xml version="1.0" encoding="utf-8"?>
<ds:datastoreItem xmlns:ds="http://schemas.openxmlformats.org/officeDocument/2006/customXml" ds:itemID="{B8E4E3C6-D0F8-4E0D-BDEB-41BDF9134637}">
  <ds:schemaRefs>
    <ds:schemaRef ds:uri="http://schemas.microsoft.com/sharepoint/v3/contenttype/forms"/>
  </ds:schemaRefs>
</ds:datastoreItem>
</file>

<file path=customXml/itemProps4.xml><?xml version="1.0" encoding="utf-8"?>
<ds:datastoreItem xmlns:ds="http://schemas.openxmlformats.org/officeDocument/2006/customXml" ds:itemID="{49595BE1-9967-45C1-9B3C-48382990D2A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otalTime>0</TotalTime>
  <Pages>4</Pages>
  <Words>1786</Words>
  <Characters>10182</Characters>
  <Application>Microsoft Office Word</Application>
  <DocSecurity>0</DocSecurity>
  <Lines>0</Lines>
  <Paragraphs>0</Paragraphs>
  <ScaleCrop>false</ScaleCrop>
  <Company>Hewlett-Packard Company</Company>
  <LinksUpToDate>false</LinksUpToDate>
  <CharactersWithSpaces>11945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Strelková Ľudmila</dc:creator>
  <cp:lastModifiedBy>Gašparíková, Jarmila</cp:lastModifiedBy>
  <cp:revision>2</cp:revision>
  <cp:lastPrinted>2016-06-16T14:16:00Z</cp:lastPrinted>
  <dcterms:created xsi:type="dcterms:W3CDTF">2016-07-06T09:49:00Z</dcterms:created>
  <dcterms:modified xsi:type="dcterms:W3CDTF">2016-07-06T09:49:00Z</dcterms:modified>
</cp:coreProperties>
</file>