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504F54" w:rsidP="00FD0FE5">
      <w:pPr>
        <w:pStyle w:val="Standard"/>
        <w:bidi w:val="0"/>
        <w:jc w:val="center"/>
        <w:rPr>
          <w:rFonts w:ascii="Times New Roman" w:hAnsi="Times New Roman" w:cs="Times New Roman"/>
          <w:b/>
          <w:bCs/>
        </w:rPr>
      </w:pPr>
    </w:p>
    <w:p w:rsidR="00FD0FE5" w:rsidP="00FD0FE5">
      <w:pPr>
        <w:pStyle w:val="Standard"/>
        <w:bidi w:val="0"/>
        <w:jc w:val="center"/>
        <w:rPr>
          <w:rFonts w:ascii="Times New Roman" w:hAnsi="Times New Roman" w:cs="Times New Roman"/>
          <w:b/>
          <w:bCs/>
        </w:rPr>
      </w:pPr>
      <w:r>
        <w:rPr>
          <w:rFonts w:ascii="Times New Roman" w:hAnsi="Times New Roman" w:cs="Times New Roman"/>
          <w:b/>
          <w:bCs/>
        </w:rPr>
        <w:t>Dôvodová správa</w:t>
      </w:r>
    </w:p>
    <w:p w:rsidR="00FD0FE5" w:rsidP="00FD0FE5">
      <w:pPr>
        <w:pStyle w:val="Standard"/>
        <w:bidi w:val="0"/>
        <w:jc w:val="both"/>
        <w:rPr>
          <w:rFonts w:ascii="Times New Roman" w:hAnsi="Times New Roman" w:cs="Times New Roman"/>
        </w:rPr>
      </w:pPr>
    </w:p>
    <w:p w:rsidR="00FD0FE5" w:rsidP="00FD0FE5">
      <w:pPr>
        <w:pStyle w:val="Standard"/>
        <w:bidi w:val="0"/>
        <w:jc w:val="both"/>
        <w:rPr>
          <w:rFonts w:ascii="Times New Roman" w:hAnsi="Times New Roman" w:cs="Times New Roman"/>
          <w:b/>
          <w:bCs/>
        </w:rPr>
      </w:pPr>
      <w:r>
        <w:rPr>
          <w:rFonts w:ascii="Times New Roman" w:hAnsi="Times New Roman" w:cs="Times New Roman"/>
          <w:b/>
          <w:bCs/>
        </w:rPr>
        <w:t>A. Všeobecná časť</w:t>
      </w:r>
    </w:p>
    <w:p w:rsidR="00FD0FE5" w:rsidP="00FD0FE5">
      <w:pPr>
        <w:pStyle w:val="Standard"/>
        <w:bidi w:val="0"/>
        <w:jc w:val="both"/>
        <w:rPr>
          <w:rFonts w:ascii="Times New Roman" w:hAnsi="Times New Roman" w:cs="Times New Roman"/>
        </w:rPr>
      </w:pPr>
    </w:p>
    <w:p w:rsidR="00FD0FE5" w:rsidP="00FD0FE5">
      <w:pPr>
        <w:pStyle w:val="Standard"/>
        <w:tabs>
          <w:tab w:val="left" w:pos="851"/>
          <w:tab w:val="left" w:leader="dot" w:pos="8902"/>
        </w:tabs>
        <w:bidi w:val="0"/>
        <w:spacing w:before="240" w:after="200"/>
        <w:jc w:val="both"/>
      </w:pPr>
      <w:r>
        <w:rPr>
          <w:rFonts w:ascii="Times New Roman" w:hAnsi="Times New Roman" w:cs="Times New Roman"/>
        </w:rPr>
        <w:tab/>
        <w:t xml:space="preserve">Návrh zákona, ktorým sa </w:t>
      </w:r>
      <w:r w:rsidR="00BE489E">
        <w:rPr>
          <w:rFonts w:ascii="Times New Roman" w:hAnsi="Times New Roman" w:cs="Times New Roman"/>
        </w:rPr>
        <w:t xml:space="preserve">mení a </w:t>
      </w:r>
      <w:r>
        <w:rPr>
          <w:rFonts w:ascii="Times New Roman" w:hAnsi="Times New Roman" w:cs="Times New Roman"/>
        </w:rPr>
        <w:t>dopĺňa zákon Slovenskej národnej rady č. 369/1990 Zb. o obecnom zriadení v znení neskorších predpisov predkladá na rokovanie Národnej rady Slovenskej republiky</w:t>
      </w:r>
      <w:r w:rsidR="003E56F4">
        <w:rPr>
          <w:rFonts w:ascii="Times New Roman" w:hAnsi="Times New Roman" w:cs="Times New Roman"/>
        </w:rPr>
        <w:t xml:space="preserve"> skupina poslancov. </w:t>
      </w:r>
      <w:r w:rsidR="00404B9B">
        <w:rPr>
          <w:rFonts w:ascii="Times New Roman" w:hAnsi="Times New Roman" w:cs="Times New Roman"/>
        </w:rPr>
        <w:t xml:space="preserve"> </w:t>
      </w:r>
    </w:p>
    <w:p w:rsidR="006C2797" w:rsidP="004B0AA9">
      <w:pPr>
        <w:pStyle w:val="Standard"/>
        <w:bidi w:val="0"/>
        <w:ind w:firstLine="708"/>
        <w:jc w:val="both"/>
        <w:rPr>
          <w:rFonts w:ascii="Times New Roman" w:hAnsi="Times New Roman" w:cs="Times New Roman"/>
        </w:rPr>
      </w:pPr>
      <w:r w:rsidR="00FD0FE5">
        <w:rPr>
          <w:rFonts w:ascii="Times New Roman" w:hAnsi="Times New Roman" w:cs="Times New Roman"/>
        </w:rPr>
        <w:t xml:space="preserve">Cieľom predkladanej novely zákona je </w:t>
      </w:r>
      <w:r w:rsidR="00BE489E">
        <w:rPr>
          <w:rFonts w:ascii="Times New Roman" w:hAnsi="Times New Roman" w:cs="Times New Roman"/>
        </w:rPr>
        <w:t xml:space="preserve">posilniť účasť obyvateľov </w:t>
      </w:r>
      <w:r w:rsidR="00FD0FE5">
        <w:rPr>
          <w:rFonts w:ascii="Times New Roman" w:hAnsi="Times New Roman" w:cs="Times New Roman"/>
        </w:rPr>
        <w:t>na správe veci verejných</w:t>
      </w:r>
      <w:r>
        <w:rPr>
          <w:rFonts w:ascii="Times New Roman" w:hAnsi="Times New Roman" w:cs="Times New Roman"/>
        </w:rPr>
        <w:t>, a to konkrétne</w:t>
      </w:r>
      <w:r w:rsidR="00BE489E">
        <w:rPr>
          <w:rFonts w:ascii="Times New Roman" w:hAnsi="Times New Roman" w:cs="Times New Roman"/>
        </w:rPr>
        <w:t xml:space="preserve"> na komunálnej úrovni</w:t>
      </w:r>
      <w:r w:rsidR="00FD0FE5">
        <w:rPr>
          <w:rFonts w:ascii="Times New Roman" w:hAnsi="Times New Roman" w:cs="Times New Roman"/>
        </w:rPr>
        <w:t xml:space="preserve">. </w:t>
      </w:r>
    </w:p>
    <w:p w:rsidR="006C2797" w:rsidP="00FD0FE5">
      <w:pPr>
        <w:pStyle w:val="Standard"/>
        <w:bidi w:val="0"/>
        <w:jc w:val="both"/>
        <w:rPr>
          <w:rFonts w:ascii="Times New Roman" w:hAnsi="Times New Roman" w:cs="Times New Roman"/>
        </w:rPr>
      </w:pPr>
    </w:p>
    <w:p w:rsidR="00ED2ED8" w:rsidP="00ED2ED8">
      <w:pPr>
        <w:pStyle w:val="Standard"/>
        <w:bidi w:val="0"/>
        <w:ind w:firstLine="708"/>
        <w:jc w:val="both"/>
        <w:rPr>
          <w:rFonts w:ascii="Times New Roman" w:hAnsi="Times New Roman" w:cs="Times New Roman"/>
        </w:rPr>
      </w:pPr>
      <w:r w:rsidR="00E85147">
        <w:rPr>
          <w:rFonts w:ascii="Times New Roman" w:hAnsi="Times New Roman" w:cs="Times New Roman"/>
        </w:rPr>
        <w:t>K</w:t>
      </w:r>
      <w:r w:rsidR="00BE489E">
        <w:rPr>
          <w:rFonts w:ascii="Times New Roman" w:hAnsi="Times New Roman" w:cs="Times New Roman"/>
        </w:rPr>
        <w:t>ým v prípade zasadnutí obecného</w:t>
      </w:r>
      <w:r w:rsidR="00E85147">
        <w:rPr>
          <w:rFonts w:ascii="Times New Roman" w:hAnsi="Times New Roman" w:cs="Times New Roman"/>
        </w:rPr>
        <w:t xml:space="preserve"> zastupiteľstva je </w:t>
      </w:r>
      <w:r w:rsidR="00AB13C4">
        <w:rPr>
          <w:rFonts w:ascii="Times New Roman" w:hAnsi="Times New Roman" w:cs="Times New Roman"/>
        </w:rPr>
        <w:t xml:space="preserve">v zákone </w:t>
      </w:r>
      <w:r w:rsidR="006C2797">
        <w:rPr>
          <w:rFonts w:ascii="Times New Roman" w:hAnsi="Times New Roman" w:cs="Times New Roman"/>
        </w:rPr>
        <w:t xml:space="preserve">explicitne uvedené, že tento orgán územnej samosprávy rokuje </w:t>
      </w:r>
      <w:r w:rsidR="004B0AA9">
        <w:rPr>
          <w:rFonts w:ascii="Times New Roman" w:hAnsi="Times New Roman" w:cs="Times New Roman"/>
        </w:rPr>
        <w:t xml:space="preserve">zásadne </w:t>
      </w:r>
      <w:r w:rsidR="006C2797">
        <w:rPr>
          <w:rFonts w:ascii="Times New Roman" w:hAnsi="Times New Roman" w:cs="Times New Roman"/>
        </w:rPr>
        <w:t xml:space="preserve">verejne (§ 12 ods. 9 cit. zák.), </w:t>
      </w:r>
      <w:r w:rsidR="004B0AA9">
        <w:rPr>
          <w:rFonts w:ascii="Times New Roman" w:hAnsi="Times New Roman" w:cs="Times New Roman"/>
        </w:rPr>
        <w:t xml:space="preserve">spôsob rokovania poradných orgánov (komisie, obecná rada) </w:t>
      </w:r>
      <w:r w:rsidR="00887894">
        <w:rPr>
          <w:rFonts w:ascii="Times New Roman" w:hAnsi="Times New Roman" w:cs="Times New Roman"/>
        </w:rPr>
        <w:t xml:space="preserve">nie je legislatívne </w:t>
      </w:r>
      <w:r w:rsidR="004B0AA9">
        <w:rPr>
          <w:rFonts w:ascii="Times New Roman" w:hAnsi="Times New Roman" w:cs="Times New Roman"/>
        </w:rPr>
        <w:t>vôbec upravený.</w:t>
      </w:r>
      <w:r w:rsidR="003A56DB">
        <w:rPr>
          <w:rFonts w:ascii="Times New Roman" w:hAnsi="Times New Roman" w:cs="Times New Roman"/>
        </w:rPr>
        <w:t xml:space="preserve"> </w:t>
      </w:r>
      <w:r w:rsidR="004B0AA9">
        <w:rPr>
          <w:rFonts w:ascii="Times New Roman" w:hAnsi="Times New Roman" w:cs="Times New Roman"/>
        </w:rPr>
        <w:t xml:space="preserve"> </w:t>
      </w:r>
      <w:r w:rsidR="003A56DB">
        <w:rPr>
          <w:rFonts w:ascii="Times New Roman" w:hAnsi="Times New Roman" w:cs="Times New Roman"/>
        </w:rPr>
        <w:t xml:space="preserve">V praxi si pravidlá účasti verejnosti v rámci </w:t>
      </w:r>
      <w:r w:rsidR="00964025">
        <w:rPr>
          <w:rFonts w:ascii="Times New Roman" w:hAnsi="Times New Roman" w:cs="Times New Roman"/>
        </w:rPr>
        <w:t xml:space="preserve">rokovaní </w:t>
      </w:r>
      <w:r w:rsidR="00AB13C4">
        <w:rPr>
          <w:rFonts w:ascii="Times New Roman" w:hAnsi="Times New Roman" w:cs="Times New Roman"/>
        </w:rPr>
        <w:t xml:space="preserve">poradných </w:t>
      </w:r>
      <w:r w:rsidR="003A56DB">
        <w:rPr>
          <w:rFonts w:ascii="Times New Roman" w:hAnsi="Times New Roman" w:cs="Times New Roman"/>
        </w:rPr>
        <w:t xml:space="preserve">orgánov upravujú </w:t>
      </w:r>
      <w:r w:rsidR="00E85147">
        <w:rPr>
          <w:rFonts w:ascii="Times New Roman" w:hAnsi="Times New Roman" w:cs="Times New Roman"/>
        </w:rPr>
        <w:t xml:space="preserve">samosprávy </w:t>
      </w:r>
      <w:r w:rsidR="00887894">
        <w:rPr>
          <w:rFonts w:ascii="Times New Roman" w:hAnsi="Times New Roman" w:cs="Times New Roman"/>
        </w:rPr>
        <w:t>samy. Veľmi často vš</w:t>
      </w:r>
      <w:r w:rsidR="00AB13C4">
        <w:rPr>
          <w:rFonts w:ascii="Times New Roman" w:hAnsi="Times New Roman" w:cs="Times New Roman"/>
        </w:rPr>
        <w:t>ak takéto</w:t>
      </w:r>
      <w:r w:rsidR="00887894">
        <w:rPr>
          <w:rFonts w:ascii="Times New Roman" w:hAnsi="Times New Roman" w:cs="Times New Roman"/>
        </w:rPr>
        <w:t xml:space="preserve"> interné akty určujú, že tieto orgány rokujú neverejne, čo je vážnou bariérou pri efektívn</w:t>
      </w:r>
      <w:r>
        <w:rPr>
          <w:rFonts w:ascii="Times New Roman" w:hAnsi="Times New Roman" w:cs="Times New Roman"/>
        </w:rPr>
        <w:t xml:space="preserve">om a včasnom získavaní informácií o </w:t>
      </w:r>
      <w:r w:rsidR="00E85147">
        <w:rPr>
          <w:rFonts w:ascii="Times New Roman" w:hAnsi="Times New Roman" w:cs="Times New Roman"/>
        </w:rPr>
        <w:t xml:space="preserve">dôležitých </w:t>
      </w:r>
      <w:r>
        <w:rPr>
          <w:rFonts w:ascii="Times New Roman" w:hAnsi="Times New Roman" w:cs="Times New Roman"/>
        </w:rPr>
        <w:t>samosprávnych rozhodnutiach.</w:t>
      </w:r>
    </w:p>
    <w:p w:rsidR="00ED2ED8" w:rsidP="00ED2ED8">
      <w:pPr>
        <w:pStyle w:val="Standard"/>
        <w:bidi w:val="0"/>
        <w:ind w:firstLine="708"/>
        <w:jc w:val="both"/>
        <w:rPr>
          <w:rFonts w:ascii="Times New Roman" w:hAnsi="Times New Roman" w:cs="Times New Roman"/>
        </w:rPr>
      </w:pPr>
      <w:r>
        <w:rPr>
          <w:rFonts w:ascii="Times New Roman" w:hAnsi="Times New Roman" w:cs="Times New Roman"/>
        </w:rPr>
        <w:t xml:space="preserve"> </w:t>
      </w:r>
    </w:p>
    <w:p w:rsidR="00964025" w:rsidP="00FD0FE5">
      <w:pPr>
        <w:pStyle w:val="Standard"/>
        <w:bidi w:val="0"/>
        <w:jc w:val="both"/>
        <w:rPr>
          <w:rFonts w:ascii="Times New Roman" w:hAnsi="Times New Roman" w:cs="Times New Roman"/>
        </w:rPr>
      </w:pPr>
      <w:r w:rsidR="003C4544">
        <w:rPr>
          <w:rFonts w:ascii="Times New Roman" w:hAnsi="Times New Roman" w:cs="Times New Roman"/>
        </w:rPr>
        <w:tab/>
        <w:t xml:space="preserve">Verejné zasadnutia samosprávnych orgánov sa </w:t>
      </w:r>
      <w:r w:rsidR="00AB13C4">
        <w:rPr>
          <w:rFonts w:ascii="Times New Roman" w:hAnsi="Times New Roman" w:cs="Times New Roman"/>
        </w:rPr>
        <w:t xml:space="preserve">pritom medzi časom </w:t>
      </w:r>
      <w:r w:rsidR="003C4544">
        <w:rPr>
          <w:rFonts w:ascii="Times New Roman" w:hAnsi="Times New Roman" w:cs="Times New Roman"/>
        </w:rPr>
        <w:t xml:space="preserve">stali súčasťou rokovacích poriadkov </w:t>
      </w:r>
      <w:r w:rsidR="00AB13C4">
        <w:rPr>
          <w:rFonts w:ascii="Times New Roman" w:hAnsi="Times New Roman" w:cs="Times New Roman"/>
        </w:rPr>
        <w:t xml:space="preserve">viacerých </w:t>
      </w:r>
      <w:r>
        <w:rPr>
          <w:rFonts w:ascii="Times New Roman" w:hAnsi="Times New Roman" w:cs="Times New Roman"/>
        </w:rPr>
        <w:t xml:space="preserve">slovenských </w:t>
      </w:r>
      <w:r w:rsidR="003C4544">
        <w:rPr>
          <w:rFonts w:ascii="Times New Roman" w:hAnsi="Times New Roman" w:cs="Times New Roman"/>
        </w:rPr>
        <w:t xml:space="preserve">samospráv (napr. </w:t>
      </w:r>
      <w:r w:rsidR="00AB13C4">
        <w:rPr>
          <w:rFonts w:ascii="Times New Roman" w:hAnsi="Times New Roman" w:cs="Times New Roman"/>
        </w:rPr>
        <w:t xml:space="preserve">mesta </w:t>
      </w:r>
      <w:r w:rsidR="002F69E9">
        <w:rPr>
          <w:rFonts w:ascii="Times New Roman" w:hAnsi="Times New Roman" w:cs="Times New Roman"/>
        </w:rPr>
        <w:t>Banská Bystrica</w:t>
      </w:r>
      <w:r w:rsidR="003C4544">
        <w:rPr>
          <w:rFonts w:ascii="Times New Roman" w:hAnsi="Times New Roman" w:cs="Times New Roman"/>
        </w:rPr>
        <w:t xml:space="preserve">), kde sa ukazuje, že verejnosť </w:t>
      </w:r>
      <w:r>
        <w:rPr>
          <w:rFonts w:ascii="Times New Roman" w:hAnsi="Times New Roman" w:cs="Times New Roman"/>
        </w:rPr>
        <w:t xml:space="preserve">nijako nenarušuje </w:t>
      </w:r>
      <w:r w:rsidR="002F69E9">
        <w:rPr>
          <w:rFonts w:ascii="Times New Roman" w:hAnsi="Times New Roman" w:cs="Times New Roman"/>
        </w:rPr>
        <w:t>priebeh rokovaní</w:t>
      </w:r>
      <w:r>
        <w:rPr>
          <w:rFonts w:ascii="Times New Roman" w:hAnsi="Times New Roman" w:cs="Times New Roman"/>
        </w:rPr>
        <w:t>, naopak, nezriedka svojimi podnetmi skvalitňuje jednotlivé materiály.</w:t>
      </w:r>
    </w:p>
    <w:p w:rsidR="00FC03FB" w:rsidP="00FD0FE5">
      <w:pPr>
        <w:pStyle w:val="Standard"/>
        <w:bidi w:val="0"/>
        <w:jc w:val="both"/>
        <w:rPr>
          <w:rFonts w:ascii="Times New Roman" w:hAnsi="Times New Roman" w:cs="Times New Roman"/>
        </w:rPr>
      </w:pPr>
    </w:p>
    <w:p w:rsidR="00FC03FB" w:rsidP="00FC03FB">
      <w:pPr>
        <w:pStyle w:val="Standard"/>
        <w:bidi w:val="0"/>
        <w:ind w:firstLine="708"/>
        <w:jc w:val="both"/>
        <w:rPr>
          <w:rFonts w:ascii="Times New Roman" w:hAnsi="Times New Roman" w:cs="Times New Roman"/>
        </w:rPr>
      </w:pPr>
      <w:r>
        <w:rPr>
          <w:rFonts w:ascii="Times New Roman" w:hAnsi="Times New Roman" w:cs="Times New Roman"/>
        </w:rPr>
        <w:t>Verejné zasadnutie poradných orgánov je dlhodobým štandardom aj v rámci samotnej NR SR, kde platí, že schôdze výborov sú zásadne verejné (§ 50 ods. 1 zákona č. 350/1996 Z.z. o rokovacom poriadku NR SR).</w:t>
      </w:r>
    </w:p>
    <w:p w:rsidR="00FD0FE5" w:rsidP="00FD0FE5">
      <w:pPr>
        <w:pStyle w:val="Standard"/>
        <w:tabs>
          <w:tab w:val="left" w:pos="851"/>
          <w:tab w:val="left" w:leader="dot" w:pos="8902"/>
        </w:tabs>
        <w:bidi w:val="0"/>
        <w:spacing w:before="240" w:after="200"/>
        <w:jc w:val="both"/>
      </w:pPr>
      <w:r>
        <w:rPr>
          <w:rFonts w:ascii="Times New Roman" w:hAnsi="Times New Roman" w:cs="Times New Roman"/>
        </w:rPr>
        <w:tab/>
      </w:r>
      <w:r>
        <w:rPr>
          <w:rFonts w:ascii="Times New Roman" w:hAnsi="Times New Roman"/>
        </w:rPr>
        <w:t>Návrh zákona je v súlade s Ústavou Slovenskej republiky, zákonmi a ďalšími všeobecne záväznými právnymi predpismi, ako aj s medzinárodnými zmluvami a inými medzinárodnými dokumentmi, ktorými je Slovenská republika viazaná</w:t>
      </w:r>
      <w:r w:rsidR="00964025">
        <w:rPr>
          <w:rFonts w:ascii="Times New Roman" w:hAnsi="Times New Roman"/>
        </w:rPr>
        <w:t xml:space="preserve"> a</w:t>
      </w:r>
      <w:r>
        <w:rPr>
          <w:rFonts w:ascii="Times New Roman" w:hAnsi="Times New Roman"/>
        </w:rPr>
        <w:t xml:space="preserve"> s právom Európskej únie.</w:t>
      </w:r>
    </w:p>
    <w:p w:rsidR="00FD0FE5" w:rsidP="00FD0FE5">
      <w:pPr>
        <w:pStyle w:val="Standard"/>
        <w:bidi w:val="0"/>
        <w:spacing w:before="240" w:after="200"/>
        <w:ind w:firstLine="709"/>
        <w:jc w:val="both"/>
        <w:rPr>
          <w:rFonts w:ascii="Times New Roman" w:hAnsi="Times New Roman" w:cs="Times New Roman"/>
        </w:rPr>
      </w:pPr>
      <w:r>
        <w:rPr>
          <w:rFonts w:ascii="Times New Roman" w:hAnsi="Times New Roman" w:cs="Times New Roman"/>
        </w:rPr>
        <w:t>Návrh zákona nebude mať negatívny vplyv na verejné financie. Návrh zákona nebude mať vplyv na podnikateľské prostredie, životné prostredie, ani vplyv na informatizáciu spoločnosti. Návrh zákona bude mať pozitívny sociálny vplyv.</w:t>
      </w:r>
    </w:p>
    <w:p w:rsidR="00FD0FE5" w:rsidP="00FD0FE5">
      <w:pPr>
        <w:pStyle w:val="Standard"/>
        <w:bidi w:val="0"/>
        <w:jc w:val="both"/>
        <w:rPr>
          <w:rFonts w:ascii="Times New Roman" w:hAnsi="Times New Roman" w:cs="Times New Roman"/>
        </w:rPr>
      </w:pPr>
    </w:p>
    <w:p w:rsidR="00FD0FE5" w:rsidP="00FD0FE5">
      <w:pPr>
        <w:pStyle w:val="Standard"/>
        <w:bidi w:val="0"/>
        <w:jc w:val="both"/>
        <w:rPr>
          <w:rFonts w:ascii="Times New Roman" w:hAnsi="Times New Roman" w:cs="Times New Roman"/>
        </w:rPr>
      </w:pPr>
    </w:p>
    <w:p w:rsidR="00FD0FE5" w:rsidP="00FD0FE5">
      <w:pPr>
        <w:pStyle w:val="Standard"/>
        <w:bidi w:val="0"/>
        <w:jc w:val="both"/>
        <w:rPr>
          <w:rFonts w:ascii="Times New Roman" w:hAnsi="Times New Roman" w:cs="Times New Roman"/>
        </w:rPr>
      </w:pPr>
    </w:p>
    <w:p w:rsidR="00FD0FE5" w:rsidP="00FD0FE5">
      <w:pPr>
        <w:pStyle w:val="Standard"/>
        <w:bidi w:val="0"/>
        <w:jc w:val="both"/>
        <w:rPr>
          <w:rFonts w:ascii="Times New Roman" w:hAnsi="Times New Roman" w:cs="Times New Roman"/>
        </w:rPr>
      </w:pPr>
    </w:p>
    <w:p w:rsidR="00FD0FE5" w:rsidP="00FD0FE5">
      <w:pPr>
        <w:pStyle w:val="Standard"/>
        <w:bidi w:val="0"/>
        <w:jc w:val="both"/>
        <w:rPr>
          <w:rFonts w:ascii="Times New Roman" w:hAnsi="Times New Roman" w:cs="Times New Roman"/>
        </w:rPr>
      </w:pPr>
    </w:p>
    <w:p w:rsidR="00FD0FE5" w:rsidP="00FD0FE5">
      <w:pPr>
        <w:pStyle w:val="Standard"/>
        <w:bidi w:val="0"/>
        <w:jc w:val="both"/>
        <w:rPr>
          <w:rFonts w:ascii="Times New Roman" w:hAnsi="Times New Roman" w:cs="Times New Roman"/>
        </w:rPr>
      </w:pPr>
    </w:p>
    <w:p w:rsidR="00FD0FE5" w:rsidP="00FD0FE5">
      <w:pPr>
        <w:pStyle w:val="Standard"/>
        <w:bidi w:val="0"/>
        <w:jc w:val="both"/>
        <w:rPr>
          <w:rFonts w:ascii="Times New Roman" w:hAnsi="Times New Roman" w:cs="Times New Roman"/>
        </w:rPr>
      </w:pPr>
    </w:p>
    <w:p w:rsidR="00FD0FE5" w:rsidP="00FD0FE5">
      <w:pPr>
        <w:pStyle w:val="Standard"/>
        <w:bidi w:val="0"/>
        <w:jc w:val="both"/>
        <w:rPr>
          <w:rFonts w:ascii="Times New Roman" w:hAnsi="Times New Roman" w:cs="Times New Roman"/>
        </w:rPr>
      </w:pPr>
    </w:p>
    <w:p w:rsidR="00FD0FE5" w:rsidP="00FD0FE5">
      <w:pPr>
        <w:pStyle w:val="Standard"/>
        <w:bidi w:val="0"/>
        <w:jc w:val="both"/>
        <w:rPr>
          <w:rFonts w:ascii="Times New Roman" w:hAnsi="Times New Roman" w:cs="Times New Roman"/>
        </w:rPr>
      </w:pPr>
    </w:p>
    <w:p w:rsidR="00FD0FE5" w:rsidP="00FD0FE5">
      <w:pPr>
        <w:pStyle w:val="Standard"/>
        <w:bidi w:val="0"/>
        <w:jc w:val="both"/>
        <w:rPr>
          <w:rFonts w:ascii="Times New Roman" w:hAnsi="Times New Roman" w:cs="Times New Roman"/>
        </w:rPr>
      </w:pPr>
    </w:p>
    <w:p w:rsidR="00FD0FE5" w:rsidP="00FD0FE5">
      <w:pPr>
        <w:pStyle w:val="Standard"/>
        <w:bidi w:val="0"/>
        <w:jc w:val="both"/>
        <w:rPr>
          <w:rFonts w:ascii="Times New Roman" w:hAnsi="Times New Roman" w:cs="Times New Roman"/>
        </w:rPr>
      </w:pPr>
    </w:p>
    <w:p w:rsidR="00FD0FE5" w:rsidP="00FD0FE5">
      <w:pPr>
        <w:pStyle w:val="Standard"/>
        <w:bidi w:val="0"/>
        <w:jc w:val="both"/>
        <w:rPr>
          <w:rFonts w:ascii="Times New Roman" w:hAnsi="Times New Roman" w:cs="Times New Roman"/>
        </w:rPr>
      </w:pPr>
    </w:p>
    <w:p w:rsidR="00FD0FE5" w:rsidP="00FD0FE5">
      <w:pPr>
        <w:pStyle w:val="Standard"/>
        <w:bidi w:val="0"/>
        <w:jc w:val="both"/>
        <w:rPr>
          <w:rFonts w:ascii="Times New Roman" w:hAnsi="Times New Roman" w:cs="Times New Roman"/>
        </w:rPr>
      </w:pPr>
    </w:p>
    <w:p w:rsidR="00FD0FE5" w:rsidP="00FD0FE5">
      <w:pPr>
        <w:pStyle w:val="Standard"/>
        <w:bidi w:val="0"/>
        <w:jc w:val="both"/>
        <w:rPr>
          <w:rFonts w:ascii="Times New Roman" w:hAnsi="Times New Roman" w:cs="Times New Roman"/>
        </w:rPr>
      </w:pPr>
    </w:p>
    <w:p w:rsidR="00FD0FE5" w:rsidP="00FD0FE5">
      <w:pPr>
        <w:pStyle w:val="Standard"/>
        <w:bidi w:val="0"/>
        <w:jc w:val="both"/>
        <w:rPr>
          <w:rFonts w:ascii="Times New Roman" w:hAnsi="Times New Roman" w:cs="Times New Roman"/>
        </w:rPr>
      </w:pPr>
    </w:p>
    <w:p w:rsidR="00191733" w:rsidP="00FD0FE5">
      <w:pPr>
        <w:pStyle w:val="Standard"/>
        <w:bidi w:val="0"/>
        <w:jc w:val="both"/>
        <w:rPr>
          <w:rFonts w:ascii="Times New Roman" w:hAnsi="Times New Roman" w:cs="Times New Roman"/>
        </w:rPr>
      </w:pPr>
    </w:p>
    <w:p w:rsidR="00FD0FE5" w:rsidP="00FD0FE5">
      <w:pPr>
        <w:pStyle w:val="Standard"/>
        <w:bidi w:val="0"/>
        <w:jc w:val="both"/>
        <w:rPr>
          <w:rFonts w:ascii="Times New Roman" w:hAnsi="Times New Roman" w:cs="Times New Roman"/>
          <w:b/>
          <w:bCs/>
        </w:rPr>
      </w:pPr>
      <w:r>
        <w:rPr>
          <w:rFonts w:ascii="Times New Roman" w:hAnsi="Times New Roman" w:cs="Times New Roman"/>
          <w:b/>
          <w:bCs/>
        </w:rPr>
        <w:t>B. Osobitná časť</w:t>
      </w:r>
    </w:p>
    <w:p w:rsidR="00FD0FE5" w:rsidP="00FD0FE5">
      <w:pPr>
        <w:pStyle w:val="Standard"/>
        <w:bidi w:val="0"/>
        <w:jc w:val="both"/>
        <w:rPr>
          <w:rFonts w:ascii="Times New Roman" w:hAnsi="Times New Roman" w:cs="Times New Roman"/>
        </w:rPr>
      </w:pPr>
    </w:p>
    <w:p w:rsidR="00FD0FE5" w:rsidP="00FD0FE5">
      <w:pPr>
        <w:pStyle w:val="Standard"/>
        <w:bidi w:val="0"/>
        <w:jc w:val="both"/>
        <w:rPr>
          <w:rFonts w:ascii="Times New Roman" w:hAnsi="Times New Roman" w:cs="Times New Roman"/>
          <w:b/>
          <w:bCs/>
        </w:rPr>
      </w:pPr>
      <w:r>
        <w:rPr>
          <w:rFonts w:ascii="Times New Roman" w:hAnsi="Times New Roman" w:cs="Times New Roman"/>
          <w:b/>
          <w:bCs/>
        </w:rPr>
        <w:t>K bodu 1</w:t>
      </w:r>
    </w:p>
    <w:p w:rsidR="001C7AF8" w:rsidP="00FD0FE5">
      <w:pPr>
        <w:pStyle w:val="Standard"/>
        <w:bidi w:val="0"/>
        <w:jc w:val="both"/>
        <w:rPr>
          <w:rFonts w:ascii="Times New Roman" w:hAnsi="Times New Roman" w:cs="Times New Roman"/>
          <w:b/>
          <w:bCs/>
        </w:rPr>
      </w:pPr>
    </w:p>
    <w:p w:rsidR="00FE7BC2" w:rsidP="00FD0FE5">
      <w:pPr>
        <w:pStyle w:val="Standard"/>
        <w:bidi w:val="0"/>
        <w:jc w:val="both"/>
        <w:rPr>
          <w:rFonts w:ascii="Times New Roman" w:hAnsi="Times New Roman" w:cs="Times New Roman"/>
          <w:b/>
          <w:bCs/>
        </w:rPr>
      </w:pPr>
      <w:r w:rsidR="001C7AF8">
        <w:rPr>
          <w:rFonts w:ascii="Times New Roman" w:hAnsi="Times New Roman" w:cs="Times New Roman"/>
        </w:rPr>
        <w:t>Zákon ustanovuje povinnosť obcí a miest zabezpečiť prístup verejnosti na zasadnutia obecnej rady. Zákon ustanovuje podmienky, za ktorých je možné rokovanie určiť ako neverejné.</w:t>
      </w:r>
    </w:p>
    <w:p w:rsidR="00FD0FE5" w:rsidP="00FD0FE5">
      <w:pPr>
        <w:pStyle w:val="Standard"/>
        <w:bidi w:val="0"/>
        <w:jc w:val="both"/>
        <w:rPr>
          <w:rFonts w:ascii="Times New Roman" w:hAnsi="Times New Roman" w:cs="Times New Roman"/>
        </w:rPr>
      </w:pPr>
    </w:p>
    <w:p w:rsidR="00FD0FE5" w:rsidP="00FD0FE5">
      <w:pPr>
        <w:pStyle w:val="Standard"/>
        <w:bidi w:val="0"/>
        <w:jc w:val="both"/>
        <w:rPr>
          <w:rFonts w:ascii="Times New Roman" w:hAnsi="Times New Roman" w:cs="Times New Roman"/>
        </w:rPr>
      </w:pPr>
    </w:p>
    <w:p w:rsidR="00FD0FE5" w:rsidP="00FD0FE5">
      <w:pPr>
        <w:pStyle w:val="Standard"/>
        <w:bidi w:val="0"/>
        <w:jc w:val="both"/>
        <w:rPr>
          <w:rFonts w:ascii="Times New Roman" w:hAnsi="Times New Roman" w:cs="Times New Roman"/>
          <w:b/>
          <w:bCs/>
        </w:rPr>
      </w:pPr>
      <w:r>
        <w:rPr>
          <w:rFonts w:ascii="Times New Roman" w:hAnsi="Times New Roman" w:cs="Times New Roman"/>
          <w:b/>
          <w:bCs/>
        </w:rPr>
        <w:t>K bodu 2</w:t>
      </w:r>
    </w:p>
    <w:p w:rsidR="00FD0FE5" w:rsidP="00FD0FE5">
      <w:pPr>
        <w:pStyle w:val="Standard"/>
        <w:bidi w:val="0"/>
        <w:jc w:val="both"/>
        <w:rPr>
          <w:rFonts w:ascii="Times New Roman" w:hAnsi="Times New Roman" w:cs="Times New Roman"/>
        </w:rPr>
      </w:pPr>
    </w:p>
    <w:p w:rsidR="001C7AF8" w:rsidP="001C7AF8">
      <w:pPr>
        <w:pStyle w:val="Standard"/>
        <w:bidi w:val="0"/>
        <w:jc w:val="both"/>
        <w:rPr>
          <w:rFonts w:ascii="Times New Roman" w:hAnsi="Times New Roman" w:cs="Times New Roman"/>
          <w:b/>
          <w:bCs/>
        </w:rPr>
      </w:pPr>
      <w:r>
        <w:rPr>
          <w:rFonts w:ascii="Times New Roman" w:hAnsi="Times New Roman" w:cs="Times New Roman"/>
        </w:rPr>
        <w:t>Zákon ustanovuje povinnosť obcí a miest zabezpečiť prístup verejnosti na zasadnutia komisie obecného zastupiteľstva. Zákon ustanovuje podmienky, za ktorých je možné rokovanie určiť ako neverejné.</w:t>
      </w:r>
    </w:p>
    <w:p w:rsidR="00FD0FE5" w:rsidP="00FD0FE5">
      <w:pPr>
        <w:bidi w:val="0"/>
      </w:pPr>
    </w:p>
    <w:p w:rsidR="00C51160">
      <w:pPr>
        <w:bidi w:val="0"/>
      </w:pPr>
    </w:p>
    <w:sectPr w:rsidSect="004D7FE0">
      <w:pgSz w:w="11906" w:h="16838"/>
      <w:pgMar w:top="1134" w:right="1134" w:bottom="1134" w:left="1134" w:header="708" w:footer="708" w:gutter="0"/>
      <w:lnNumType w:distance="0"/>
      <w:cols w:space="708"/>
      <w:noEndnote w:val="0"/>
      <w:bidi w:val="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Liberation Serif">
    <w:altName w:val="Times New Roman"/>
    <w:panose1 w:val="00000000000000000000"/>
    <w:charset w:val="EE"/>
    <w:family w:val="roman"/>
    <w:pitch w:val="variable"/>
    <w:sig w:usb0="00000000" w:usb1="00000000" w:usb2="00000000" w:usb3="00000000" w:csb0="00000003" w:csb1="00000000"/>
  </w:font>
  <w:font w:name="FreeSans">
    <w:altName w:val="Times New Roman"/>
    <w:panose1 w:val="00000000000000000000"/>
    <w:charset w:val="00"/>
    <w:family w:val="auto"/>
    <w:pitch w:val="variable"/>
    <w:sig w:usb0="00000000" w:usb1="00000000" w:usb2="00000000" w:usb3="00000000" w:csb0="00000001" w:csb1="00000000"/>
  </w:font>
  <w:font w:name="Cambria">
    <w:panose1 w:val="00000000000000000000"/>
    <w:charset w:val="EE"/>
    <w:family w:val="roman"/>
    <w:pitch w:val="variable"/>
    <w:sig w:usb0="00000000" w:usb1="00000000"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FD0FE5"/>
    <w:rsid w:val="0007342B"/>
    <w:rsid w:val="000D78EA"/>
    <w:rsid w:val="00191733"/>
    <w:rsid w:val="001C67A0"/>
    <w:rsid w:val="001C7AF8"/>
    <w:rsid w:val="002F69E9"/>
    <w:rsid w:val="003A56DB"/>
    <w:rsid w:val="003C4544"/>
    <w:rsid w:val="003E56F4"/>
    <w:rsid w:val="00404B9B"/>
    <w:rsid w:val="004B0AA9"/>
    <w:rsid w:val="00504F54"/>
    <w:rsid w:val="006C2797"/>
    <w:rsid w:val="00887894"/>
    <w:rsid w:val="00964025"/>
    <w:rsid w:val="00AB13C4"/>
    <w:rsid w:val="00BE489E"/>
    <w:rsid w:val="00C51160"/>
    <w:rsid w:val="00E85147"/>
    <w:rsid w:val="00E86B13"/>
    <w:rsid w:val="00ED2ED8"/>
    <w:rsid w:val="00FC03FB"/>
    <w:rsid w:val="00FD0FE5"/>
    <w:rsid w:val="00FE7BC2"/>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0FE5"/>
    <w:pPr>
      <w:framePr w:wrap="auto"/>
      <w:widowControl/>
      <w:autoSpaceDE/>
      <w:autoSpaceDN/>
      <w:adjustRightInd/>
      <w:spacing w:after="160" w:line="259" w:lineRule="auto"/>
      <w:ind w:left="0" w:right="0"/>
      <w:jc w:val="left"/>
      <w:textAlignment w:val="auto"/>
    </w:pPr>
    <w:rPr>
      <w:rFonts w:ascii="Calibri" w:hAnsi="Calibri" w:cs="Times New Roman"/>
      <w:sz w:val="22"/>
      <w:szCs w:val="22"/>
      <w:rtl w:val="0"/>
      <w:cs w:val="0"/>
      <w:lang w:val="sk-SK"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customStyle="1" w:styleId="Standard">
    <w:name w:val="Standard"/>
    <w:rsid w:val="00FD0FE5"/>
    <w:pPr>
      <w:framePr w:wrap="auto"/>
      <w:widowControl w:val="0"/>
      <w:suppressAutoHyphens/>
      <w:autoSpaceDE/>
      <w:autoSpaceDN w:val="0"/>
      <w:adjustRightInd/>
      <w:ind w:left="0" w:right="0"/>
      <w:jc w:val="left"/>
      <w:textAlignment w:val="baseline"/>
    </w:pPr>
    <w:rPr>
      <w:rFonts w:ascii="Liberation Serif" w:hAnsi="Liberation Serif" w:cs="FreeSans"/>
      <w:kern w:val="3"/>
      <w:sz w:val="24"/>
      <w:szCs w:val="24"/>
      <w:rtl w:val="0"/>
      <w:cs w:val="0"/>
      <w:lang w:val="sk-SK" w:eastAsia="zh-CN" w:bidi="hi-IN"/>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2</Pages>
  <Words>348</Words>
  <Characters>1988</Characters>
  <Application>Microsoft Office Word</Application>
  <DocSecurity>0</DocSecurity>
  <Lines>0</Lines>
  <Paragraphs>0</Paragraphs>
  <ScaleCrop>false</ScaleCrop>
  <Company/>
  <LinksUpToDate>false</LinksUpToDate>
  <CharactersWithSpaces>2332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Dubačová, Viera (asistent)</cp:lastModifiedBy>
  <cp:revision>2</cp:revision>
  <dcterms:created xsi:type="dcterms:W3CDTF">2016-05-26T15:55:00Z</dcterms:created>
  <dcterms:modified xsi:type="dcterms:W3CDTF">2016-05-26T15:55:00Z</dcterms:modified>
</cp:coreProperties>
</file>